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太仓市政府采购</w:t>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ascii="宋体" w:hAnsi="宋体"/>
          <w:color w:val="auto"/>
          <w:highlight w:val="none"/>
        </w:rPr>
      </w:pPr>
      <w:r>
        <w:rPr>
          <w:rFonts w:ascii="宋体" w:hAnsi="宋体"/>
          <w:color w:val="auto"/>
          <w:highlight w:val="none"/>
        </w:rPr>
      </w:r>
      <w:r/>
    </w:p>
    <w:p>
      <w:pPr>
        <w:ind w:firstLine="630"/>
        <w:spacing w:line="360" w:lineRule="auto"/>
        <w:tabs>
          <w:tab w:val="left" w:pos="3570" w:leader="none"/>
        </w:tabs>
        <w:rPr>
          <w:rFonts w:ascii="宋体" w:hAnsi="宋体"/>
          <w:color w:val="auto"/>
          <w:highlight w:val="none"/>
        </w:rPr>
      </w:pPr>
      <w:r>
        <w:rPr>
          <w:rFonts w:ascii="宋体" w:hAnsi="宋体"/>
          <w:color w:val="auto"/>
          <w:highlight w:val="none"/>
        </w:rPr>
        <w:tab/>
      </w:r>
      <w:r/>
    </w:p>
    <w:p>
      <w:pPr>
        <w:ind w:firstLine="630"/>
        <w:spacing w:line="360" w:lineRule="auto"/>
        <w:rPr>
          <w:rFonts w:ascii="宋体" w:hAnsi="宋体"/>
          <w:color w:val="auto"/>
          <w:highlight w:val="none"/>
        </w:rPr>
      </w:pPr>
      <w:r>
        <w:rPr>
          <w:rFonts w:ascii="宋体" w:hAnsi="宋体"/>
          <w:color w:val="auto"/>
          <w:highlight w:val="none"/>
        </w:rPr>
      </w:r>
      <w:r/>
    </w:p>
    <w:p>
      <w:pPr>
        <w:ind w:right="1280"/>
        <w:spacing w:line="360" w:lineRule="auto"/>
        <w:rPr>
          <w:rFonts w:ascii="宋体" w:hAnsi="宋体"/>
          <w:color w:val="auto"/>
          <w:sz w:val="32"/>
          <w:highlight w:val="none"/>
        </w:rPr>
      </w:pPr>
      <w:r>
        <w:rPr>
          <w:rFonts w:ascii="宋体" w:hAnsi="宋体"/>
          <w:color w:val="auto"/>
          <w:sz w:val="32"/>
          <w:highlight w:val="none"/>
        </w:rPr>
      </w:r>
      <w:r/>
    </w:p>
    <w:p>
      <w:pPr>
        <w:ind w:firstLine="723"/>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项目编号：JSZC-320585-YXCZ-G2026-0007</w:t>
      </w:r>
      <w:r/>
    </w:p>
    <w:p>
      <w:pPr>
        <w:ind w:firstLine="723"/>
        <w:spacing w:line="360" w:lineRule="auto"/>
        <w:rPr>
          <w:rFonts w:ascii="宋体" w:hAnsi="宋体"/>
          <w:b/>
          <w:color w:val="auto"/>
          <w:sz w:val="32"/>
          <w:szCs w:val="36"/>
          <w:highlight w:val="none"/>
        </w:rPr>
      </w:pPr>
      <w:r>
        <w:rPr>
          <w:rFonts w:hint="eastAsia" w:ascii="宋体" w:hAnsi="宋体"/>
          <w:b/>
          <w:color w:val="auto"/>
          <w:sz w:val="36"/>
          <w:szCs w:val="36"/>
          <w:highlight w:val="none"/>
        </w:rPr>
        <w:t xml:space="preserve">项目名称：太仓市第二中学新校区体育器材采购</w:t>
      </w:r>
      <w:r/>
    </w:p>
    <w:p>
      <w:pPr>
        <w:ind w:firstLine="723"/>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采购单位：太仓市第二中学</w:t>
      </w:r>
      <w:r/>
    </w:p>
    <w:p>
      <w:pPr>
        <w:ind w:firstLine="723"/>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采购项目类别：货物类</w:t>
      </w:r>
      <w:r/>
    </w:p>
    <w:p>
      <w:pPr>
        <w:ind w:firstLine="723"/>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标的所属行业：（二）工业</w:t>
      </w:r>
      <w:r>
        <w:rPr>
          <w:rFonts w:ascii="宋体" w:hAnsi="宋体"/>
          <w:b/>
          <w:color w:val="auto"/>
          <w:sz w:val="36"/>
          <w:szCs w:val="36"/>
          <w:highlight w:val="none"/>
        </w:rPr>
        <w:t xml:space="preserve"> </w:t>
      </w:r>
      <w:r/>
    </w:p>
    <w:p>
      <w:pPr>
        <w:pStyle w:val="847"/>
        <w:ind w:firstLine="0"/>
        <w:rPr>
          <w:color w:val="auto"/>
          <w:highlight w:val="none"/>
        </w:rPr>
      </w:pPr>
      <w:r>
        <w:rPr>
          <w:color w:val="auto"/>
          <w:highlight w:val="none"/>
        </w:rPr>
      </w:r>
      <w:r/>
    </w:p>
    <w:p>
      <w:pPr>
        <w:pStyle w:val="847"/>
        <w:ind w:firstLine="0"/>
        <w:rPr>
          <w:color w:val="auto"/>
          <w:highlight w:val="none"/>
        </w:rPr>
      </w:pPr>
      <w:r>
        <w:rPr>
          <w:color w:val="auto"/>
          <w:highlight w:val="none"/>
        </w:rPr>
      </w:r>
      <w:r/>
    </w:p>
    <w:p>
      <w:pPr>
        <w:pStyle w:val="886"/>
        <w:rPr>
          <w:color w:val="auto"/>
          <w:highlight w:val="none"/>
        </w:rPr>
      </w:pPr>
      <w:r>
        <w:rPr>
          <w:color w:val="auto"/>
          <w:highlight w:val="none"/>
        </w:rPr>
      </w:r>
      <w:r/>
    </w:p>
    <w:p>
      <w:pPr>
        <w:pStyle w:val="886"/>
        <w:rPr>
          <w:color w:val="auto"/>
          <w:highlight w:val="none"/>
        </w:rPr>
      </w:pPr>
      <w:r>
        <w:rPr>
          <w:color w:val="auto"/>
          <w:highlight w:val="none"/>
        </w:rPr>
      </w:r>
      <w:r/>
    </w:p>
    <w:p>
      <w:pPr>
        <w:pStyle w:val="847"/>
        <w:rPr>
          <w:color w:val="auto"/>
          <w:highlight w:val="none"/>
        </w:rPr>
      </w:pPr>
      <w:r>
        <w:rPr>
          <w:color w:val="auto"/>
          <w:highlight w:val="none"/>
        </w:rPr>
      </w:r>
      <w:r/>
    </w:p>
    <w:p>
      <w:pPr>
        <w:jc w:val="center"/>
        <w:spacing w:line="360" w:lineRule="auto"/>
        <w:rPr>
          <w:rFonts w:ascii="宋体" w:hAnsi="宋体"/>
          <w:color w:val="auto"/>
          <w:sz w:val="36"/>
          <w:szCs w:val="36"/>
          <w:highlight w:val="none"/>
        </w:rPr>
      </w:pPr>
      <w:r>
        <w:rPr>
          <w:rFonts w:hint="eastAsia" w:ascii="宋体" w:hAnsi="宋体"/>
          <w:color w:val="auto"/>
          <w:sz w:val="44"/>
          <w:szCs w:val="44"/>
          <w:highlight w:val="none"/>
        </w:rPr>
        <w:t xml:space="preserve"> </w:t>
      </w:r>
      <w:r>
        <w:rPr>
          <w:rFonts w:hint="eastAsia" w:ascii="宋体" w:hAnsi="宋体"/>
          <w:color w:val="auto"/>
          <w:sz w:val="36"/>
          <w:szCs w:val="36"/>
          <w:highlight w:val="none"/>
        </w:rPr>
        <w:t xml:space="preserve">苏州乐鑫诚项目管理有限公司</w:t>
      </w:r>
      <w:r/>
    </w:p>
    <w:p>
      <w:pPr>
        <w:jc w:val="center"/>
        <w:spacing w:before="305" w:line="360" w:lineRule="auto"/>
        <w:rPr>
          <w:rFonts w:ascii="宋体" w:hAnsi="宋体"/>
          <w:color w:val="auto"/>
          <w:sz w:val="36"/>
          <w:szCs w:val="36"/>
          <w:highlight w:val="none"/>
        </w:rPr>
        <w:sectPr>
          <w:footnotePr/>
          <w:endnotePr/>
          <w:type w:val="nextPage"/>
          <w:pgSz w:w="11906" w:h="16838" w:orient="portrait"/>
          <w:pgMar w:top="1157" w:right="1236" w:bottom="1157" w:left="1236" w:header="851" w:footer="992" w:gutter="0"/>
          <w:cols w:num="1" w:sep="0" w:space="425" w:equalWidth="1"/>
          <w:docGrid w:linePitch="360"/>
        </w:sectPr>
      </w:pPr>
      <w:r>
        <w:rPr>
          <w:rFonts w:hint="eastAsia" w:ascii="宋体" w:hAnsi="宋体"/>
          <w:color w:val="auto"/>
          <w:sz w:val="36"/>
          <w:szCs w:val="36"/>
          <w:highlight w:val="none"/>
        </w:rPr>
        <w:t xml:space="preserve">2026年</w:t>
      </w:r>
      <w:r>
        <w:rPr>
          <w:rFonts w:hint="eastAsia" w:ascii="宋体" w:hAnsi="宋体"/>
          <w:color w:val="auto"/>
          <w:sz w:val="36"/>
          <w:szCs w:val="36"/>
          <w:highlight w:val="none"/>
          <w:lang w:val="en-US" w:eastAsia="zh-CN"/>
        </w:rPr>
        <w:t xml:space="preserve">8</w:t>
      </w:r>
      <w:r>
        <w:rPr>
          <w:rFonts w:hint="eastAsia" w:ascii="宋体" w:hAnsi="宋体"/>
          <w:color w:val="auto"/>
          <w:sz w:val="36"/>
          <w:szCs w:val="36"/>
          <w:highlight w:val="none"/>
        </w:rPr>
        <w:t xml:space="preserve">月</w:t>
      </w:r>
      <w:bookmarkStart w:id="0" w:name="_Toc158691765"/>
      <w:r/>
      <w:r/>
    </w:p>
    <w:p>
      <w:pPr>
        <w:jc w:val="center"/>
        <w:spacing w:before="305" w:line="360" w:lineRule="auto"/>
        <w:rPr>
          <w:rFonts w:ascii="宋体" w:hAnsi="宋体"/>
          <w:color w:val="auto"/>
          <w:sz w:val="44"/>
          <w:szCs w:val="44"/>
          <w:highlight w:val="none"/>
        </w:rPr>
      </w:pPr>
      <w:r>
        <w:rPr>
          <w:rFonts w:ascii="宋体" w:hAnsi="宋体"/>
          <w:b/>
          <w:color w:val="auto"/>
          <w:sz w:val="36"/>
          <w:szCs w:val="36"/>
          <w:highlight w:val="none"/>
        </w:rPr>
        <w:t xml:space="preserve">目   录</w:t>
      </w:r>
      <w:r/>
    </w:p>
    <w:p>
      <w:pPr>
        <w:ind w:firstLine="6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第一部分：招标公告</w:t>
      </w:r>
      <w:r/>
    </w:p>
    <w:p>
      <w:pPr>
        <w:ind w:firstLine="6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第二部分：投标人须知</w:t>
      </w:r>
      <w:r/>
    </w:p>
    <w:p>
      <w:pPr>
        <w:ind w:firstLine="6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第三部分：项目需求</w:t>
      </w:r>
      <w:r/>
    </w:p>
    <w:p>
      <w:pPr>
        <w:ind w:firstLine="6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第四部分：投标文件格式</w:t>
      </w:r>
      <w:r/>
    </w:p>
    <w:p>
      <w:pPr>
        <w:ind w:firstLine="6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第五部分：评标方法与评标标准</w:t>
      </w:r>
      <w:r/>
    </w:p>
    <w:p>
      <w:pPr>
        <w:ind w:firstLine="600"/>
        <w:spacing w:line="360" w:lineRule="auto"/>
        <w:rPr>
          <w:rFonts w:ascii="宋体" w:hAnsi="宋体"/>
          <w:b/>
          <w:color w:val="auto"/>
          <w:sz w:val="24"/>
          <w:szCs w:val="24"/>
          <w:highlight w:val="none"/>
        </w:rPr>
      </w:pPr>
      <w:r>
        <w:rPr>
          <w:rFonts w:hint="eastAsia" w:ascii="宋体" w:hAnsi="宋体"/>
          <w:color w:val="auto"/>
          <w:sz w:val="30"/>
          <w:szCs w:val="30"/>
          <w:highlight w:val="none"/>
        </w:rPr>
        <w:t xml:space="preserve">第六部分：合同主要条款</w:t>
      </w:r>
      <w:bookmarkEnd w:id="0"/>
      <w:r/>
      <w:r/>
    </w:p>
    <w:p>
      <w:pPr>
        <w:pStyle w:val="1104"/>
        <w:rPr>
          <w:color w:val="auto"/>
          <w:szCs w:val="24"/>
          <w:highlight w:val="none"/>
        </w:rPr>
      </w:pPr>
      <w:r/>
      <w:bookmarkStart w:id="1" w:name="_Toc467507028"/>
      <w:r/>
      <w:bookmarkEnd w:id="1"/>
      <w:r/>
      <w:bookmarkStart w:id="2" w:name="_Toc315868049"/>
      <w:r/>
      <w:bookmarkEnd w:id="2"/>
      <w:r/>
      <w:bookmarkStart w:id="3" w:name="_Toc315875312"/>
      <w:r/>
      <w:bookmarkEnd w:id="3"/>
      <w:r/>
      <w:r/>
    </w:p>
    <w:p>
      <w:pPr>
        <w:pStyle w:val="1104"/>
        <w:rPr>
          <w:color w:val="auto"/>
          <w:szCs w:val="24"/>
          <w:highlight w:val="none"/>
        </w:rPr>
      </w:pPr>
      <w:r>
        <w:rPr>
          <w:color w:val="auto"/>
          <w:szCs w:val="24"/>
          <w:highlight w:val="none"/>
        </w:rPr>
      </w:r>
      <w:r/>
    </w:p>
    <w:p>
      <w:pPr>
        <w:pStyle w:val="1104"/>
        <w:rPr>
          <w:color w:val="auto"/>
          <w:szCs w:val="24"/>
          <w:highlight w:val="none"/>
        </w:rPr>
      </w:pPr>
      <w:r>
        <w:rPr>
          <w:color w:val="auto"/>
          <w:szCs w:val="24"/>
          <w:highlight w:val="none"/>
        </w:rPr>
      </w:r>
      <w:r/>
    </w:p>
    <w:p>
      <w:pPr>
        <w:pStyle w:val="1104"/>
        <w:rPr>
          <w:color w:val="auto"/>
          <w:szCs w:val="24"/>
          <w:highlight w:val="none"/>
        </w:rPr>
      </w:pPr>
      <w:r>
        <w:rPr>
          <w:color w:val="auto"/>
          <w:szCs w:val="24"/>
          <w:highlight w:val="none"/>
        </w:rPr>
      </w:r>
      <w:r/>
    </w:p>
    <w:p>
      <w:pPr>
        <w:pStyle w:val="1104"/>
        <w:rPr>
          <w:color w:val="auto"/>
          <w:szCs w:val="24"/>
          <w:highlight w:val="none"/>
        </w:rPr>
      </w:pPr>
      <w:r>
        <w:rPr>
          <w:color w:val="auto"/>
          <w:szCs w:val="24"/>
          <w:highlight w:val="none"/>
        </w:rPr>
      </w:r>
      <w:r/>
    </w:p>
    <w:p>
      <w:pPr>
        <w:pStyle w:val="1104"/>
        <w:rPr>
          <w:color w:val="auto"/>
          <w:szCs w:val="24"/>
          <w:highlight w:val="none"/>
        </w:rPr>
      </w:pPr>
      <w:r>
        <w:rPr>
          <w:color w:val="auto"/>
          <w:szCs w:val="24"/>
          <w:highlight w:val="none"/>
        </w:rPr>
      </w:r>
      <w:r/>
    </w:p>
    <w:p>
      <w:pPr>
        <w:pStyle w:val="1104"/>
        <w:jc w:val="center"/>
        <w:rPr>
          <w:rFonts w:ascii="仿宋" w:hAnsi="仿宋" w:eastAsia="仿宋" w:cs="仿宋"/>
          <w:b/>
          <w:color w:val="auto"/>
          <w:sz w:val="44"/>
          <w:szCs w:val="44"/>
          <w:highlight w:val="none"/>
        </w:rPr>
        <w:sectPr>
          <w:footerReference w:type="default" r:id="rId13"/>
          <w:footnotePr/>
          <w:endnotePr/>
          <w:type w:val="nextPage"/>
          <w:pgSz w:w="11906" w:h="16838" w:orient="portrait"/>
          <w:pgMar w:top="1157" w:right="1236" w:bottom="1157" w:left="1236" w:header="851" w:footer="992" w:gutter="0"/>
          <w:pgNumType w:start="1"/>
          <w:cols w:num="1" w:sep="0" w:space="425" w:equalWidth="1"/>
          <w:docGrid w:linePitch="360"/>
        </w:sectPr>
      </w:pPr>
      <w:r>
        <w:rPr>
          <w:rFonts w:ascii="仿宋" w:hAnsi="仿宋" w:eastAsia="仿宋" w:cs="仿宋"/>
          <w:b/>
          <w:color w:val="auto"/>
          <w:sz w:val="44"/>
          <w:szCs w:val="44"/>
          <w:highlight w:val="none"/>
        </w:rPr>
      </w:r>
      <w:r/>
    </w:p>
    <w:p>
      <w:pPr>
        <w:pStyle w:val="1104"/>
        <w:jc w:val="center"/>
        <w:rPr>
          <w:rFonts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第一部分  招标公告</w:t>
      </w:r>
      <w:bookmarkStart w:id="4" w:name="OLE_LINK4"/>
      <w:r/>
      <w:bookmarkStart w:id="5" w:name="OLE_LINK2"/>
      <w:r/>
      <w:bookmarkStart w:id="6" w:name="OLE_LINK1"/>
      <w:r/>
      <w:bookmarkStart w:id="7" w:name="OLE_LINK3"/>
      <w:r/>
      <w:r/>
    </w:p>
    <w:p>
      <w:pPr>
        <w:pStyle w:val="846"/>
        <w:ind w:firstLine="48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项目概况</w:t>
      </w:r>
      <w:r/>
    </w:p>
    <w:p>
      <w:pPr>
        <w:pStyle w:val="846"/>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太仓市第二中学新校区体育器材采购的</w:t>
      </w:r>
      <w:r>
        <w:rPr>
          <w:rFonts w:hint="eastAsia" w:ascii="仿宋" w:hAnsi="仿宋" w:eastAsia="仿宋" w:cs="仿宋"/>
          <w:color w:val="auto"/>
          <w:sz w:val="24"/>
          <w:highlight w:val="none"/>
        </w:rPr>
        <w:t xml:space="preserve">潜在投标人应在“苏采云”系统下载获取电子招标文件</w:t>
      </w:r>
      <w:r>
        <w:rPr>
          <w:rFonts w:hint="eastAsia" w:ascii="仿宋" w:hAnsi="仿宋" w:eastAsia="仿宋" w:cs="仿宋"/>
          <w:color w:val="auto"/>
          <w:sz w:val="24"/>
          <w:szCs w:val="24"/>
          <w:highlight w:val="none"/>
        </w:rPr>
        <w:t xml:space="preserve">，并于</w:t>
      </w:r>
      <w:r>
        <w:rPr>
          <w:rFonts w:hint="eastAsia" w:ascii="仿宋" w:hAnsi="仿宋" w:eastAsia="仿宋" w:cs="仿宋"/>
          <w:b/>
          <w:color w:val="auto"/>
          <w:sz w:val="24"/>
          <w:szCs w:val="24"/>
          <w:highlight w:val="none"/>
          <w:u w:val="single"/>
        </w:rPr>
        <w:t xml:space="preserve">2026年</w:t>
      </w:r>
      <w:r>
        <w:rPr>
          <w:rFonts w:hint="eastAsia" w:ascii="仿宋" w:hAnsi="仿宋" w:eastAsia="仿宋" w:cs="仿宋"/>
          <w:b/>
          <w:color w:val="auto"/>
          <w:sz w:val="24"/>
          <w:szCs w:val="24"/>
          <w:highlight w:val="none"/>
          <w:u w:val="single"/>
          <w:lang w:val="en-US" w:eastAsia="zh-CN"/>
        </w:rPr>
        <w:t xml:space="preserve">9</w:t>
      </w:r>
      <w:r>
        <w:rPr>
          <w:rFonts w:hint="eastAsia" w:ascii="仿宋" w:hAnsi="仿宋" w:eastAsia="仿宋" w:cs="仿宋"/>
          <w:b/>
          <w:color w:val="auto"/>
          <w:sz w:val="24"/>
          <w:szCs w:val="24"/>
          <w:highlight w:val="none"/>
          <w:u w:val="single"/>
        </w:rPr>
        <w:t xml:space="preserve">月</w:t>
      </w:r>
      <w:r>
        <w:rPr>
          <w:rFonts w:hint="eastAsia" w:ascii="仿宋" w:hAnsi="仿宋" w:eastAsia="仿宋" w:cs="仿宋"/>
          <w:b/>
          <w:color w:val="auto"/>
          <w:sz w:val="24"/>
          <w:szCs w:val="24"/>
          <w:highlight w:val="none"/>
          <w:u w:val="single"/>
          <w:lang w:val="en-US" w:eastAsia="zh-CN"/>
        </w:rPr>
        <w:t xml:space="preserve">11</w:t>
      </w:r>
      <w:r>
        <w:rPr>
          <w:rFonts w:hint="eastAsia" w:ascii="仿宋" w:hAnsi="仿宋" w:eastAsia="仿宋" w:cs="仿宋"/>
          <w:b/>
          <w:color w:val="auto"/>
          <w:sz w:val="24"/>
          <w:szCs w:val="24"/>
          <w:highlight w:val="none"/>
          <w:u w:val="single"/>
        </w:rPr>
        <w:t xml:space="preserve">日09:30</w:t>
      </w:r>
      <w:r>
        <w:rPr>
          <w:rFonts w:hint="eastAsia" w:ascii="仿宋" w:hAnsi="仿宋" w:eastAsia="仿宋" w:cs="仿宋"/>
          <w:color w:val="auto"/>
          <w:sz w:val="24"/>
          <w:szCs w:val="24"/>
          <w:highlight w:val="none"/>
        </w:rPr>
        <w:t xml:space="preserve">（北京时间）前上传电子投标文件。</w:t>
      </w:r>
      <w:r/>
    </w:p>
    <w:p>
      <w:pPr>
        <w:pStyle w:val="846"/>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一、项目基本情况</w:t>
      </w:r>
      <w:r/>
    </w:p>
    <w:p>
      <w:pPr>
        <w:pStyle w:val="846"/>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项目编号：JSZC-320585-YXCZ-G2026-0007</w:t>
      </w:r>
      <w:r/>
    </w:p>
    <w:p>
      <w:pPr>
        <w:pStyle w:val="846"/>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项目名称：太仓市第二中学新校区体育器材采购</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预算金额：187.23万元</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最高限价：187.23万元</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采购内容：室外篮球架、球类、田径器材、室内电动悬空篮球架、乒乓球台、PVC运动地胶、羽毛球器材、力量健身器材、智慧体测一体机、卫生保健室全套设备，详见第三部分采购清单。</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供货期限：合同签订生效之后45天内交货并安装调试完毕。</w:t>
      </w:r>
      <w:r/>
    </w:p>
    <w:p>
      <w:pPr>
        <w:pStyle w:val="838"/>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本项目（是/否）接受联合体投标：是</w:t>
      </w:r>
      <w:r/>
    </w:p>
    <w:p>
      <w:pPr>
        <w:pStyle w:val="846"/>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二、申请人的资格要求</w:t>
      </w:r>
      <w:r/>
    </w:p>
    <w:p>
      <w:pPr>
        <w:pStyle w:val="846"/>
        <w:ind w:firstLine="482"/>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（一）满足《中华人民共和国政府采购法》第二十二条规定：</w:t>
      </w:r>
      <w:r/>
    </w:p>
    <w:p>
      <w:pPr>
        <w:pStyle w:val="846"/>
        <w:ind w:firstLine="482"/>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1.具有独立承担民事责任的能力（提供法人或者其他组织的营业执照等证明文件，自然人的身份证明）；</w:t>
      </w:r>
      <w:r/>
    </w:p>
    <w:p>
      <w:pPr>
        <w:pStyle w:val="846"/>
        <w:ind w:firstLine="482"/>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2.具有良好的商业信誉和健全的财务会计制度（提供最近一期的财务状况报告，其他组织、自然人提供银行出具的资信证明）；</w:t>
      </w:r>
      <w:r/>
    </w:p>
    <w:p>
      <w:pPr>
        <w:pStyle w:val="846"/>
        <w:ind w:firstLine="482"/>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3.具有履行合同所必需的设备和专业技术能力（提供履行合同所必需的设备和专业技术能力的证明材料）；</w:t>
      </w:r>
      <w:r/>
    </w:p>
    <w:p>
      <w:pPr>
        <w:pStyle w:val="846"/>
        <w:ind w:firstLine="482"/>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846"/>
        <w:ind w:firstLine="482"/>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5.参加政府采购活动前三年内，在经营活动中没有重大违法记录（提供参加本次政府采购活动前3年内在经营活动中没有重大违法记录的书面声明）（格式附后）；</w:t>
      </w:r>
      <w:r/>
    </w:p>
    <w:p>
      <w:pPr>
        <w:pStyle w:val="846"/>
        <w:ind w:firstLine="482"/>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6.法律、行政法规规定的其他条件；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7.联合体投标协议书（如有）。</w:t>
      </w:r>
      <w:r/>
    </w:p>
    <w:p>
      <w:pPr>
        <w:pStyle w:val="846"/>
        <w:ind w:firstLine="482"/>
        <w:keepLines w:val="0"/>
        <w:keepNext w:val="0"/>
        <w:pageBreakBefore w:val="0"/>
        <w:spacing w:line="360"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（二）落实政府采购政策需满足的资格要求：</w:t>
      </w:r>
      <w:r/>
    </w:p>
    <w:p>
      <w:pPr>
        <w:pStyle w:val="846"/>
        <w:ind w:firstLine="482"/>
        <w:keepLines w:val="0"/>
        <w:keepNext w:val="0"/>
        <w:pageBreakBefore w:val="0"/>
        <w:spacing w:line="360"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highlight w:val="none"/>
        </w:rPr>
        <w:t xml:space="preserve">本项目专门面向中小企业采购，投标人应提供中小企业声明函或残疾人福利性单位声明函或省级以上监狱管理局、戒毒管理局（含新疆生产建设兵团）出具的属于监狱企业的证明文件,否则视为投标无效。</w:t>
      </w:r>
      <w:r/>
    </w:p>
    <w:p>
      <w:pPr>
        <w:pStyle w:val="846"/>
        <w:ind w:firstLine="482"/>
        <w:keepLines w:val="0"/>
        <w:keepNext w:val="0"/>
        <w:pageBreakBefore w:val="0"/>
        <w:spacing w:line="360"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（三）本项目的特定资格要求：</w:t>
      </w:r>
      <w:r/>
    </w:p>
    <w:p>
      <w:pPr>
        <w:pStyle w:val="846"/>
        <w:ind w:firstLine="482"/>
        <w:keepLines w:val="0"/>
        <w:keepNext w:val="0"/>
        <w:pageBreakBefore w:val="0"/>
        <w:spacing w:line="360"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1.未被“信用中国”网站（www.creditchina.gov.cn）列入失信被执行人、重大税收违法案件当事人名单、政府采购严重失信行为记录名单。</w:t>
      </w:r>
      <w:r/>
    </w:p>
    <w:p>
      <w:pPr>
        <w:pStyle w:val="846"/>
        <w:ind w:firstLine="482"/>
        <w:keepLines w:val="0"/>
        <w:keepNext w:val="0"/>
        <w:pageBreakBefore w:val="0"/>
        <w:spacing w:line="360" w:lineRule="auto"/>
        <w:widowControl w:val="off"/>
        <w:rPr>
          <w:rFonts w:hint="default" w:ascii="仿宋" w:hAnsi="仿宋" w:eastAsia="仿宋" w:cs="仿宋"/>
          <w:bCs/>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2.提供卫生保健室中涉及到的二类医疗器械的投标单位须具有所投产品医疗器械生产（或经营）许可资格。</w:t>
      </w:r>
      <w:r/>
    </w:p>
    <w:p>
      <w:pPr>
        <w:pStyle w:val="846"/>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（四）拒绝下述供应商参加本次采购活动：</w:t>
      </w:r>
      <w:r/>
    </w:p>
    <w:p>
      <w:pPr>
        <w:pStyle w:val="846"/>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1.供应商单位负责人为同一人或者存在直接控股、管理关系的不同供应商，不得参加同一合同项下的政府采购活动。</w:t>
      </w:r>
      <w:r/>
    </w:p>
    <w:p>
      <w:pPr>
        <w:pStyle w:val="846"/>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2.凡为采购项目提供整体设计、规范编制或者项目管理、监理、检测等服务的供应商，不得再参加本项目的采购活动。</w:t>
      </w:r>
      <w:r/>
    </w:p>
    <w:p>
      <w:pPr>
        <w:pStyle w:val="846"/>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3.法人的分支机构不得参加投标（除银行、保险、石油石化、电力、电信等行业特殊情况外）。</w:t>
      </w:r>
      <w:r/>
    </w:p>
    <w:p>
      <w:pPr>
        <w:pStyle w:val="846"/>
        <w:ind w:firstLine="482"/>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pStyle w:val="846"/>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三、获取招标文件</w:t>
      </w:r>
      <w:r/>
    </w:p>
    <w:p>
      <w:pPr>
        <w:pStyle w:val="846"/>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时间：自本公告发布之日起5个工作日</w:t>
      </w:r>
      <w:r/>
    </w:p>
    <w:p>
      <w:pPr>
        <w:pStyle w:val="846"/>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地点：“苏采云”系统</w:t>
      </w:r>
      <w:r/>
    </w:p>
    <w:p>
      <w:pPr>
        <w:pStyle w:val="846"/>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方式：自行下载</w:t>
      </w:r>
      <w:r/>
    </w:p>
    <w:p>
      <w:pPr>
        <w:pStyle w:val="846"/>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售价：0.00元</w:t>
      </w:r>
      <w:r/>
    </w:p>
    <w:p>
      <w:pPr>
        <w:pStyle w:val="846"/>
        <w:ind w:firstLine="482"/>
        <w:spacing w:line="360" w:lineRule="auto"/>
        <w:rPr>
          <w:rFonts w:ascii="仿宋" w:hAnsi="仿宋" w:eastAsia="仿宋" w:cs="仿宋"/>
          <w:color w:val="auto"/>
          <w:highlight w:val="none"/>
        </w:rPr>
      </w:pPr>
      <w:r>
        <w:rPr>
          <w:rFonts w:hint="eastAsia" w:ascii="仿宋" w:hAnsi="仿宋" w:eastAsia="仿宋" w:cs="仿宋"/>
          <w:b/>
          <w:color w:val="auto"/>
          <w:sz w:val="24"/>
          <w:szCs w:val="24"/>
          <w:highlight w:val="none"/>
        </w:rPr>
        <w:t xml:space="preserve">四、提交投标文件截止时间、开标时间和地点</w:t>
      </w:r>
      <w:r/>
    </w:p>
    <w:p>
      <w:pPr>
        <w:pStyle w:val="846"/>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时间：2026-</w:t>
      </w:r>
      <w:r>
        <w:rPr>
          <w:rFonts w:hint="eastAsia" w:ascii="仿宋" w:hAnsi="仿宋" w:eastAsia="仿宋" w:cs="仿宋"/>
          <w:bCs/>
          <w:color w:val="auto"/>
          <w:sz w:val="24"/>
          <w:highlight w:val="none"/>
          <w:lang w:val="en-US" w:eastAsia="zh-CN"/>
        </w:rPr>
        <w:t xml:space="preserve">9</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eastAsia="zh-CN"/>
        </w:rPr>
        <w:t xml:space="preserve">11</w:t>
      </w:r>
      <w:r>
        <w:rPr>
          <w:rFonts w:hint="eastAsia" w:ascii="仿宋" w:hAnsi="仿宋" w:eastAsia="仿宋" w:cs="仿宋"/>
          <w:bCs/>
          <w:color w:val="auto"/>
          <w:sz w:val="24"/>
          <w:highlight w:val="none"/>
        </w:rPr>
        <w:t xml:space="preserve">  09:30 （北京时间）</w:t>
      </w:r>
      <w:r/>
    </w:p>
    <w:p>
      <w:pPr>
        <w:pStyle w:val="846"/>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地点：“苏采云”系统</w:t>
      </w:r>
      <w:r/>
    </w:p>
    <w:p>
      <w:pPr>
        <w:pStyle w:val="846"/>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五、公告期限</w:t>
      </w:r>
      <w:r/>
    </w:p>
    <w:p>
      <w:pPr>
        <w:pStyle w:val="846"/>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自本公告发布之日起5个工作日。</w:t>
      </w:r>
      <w:r/>
    </w:p>
    <w:p>
      <w:pPr>
        <w:pStyle w:val="846"/>
        <w:ind w:firstLine="48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六、其他补充事宜：</w:t>
      </w:r>
      <w:r/>
    </w:p>
    <w:p>
      <w:pPr>
        <w:ind w:firstLine="480"/>
        <w:jc w:val="left"/>
        <w:spacing w:line="360" w:lineRule="auto"/>
        <w:shd w:val="clear" w:color="auto" w:fill="ffff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shd w:val="clear" w:color="auto" w:fill="ffffff"/>
        <w:rPr>
          <w:rFonts w:ascii="仿宋" w:hAnsi="仿宋" w:eastAsia="仿宋" w:cs="仿宋"/>
          <w:color w:val="auto"/>
          <w:sz w:val="24"/>
          <w:szCs w:val="24"/>
          <w:highlight w:val="none"/>
        </w:rPr>
      </w:pPr>
      <w:r>
        <w:rPr>
          <w:rStyle w:val="888"/>
          <w:rFonts w:hint="eastAsia" w:ascii="仿宋" w:hAnsi="仿宋" w:eastAsia="仿宋" w:cs="仿宋"/>
          <w:color w:val="auto"/>
          <w:sz w:val="24"/>
          <w:szCs w:val="24"/>
          <w:highlight w:val="none"/>
          <w:shd w:val="clear" w:color="auto" w:fill="ffffff"/>
          <w:lang w:bidi="ar"/>
        </w:rPr>
        <w:t xml:space="preserve">2.本项目采用不见面开标，投标人开标时无需到开标现场进行解密，采取网上开标大厅解密电子投标文件，投标人远程解密要求如下：</w:t>
      </w:r>
      <w:r/>
    </w:p>
    <w:p>
      <w:pPr>
        <w:ind w:firstLine="480"/>
        <w:jc w:val="left"/>
        <w:spacing w:line="360" w:lineRule="auto"/>
        <w:shd w:val="clear" w:color="auto" w:fill="ffff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shd w:val="clear" w:color="auto" w:fill="ffff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bidi="ar"/>
        </w:rPr>
        <w:t xml:space="preserve">2）投标人登录苏采云系统，点击开标大厅，选择开标项目，完成不见面开标流程。</w:t>
      </w:r>
      <w:r/>
    </w:p>
    <w:p>
      <w:pPr>
        <w:ind w:firstLine="480"/>
        <w:jc w:val="left"/>
        <w:spacing w:line="360" w:lineRule="auto"/>
        <w:shd w:val="clear" w:color="auto" w:fill="ffff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bidi="ar"/>
        </w:rPr>
        <w:t xml:space="preserve">3）投标截止时间后根据系统提示解密电子投标文件。</w:t>
      </w:r>
      <w:r>
        <w:rPr>
          <w:rStyle w:val="888"/>
          <w:rFonts w:hint="eastAsia" w:ascii="仿宋" w:hAnsi="仿宋" w:eastAsia="仿宋" w:cs="仿宋"/>
          <w:color w:val="auto"/>
          <w:sz w:val="24"/>
          <w:szCs w:val="24"/>
          <w:highlight w:val="none"/>
          <w:shd w:val="clear" w:color="auto" w:fill="ffffff"/>
          <w:lang w:bidi="ar"/>
        </w:rPr>
        <w:t xml:space="preserve">解密时间为15分钟，</w:t>
      </w:r>
      <w:r>
        <w:rPr>
          <w:rFonts w:hint="eastAsia" w:ascii="仿宋" w:hAnsi="仿宋" w:eastAsia="仿宋" w:cs="仿宋"/>
          <w:color w:val="auto"/>
          <w:sz w:val="24"/>
          <w:szCs w:val="24"/>
          <w:highlight w:val="none"/>
          <w:shd w:val="clear" w:color="auto" w:fill="ffffff"/>
          <w:lang w:bidi="ar"/>
        </w:rPr>
        <w:t xml:space="preserve">未在规定时间内完成解密，其投标文件将被拒绝，不参与后续投标流程。</w:t>
      </w:r>
      <w:r/>
    </w:p>
    <w:p>
      <w:pPr>
        <w:ind w:firstLine="480"/>
        <w:jc w:val="left"/>
        <w:spacing w:line="360" w:lineRule="auto"/>
        <w:shd w:val="clear" w:color="auto" w:fill="ffff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shd w:val="clear" w:color="auto" w:fill="ffff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bidi="ar"/>
        </w:rPr>
        <w:t xml:space="preserve">3.</w:t>
      </w:r>
      <w:r>
        <w:rPr>
          <w:rStyle w:val="888"/>
          <w:rFonts w:hint="eastAsia" w:ascii="仿宋" w:hAnsi="仿宋" w:eastAsia="仿宋" w:cs="仿宋"/>
          <w:color w:val="auto"/>
          <w:sz w:val="24"/>
          <w:szCs w:val="24"/>
          <w:highlight w:val="none"/>
          <w:shd w:val="clear" w:color="auto" w:fill="ffffff"/>
          <w:lang w:bidi="ar"/>
        </w:rPr>
        <w:t xml:space="preserve">有关苏采云系统驱动安装，</w:t>
      </w:r>
      <w:r>
        <w:rPr>
          <w:rFonts w:hint="eastAsia" w:ascii="仿宋" w:hAnsi="仿宋" w:eastAsia="仿宋" w:cs="仿宋"/>
          <w:color w:val="auto"/>
          <w:sz w:val="24"/>
          <w:szCs w:val="24"/>
          <w:highlight w:val="none"/>
          <w:shd w:val="clear" w:color="auto" w:fill="ffffff"/>
          <w:lang w:bidi="ar"/>
        </w:rPr>
        <w:t xml:space="preserve">登录苏州政府采购网，点击页面底部苏采云图标，进入苏采云政府采购一体化平台，点击“驱动下载”，下载</w:t>
      </w:r>
      <w:r>
        <w:rPr>
          <w:rStyle w:val="888"/>
          <w:rFonts w:hint="eastAsia" w:ascii="仿宋" w:hAnsi="仿宋" w:eastAsia="仿宋" w:cs="仿宋"/>
          <w:color w:val="auto"/>
          <w:sz w:val="24"/>
          <w:szCs w:val="24"/>
          <w:highlight w:val="none"/>
          <w:shd w:val="clear" w:color="auto" w:fill="ffffff"/>
          <w:lang w:bidi="ar"/>
        </w:rPr>
        <w:t xml:space="preserve">“政务CA、方正签章控件驱动安装包及安装说明”</w:t>
      </w:r>
      <w:r>
        <w:rPr>
          <w:rFonts w:hint="eastAsia" w:ascii="仿宋" w:hAnsi="仿宋" w:eastAsia="仿宋" w:cs="仿宋"/>
          <w:color w:val="auto"/>
          <w:sz w:val="24"/>
          <w:szCs w:val="24"/>
          <w:highlight w:val="none"/>
          <w:shd w:val="clear" w:color="auto" w:fill="ffffff"/>
          <w:lang w:bidi="ar"/>
        </w:rPr>
        <w:t xml:space="preserve">文件，按要求安装驱动。</w:t>
      </w:r>
      <w:r/>
    </w:p>
    <w:p>
      <w:pPr>
        <w:ind w:firstLine="480"/>
        <w:jc w:val="left"/>
        <w:spacing w:line="360" w:lineRule="auto"/>
        <w:shd w:val="clear" w:color="auto" w:fill="ffff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bidi="ar"/>
        </w:rPr>
        <w:t xml:space="preserve">4.</w:t>
      </w:r>
      <w:r>
        <w:rPr>
          <w:rStyle w:val="888"/>
          <w:rFonts w:hint="eastAsia" w:ascii="仿宋" w:hAnsi="仿宋" w:eastAsia="仿宋" w:cs="仿宋"/>
          <w:color w:val="auto"/>
          <w:sz w:val="24"/>
          <w:szCs w:val="24"/>
          <w:highlight w:val="none"/>
          <w:shd w:val="clear" w:color="auto" w:fill="ffffff"/>
          <w:lang w:bidi="ar"/>
        </w:rPr>
        <w:t xml:space="preserve">有关供应商注册、报名、下载电子招标文件、制作上传电子投标文件</w:t>
      </w:r>
      <w:r>
        <w:rPr>
          <w:rFonts w:hint="eastAsia" w:ascii="仿宋" w:hAnsi="仿宋" w:eastAsia="仿宋" w:cs="仿宋"/>
          <w:color w:val="auto"/>
          <w:sz w:val="24"/>
          <w:szCs w:val="24"/>
          <w:highlight w:val="none"/>
          <w:shd w:val="clear" w:color="auto" w:fill="ffffff"/>
          <w:lang w:bidi="ar"/>
        </w:rPr>
        <w:t xml:space="preserve">、不见面开标及其他注意事项登录苏州政府采购网，在“下载中心”栏目下载“</w:t>
      </w:r>
      <w:r>
        <w:rPr>
          <w:rStyle w:val="888"/>
          <w:rFonts w:hint="eastAsia" w:ascii="仿宋" w:hAnsi="仿宋" w:eastAsia="仿宋" w:cs="仿宋"/>
          <w:color w:val="auto"/>
          <w:sz w:val="24"/>
          <w:szCs w:val="24"/>
          <w:highlight w:val="none"/>
          <w:shd w:val="clear" w:color="auto" w:fill="ffffff"/>
          <w:lang w:bidi="ar"/>
        </w:rPr>
        <w:t xml:space="preserve">苏采云系统供应商操作手册”</w:t>
      </w:r>
      <w:r>
        <w:rPr>
          <w:rFonts w:hint="eastAsia" w:ascii="仿宋" w:hAnsi="仿宋" w:eastAsia="仿宋" w:cs="仿宋"/>
          <w:color w:val="auto"/>
          <w:sz w:val="24"/>
          <w:szCs w:val="24"/>
          <w:highlight w:val="none"/>
          <w:shd w:val="clear" w:color="auto" w:fill="ffffff"/>
          <w:lang w:bidi="ar"/>
        </w:rPr>
        <w:t xml:space="preserve">查阅。</w:t>
      </w:r>
      <w:r/>
    </w:p>
    <w:p>
      <w:pPr>
        <w:ind w:firstLine="482"/>
        <w:jc w:val="left"/>
        <w:spacing w:line="360" w:lineRule="auto"/>
        <w:shd w:val="clear" w:color="auto" w:fill="ffffff"/>
        <w:rPr>
          <w:rStyle w:val="888"/>
          <w:rFonts w:ascii="仿宋" w:hAnsi="仿宋" w:eastAsia="仿宋" w:cs="仿宋"/>
          <w:color w:val="auto"/>
          <w:sz w:val="24"/>
          <w:szCs w:val="24"/>
          <w:highlight w:val="none"/>
          <w:shd w:val="clear" w:color="auto" w:fill="ffffff"/>
          <w:lang w:bidi="ar"/>
        </w:rPr>
      </w:pPr>
      <w:r>
        <w:rPr>
          <w:rStyle w:val="888"/>
          <w:rFonts w:hint="eastAsia" w:ascii="仿宋" w:hAnsi="仿宋" w:eastAsia="仿宋" w:cs="仿宋"/>
          <w:color w:val="auto"/>
          <w:sz w:val="24"/>
          <w:szCs w:val="24"/>
          <w:highlight w:val="none"/>
          <w:shd w:val="clear" w:color="auto" w:fill="ffffff"/>
          <w:lang w:bidi="ar"/>
        </w:rPr>
        <w:t xml:space="preserve">5.有关办理CA数字申领及电子签章事项，登录苏州政府采购网，点击页面底部苏采云图标，进入苏采云政府采购一体化平台，下载“新CA办理指南”文件查阅。</w:t>
      </w:r>
      <w:r/>
    </w:p>
    <w:p>
      <w:pPr>
        <w:ind w:firstLine="480"/>
        <w:jc w:val="left"/>
        <w:spacing w:line="360" w:lineRule="auto"/>
        <w:shd w:val="clear" w:color="auto" w:fill="ffff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bidi="ar"/>
        </w:rPr>
        <w:t xml:space="preserve">6.有关电子投标制作技术疑问，请咨询苏采云软件公司客服：18261002950、0512-69820854、0519-86722802</w:t>
      </w:r>
      <w:r/>
    </w:p>
    <w:p>
      <w:pPr>
        <w:ind w:firstLine="480"/>
        <w:jc w:val="left"/>
        <w:spacing w:line="360" w:lineRule="auto"/>
        <w:shd w:val="clear" w:color="auto" w:fill="ffff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bidi="ar"/>
        </w:rPr>
        <w:t xml:space="preserve">7.政府采购监督电话：0512-53512539</w:t>
      </w:r>
      <w:r/>
    </w:p>
    <w:p>
      <w:pPr>
        <w:ind w:firstLine="480"/>
        <w:jc w:val="left"/>
        <w:spacing w:line="360" w:lineRule="auto"/>
        <w:shd w:val="clear" w:color="auto" w:fill="ffff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bidi="ar"/>
        </w:rPr>
        <w:t xml:space="preserve">8.投标保证金：本项目无需缴纳投标保证金。</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9.履约保证金：合同金额的3%。</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10.政府采购履约资金扶持政策：中标供应商可凭政府采购合同办理融资贷款，详情请见江苏政府采购网‘政采贷’专栏。</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代理服务费：代理服务费由采购人承担。代理服务费按预算金额100万元以内1.5%、100万～500万元1.1%、500万～1000万元0.8%、1000万～5000万元0.5%差额定率累进法计算，当单项项目代理服务收费不足3000元的按3000元计算。采购人在代理机构交付招标归档资料后30个工作日内一次性付清，本项目代理服务费24900元。</w:t>
      </w:r>
      <w:r/>
    </w:p>
    <w:p>
      <w:pPr>
        <w:pStyle w:val="846"/>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highlight w:val="none"/>
        </w:rPr>
        <w:t xml:space="preserve">七、对本次招标提出询问，请按以下方式联系</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70"/>
        <w:spacing w:line="360" w:lineRule="auto"/>
        <w:rPr>
          <w:rFonts w:ascii="仿宋" w:hAnsi="仿宋" w:eastAsia="仿宋" w:cs="仿宋"/>
          <w:color w:val="auto"/>
          <w:sz w:val="24"/>
          <w:szCs w:val="24"/>
          <w:highlight w:val="none"/>
        </w:rPr>
      </w:pPr>
      <w:r/>
      <w:bookmarkStart w:id="8" w:name="_Hlk69823300"/>
      <w:r>
        <w:rPr>
          <w:rFonts w:hint="eastAsia" w:ascii="仿宋" w:hAnsi="仿宋" w:eastAsia="仿宋" w:cs="仿宋"/>
          <w:color w:val="auto"/>
          <w:sz w:val="24"/>
          <w:szCs w:val="24"/>
          <w:highlight w:val="none"/>
        </w:rPr>
        <w:t xml:space="preserve">名称：</w:t>
      </w:r>
      <w:bookmarkEnd w:id="8"/>
      <w:r>
        <w:rPr>
          <w:rFonts w:hint="eastAsia" w:ascii="仿宋" w:hAnsi="仿宋" w:eastAsia="仿宋" w:cs="仿宋"/>
          <w:color w:val="auto"/>
          <w:sz w:val="24"/>
          <w:szCs w:val="24"/>
          <w:highlight w:val="none"/>
        </w:rPr>
        <w:t xml:space="preserve">太仓市第二中学</w:t>
      </w:r>
      <w:r/>
    </w:p>
    <w:p>
      <w:pPr>
        <w:pStyle w:val="846"/>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地址：太仓市城厢镇长春南路209号</w:t>
      </w:r>
      <w:r/>
    </w:p>
    <w:p>
      <w:pPr>
        <w:pStyle w:val="846"/>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联系方式：吴江波 13806241539</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名称：苏州乐鑫诚项目管理有限公司</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地址：太仓市北京东路77号中德大厦B座9楼</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联系方式：15162590330</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项目联系人：樊爽</w:t>
      </w:r>
      <w:r/>
    </w:p>
    <w:p>
      <w:pPr>
        <w:ind w:firstLine="47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电话：15162590330</w:t>
      </w:r>
      <w:bookmarkEnd w:id="4"/>
      <w:r/>
      <w:bookmarkEnd w:id="5"/>
      <w:r/>
      <w:bookmarkEnd w:id="6"/>
      <w:r/>
      <w:bookmarkEnd w:id="7"/>
      <w:r/>
      <w:r/>
    </w:p>
    <w:p>
      <w:pPr>
        <w:pStyle w:val="846"/>
        <w:jc w:val="left"/>
        <w:spacing w:line="480" w:lineRule="auto"/>
        <w:rPr>
          <w:rFonts w:ascii="宋体" w:hAnsi="宋体"/>
          <w:b/>
          <w:color w:val="auto"/>
          <w:sz w:val="44"/>
          <w:szCs w:val="44"/>
          <w:highlight w:val="none"/>
        </w:rPr>
      </w:pPr>
      <w:r/>
      <w:bookmarkStart w:id="9" w:name="_Toc158691767"/>
      <w:r/>
      <w:bookmarkStart w:id="10" w:name="_Toc467507030"/>
      <w:r/>
      <w:bookmarkStart w:id="11" w:name="_Toc315868051"/>
      <w:r/>
      <w:bookmarkStart w:id="12" w:name="_Toc315875314"/>
      <w:r>
        <w:rPr>
          <w:rFonts w:hAnsi="宋体"/>
          <w:b/>
          <w:color w:val="auto"/>
          <w:sz w:val="44"/>
          <w:szCs w:val="44"/>
          <w:highlight w:val="none"/>
        </w:rPr>
        <w:br w:type="page" w:clear="all"/>
      </w:r>
      <w:r/>
    </w:p>
    <w:p>
      <w:pPr>
        <w:pStyle w:val="847"/>
        <w:ind w:firstLine="0"/>
        <w:jc w:val="center"/>
        <w:rPr>
          <w:rFonts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第二部分  投标人须知</w:t>
      </w:r>
      <w:bookmarkEnd w:id="9"/>
      <w:r/>
      <w:bookmarkEnd w:id="10"/>
      <w:r/>
      <w:bookmarkEnd w:id="11"/>
      <w:r/>
      <w:bookmarkEnd w:id="12"/>
      <w:r/>
      <w:r/>
    </w:p>
    <w:p>
      <w:pPr>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一、说明和释义</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 说明</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1.1本招标文件仅适用于苏州乐鑫诚项目管理有限公司组织的招标活动。</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1.2本次招标活动及因本次招标产生的合同受中国法律制约和保护。</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1.3本招标文件的解释权属于苏州乐鑫诚项目管理有限公司。</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 词语释义</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2.1采购代理机构：具体组织实施招标活动的法人。本项目采购代理机构是苏州乐鑫诚项目管理有限公司。</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2.2投标人：经认定有资格响应招标，参加投标竞争的法人或其他组织和自然人。</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2.3响应：投标人根据采购人或采购代理机构发布的招标文件，编制投标文件并按规定投标的行为。</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2.5甲方（采购方）：合同中明确规定的实际购买货物和服务的法人或其他组织和自然人（采购人）</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2.6乙方（供应商）：合同中规定的向采购方提供货物和服务的法人或其他组织和自然人（中标人）</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2.7货物：系指乙方按招标采购文件规定，应向甲方提供的一切设备、备品、备件、工具、手册及其他有关技术资料和材料。</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2.9知识产权：指专利权、商标权、著作权等无形财产专有权的统称。</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2.10天：日历日。</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2.11交货地点：合同中明确约定的乙方提交的货物和服务最终到达地点。</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合同价款：根据合同规定，乙方在正确地履行合同义务后甲方应支付乙方的价款。</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 产地：货物开采、生长、生产、最终制造、加工或提供服务的来源地。</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2.14不可抗力：不能预见、不能避免并且不能克服的客观情况。</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 实质性响应：满足有关本次采购标的、数量、质量、价款或者报酬、履行期限、履行地点和方式、违约责任和解决争议方法等要求。</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2.17进口产品：指通过中国海关报关验收进入中国境内且产自境外的产品。本项目不接受进口产品投标。</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2.18书面形式：指书面文字、合同书、信件和传真等可以有形地表现所载内容的形式。</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 投标人</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 合格投标人的基本条件</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3.1符合《中华人民共和国政府采购法》第二十二条第一款之规定；</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3.2满足本文件实质性条款的规定。</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4．合格投标人的特定条件</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按招标公告规定。</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 投标人代表</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5.1指全权代表投标人参加投标活动并签署投标文件的人，如果投标人代表不是法人代表，须持有《法人代表授权委托书》（详见统一格式）。</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 联合投标</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本项目接受联合体投标，以联合体形式进行政府采购的，</w:t>
      </w:r>
      <w:r>
        <w:rPr>
          <w:rFonts w:hint="eastAsia" w:ascii="仿宋" w:hAnsi="仿宋" w:eastAsia="仿宋" w:cs="仿宋"/>
          <w:color w:val="auto"/>
          <w:sz w:val="24"/>
          <w:szCs w:val="24"/>
          <w:highlight w:val="none"/>
        </w:rPr>
        <w:t xml:space="preserve">参加联合体的供应商均应当具备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中华人民共和国政府采购法》</w:t>
      </w:r>
      <w:r>
        <w:rPr>
          <w:rFonts w:hint="eastAsia" w:ascii="仿宋" w:hAnsi="仿宋" w:eastAsia="仿宋" w:cs="仿宋"/>
          <w:color w:val="auto"/>
          <w:sz w:val="24"/>
          <w:szCs w:val="24"/>
          <w:highlight w:val="none"/>
        </w:rPr>
        <w:t xml:space="preserve">第二十二条规定的条件，并应当向采购人提交联合协议，载明联合体各方承担的工作和义务。</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 投标费用 </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7.1投标人应自行承担所有准备及参加投标的相关费用。不论投标结果如何，采购代理机构在任何情况下均无义务也无责任承担这些费用。</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三、招标文件说明</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 招标文件</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8.2招标文件及其更正文件不是直接从采购代理机构或指定媒体获得的，采购代理机构对招标文件及其补遗的真实性、完整性不承担任何责任。</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 招标文件的澄清</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9.1投标人在获取招标文件后，若有疑问，应于网上投标截止时间之前，向采购代理机构提出，采购代理机构将予以解答。</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9.2如有必要，问题答复将以“变更公告”形式由采购代理机构按照本须知第10条的规定发出。</w:t>
      </w:r>
      <w:r/>
    </w:p>
    <w:p>
      <w:pPr>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10.招标文件的修改</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10.1采购人无论出于自己的考虑，还是出于对投标人提问的澄清，均可对已发出的招标文件用</w:t>
      </w:r>
      <w:r>
        <w:rPr>
          <w:rFonts w:hint="eastAsia" w:ascii="仿宋" w:hAnsi="仿宋" w:eastAsia="仿宋" w:cs="仿宋"/>
          <w:color w:val="auto"/>
          <w:sz w:val="24"/>
          <w:szCs w:val="24"/>
          <w:highlight w:val="none"/>
          <w:lang w:val="zh-CN"/>
        </w:rPr>
        <w:t xml:space="preserve">补充文件的方式</w:t>
      </w:r>
      <w:r>
        <w:rPr>
          <w:rFonts w:hint="eastAsia" w:ascii="仿宋" w:hAnsi="仿宋" w:eastAsia="仿宋" w:cs="仿宋"/>
          <w:color w:val="auto"/>
          <w:sz w:val="24"/>
          <w:szCs w:val="24"/>
          <w:highlight w:val="none"/>
        </w:rPr>
        <w:t xml:space="preserve">进行必要澄清或者修改。</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10.3招标文件的更正（含澄清、修改等）内容与原招标文件在同一内容上表述不一致时，以发出日期最接近开标时间的公告为准。</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10.5招标文件若有最新的答疑文件，投标供应商必须下载并使用该文件制作新的电子投标文件，否则将无法完成电子投标文件的上传及投标。</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11.质疑</w:t>
      </w:r>
      <w:r/>
    </w:p>
    <w:p>
      <w:pPr>
        <w:ind w:firstLine="360"/>
        <w:spacing w:line="360" w:lineRule="auto"/>
        <w:tabs>
          <w:tab w:val="left" w:pos="851"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360" w:lineRule="auto"/>
        <w:tabs>
          <w:tab w:val="left" w:pos="851"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360" w:lineRule="auto"/>
        <w:tabs>
          <w:tab w:val="left" w:pos="851"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11.3上述应知其权益受到损害之日是指：</w:t>
      </w:r>
      <w:r/>
    </w:p>
    <w:p>
      <w:pPr>
        <w:ind w:firstLine="360"/>
        <w:spacing w:line="360" w:lineRule="auto"/>
        <w:tabs>
          <w:tab w:val="left" w:pos="851"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11.3.1对采购文件提出质疑的，为获取采购文件或者采购文件公告期限届满之日起计算；</w:t>
      </w:r>
      <w:r/>
    </w:p>
    <w:p>
      <w:pPr>
        <w:ind w:firstLine="360"/>
        <w:spacing w:line="360" w:lineRule="auto"/>
        <w:tabs>
          <w:tab w:val="left" w:pos="851"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11.3.2对采购过程提出质疑的，自采购程序环节结束之日起计算；</w:t>
      </w:r>
      <w:r/>
    </w:p>
    <w:p>
      <w:pPr>
        <w:ind w:firstLine="360"/>
        <w:spacing w:line="360" w:lineRule="auto"/>
        <w:tabs>
          <w:tab w:val="left" w:pos="851"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11.3.3对中标结果提出质疑的，自中标结果公告期限届满之日起计算。</w:t>
      </w:r>
      <w:r/>
    </w:p>
    <w:p>
      <w:pPr>
        <w:ind w:firstLine="360"/>
        <w:spacing w:line="360" w:lineRule="auto"/>
        <w:tabs>
          <w:tab w:val="left" w:pos="851"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供应商提出质疑应当提交质疑函和必要的证明材料。质疑函应当包括下列内容：</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11.4.1 供应商的姓名或者名称、地址、邮编、联系人及联系电话；</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11.4.2 质疑项目的名称、编号；</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11.4.3 具体、明确的质疑事项和与质疑事项相关的请求；</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11.4.4 事实依据；</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11.4.5 必要的法律依据；</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11.4.6 提出质疑的日期。</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11.5质疑函的格式和内容应当符合财政部《政府采购供应商质疑函范本》 </w:t>
      </w:r>
      <w:bookmarkStart w:id="13" w:name="baidusnap5"/>
      <w:r/>
      <w:bookmarkEnd w:id="13"/>
      <w:r>
        <w:rPr>
          <w:rFonts w:hint="eastAsia" w:ascii="仿宋" w:hAnsi="仿宋" w:eastAsia="仿宋" w:cs="仿宋"/>
          <w:color w:val="auto"/>
          <w:sz w:val="24"/>
          <w:szCs w:val="24"/>
          <w:highlight w:val="none"/>
        </w:rPr>
        <w:t xml:space="preserve">要求，质疑函范本在财政部官网上提供下载。</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 提交质疑函同时应当附如下证明材料：</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11.6.1对采购文件提出质疑的供应商提供参加本项目的“交易文件下载确认单”；</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11.6.2质疑供应商的营业执照扫描件加盖单位公章；</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11.6.3质疑供应商法定代表人身份证扫描件加盖单位公章；</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11.6.4质疑供应商若委托代理人进行质疑的，提供法人授权委托书及代理人身份证扫描件加盖单位公章，授权委托书应载明代理人的姓名或者名称、代理事项、具体权限、期限和相关事项。</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11.9 供应商如对本项目提出质疑须在法定质疑期内一次性提出针对同一采购程序环节的质疑。</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11.10接受质疑函联系方式见采购公告联系事项。</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 投标文件说明</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12.提示与要求</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12.2无论是否递交投标文件，投标人都应将招标文件及以后的所有通知、文件等视为保密文件。</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 投标文件计量单位和使用文字</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13.1投标文件中所使用的计量单位，除招标文件中有特殊要求外，均应使用中华人民共和国法定计量单位。</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 知识产权</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 投标文件的组成和顺序</w:t>
      </w:r>
      <w:r/>
    </w:p>
    <w:p>
      <w:pPr>
        <w:ind w:firstLine="12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15.1报价部分（详见投标文件格式）：</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15.1.1封面</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15.1.2《开标一览表》（统一格式）；</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15.1.3投标报价明细表；</w:t>
      </w:r>
      <w:r/>
    </w:p>
    <w:p>
      <w:pPr>
        <w:ind w:firstLine="12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15.2资质证明和技术部分</w:t>
      </w:r>
      <w:r/>
    </w:p>
    <w:p>
      <w:pPr>
        <w:ind w:firstLine="361"/>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15.2.1资质证明文件部分</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15.2.1.1投标函；</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15.2.1.2关于资格文件的声明函；</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15.2.1.3投标单位营业执照副本或三证合一营业执照扫描件；</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15.2.1.4投标人参加本次政府采购活动前的财务状况报告或者银行出具的资信证明；</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15.2.1.5投标人根据项目需求提供履行合同所必需的设备和专业技术能力的证明材料；</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15.2.1.6投标人参加本次政府采购活动前半年（至少一个月）依法缴纳税收和社会保障资金的证明材料；</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15.2.1.7投标人参加政府采购活动前三年在经营活动中没有重大违法记录的书面申明；</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15.2.1.8投标人证明其符合招标文件规定的投标人特定资格条件的证书、证明和文件材料；</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15.2.1.9投标人基本情况表；</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15.2.1.10投标人法定代表人身份证扫描件；</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15.2.1.11投标人法定代表人授权委托书原件（如有授权）；</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15.2.1.12投标人授权代理人身份证扫描件（如有授权）；</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15.2.1.13中小企业声明函；</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15.2.1.14残疾人福利性单位声明函（如有）；</w:t>
      </w:r>
      <w:r/>
    </w:p>
    <w:p>
      <w:pPr>
        <w:ind w:firstLine="36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15.2.1.15联合体投标协议书（如有）。</w:t>
      </w:r>
      <w:r/>
    </w:p>
    <w:p>
      <w:pPr>
        <w:ind w:firstLine="361"/>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15.2.2技术部分</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15.2.2.1技术要求偏离表；</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15.2.2.2商务要求偏离表；</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15.2.2.3项目的技术及服务方案；</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15.2.2.4类似项目业绩一览表及相关证明材料；</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15.2.2.5投入本项目技术（服务）人员一览表及相关证明材料；</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15.2.2.6招标文件及评分标准中要求提供的其他相关材料；</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15.2.2.7其他需投标人对本次投标的详细说明（投标人视各自的情况自行编制）。</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360" w:lineRule="auto"/>
        <w:rPr>
          <w:rFonts w:ascii="仿宋" w:hAnsi="仿宋" w:eastAsia="仿宋" w:cs="仿宋"/>
          <w:dstrike/>
          <w:color w:val="auto"/>
          <w:sz w:val="24"/>
          <w:szCs w:val="24"/>
          <w:highlight w:val="none"/>
        </w:rPr>
      </w:pPr>
      <w:r>
        <w:rPr>
          <w:rFonts w:hint="eastAsia" w:ascii="仿宋" w:hAnsi="仿宋" w:eastAsia="仿宋" w:cs="仿宋"/>
          <w:b/>
          <w:color w:val="auto"/>
          <w:sz w:val="24"/>
          <w:szCs w:val="24"/>
          <w:highlight w:val="none"/>
        </w:rPr>
        <w:t xml:space="preserve">15.3投标文件由15.1、15.2款规定的内容共同组成。</w:t>
      </w:r>
      <w:r/>
    </w:p>
    <w:p>
      <w:pPr>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 投标文件编制要求   </w:t>
      </w:r>
      <w:r/>
    </w:p>
    <w:p>
      <w:pPr>
        <w:ind w:firstLine="424"/>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16.1</w:t>
      </w:r>
      <w:r>
        <w:rPr>
          <w:rFonts w:hint="eastAsia" w:ascii="仿宋" w:hAnsi="仿宋" w:eastAsia="仿宋" w:cs="仿宋"/>
          <w:b/>
          <w:color w:val="auto"/>
          <w:sz w:val="24"/>
          <w:highlight w:val="none"/>
        </w:rPr>
        <w:t xml:space="preserve">电子投标文件编制要求：</w:t>
      </w:r>
      <w:r>
        <w:rPr>
          <w:rFonts w:hint="eastAsia" w:ascii="仿宋" w:hAnsi="仿宋" w:eastAsia="仿宋" w:cs="仿宋"/>
          <w:color w:val="auto"/>
          <w:sz w:val="24"/>
          <w:highlight w:val="none"/>
        </w:rPr>
        <w:t xml:space="preserve">投标人应使用</w:t>
      </w:r>
      <w:r>
        <w:rPr>
          <w:rFonts w:hint="eastAsia" w:ascii="仿宋" w:hAnsi="仿宋" w:eastAsia="仿宋" w:cs="仿宋"/>
          <w:b/>
          <w:color w:val="auto"/>
          <w:sz w:val="24"/>
          <w:highlight w:val="none"/>
        </w:rPr>
        <w:t xml:space="preserve">招标文件要求的投标文件制作软件制作电子投标文件</w:t>
      </w:r>
      <w:r>
        <w:rPr>
          <w:rFonts w:hint="eastAsia" w:ascii="仿宋" w:hAnsi="仿宋" w:eastAsia="仿宋" w:cs="仿宋"/>
          <w:color w:val="auto"/>
          <w:sz w:val="24"/>
          <w:highlight w:val="none"/>
        </w:rPr>
        <w:t xml:space="preserve">，电子投标文件按招标文件规定的格式制作，如果未按要求制作上传，可能导致投标无效。</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 投标报价（编制）要求的说明</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 一项投标内容只允许一个报价，采购代理机构不接受任何有选择性的投标报价。</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17.4投标文件报价中的单价和总价全部采用人民币表示，除非合同的特殊条款另有规定。</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17.5最低的投标报价或最高的折扣比例是中标的重要条件，但不是中标的唯一条件。</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 投标保证金</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 投标文件的有效期</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19.1在本招标文件规定的开标之日起六十（60）天内，投标人所提交的投标文件应保持有效。</w:t>
      </w:r>
      <w:r>
        <w:rPr>
          <w:rFonts w:hint="eastAsia" w:ascii="仿宋" w:hAnsi="仿宋" w:eastAsia="仿宋" w:cs="仿宋"/>
          <w:b/>
          <w:color w:val="auto"/>
          <w:sz w:val="24"/>
          <w:szCs w:val="24"/>
          <w:highlight w:val="none"/>
        </w:rPr>
        <w:t xml:space="preserve">有效期短于这个规定期限的投标文件，将被认定为未实质性响应招标文件要求。</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 投标文件的提交、撤回和修改</w:t>
      </w:r>
      <w:r/>
    </w:p>
    <w:p>
      <w:pPr>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20. 投标文件的上传、提交</w:t>
      </w:r>
      <w:r/>
    </w:p>
    <w:p>
      <w:pPr>
        <w:spacing w:line="360" w:lineRule="auto"/>
        <w:tabs>
          <w:tab w:val="left" w:pos="426" w:leader="none"/>
        </w:tabs>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b/>
          <w:color w:val="auto"/>
          <w:sz w:val="24"/>
          <w:szCs w:val="24"/>
          <w:highlight w:val="none"/>
        </w:rPr>
        <w:t xml:space="preserve">1投标人应将制作好的加密电子投标文件按要求在投标截止时间前上传到交易系统平台中。</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 投标截止时间</w:t>
      </w:r>
      <w:r/>
    </w:p>
    <w:p>
      <w:pPr>
        <w:spacing w:line="360" w:lineRule="auto"/>
        <w:tabs>
          <w:tab w:val="left" w:pos="284" w:leader="none"/>
        </w:tabs>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21.1</w:t>
      </w:r>
      <w:r>
        <w:rPr>
          <w:rFonts w:hint="eastAsia" w:ascii="仿宋" w:hAnsi="仿宋" w:eastAsia="仿宋" w:cs="仿宋"/>
          <w:b/>
          <w:color w:val="auto"/>
          <w:sz w:val="24"/>
          <w:szCs w:val="24"/>
          <w:highlight w:val="none"/>
        </w:rPr>
        <w:t xml:space="preserve">电子投标文件必须按招标公告中规定的网上投标截止时间前提交</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否则投标无效</w:t>
      </w:r>
      <w:r>
        <w:rPr>
          <w:rFonts w:hint="eastAsia" w:ascii="仿宋" w:hAnsi="仿宋" w:eastAsia="仿宋" w:cs="仿宋"/>
          <w:color w:val="auto"/>
          <w:sz w:val="24"/>
          <w:szCs w:val="24"/>
          <w:highlight w:val="none"/>
        </w:rPr>
        <w:t xml:space="preserve">。</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21.3在投标截止时间止，采购代理机构于本项目（或标段）收到的电子投标文件少于三份的，采购代理机构有权宣布本项目（或标段）招标失败。</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 投标文件的修改和撤回</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22.1投标人在提交投标文件截止时间前，可对其投标文件进行撤回或修改。</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23.2开标后投标人不得撤回投标。</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六、开标和评标</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 开标</w:t>
      </w:r>
      <w:r/>
    </w:p>
    <w:p>
      <w:pPr>
        <w:ind w:firstLine="36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23.1采购代理机构按采购公告规定的时间、地点主持不见面开标活动。开标仪式由采购代理机构、采购人等主持。</w:t>
      </w:r>
      <w:r/>
    </w:p>
    <w:p>
      <w:pPr>
        <w:ind w:firstLine="363"/>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23.2</w:t>
      </w:r>
      <w:r>
        <w:rPr>
          <w:rFonts w:hint="eastAsia" w:ascii="仿宋" w:hAnsi="仿宋" w:eastAsia="仿宋" w:cs="仿宋"/>
          <w:b/>
          <w:color w:val="auto"/>
          <w:sz w:val="24"/>
          <w:highlight w:val="none"/>
        </w:rPr>
        <w:t xml:space="preserve">参加开标的投标法定代表人或授权代理人须在项目开标前登录苏采云不见面开标系统，进入网上不见面开标大厅，做好相关准备工作。</w:t>
      </w:r>
      <w:r/>
    </w:p>
    <w:p>
      <w:pPr>
        <w:ind w:firstLine="363"/>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23.3</w:t>
      </w:r>
      <w:r>
        <w:rPr>
          <w:rFonts w:hint="eastAsia" w:ascii="仿宋" w:hAnsi="仿宋" w:eastAsia="仿宋" w:cs="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63"/>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23.4采购代理机构在开标仪式上，将公布投标人的名称、投标价格，并将作唱标记录。</w:t>
      </w:r>
      <w:r/>
    </w:p>
    <w:p>
      <w:pPr>
        <w:ind w:firstLine="363"/>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23.5投标人代表对开标过程和开标记录有疑义，以及认为采购人、采购代理机构相关工</w:t>
      </w:r>
      <w:r>
        <w:rPr>
          <w:rFonts w:hint="eastAsia" w:ascii="仿宋" w:hAnsi="仿宋" w:eastAsia="仿宋" w:cs="仿宋"/>
          <w:color w:val="auto"/>
          <w:sz w:val="24"/>
          <w:highlight w:val="none"/>
        </w:rPr>
        <w:t xml:space="preserve">作人员有需要回避的情形的，</w:t>
      </w:r>
      <w:r>
        <w:rPr>
          <w:rFonts w:hint="eastAsia" w:ascii="仿宋" w:hAnsi="仿宋" w:eastAsia="仿宋" w:cs="仿宋"/>
          <w:b/>
          <w:color w:val="auto"/>
          <w:sz w:val="24"/>
          <w:highlight w:val="none"/>
        </w:rPr>
        <w:t xml:space="preserve">应通过不见面开标大厅提出</w:t>
      </w:r>
      <w:r>
        <w:rPr>
          <w:rFonts w:hint="eastAsia" w:ascii="仿宋" w:hAnsi="仿宋" w:eastAsia="仿宋" w:cs="仿宋"/>
          <w:color w:val="auto"/>
          <w:sz w:val="24"/>
          <w:highlight w:val="none"/>
        </w:rPr>
        <w:t xml:space="preserve">询问或者回避申请。采购人、采购代理机构对投标人代表提出的询问或者回避申请应当及时处理。</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 评标委员会</w:t>
      </w:r>
      <w:r>
        <w:rPr>
          <w:rFonts w:hint="eastAsia" w:ascii="仿宋" w:hAnsi="仿宋" w:eastAsia="仿宋" w:cs="仿宋"/>
          <w:b/>
          <w:color w:val="auto"/>
          <w:sz w:val="24"/>
          <w:szCs w:val="24"/>
          <w:highlight w:val="none"/>
        </w:rPr>
        <w:tab/>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24.1评标委员会由采购人或委托采购代理机构依法组建，负责本项目的评标事务。</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24.2评标委员会独立履行下列职责：</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24.2.1审查投标文件是否符合招标文件的要求，并作出评价；</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24.2.2可以要求投标供应商对投标文件有关事项作出解释或澄清；</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24.2.3推荐中标候选供应商名单，或者受采购人委托按照事先确定的办法直接确定中标供应商；</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24.2.4向采购代理机构或者有关部门报告非法干预评标工作的行为；</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24.3评标委员会成员应当履行下列义务：</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24.3.1遵纪守法，客观、公正、廉洁地履行职责；</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24.3.2按照招标文件规定的评标办法和评标标准进行评标，对评审意见承担个人责任；</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24.3.3对评标过程和结果，以及投标人的商业秘密保密；</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24.3.4参与评标报告的起草；</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24.3.5配合采购代理机构答复投标供应商提出的质疑；</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24.3.6配合相关部门的投诉处理工作；</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 评标内容的保密</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25.3在评标期间，采购代理机构将通过指定联络人与投标人进行联系。</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26.对投标文件初审</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26.1投标文件初审分为资格性检查和符合性检查。</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 </w:t>
      </w:r>
      <w:r>
        <w:rPr>
          <w:rFonts w:hint="eastAsia" w:ascii="仿宋" w:hAnsi="仿宋" w:eastAsia="仿宋" w:cs="仿宋"/>
          <w:color w:val="auto"/>
          <w:sz w:val="24"/>
          <w:szCs w:val="24"/>
          <w:highlight w:val="none"/>
          <w:lang w:val="zh-CN"/>
        </w:rPr>
        <w:t xml:space="preserve">关于信用记录查询：</w:t>
      </w:r>
      <w:r/>
    </w:p>
    <w:p>
      <w:pPr>
        <w:ind w:firstLine="505"/>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26.1.2.1</w:t>
      </w:r>
      <w:r>
        <w:rPr>
          <w:rFonts w:hint="eastAsia" w:ascii="仿宋" w:hAnsi="仿宋" w:eastAsia="仿宋" w:cs="仿宋"/>
          <w:color w:val="auto"/>
          <w:sz w:val="24"/>
          <w:szCs w:val="24"/>
          <w:highlight w:val="none"/>
          <w:lang w:val="zh-CN"/>
        </w:rPr>
        <w:t xml:space="preserve">查询时间：</w:t>
      </w:r>
      <w:r>
        <w:rPr>
          <w:rFonts w:hint="eastAsia" w:ascii="仿宋" w:hAnsi="仿宋" w:eastAsia="仿宋" w:cs="仿宋"/>
          <w:color w:val="auto"/>
          <w:sz w:val="24"/>
          <w:highlight w:val="none"/>
        </w:rPr>
        <w:t xml:space="preserve">评标开始前</w:t>
      </w:r>
      <w:r>
        <w:rPr>
          <w:rFonts w:hint="eastAsia" w:ascii="仿宋" w:hAnsi="仿宋" w:eastAsia="仿宋" w:cs="仿宋"/>
          <w:color w:val="auto"/>
          <w:sz w:val="24"/>
          <w:szCs w:val="24"/>
          <w:highlight w:val="none"/>
          <w:lang w:val="zh-CN"/>
        </w:rPr>
        <w:t xml:space="preserve">。</w:t>
      </w:r>
      <w:r/>
    </w:p>
    <w:p>
      <w:pPr>
        <w:ind w:firstLine="360"/>
        <w:spacing w:line="360" w:lineRule="auto"/>
        <w:rPr>
          <w:rFonts w:ascii="仿宋" w:hAnsi="仿宋" w:eastAsia="仿宋" w:cs="仿宋"/>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26.1.2.2</w:t>
      </w:r>
      <w:r>
        <w:rPr>
          <w:rFonts w:hint="eastAsia" w:ascii="仿宋" w:hAnsi="仿宋" w:eastAsia="仿宋" w:cs="仿宋"/>
          <w:color w:val="auto"/>
          <w:sz w:val="24"/>
          <w:szCs w:val="24"/>
          <w:highlight w:val="none"/>
          <w:lang w:val="zh-CN"/>
        </w:rPr>
        <w:t xml:space="preserve">查询渠道：</w:t>
      </w:r>
      <w:r>
        <w:rPr>
          <w:rFonts w:hint="eastAsia" w:ascii="仿宋" w:hAnsi="仿宋" w:eastAsia="仿宋" w:cs="仿宋"/>
          <w:color w:val="auto"/>
          <w:sz w:val="24"/>
          <w:highlight w:val="none"/>
        </w:rPr>
        <w:t xml:space="preserve">信用中国。</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26.1.2.3</w:t>
      </w:r>
      <w:r>
        <w:rPr>
          <w:rFonts w:hint="eastAsia" w:ascii="仿宋" w:hAnsi="仿宋" w:eastAsia="仿宋" w:cs="仿宋"/>
          <w:color w:val="auto"/>
          <w:sz w:val="24"/>
          <w:szCs w:val="24"/>
          <w:highlight w:val="none"/>
          <w:lang w:val="zh-CN"/>
        </w:rPr>
        <w:t xml:space="preserve">查询证据留存方式：采购代理机构工作人员登录来源网站页面进行复核并打印，作为证据留存。</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26.1.2.4</w:t>
      </w:r>
      <w:r>
        <w:rPr>
          <w:rFonts w:hint="eastAsia" w:ascii="仿宋" w:hAnsi="仿宋" w:eastAsia="仿宋" w:cs="仿宋"/>
          <w:color w:val="auto"/>
          <w:sz w:val="24"/>
          <w:szCs w:val="24"/>
          <w:highlight w:val="none"/>
          <w:lang w:val="zh-CN"/>
        </w:rPr>
        <w:t xml:space="preserve">信用记录使用规则：评审小组在对供应商进行资格性审查时，应根据查询结果对供应商的不良信用记录逐项甄别确认。</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26.2.1 不同投标人的投标文件由同一单位或者个人编制；</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26.2.2不同投</w:t>
      </w:r>
      <w:r>
        <w:rPr>
          <w:rFonts w:hint="eastAsia" w:ascii="仿宋" w:hAnsi="仿宋" w:eastAsia="仿宋" w:cs="仿宋"/>
          <w:color w:val="auto"/>
          <w:sz w:val="24"/>
          <w:szCs w:val="24"/>
          <w:highlight w:val="none"/>
        </w:rPr>
        <w:t xml:space="preserve">标人委托同一单位或者个人办理投标事宜；</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26.2.3不同投标人的投标文件载明的项目管理成员或者联系人员为同一人；</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26.2.4不同投标人的投标文件异常一致或者投标报价呈规律性差异；</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26.2.5不同投标人的投标文件相互混装；</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26.3在详细评标之前，</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26.5</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将对确定为实质性响应的投标进行审核，看其是否有计算上或累加上的算术错误，修正错误的原则如下：</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26.6.1投标文件中开标一览表（报价表）内容与投标文件中相应内容不一致的，以开标一览表（报价表）为准；</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26.6.2大写金额和小写金额不一致的，以大写金额为准；</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26.6.3单价金额小数点或者百分比有明显错位的，以开标一览表的总价为准，并修改单价；</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26.6.4总价金额与按单价汇总金额不一致的，以单价金额计算结果为准。</w:t>
      </w:r>
      <w:r/>
    </w:p>
    <w:p>
      <w:pPr>
        <w:ind w:firstLine="36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482"/>
        <w:jc w:val="left"/>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p>
    <w:p>
      <w:pPr>
        <w:ind w:firstLine="482"/>
        <w:jc w:val="left"/>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异常低价投标（响应）审查的情形和具体要求如下：</w:t>
      </w:r>
      <w:r/>
    </w:p>
    <w:p>
      <w:pPr>
        <w:ind w:firstLine="482"/>
        <w:jc w:val="left"/>
        <w:spacing w:line="360" w:lineRule="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26.7.1 投标</w:t>
      </w:r>
      <w:r>
        <w:rPr>
          <w:rFonts w:hint="eastAsia" w:ascii="仿宋" w:hAnsi="仿宋" w:eastAsia="仿宋" w:cs="仿宋"/>
          <w:b/>
          <w:color w:val="auto"/>
          <w:sz w:val="24"/>
          <w:szCs w:val="24"/>
          <w:highlight w:val="none"/>
        </w:rPr>
        <w:t xml:space="preserve">（响应）报价低于全部通过符合性审查供应商投标（响应）报价平均值</w:t>
      </w:r>
      <w:r>
        <w:rPr>
          <w:rFonts w:hint="eastAsia" w:ascii="仿宋" w:hAnsi="仿宋" w:eastAsia="仿宋" w:cs="仿宋"/>
          <w:b/>
          <w:color w:val="auto"/>
          <w:sz w:val="24"/>
          <w:szCs w:val="24"/>
          <w:highlight w:val="none"/>
          <w:lang w:val="en-US" w:eastAsia="zh-CN"/>
        </w:rPr>
        <w:t xml:space="preserve">65</w:t>
      </w:r>
      <w:r>
        <w:rPr>
          <w:rFonts w:ascii="仿宋" w:hAnsi="仿宋" w:eastAsia="仿宋" w:cs="仿宋"/>
          <w:b/>
          <w:color w:val="auto"/>
          <w:sz w:val="24"/>
          <w:szCs w:val="24"/>
          <w:highlight w:val="none"/>
        </w:rPr>
        <w:t xml:space="preserve">%的，即投标（响应）报价&lt;全部通过符合性审查供应商投标（响应）报价平均值×</w:t>
      </w:r>
      <w:r>
        <w:rPr>
          <w:rFonts w:hint="eastAsia" w:ascii="仿宋" w:hAnsi="仿宋" w:eastAsia="仿宋" w:cs="仿宋"/>
          <w:b/>
          <w:color w:val="auto"/>
          <w:sz w:val="24"/>
          <w:szCs w:val="24"/>
          <w:highlight w:val="none"/>
          <w:lang w:val="en-US" w:eastAsia="zh-CN"/>
        </w:rPr>
        <w:t xml:space="preserve">65</w:t>
      </w:r>
      <w:r>
        <w:rPr>
          <w:rFonts w:ascii="仿宋" w:hAnsi="仿宋" w:eastAsia="仿宋" w:cs="仿宋"/>
          <w:b/>
          <w:color w:val="auto"/>
          <w:sz w:val="24"/>
          <w:szCs w:val="24"/>
          <w:highlight w:val="none"/>
        </w:rPr>
        <w:t xml:space="preserve">%；</w:t>
      </w:r>
      <w:r/>
    </w:p>
    <w:p>
      <w:pPr>
        <w:ind w:firstLine="482"/>
        <w:jc w:val="left"/>
        <w:spacing w:line="360" w:lineRule="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26.7.2 投标</w:t>
      </w:r>
      <w:r>
        <w:rPr>
          <w:rFonts w:hint="eastAsia" w:ascii="仿宋" w:hAnsi="仿宋" w:eastAsia="仿宋" w:cs="仿宋"/>
          <w:b/>
          <w:color w:val="auto"/>
          <w:sz w:val="24"/>
          <w:szCs w:val="24"/>
          <w:highlight w:val="none"/>
        </w:rPr>
        <w:t xml:space="preserve">（响应）报价低于通过符合性审查的次低报价供应商投标（响应）报价</w:t>
      </w:r>
      <w:r>
        <w:rPr>
          <w:rFonts w:hint="eastAsia" w:ascii="仿宋" w:hAnsi="仿宋" w:eastAsia="仿宋" w:cs="仿宋"/>
          <w:b/>
          <w:color w:val="auto"/>
          <w:sz w:val="24"/>
          <w:szCs w:val="24"/>
          <w:highlight w:val="none"/>
          <w:lang w:val="en-US" w:eastAsia="zh-CN"/>
        </w:rPr>
        <w:t xml:space="preserve">65</w:t>
      </w:r>
      <w:r>
        <w:rPr>
          <w:rFonts w:ascii="仿宋" w:hAnsi="仿宋" w:eastAsia="仿宋" w:cs="仿宋"/>
          <w:b/>
          <w:color w:val="auto"/>
          <w:sz w:val="24"/>
          <w:szCs w:val="24"/>
          <w:highlight w:val="none"/>
        </w:rPr>
        <w:t xml:space="preserve">%的，即投标（响应）报价&lt;通过符合性审查的次低报价供应商投标（响应）报价×</w:t>
      </w:r>
      <w:r>
        <w:rPr>
          <w:rFonts w:hint="eastAsia" w:ascii="仿宋" w:hAnsi="仿宋" w:eastAsia="仿宋" w:cs="仿宋"/>
          <w:b/>
          <w:color w:val="auto"/>
          <w:sz w:val="24"/>
          <w:szCs w:val="24"/>
          <w:highlight w:val="none"/>
          <w:lang w:val="en-US" w:eastAsia="zh-CN"/>
        </w:rPr>
        <w:t xml:space="preserve">65</w:t>
      </w:r>
      <w:r>
        <w:rPr>
          <w:rFonts w:ascii="仿宋" w:hAnsi="仿宋" w:eastAsia="仿宋" w:cs="仿宋"/>
          <w:b/>
          <w:color w:val="auto"/>
          <w:sz w:val="24"/>
          <w:szCs w:val="24"/>
          <w:highlight w:val="none"/>
        </w:rPr>
        <w:t xml:space="preserve">%；</w:t>
      </w:r>
      <w:r/>
    </w:p>
    <w:p>
      <w:pPr>
        <w:ind w:firstLine="482"/>
        <w:jc w:val="left"/>
        <w:spacing w:line="360" w:lineRule="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26.7.3 投标</w:t>
      </w:r>
      <w:r>
        <w:rPr>
          <w:rFonts w:hint="eastAsia" w:ascii="仿宋" w:hAnsi="仿宋" w:eastAsia="仿宋" w:cs="仿宋"/>
          <w:b/>
          <w:color w:val="auto"/>
          <w:sz w:val="24"/>
          <w:szCs w:val="24"/>
          <w:highlight w:val="none"/>
        </w:rPr>
        <w:t xml:space="preserve">（响应）报价低于采购项目最高限价</w:t>
      </w:r>
      <w:r>
        <w:rPr>
          <w:rFonts w:hint="eastAsia" w:ascii="仿宋" w:hAnsi="仿宋" w:eastAsia="仿宋" w:cs="仿宋"/>
          <w:b/>
          <w:color w:val="auto"/>
          <w:sz w:val="24"/>
          <w:szCs w:val="24"/>
          <w:highlight w:val="none"/>
          <w:lang w:val="en-US" w:eastAsia="zh-CN"/>
        </w:rPr>
        <w:t xml:space="preserve">65</w:t>
      </w:r>
      <w:r>
        <w:rPr>
          <w:rFonts w:ascii="仿宋" w:hAnsi="仿宋" w:eastAsia="仿宋" w:cs="仿宋"/>
          <w:b/>
          <w:color w:val="auto"/>
          <w:sz w:val="24"/>
          <w:szCs w:val="24"/>
          <w:highlight w:val="none"/>
        </w:rPr>
        <w:t xml:space="preserve">%的，即投标（响应）报价&lt;采购项目最高限价×</w:t>
      </w:r>
      <w:r>
        <w:rPr>
          <w:rFonts w:hint="eastAsia" w:ascii="仿宋" w:hAnsi="仿宋" w:eastAsia="仿宋" w:cs="仿宋"/>
          <w:b/>
          <w:color w:val="auto"/>
          <w:sz w:val="24"/>
          <w:szCs w:val="24"/>
          <w:highlight w:val="none"/>
          <w:lang w:val="en-US" w:eastAsia="zh-CN"/>
        </w:rPr>
        <w:t xml:space="preserve">65</w:t>
      </w:r>
      <w:r>
        <w:rPr>
          <w:rFonts w:ascii="仿宋" w:hAnsi="仿宋" w:eastAsia="仿宋" w:cs="仿宋"/>
          <w:b/>
          <w:color w:val="auto"/>
          <w:sz w:val="24"/>
          <w:szCs w:val="24"/>
          <w:highlight w:val="none"/>
        </w:rPr>
        <w:t xml:space="preserve">%；</w:t>
      </w:r>
      <w:r/>
    </w:p>
    <w:p>
      <w:pPr>
        <w:ind w:firstLine="482"/>
        <w:jc w:val="left"/>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26.7.4 评审委员会基于专业判断，认为供应商报价过低，有可能影响产品质量或者不能诚信履约的其他情形。</w:t>
      </w:r>
      <w:r/>
    </w:p>
    <w:p>
      <w:pPr>
        <w:ind w:firstLine="482"/>
        <w:jc w:val="left"/>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26.8 </w:t>
      </w:r>
      <w:r>
        <w:rPr>
          <w:rFonts w:hint="eastAsia" w:ascii="仿宋" w:hAnsi="仿宋" w:eastAsia="仿宋" w:cs="仿宋"/>
          <w:b/>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其中，属于第3项情形，供应商已随投标（响应）文件一并提交相关书面说明及必要的证明材料的，在评审现场可不再重复提交。</w:t>
      </w:r>
      <w:r>
        <w:rPr>
          <w:rFonts w:hint="eastAsia" w:ascii="仿宋" w:hAnsi="仿宋" w:eastAsia="仿宋" w:cs="仿宋"/>
          <w:b/>
          <w:color w:val="auto"/>
          <w:sz w:val="24"/>
          <w:szCs w:val="24"/>
          <w:highlight w:val="none"/>
        </w:rPr>
        <w:br/>
      </w:r>
      <w:r>
        <w:rPr>
          <w:rFonts w:hint="eastAsia" w:ascii="仿宋" w:hAnsi="仿宋" w:eastAsia="仿宋" w:cs="仿宋"/>
          <w:b/>
          <w:color w:val="auto"/>
          <w:sz w:val="24"/>
          <w:szCs w:val="24"/>
          <w:highlight w:val="none"/>
        </w:rPr>
        <w:t xml:space="preserve">    26.9 </w:t>
      </w:r>
      <w:r>
        <w:rPr>
          <w:rFonts w:hint="eastAsia" w:ascii="仿宋" w:hAnsi="仿宋" w:eastAsia="仿宋" w:cs="仿宋"/>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26.10 评标委员会对投标文件的判定，只依据投标内容本身，不依靠开标后的任何外来证明。</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26.11 评标委员会将拒绝被确定为非实质性响应的投标，投标人不能通过修正或撤销不符之处而使其投标成为实质性响应的投标。</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27.投标的澄清</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28.无效投标和废标</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28.1无效投标的具体情形有：  </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28.1.1投标文件未按招标文件要求签署、盖章或电子签章的；</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28.1.2不具备招标文件中规定的资格要求的；</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28.1.3报价超过招标文件中规定的预算金额或者最高限价的；</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28.1.4</w:t>
      </w:r>
      <w:r>
        <w:rPr>
          <w:rFonts w:hint="eastAsia" w:ascii="仿宋" w:hAnsi="仿宋" w:eastAsia="仿宋" w:cs="仿宋"/>
          <w:b/>
          <w:bCs/>
          <w:color w:val="auto"/>
          <w:sz w:val="24"/>
          <w:szCs w:val="24"/>
          <w:highlight w:val="none"/>
        </w:rPr>
        <w:t xml:space="preserve">不同投标人的投标文件使用同一台电脑编制的</w:t>
      </w:r>
      <w:r>
        <w:rPr>
          <w:rFonts w:hint="eastAsia" w:ascii="仿宋" w:hAnsi="仿宋" w:eastAsia="仿宋" w:cs="仿宋"/>
          <w:color w:val="auto"/>
          <w:sz w:val="24"/>
          <w:szCs w:val="24"/>
          <w:highlight w:val="none"/>
        </w:rPr>
        <w:t xml:space="preserve">；</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28.1.5投标文件含有采购人不能接受的附加条件的；</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28.1.6法律法规和招标文件规定的其他无效情形。</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 在招标采购中，出现下列情形之一的，应予废标：</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28.2.1符合专业条件的供应商或者对招标文件作实质响应的供应商不足三家的；</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28.2.2出现影响采购公正的违法、违规行为的；</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28.2.3投标人的报价均超过了采购预算，采购人不能支付的；</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28.2.4因重大变故，采购任务取消的。</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 废标后，采购人应当将废标理由通知所有投标人。</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 投标文件的评价和比较</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29.1评标委员会按招标文件规定的评标方法和标准，仅对资格性检查和符合性检查合格的投标文件进行商务和技术评估，综合比较与评价。</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29.2.1服务的质量保证（保障）内容；</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29.2.2服务配备的人员；</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29.2.3投标者的资信情况和履约能力；</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29.2.4投标者提供的其他优惠条件；</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29.2.5参与本项目政府采购工作的态度及信誉；</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29.2.6最低的投标报价或最高的折扣比例是中标的重要条件，但不是唯一条件。</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七、授予合同</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30. 中标供应商的确认          </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30.2经评标委员会评审并确定中标供应商后，采购人或授权采购代理机构将在规定的时间内将中标结果在相关媒体上予以公告。</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30.4质疑函递交地点及联系方式详见公告内容</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31. 合同授予标准</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32. 中标通知书</w:t>
      </w:r>
      <w:r/>
    </w:p>
    <w:p>
      <w:pPr>
        <w:ind w:firstLine="36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32.1确定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firstLine="36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32.3中标通知书将成为合同的组成部分。</w:t>
      </w:r>
      <w:r/>
    </w:p>
    <w:p>
      <w:pPr>
        <w:ind w:firstLine="36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32.4采购代理机构对未中标供应商不承担解释未中标原因的义务。</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33.履约保证金</w:t>
      </w:r>
      <w:r/>
    </w:p>
    <w:p>
      <w:pPr>
        <w:ind w:firstLine="360"/>
        <w:spacing w:line="360" w:lineRule="auto"/>
        <w:rPr>
          <w:rFonts w:ascii="仿宋" w:hAnsi="仿宋" w:cs="仿宋"/>
          <w:color w:val="auto"/>
          <w:sz w:val="24"/>
          <w:szCs w:val="24"/>
          <w:highlight w:val="none"/>
        </w:rPr>
      </w:pPr>
      <w:r>
        <w:rPr>
          <w:rFonts w:hint="eastAsia" w:ascii="仿宋" w:hAnsi="仿宋" w:eastAsia="仿宋" w:cs="仿宋"/>
          <w:color w:val="auto"/>
          <w:sz w:val="24"/>
          <w:szCs w:val="24"/>
          <w:highlight w:val="none"/>
        </w:rPr>
        <w:t xml:space="preserve">33.1中标供应商按合同金额的3%提交履约保证金。</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33.2履约保证金用以约束供应商在合同履行中的行为，弥补合同执行中由于自身行为可能给采购人带来的各种损失。</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33.3履约保证金将在中标供应商合同履行完毕且项目验收合格满1年无息退还。</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34. 合同的签订</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p>
    <w:p>
      <w:pPr>
        <w:pStyle w:val="846"/>
        <w:spacing w:line="360" w:lineRule="auto"/>
        <w:rPr>
          <w:rFonts w:ascii="仿宋" w:hAnsi="仿宋" w:eastAsia="仿宋" w:cs="仿宋"/>
          <w:color w:val="auto"/>
          <w:highlight w:val="none"/>
        </w:rPr>
      </w:pPr>
      <w:r>
        <w:rPr>
          <w:rFonts w:hint="eastAsia" w:ascii="仿宋" w:hAnsi="仿宋" w:eastAsia="仿宋" w:cs="仿宋"/>
          <w:color w:val="auto"/>
          <w:sz w:val="24"/>
          <w:szCs w:val="24"/>
          <w:highlight w:val="none"/>
        </w:rPr>
        <w:t xml:space="preserve">   34.2中标供应商应按中标通知书中规定，由法定代表人或授权代理人与采购人代表签订合同，否则按放弃中标权处理。</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34.3签订合同及合同条款应以招标文件和中标供应商的投标文件及其澄清文件为依据。</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360" w:lineRule="auto"/>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bookmarkStart w:id="14" w:name="_Toc467507043"/>
      <w:r/>
      <w:bookmarkStart w:id="15" w:name="_Toc158691774"/>
      <w:r/>
      <w:bookmarkStart w:id="16" w:name="_Toc315868058"/>
      <w:r/>
      <w:bookmarkStart w:id="17" w:name="_Toc315875321"/>
      <w:r/>
      <w:bookmarkStart w:id="18" w:name="_Toc467507037"/>
      <w:r>
        <w:rPr>
          <w:rFonts w:hint="eastAsia" w:ascii="仿宋" w:hAnsi="仿宋" w:eastAsia="仿宋" w:cs="仿宋"/>
          <w:b/>
          <w:color w:val="auto"/>
          <w:sz w:val="24"/>
          <w:highlight w:val="none"/>
        </w:rPr>
        <w:t xml:space="preserve">八、其他事项</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35. 监督和公证</w:t>
      </w:r>
      <w:r/>
    </w:p>
    <w:p>
      <w:pPr>
        <w:ind w:firstLine="36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35.1政府有关监督部门将对招投标全过程进行监督。</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36.未尽事宜</w:t>
      </w:r>
      <w:r/>
    </w:p>
    <w:p>
      <w:pPr>
        <w:ind w:firstLine="36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36.1按《中华人民共和国政府采购法》及其他有关法律法规的规定执行。</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44"/>
          <w:szCs w:val="44"/>
          <w:highlight w:val="none"/>
        </w:rPr>
        <w:t xml:space="preserve">第三部分  项目需求</w:t>
      </w:r>
      <w:r/>
    </w:p>
    <w:p>
      <w:pPr>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一、项目基本情况</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项目编号：JSZC-320585-YXCZ-G2026-0007</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项目名称：太仓市第二中学新校区体育器材采购</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预算金额：187.23万元</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最高限价：187.23万元</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供货期限：合同签订生效之后45日历天内交货并安装调试完毕。</w:t>
      </w:r>
      <w:r/>
    </w:p>
    <w:p>
      <w:pPr>
        <w:contextualSpacing/>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二、采购清单</w:t>
      </w:r>
      <w:r/>
    </w:p>
    <w:tbl>
      <w:tblPr>
        <w:tblStyle w:val="832"/>
        <w:tblW w:w="9729" w:type="dxa"/>
        <w:jc w:val="center"/>
        <w:tblLayout w:type="autofit"/>
        <w:tblCellMar>
          <w:left w:w="108" w:type="dxa"/>
          <w:top w:w="0" w:type="dxa"/>
          <w:right w:w="108" w:type="dxa"/>
          <w:bottom w:w="0" w:type="dxa"/>
        </w:tblCellMar>
        <w:tblLook w:val="04A0" w:firstRow="1" w:lastRow="0" w:firstColumn="1" w:lastColumn="0" w:noHBand="0" w:noVBand="1"/>
      </w:tblPr>
      <w:tblGrid>
        <w:gridCol w:w="648"/>
        <w:gridCol w:w="1966"/>
        <w:gridCol w:w="780"/>
        <w:gridCol w:w="752"/>
        <w:gridCol w:w="5583"/>
      </w:tblGrid>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品名</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技术要求</w:t>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29"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b/>
                <w:bCs/>
                <w:color w:val="auto"/>
                <w:szCs w:val="21"/>
                <w:highlight w:val="none"/>
                <w:lang w:bidi="ar"/>
              </w:rPr>
              <w:t xml:space="preserve">室外</w:t>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地埋篮球架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Style w:val="896"/>
                <w:rFonts w:ascii="仿宋" w:hAnsi="仿宋" w:eastAsia="仿宋" w:cs="仿宋"/>
                <w:color w:val="auto"/>
                <w:highlight w:val="none"/>
                <w:lang w:bidi="ar"/>
              </w:rPr>
            </w:pPr>
            <w:r>
              <w:rPr>
                <w:rStyle w:val="896"/>
                <w:rFonts w:hint="eastAsia" w:ascii="仿宋" w:hAnsi="仿宋" w:eastAsia="仿宋" w:cs="仿宋"/>
                <w:color w:val="auto"/>
                <w:highlight w:val="none"/>
                <w:lang w:bidi="ar"/>
              </w:rPr>
              <w:t xml:space="preserve">1.地埋式篮球架，伸臂1850mm，篮圈上沿离地面3.05m，螺丝采用达克罗螺丝。</w:t>
            </w:r>
            <w:r/>
          </w:p>
          <w:p>
            <w:pPr>
              <w:jc w:val="left"/>
              <w:widowControl/>
              <w:rPr>
                <w:rStyle w:val="896"/>
                <w:rFonts w:ascii="仿宋" w:hAnsi="仿宋" w:eastAsia="仿宋" w:cs="仿宋"/>
                <w:color w:val="auto"/>
                <w:highlight w:val="none"/>
                <w:lang w:bidi="ar"/>
              </w:rPr>
            </w:pPr>
            <w:r>
              <w:rPr>
                <w:rStyle w:val="896"/>
                <w:rFonts w:hint="eastAsia" w:ascii="仿宋" w:hAnsi="仿宋" w:eastAsia="仿宋" w:cs="仿宋"/>
                <w:color w:val="auto"/>
                <w:highlight w:val="none"/>
                <w:lang w:bidi="ar"/>
              </w:rPr>
              <w:t xml:space="preserve">2.篮球架立柱下面采用≥180mm×180mm×3.0mm大圆弧方管,上端采用≥200mm×100mm×3.0mm矩形管拼焊而成。</w:t>
            </w:r>
            <w:r/>
          </w:p>
          <w:p>
            <w:pPr>
              <w:jc w:val="left"/>
              <w:widowControl/>
              <w:rPr>
                <w:rStyle w:val="896"/>
                <w:rFonts w:ascii="仿宋" w:hAnsi="仿宋" w:eastAsia="仿宋" w:cs="仿宋"/>
                <w:color w:val="auto"/>
                <w:highlight w:val="none"/>
                <w:lang w:bidi="ar"/>
              </w:rPr>
            </w:pPr>
            <w:r>
              <w:rPr>
                <w:rStyle w:val="896"/>
                <w:rFonts w:hint="eastAsia" w:ascii="仿宋" w:hAnsi="仿宋" w:eastAsia="仿宋" w:cs="仿宋"/>
                <w:color w:val="auto"/>
                <w:highlight w:val="none"/>
                <w:lang w:bidi="ar"/>
              </w:rPr>
              <w:t xml:space="preserve">3.篮球架横梁采用≥4mm厚钢板经凹型折边，相互对扣然后拼焊而成, 圆弧过渡可有效均分应力，后宽前窄的锥形体结构，安全牢固，大大降低了篮球架的晃动，增强了篮球架的稳定性。外形尺寸为：后宽≥180mm×140mm、前宽≥115mm×115mm。</w:t>
            </w:r>
            <w:r/>
          </w:p>
          <w:p>
            <w:pPr>
              <w:jc w:val="left"/>
              <w:widowControl/>
              <w:rPr>
                <w:rStyle w:val="896"/>
                <w:rFonts w:ascii="仿宋" w:hAnsi="仿宋" w:eastAsia="仿宋" w:cs="仿宋"/>
                <w:color w:val="auto"/>
                <w:highlight w:val="none"/>
                <w:lang w:bidi="ar"/>
              </w:rPr>
            </w:pPr>
            <w:r>
              <w:rPr>
                <w:rStyle w:val="896"/>
                <w:rFonts w:hint="eastAsia" w:ascii="仿宋" w:hAnsi="仿宋" w:eastAsia="仿宋" w:cs="仿宋"/>
                <w:color w:val="auto"/>
                <w:highlight w:val="none"/>
                <w:lang w:bidi="ar"/>
              </w:rPr>
              <w:t xml:space="preserve">4.篮球架上拉杆采用≥Φ42mm×3mm圆管在自动弯管机上一次折弯成型,拉杆前端采用调节丝调节，安装要求不苛刻。通过调节拉杆，可调节篮圈与地面的平行度。</w:t>
            </w:r>
            <w:r/>
          </w:p>
          <w:p>
            <w:pPr>
              <w:jc w:val="left"/>
              <w:widowControl/>
              <w:rPr>
                <w:rStyle w:val="896"/>
                <w:rFonts w:ascii="仿宋" w:hAnsi="仿宋" w:eastAsia="仿宋" w:cs="仿宋"/>
                <w:color w:val="auto"/>
                <w:highlight w:val="none"/>
                <w:lang w:bidi="ar"/>
              </w:rPr>
            </w:pPr>
            <w:r>
              <w:rPr>
                <w:rStyle w:val="896"/>
                <w:rFonts w:hint="eastAsia" w:ascii="仿宋" w:hAnsi="仿宋" w:eastAsia="仿宋" w:cs="仿宋"/>
                <w:color w:val="auto"/>
                <w:highlight w:val="none"/>
                <w:lang w:bidi="ar"/>
              </w:rPr>
              <w:t xml:space="preserve">5.后拉杆采用≥40mm×40mm方管，在自动弯管机上一次折弯成型,免调节设计，中间设有多孔连接板，安装更方便。后拉杆两端采用封口焊接防水、防腐、防锈、防划伤。</w:t>
            </w:r>
            <w:r/>
          </w:p>
          <w:p>
            <w:pPr>
              <w:jc w:val="left"/>
              <w:widowControl/>
              <w:rPr>
                <w:rStyle w:val="896"/>
                <w:rFonts w:ascii="仿宋" w:hAnsi="仿宋" w:eastAsia="仿宋" w:cs="仿宋"/>
                <w:color w:val="auto"/>
                <w:highlight w:val="none"/>
                <w:lang w:bidi="ar"/>
              </w:rPr>
            </w:pPr>
            <w:r>
              <w:rPr>
                <w:rStyle w:val="896"/>
                <w:rFonts w:hint="eastAsia" w:ascii="仿宋" w:hAnsi="仿宋" w:eastAsia="仿宋" w:cs="仿宋"/>
                <w:color w:val="auto"/>
                <w:highlight w:val="none"/>
                <w:lang w:bidi="ar"/>
              </w:rPr>
              <w:t xml:space="preserve">6.篮板规格：1800mm×1050mm，篮板配用国际通用的高强度安全钢化玻璃篮板，具有透明度高、耐侯性好、抗老化、耐腐蚀、不易模糊等特点，篮板外框采用≥40mm×40mm铝合金型材，并在篮板下沿安装安全保护条，能保护运动员扣篮时不受伤害。</w:t>
            </w:r>
            <w:r/>
          </w:p>
          <w:p>
            <w:pPr>
              <w:jc w:val="left"/>
              <w:widowControl/>
              <w:rPr>
                <w:rStyle w:val="896"/>
                <w:rFonts w:ascii="仿宋" w:hAnsi="仿宋" w:eastAsia="仿宋" w:cs="仿宋"/>
                <w:color w:val="auto"/>
                <w:highlight w:val="none"/>
                <w:lang w:bidi="ar"/>
              </w:rPr>
            </w:pPr>
            <w:r>
              <w:rPr>
                <w:rStyle w:val="896"/>
                <w:rFonts w:hint="eastAsia" w:ascii="仿宋" w:hAnsi="仿宋" w:eastAsia="仿宋" w:cs="仿宋"/>
                <w:color w:val="auto"/>
                <w:highlight w:val="none"/>
                <w:lang w:bidi="ar"/>
              </w:rPr>
              <w:t xml:space="preserve">7.篮筐采用≥Φ18mm实心圆钢制作，圈下均匀焊有十二个成型挂钩，间隙不大于8mm，抗弯性能好。配尼龙篮球网。</w:t>
            </w:r>
            <w:r/>
          </w:p>
          <w:p>
            <w:pPr>
              <w:jc w:val="left"/>
              <w:widowControl/>
              <w:rPr>
                <w:rFonts w:ascii="仿宋" w:hAnsi="仿宋" w:eastAsia="仿宋" w:cs="仿宋"/>
                <w:color w:val="auto"/>
                <w:szCs w:val="21"/>
                <w:highlight w:val="none"/>
                <w:lang w:bidi="ar"/>
              </w:rPr>
            </w:pPr>
            <w:r>
              <w:rPr>
                <w:rStyle w:val="896"/>
                <w:rFonts w:hint="eastAsia" w:ascii="仿宋" w:hAnsi="仿宋" w:eastAsia="仿宋" w:cs="仿宋"/>
                <w:color w:val="auto"/>
                <w:highlight w:val="none"/>
                <w:lang w:bidi="ar"/>
              </w:rPr>
              <w:t xml:space="preserve">8.篮球架螺丝采用达克罗螺丝，所有钢制件表面均经抛丸除锈处理，后在自动喷涂流水线上采用静电环氧基粉末喷涂完成表面处理，有良好的耐酸碱性、耐湿热性、抗老化等优点。</w:t>
            </w:r>
            <w:r/>
          </w:p>
          <w:p>
            <w:pPr>
              <w:jc w:val="left"/>
              <w:widowControl/>
              <w:rPr>
                <w:rFonts w:ascii="仿宋" w:hAnsi="仿宋" w:eastAsia="仿宋" w:cs="仿宋"/>
                <w:color w:val="auto"/>
                <w:szCs w:val="21"/>
                <w:highlight w:val="none"/>
                <w:lang w:bidi="ar"/>
              </w:rPr>
            </w:pPr>
            <w:r>
              <w:rPr>
                <w:rFonts w:hint="eastAsia" w:ascii="仿宋" w:hAnsi="仿宋" w:eastAsia="仿宋" w:cs="仿宋"/>
                <w:b/>
                <w:bCs/>
                <w:color w:val="auto"/>
                <w:szCs w:val="21"/>
                <w:highlight w:val="none"/>
                <w:lang w:bidi="ar"/>
              </w:rPr>
              <w:t xml:space="preserve">▲提供第三方检测机构出具的带有CMA标识的检测报告复印件加盖制造厂家公章，检测依据为：GB/T 23176-2008《篮球架》,</w:t>
            </w:r>
            <w:r>
              <w:rPr>
                <w:color w:val="auto"/>
                <w:highlight w:val="none"/>
              </w:rPr>
              <w:t xml:space="preserve"> </w:t>
            </w:r>
            <w:r>
              <w:rPr>
                <w:rFonts w:ascii="仿宋" w:hAnsi="仿宋" w:eastAsia="仿宋" w:cs="仿宋"/>
                <w:b/>
                <w:bCs/>
                <w:color w:val="auto"/>
                <w:szCs w:val="21"/>
                <w:highlight w:val="none"/>
                <w:lang w:bidi="ar"/>
              </w:rPr>
              <w:t xml:space="preserve">检测报告须明确体现检测结论为合格（或符合、通过）</w:t>
            </w:r>
            <w:r>
              <w:rPr>
                <w:rFonts w:hint="eastAsia" w:ascii="仿宋" w:hAnsi="仿宋" w:eastAsia="仿宋" w:cs="仿宋"/>
                <w:b/>
                <w:bCs/>
                <w:color w:val="auto"/>
                <w:szCs w:val="21"/>
                <w:highlight w:val="none"/>
                <w:lang w:bidi="ar"/>
              </w:rPr>
              <w:t xml:space="preserve">，并须体现伸臂尺寸。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插地式排球柱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1.排球柱由内外立柱，高度调节销和紧线机构组成。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2.排球柱外立柱选用φ≥85×≥3的优质焊管材，内立柱选用φ≥75mm×≥2.5mm管材制作，通过内置高强度弹簧调节装置，使内立柱上下移动，实现网高调节高度。</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3.排球柱立柱上部设有特制封套，能防止高度调节时内立柱外管与外立柱内管摩擦而引起漆膜脱落，从而影响整体美观。 </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4.排球柱配备有专用的预埋件，采用φ≥108×≥2.75圆管，预埋件底部托底和顶部盖帽均采用≥δ3mm铁板制作，使用时把立柱插入预埋孔即可，不用时，取出排球柱立柱，盖上预埋盖即可，使用方便。</w:t>
            </w:r>
            <w:r/>
          </w:p>
          <w:p>
            <w:pPr>
              <w:jc w:val="left"/>
              <w:widowControl/>
              <w:rPr>
                <w:rFonts w:ascii="仿宋" w:hAnsi="仿宋" w:eastAsia="仿宋" w:cs="仿宋"/>
                <w:color w:val="auto"/>
                <w:szCs w:val="21"/>
                <w:highlight w:val="none"/>
                <w:lang w:bidi="ar"/>
              </w:rPr>
            </w:pPr>
            <w:r>
              <w:rPr>
                <w:rFonts w:hint="eastAsia" w:ascii="仿宋" w:hAnsi="仿宋" w:eastAsia="仿宋" w:cs="仿宋"/>
                <w:b/>
                <w:color w:val="auto"/>
                <w:szCs w:val="21"/>
                <w:highlight w:val="none"/>
              </w:rPr>
              <w:t xml:space="preserve">▲</w:t>
            </w:r>
            <w:r>
              <w:rPr>
                <w:rFonts w:hint="eastAsia" w:ascii="仿宋" w:hAnsi="仿宋" w:eastAsia="仿宋" w:cs="仿宋"/>
                <w:b/>
                <w:bCs/>
                <w:color w:val="auto"/>
                <w:szCs w:val="21"/>
                <w:highlight w:val="none"/>
                <w:lang w:bidi="ar"/>
              </w:rPr>
              <w:t xml:space="preserve">提供第三方检测机构出具的带有CMA标识的检测报告复印件加盖制造厂家公章，</w:t>
            </w:r>
            <w:r>
              <w:rPr>
                <w:rFonts w:hint="eastAsia" w:ascii="仿宋" w:hAnsi="仿宋" w:eastAsia="仿宋" w:cs="仿宋"/>
                <w:b/>
                <w:color w:val="auto"/>
                <w:szCs w:val="21"/>
                <w:highlight w:val="none"/>
              </w:rPr>
              <w:t xml:space="preserve">检测依据为：</w:t>
            </w:r>
            <w:r>
              <w:rPr>
                <w:rFonts w:hint="eastAsia" w:ascii="仿宋" w:hAnsi="仿宋" w:eastAsia="仿宋" w:cs="仿宋"/>
                <w:b/>
                <w:bCs/>
                <w:color w:val="auto"/>
                <w:szCs w:val="21"/>
                <w:highlight w:val="none"/>
              </w:rPr>
              <w:t xml:space="preserve">GB/T 19851.13-2007《中小学体育器材和场地 第13部分：排球网柱、羽毛球网柱、网球网柱》</w:t>
            </w:r>
            <w:r>
              <w:rPr>
                <w:rFonts w:hint="eastAsia" w:ascii="仿宋" w:hAnsi="仿宋" w:eastAsia="仿宋" w:cs="仿宋"/>
                <w:b/>
                <w:color w:val="auto"/>
                <w:szCs w:val="21"/>
                <w:highlight w:val="none"/>
              </w:rPr>
              <w:t xml:space="preserve">。</w:t>
            </w:r>
            <w:r>
              <w:rPr>
                <w:rFonts w:ascii="仿宋" w:hAnsi="仿宋" w:eastAsia="仿宋" w:cs="仿宋"/>
                <w:b/>
                <w:bCs/>
                <w:color w:val="auto"/>
                <w:szCs w:val="21"/>
                <w:highlight w:val="none"/>
                <w:lang w:bidi="ar"/>
              </w:rPr>
              <w:t xml:space="preserve">检测报告须明确体现检测结论为合格（或符合、通过）</w:t>
            </w:r>
            <w:r>
              <w:rPr>
                <w:rFonts w:hint="eastAsia" w:ascii="仿宋" w:hAnsi="仿宋" w:eastAsia="仿宋" w:cs="仿宋"/>
                <w:b/>
                <w:bCs/>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排球网</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1.排球网规格：长9500mm,高1000mm。 </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2.排球网为黑色，网眼为正方形：100×100mm（±5），网线直径为φ4-φ5mm。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3.排球网的上下两边全长缝有双层白色PVC布包边，上包边宽为</w:t>
            </w:r>
            <w:r>
              <w:rPr>
                <w:rFonts w:ascii="仿宋" w:hAnsi="仿宋" w:eastAsia="仿宋" w:cs="仿宋"/>
                <w:color w:val="auto"/>
                <w:szCs w:val="21"/>
                <w:highlight w:val="none"/>
                <w:lang w:bidi="ar"/>
              </w:rPr>
              <w:t xml:space="preserve">65~75mm</w:t>
            </w:r>
            <w:r>
              <w:rPr>
                <w:rFonts w:hint="eastAsia" w:ascii="仿宋" w:hAnsi="仿宋" w:eastAsia="仿宋" w:cs="仿宋"/>
                <w:color w:val="auto"/>
                <w:szCs w:val="21"/>
                <w:highlight w:val="none"/>
                <w:lang w:bidi="ar"/>
              </w:rPr>
              <w:t xml:space="preserve">，下包边宽为</w:t>
            </w:r>
            <w:r>
              <w:rPr>
                <w:rFonts w:ascii="仿宋" w:hAnsi="仿宋" w:eastAsia="仿宋" w:cs="仿宋"/>
                <w:color w:val="auto"/>
                <w:szCs w:val="21"/>
                <w:highlight w:val="none"/>
                <w:lang w:bidi="ar"/>
              </w:rPr>
              <w:t xml:space="preserve">45~55mm</w:t>
            </w:r>
            <w:r>
              <w:rPr>
                <w:rFonts w:hint="eastAsia" w:ascii="仿宋" w:hAnsi="仿宋" w:eastAsia="仿宋" w:cs="仿宋"/>
                <w:color w:val="auto"/>
                <w:szCs w:val="21"/>
                <w:highlight w:val="none"/>
                <w:lang w:bidi="ar"/>
              </w:rPr>
              <w:t xml:space="preserve">，上下包边两端均铆接有橡胶块，橡胶块上设有圆孔，用于铆接气眼，方便于穿拉网绳。</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4.排球网的两端采用一根6mm白色涤纶绳和三根3mm黑色网绳线缠绕交织制成，上面系双根2米长白色空扁绳，便于整个网片展开张紧后保持网片的整齐美观。</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5.排球网的上下两边均配有拉绳，绳长14-15米，两端套热塑管，防止绳头松散。</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标志杆</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1.规格：直径φ</w:t>
            </w:r>
            <w:r>
              <w:rPr>
                <w:rFonts w:ascii="仿宋" w:hAnsi="仿宋" w:eastAsia="仿宋" w:cs="仿宋"/>
                <w:color w:val="auto"/>
                <w:szCs w:val="21"/>
                <w:highlight w:val="none"/>
                <w:lang w:bidi="ar"/>
              </w:rPr>
              <w:t xml:space="preserve">8</w:t>
            </w:r>
            <w:r>
              <w:rPr>
                <w:rFonts w:hint="eastAsia" w:ascii="仿宋" w:hAnsi="仿宋" w:eastAsia="仿宋" w:cs="仿宋"/>
                <w:color w:val="auto"/>
                <w:szCs w:val="21"/>
                <w:highlight w:val="none"/>
                <w:lang w:bidi="ar"/>
              </w:rPr>
              <w:t xml:space="preserve">-10</w:t>
            </w:r>
            <w:r>
              <w:rPr>
                <w:rFonts w:ascii="仿宋" w:hAnsi="仿宋" w:eastAsia="仿宋" w:cs="仿宋"/>
                <w:color w:val="auto"/>
                <w:szCs w:val="21"/>
                <w:highlight w:val="none"/>
                <w:lang w:bidi="ar"/>
              </w:rPr>
              <w:t xml:space="preserve">mm</w:t>
            </w:r>
            <w:r>
              <w:rPr>
                <w:rFonts w:hint="eastAsia" w:ascii="仿宋" w:hAnsi="仿宋" w:eastAsia="仿宋" w:cs="仿宋"/>
                <w:color w:val="auto"/>
                <w:szCs w:val="21"/>
                <w:highlight w:val="none"/>
                <w:lang w:bidi="ar"/>
              </w:rPr>
              <w:t xml:space="preserve">，长1800mm。 </w:t>
            </w:r>
            <w:r/>
          </w:p>
          <w:p>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2.材质：玻璃钢。</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3.颜色：标志杆总长</w:t>
            </w:r>
            <w:r>
              <w:rPr>
                <w:rFonts w:ascii="仿宋" w:hAnsi="仿宋" w:eastAsia="仿宋" w:cs="仿宋"/>
                <w:color w:val="auto"/>
                <w:szCs w:val="21"/>
                <w:highlight w:val="none"/>
                <w:lang w:bidi="ar"/>
              </w:rPr>
              <w:t xml:space="preserve">1800mm（其中高出球网部分约800mm）</w:t>
            </w:r>
            <w:r>
              <w:rPr>
                <w:rFonts w:hint="eastAsia" w:ascii="仿宋" w:hAnsi="仿宋" w:eastAsia="仿宋" w:cs="仿宋"/>
                <w:color w:val="auto"/>
                <w:szCs w:val="21"/>
                <w:highlight w:val="none"/>
                <w:lang w:bidi="ar"/>
              </w:rPr>
              <w:t xml:space="preserve">，高出部分每10厘米涂有明显对比的红白相间色。</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高单杠</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1.单杠由支架、杠面、调节销和杠托四部分组成。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2.单杠杠面长1900mm，选用≥φ</w:t>
            </w:r>
            <w:r>
              <w:rPr>
                <w:rFonts w:ascii="仿宋" w:hAnsi="仿宋" w:eastAsia="仿宋" w:cs="仿宋"/>
                <w:color w:val="auto"/>
                <w:szCs w:val="21"/>
                <w:highlight w:val="none"/>
              </w:rPr>
              <w:t xml:space="preserve">28mm</w:t>
            </w:r>
            <w:r>
              <w:rPr>
                <w:rFonts w:hint="eastAsia" w:ascii="仿宋" w:hAnsi="仿宋" w:eastAsia="仿宋" w:cs="仿宋"/>
                <w:color w:val="auto"/>
                <w:szCs w:val="21"/>
                <w:highlight w:val="none"/>
              </w:rPr>
              <w:t xml:space="preserve">的拉光圆制作，调节范围为2200-2500mm。立柱选用≥φ</w:t>
            </w:r>
            <w:r>
              <w:rPr>
                <w:rFonts w:ascii="仿宋" w:hAnsi="仿宋" w:eastAsia="仿宋" w:cs="仿宋"/>
                <w:color w:val="auto"/>
                <w:szCs w:val="21"/>
                <w:highlight w:val="none"/>
              </w:rPr>
              <w:t xml:space="preserve">89×3mm</w:t>
            </w:r>
            <w:r>
              <w:rPr>
                <w:rFonts w:hint="eastAsia" w:ascii="仿宋" w:hAnsi="仿宋" w:eastAsia="仿宋" w:cs="仿宋"/>
                <w:color w:val="auto"/>
                <w:szCs w:val="21"/>
                <w:highlight w:val="none"/>
              </w:rPr>
              <w:t xml:space="preserve">的钢管制作，立柱埋入地下深度≥</w:t>
            </w:r>
            <w:r>
              <w:rPr>
                <w:rFonts w:ascii="仿宋" w:hAnsi="仿宋" w:eastAsia="仿宋" w:cs="仿宋"/>
                <w:color w:val="auto"/>
                <w:szCs w:val="21"/>
                <w:highlight w:val="none"/>
              </w:rPr>
              <w:t xml:space="preserve">800mm</w:t>
            </w:r>
            <w:r>
              <w:rPr>
                <w:rFonts w:hint="eastAsia" w:ascii="仿宋" w:hAnsi="仿宋" w:eastAsia="仿宋" w:cs="仿宋"/>
                <w:color w:val="auto"/>
                <w:szCs w:val="21"/>
                <w:highlight w:val="none"/>
              </w:rPr>
              <w:t xml:space="preserve">，下端焊有加强筋，增强单杠整体的稳定性。</w:t>
            </w:r>
            <w:r/>
          </w:p>
          <w:p>
            <w:pPr>
              <w:jc w:val="left"/>
              <w:rPr>
                <w:rFonts w:ascii="仿宋" w:hAnsi="仿宋" w:eastAsia="仿宋" w:cs="仿宋"/>
                <w:color w:val="auto"/>
                <w:szCs w:val="21"/>
                <w:highlight w:val="none"/>
              </w:rPr>
            </w:pPr>
            <w:r>
              <w:rPr>
                <w:rFonts w:hint="eastAsia" w:ascii="仿宋" w:hAnsi="仿宋" w:eastAsia="仿宋" w:cs="仿宋"/>
                <w:b/>
                <w:color w:val="auto"/>
                <w:szCs w:val="21"/>
                <w:highlight w:val="none"/>
              </w:rPr>
              <w:t xml:space="preserve">▲</w:t>
            </w:r>
            <w:r>
              <w:rPr>
                <w:rFonts w:hint="eastAsia" w:ascii="仿宋" w:hAnsi="仿宋" w:eastAsia="仿宋" w:cs="仿宋"/>
                <w:b/>
                <w:bCs/>
                <w:color w:val="auto"/>
                <w:szCs w:val="21"/>
                <w:highlight w:val="none"/>
                <w:lang w:bidi="ar"/>
              </w:rPr>
              <w:t xml:space="preserve">提供第三方检测机构出具的带有CMA标识的检测报告复印件加盖制造厂家公章，</w:t>
            </w:r>
            <w:r>
              <w:rPr>
                <w:rFonts w:hint="eastAsia" w:ascii="仿宋" w:hAnsi="仿宋" w:eastAsia="仿宋" w:cs="仿宋"/>
                <w:b/>
                <w:color w:val="auto"/>
                <w:szCs w:val="21"/>
                <w:highlight w:val="none"/>
              </w:rPr>
              <w:t xml:space="preserve">检测依据为：GB/T 19851.2-2005《中小学体育器材和场地 第2部分：体操器材》。</w:t>
            </w:r>
            <w:r>
              <w:rPr>
                <w:rFonts w:ascii="仿宋" w:hAnsi="仿宋" w:eastAsia="仿宋" w:cs="仿宋"/>
                <w:b/>
                <w:bCs/>
                <w:color w:val="auto"/>
                <w:szCs w:val="21"/>
                <w:highlight w:val="none"/>
                <w:lang w:bidi="ar"/>
              </w:rPr>
              <w:t xml:space="preserve">检测报告须明确体现检测结论为合格（或符合、通过）</w:t>
            </w:r>
            <w:r>
              <w:rPr>
                <w:rFonts w:hint="eastAsia" w:ascii="仿宋" w:hAnsi="仿宋" w:eastAsia="仿宋" w:cs="仿宋"/>
                <w:b/>
                <w:bCs/>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单杠</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1.普通单杠（中学型），符合</w:t>
            </w:r>
            <w:r>
              <w:rPr>
                <w:rFonts w:hint="eastAsia" w:ascii="仿宋" w:hAnsi="仿宋" w:eastAsia="仿宋" w:cs="仿宋"/>
                <w:color w:val="auto"/>
                <w:sz w:val="18"/>
                <w:szCs w:val="18"/>
                <w:highlight w:val="none"/>
              </w:rPr>
              <w:t xml:space="preserve">GB/T 19851.2-2005《中小学体育器材和场地 第2部分：体操器材》</w:t>
            </w:r>
            <w:r>
              <w:rPr>
                <w:rFonts w:hint="eastAsia" w:ascii="仿宋" w:hAnsi="仿宋" w:eastAsia="仿宋" w:cs="仿宋"/>
                <w:color w:val="auto"/>
                <w:szCs w:val="21"/>
                <w:highlight w:val="none"/>
              </w:rPr>
              <w:t xml:space="preserve">国家标准。</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2.单杠调节范围</w:t>
            </w:r>
            <w:r>
              <w:rPr>
                <w:rFonts w:ascii="仿宋" w:hAnsi="仿宋" w:eastAsia="仿宋" w:cs="仿宋"/>
                <w:color w:val="auto"/>
                <w:szCs w:val="21"/>
                <w:highlight w:val="none"/>
              </w:rPr>
              <w:t xml:space="preserve">1.85~2.15m</w:t>
            </w:r>
            <w:r>
              <w:rPr>
                <w:rFonts w:hint="eastAsia" w:ascii="仿宋" w:hAnsi="仿宋" w:eastAsia="仿宋" w:cs="仿宋"/>
                <w:color w:val="auto"/>
                <w:szCs w:val="21"/>
                <w:highlight w:val="none"/>
              </w:rPr>
              <w:t xml:space="preserve">，立柱直径≥</w:t>
            </w:r>
            <w:r>
              <w:rPr>
                <w:rFonts w:ascii="仿宋" w:hAnsi="仿宋" w:eastAsia="仿宋" w:cs="仿宋"/>
                <w:color w:val="auto"/>
                <w:szCs w:val="21"/>
                <w:highlight w:val="none"/>
              </w:rPr>
              <w:t xml:space="preserve">60mm</w:t>
            </w:r>
            <w:r>
              <w:rPr>
                <w:rFonts w:hint="eastAsia" w:ascii="仿宋" w:hAnsi="仿宋" w:eastAsia="仿宋" w:cs="仿宋"/>
                <w:color w:val="auto"/>
                <w:szCs w:val="21"/>
                <w:highlight w:val="none"/>
              </w:rPr>
              <w:t xml:space="preserve">，杠面长度≥</w:t>
            </w:r>
            <w:r>
              <w:rPr>
                <w:rFonts w:ascii="仿宋" w:hAnsi="仿宋" w:eastAsia="仿宋" w:cs="仿宋"/>
                <w:color w:val="auto"/>
                <w:szCs w:val="21"/>
                <w:highlight w:val="none"/>
              </w:rPr>
              <w:t xml:space="preserve">1.9m</w:t>
            </w:r>
            <w:r>
              <w:rPr>
                <w:rFonts w:hint="eastAsia" w:ascii="仿宋" w:hAnsi="仿宋" w:eastAsia="仿宋" w:cs="仿宋"/>
                <w:color w:val="auto"/>
                <w:szCs w:val="21"/>
                <w:highlight w:val="none"/>
              </w:rPr>
              <w:t xml:space="preserve">，杠面直径≥</w:t>
            </w:r>
            <w:r>
              <w:rPr>
                <w:rFonts w:ascii="仿宋" w:hAnsi="仿宋" w:eastAsia="仿宋" w:cs="仿宋"/>
                <w:color w:val="auto"/>
                <w:szCs w:val="21"/>
                <w:highlight w:val="none"/>
              </w:rPr>
              <w:t xml:space="preserve">28mm</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3.杠面采用实心弹簧钢或优质碳素钢，弹性适中，表面镀铬处理，光滑耐磨防锈。</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4.立柱采用优质无缝钢管，壁厚≥3mm，表面喷塑或静电喷涂处理，色泽均匀，附着力强，防锈防腐。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5.埋入地下部分≥600mm，并采取防锈防腐处理，底部设混凝土基础固定，确保使用稳固；横杠与立柱连接牢固，转动灵活无异响。</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6.器材整体设计无锐角、无毛刺，使用安全。</w:t>
            </w:r>
            <w:r/>
          </w:p>
          <w:p>
            <w:pPr>
              <w:jc w:val="left"/>
              <w:rPr>
                <w:rFonts w:ascii="仿宋" w:hAnsi="仿宋" w:eastAsia="仿宋" w:cs="仿宋"/>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bidi="ar"/>
              </w:rPr>
              <w:t xml:space="preserve">提供第三方检测机构出具的带有CMA标识的检测报告复印件加盖制造厂家公章，</w:t>
            </w:r>
            <w:r>
              <w:rPr>
                <w:rFonts w:hint="eastAsia" w:ascii="仿宋" w:hAnsi="仿宋" w:eastAsia="仿宋" w:cs="仿宋"/>
                <w:b/>
                <w:color w:val="auto"/>
                <w:szCs w:val="21"/>
                <w:highlight w:val="none"/>
              </w:rPr>
              <w:t xml:space="preserve">检测依据为：GB/T 19851.2-2005《中小学体育器材和场地 第2部分：体操器材》。</w:t>
            </w:r>
            <w:r>
              <w:rPr>
                <w:rFonts w:ascii="仿宋" w:hAnsi="仿宋" w:eastAsia="仿宋" w:cs="仿宋"/>
                <w:b/>
                <w:bCs/>
                <w:color w:val="auto"/>
                <w:szCs w:val="21"/>
                <w:highlight w:val="none"/>
                <w:lang w:bidi="ar"/>
              </w:rPr>
              <w:t xml:space="preserve">检测报告须明确体现检测结论为合格（或符合、通过）</w:t>
            </w:r>
            <w:r>
              <w:rPr>
                <w:rFonts w:hint="eastAsia" w:ascii="仿宋" w:hAnsi="仿宋" w:eastAsia="仿宋" w:cs="仿宋"/>
                <w:b/>
                <w:bCs/>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高双杠</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1.双杠杠面基本尺寸：长×横截面=≥</w:t>
            </w:r>
            <w:r>
              <w:rPr>
                <w:rFonts w:ascii="仿宋" w:hAnsi="仿宋" w:eastAsia="仿宋" w:cs="仿宋"/>
                <w:color w:val="auto"/>
                <w:szCs w:val="21"/>
                <w:highlight w:val="none"/>
              </w:rPr>
              <w:t xml:space="preserve">3000×42mm</w:t>
            </w:r>
            <w:r>
              <w:rPr>
                <w:rFonts w:hint="eastAsia" w:ascii="仿宋" w:hAnsi="仿宋" w:eastAsia="仿宋" w:cs="仿宋"/>
                <w:color w:val="auto"/>
                <w:szCs w:val="21"/>
                <w:highlight w:val="none"/>
              </w:rPr>
              <w:t xml:space="preserve">。杠面高度≥</w:t>
            </w:r>
            <w:r>
              <w:rPr>
                <w:rFonts w:ascii="仿宋" w:hAnsi="仿宋" w:eastAsia="仿宋" w:cs="仿宋"/>
                <w:color w:val="auto"/>
                <w:szCs w:val="21"/>
                <w:highlight w:val="none"/>
              </w:rPr>
              <w:t xml:space="preserve">1600mm</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2.双杠立柱采用≥89×≥3的圆管制作，埋入地下部分长500mm。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3.杠面采用≥42mm×≥3mm的圆管制作。</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4.双杠埋入底地下部分焊有加强筋，具有较强的稳定性。</w:t>
            </w:r>
            <w:r/>
          </w:p>
          <w:p>
            <w:pPr>
              <w:jc w:val="left"/>
              <w:rPr>
                <w:rFonts w:ascii="仿宋" w:hAnsi="仿宋" w:eastAsia="仿宋" w:cs="仿宋"/>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bidi="ar"/>
              </w:rPr>
              <w:t xml:space="preserve">提供第三方检测机构出具的带有CMA标识的检测报告复印件加盖制造厂家公章，</w:t>
            </w:r>
            <w:r>
              <w:rPr>
                <w:rFonts w:hint="eastAsia" w:ascii="仿宋" w:hAnsi="仿宋" w:eastAsia="仿宋" w:cs="仿宋"/>
                <w:b/>
                <w:color w:val="auto"/>
                <w:szCs w:val="21"/>
                <w:highlight w:val="none"/>
              </w:rPr>
              <w:t xml:space="preserve">检测依据为：GB/T 19851.2-2005《中小学体育器材和场地 第2部分：体操器材》。</w:t>
            </w:r>
            <w:r>
              <w:rPr>
                <w:rFonts w:ascii="仿宋" w:hAnsi="仿宋" w:eastAsia="仿宋" w:cs="仿宋"/>
                <w:b/>
                <w:bCs/>
                <w:color w:val="auto"/>
                <w:szCs w:val="21"/>
                <w:highlight w:val="none"/>
                <w:lang w:bidi="ar"/>
              </w:rPr>
              <w:t xml:space="preserve">检测报告须明确体现检测结论为合格（或符合、通过）</w:t>
            </w:r>
            <w:r>
              <w:rPr>
                <w:rFonts w:hint="eastAsia" w:ascii="仿宋" w:hAnsi="仿宋" w:eastAsia="仿宋" w:cs="仿宋"/>
                <w:b/>
                <w:bCs/>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双杠</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1.普通双杠（中学型），符合GB/T 19851.2-2005《中小学体育器材和场地 第2部分：体操器材》国家标准。</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2.杠面采用铁质材料，外包高压聚乙烯塑料，断面为鸭蛋圆形，防滑耐磨，手感舒适。</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3.杠面长度3.0米，宽度调节范围395-535mm，高度≥</w:t>
            </w:r>
            <w:r>
              <w:rPr>
                <w:rFonts w:ascii="仿宋" w:hAnsi="仿宋" w:eastAsia="仿宋" w:cs="仿宋"/>
                <w:color w:val="auto"/>
                <w:szCs w:val="21"/>
                <w:highlight w:val="none"/>
              </w:rPr>
              <w:t xml:space="preserve">1.4m（埋入式固定）</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4.立柱采用优质无缝钢管，壁厚≥3mm，表面喷塑或静电喷涂处理，色泽均匀，附着力强，防锈防腐。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5.埋入地下部分≥600mm，并采取防锈防腐处理，底部设混凝土基础固定，包括基础开挖、水泥混凝土浇筑及周边塑胶修补，确保使用稳固无晃动.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6.器材整体设计无锐角、无毛刺，使用安全。</w:t>
            </w:r>
            <w:r/>
          </w:p>
          <w:p>
            <w:pPr>
              <w:jc w:val="left"/>
              <w:rPr>
                <w:rFonts w:ascii="仿宋" w:hAnsi="仿宋" w:eastAsia="仿宋" w:cs="仿宋"/>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bidi="ar"/>
              </w:rPr>
              <w:t xml:space="preserve">提供第三方检测机构出具的带有CMA标识的检测报告复印件加盖制造厂家公章，</w:t>
            </w:r>
            <w:r>
              <w:rPr>
                <w:rFonts w:hint="eastAsia" w:ascii="仿宋" w:hAnsi="仿宋" w:eastAsia="仿宋" w:cs="仿宋"/>
                <w:b/>
                <w:color w:val="auto"/>
                <w:szCs w:val="21"/>
                <w:highlight w:val="none"/>
              </w:rPr>
              <w:t xml:space="preserve">检测依据为：GB/T 19851.2-2005《中小学体育器材和场地 第2部分：体操器材》。</w:t>
            </w:r>
            <w:r>
              <w:rPr>
                <w:rFonts w:ascii="仿宋" w:hAnsi="仿宋" w:eastAsia="仿宋" w:cs="仿宋"/>
                <w:b/>
                <w:bCs/>
                <w:color w:val="auto"/>
                <w:szCs w:val="21"/>
                <w:highlight w:val="none"/>
                <w:lang w:bidi="ar"/>
              </w:rPr>
              <w:t xml:space="preserve">检测报告须明确体现检测结论为合格（或符合、通过）</w:t>
            </w:r>
            <w:r>
              <w:rPr>
                <w:rFonts w:hint="eastAsia" w:ascii="仿宋" w:hAnsi="仿宋" w:eastAsia="仿宋" w:cs="仿宋"/>
                <w:b/>
                <w:bCs/>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云梯</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1.平梯埋入地下后基本尺寸：长×高×宽≥4000×714×2290（㎜）；支撑立柱混凝土基坑为≥</w:t>
            </w:r>
            <w:r>
              <w:rPr>
                <w:rFonts w:ascii="仿宋" w:hAnsi="仿宋" w:eastAsia="仿宋" w:cs="仿宋"/>
                <w:color w:val="auto"/>
                <w:szCs w:val="21"/>
                <w:highlight w:val="none"/>
              </w:rPr>
              <w:t xml:space="preserve">1270×400×600mm</w:t>
            </w:r>
            <w:r>
              <w:rPr>
                <w:rFonts w:hint="eastAsia" w:ascii="仿宋" w:hAnsi="仿宋" w:eastAsia="仿宋" w:cs="仿宋"/>
                <w:color w:val="auto"/>
                <w:szCs w:val="21"/>
                <w:highlight w:val="none"/>
              </w:rPr>
              <w:t xml:space="preserve">，埋入地下部分长500mm；所浇注的混凝土为C20，并配有安装说明书，确保所有器材与地面的紧固。</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平梯由上部横梯和框架立柱组成。框架立柱主要材料采用Φ≥76mm×≥2.75mm、Φ≥42mm×≥2.5mm圆管制作,下部横梯采用Ф≥32mm×≥2.5mm、Φ≥25mm×≥2mm圆管拼焊而成；天梯两边有护栏，可作单杠用；立柱顶端设计采用防钩挂结构，立柱与横梯采用不锈钢防盗螺栓连接；所有焊接采用CO2气体保护焊，焊接后采用局部高频加热法消除应力。焊缝光滑、饱满，表面静电喷涂烤漆处理，保证长期使用不变色。</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双格肋木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1.肋木埋入地下后基本尺寸：长×宽×高=≥</w:t>
            </w:r>
            <w:r>
              <w:rPr>
                <w:rFonts w:ascii="仿宋" w:hAnsi="仿宋" w:eastAsia="仿宋" w:cs="仿宋"/>
                <w:color w:val="auto"/>
                <w:szCs w:val="21"/>
                <w:highlight w:val="none"/>
              </w:rPr>
              <w:t xml:space="preserve">2000×365×2640mm</w:t>
            </w:r>
            <w:r>
              <w:rPr>
                <w:rFonts w:hint="eastAsia" w:ascii="仿宋" w:hAnsi="仿宋" w:eastAsia="仿宋" w:cs="仿宋"/>
                <w:color w:val="auto"/>
                <w:szCs w:val="21"/>
                <w:highlight w:val="none"/>
              </w:rPr>
              <w:t xml:space="preserve">；埋入地下部分长≥</w:t>
            </w:r>
            <w:r>
              <w:rPr>
                <w:rFonts w:ascii="仿宋" w:hAnsi="仿宋" w:eastAsia="仿宋" w:cs="仿宋"/>
                <w:color w:val="auto"/>
                <w:szCs w:val="21"/>
                <w:highlight w:val="none"/>
              </w:rPr>
              <w:t xml:space="preserve">500mm</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2.肋木由3根立柱，1根横梁和12根横杆组成，立柱和横梁采用</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rPr>
              <w:t xml:space="preserve">□80×40×3焊管，通过M10螺栓连接，横杆采用Φ≥32mm×2mm焊管，三根立柱两根侧立柱打单边孔，一根中立柱打双边通孔，横杆穿过中立柱置于侧立柱孔内。</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3.肋木中设有限位件，使得横杆自身不能转动；所用紧固螺栓都采用螺栓装饰盖，具有防松功能。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室外乒乓球桌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1.球台尺寸：1525*2740*760mm。</w:t>
            </w:r>
            <w:r/>
          </w:p>
          <w:p>
            <w:pPr>
              <w:jc w:val="left"/>
              <w:rPr>
                <w:rFonts w:ascii="仿宋" w:hAnsi="仿宋" w:eastAsia="仿宋" w:cs="仿宋"/>
                <w:color w:val="auto"/>
                <w:szCs w:val="21"/>
                <w:highlight w:val="none"/>
              </w:rPr>
            </w:pPr>
            <w:r>
              <w:rPr>
                <w:rFonts w:ascii="仿宋" w:hAnsi="仿宋" w:eastAsia="仿宋" w:cs="仿宋"/>
                <w:color w:val="auto"/>
                <w:szCs w:val="21"/>
                <w:highlight w:val="none"/>
              </w:rPr>
              <w:t xml:space="preserve">2.</w:t>
            </w:r>
            <w:r>
              <w:rPr>
                <w:rFonts w:hint="eastAsia" w:ascii="仿宋" w:hAnsi="仿宋" w:eastAsia="仿宋" w:cs="仿宋"/>
                <w:color w:val="auto"/>
                <w:szCs w:val="21"/>
                <w:highlight w:val="none"/>
              </w:rPr>
              <w:t xml:space="preserve">台面颜色：蓝面白线。</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3.面板材质：SMC材质大包边一体面板。</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4.球台支架：拱形底座。</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5.重量：≥120KG。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6.金属件色泽均匀，无起皮脱落等缺陷。</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7.每块面板支撑均有4横4纵相连接。</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8.防水试验</w:t>
            </w:r>
            <w:r>
              <w:rPr>
                <w:rFonts w:ascii="仿宋" w:hAnsi="仿宋" w:eastAsia="仿宋" w:cs="仿宋"/>
                <w:color w:val="auto"/>
                <w:szCs w:val="21"/>
                <w:highlight w:val="none"/>
              </w:rPr>
              <w:t xml:space="preserve">12小时内质量变化≤1%</w:t>
            </w:r>
            <w:r>
              <w:rPr>
                <w:rFonts w:hint="eastAsia" w:ascii="仿宋" w:hAnsi="仿宋" w:eastAsia="仿宋" w:cs="仿宋"/>
                <w:color w:val="auto"/>
                <w:szCs w:val="21"/>
                <w:highlight w:val="none"/>
              </w:rPr>
              <w:t xml:space="preserve">,强度及静态负荷3700N/MIN，无破损及开裂现象。球台整体台面弹性230-260mm反弹高度，平整度≤5mm,均匀度≤5mm,光泽度＜1，稳定性≤10mm，摩擦系数＜0.6。</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9.含室外铁质网架一副。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11人制移动足球门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ascii="仿宋" w:hAnsi="仿宋" w:eastAsia="仿宋" w:cs="仿宋"/>
                <w:color w:val="auto"/>
                <w:szCs w:val="21"/>
                <w:highlight w:val="none"/>
              </w:rPr>
              <w:t xml:space="preserve">球门内净基本尺寸（长×高×深）：7320mm × 2440mm × ≥3000mm</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2.足球门由立杆、横梁、两侧撑杆、两侧横杆和后侧横杆组成。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3.球门立杆和横梁均采用φ≥120mm×≥3mm钢管制成，上设网勾，置网方便，球网系线柱两侧撑杆采用φ≥48×≥2mm的镀锌管制成，两侧横杆和后侧横杆均采用□≥100×≥40×≥2.0mm镀锌管方管制作。</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4.横梁和立杆上没有可能危害到运动员安全的连接物件露在外面。球门组装完成后，立杆与地面垂直，横梁与立杆的夹角为90°，连接件周边处理圆滑，无棱角。</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5.球门两侧撑杆采用钢丝绳连接紧固，既可增强球门整体稳定性，又可起到撑网的作用。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6.为保证球门的整体稳定性，在球门后侧横杆位置配置球门固定压板，保证球门的位置不因运动员的冲撞而移动位置。</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7.球门整体可装拆，便于运输和安装。</w:t>
            </w:r>
            <w:r/>
          </w:p>
          <w:p>
            <w:pPr>
              <w:jc w:val="left"/>
              <w:rPr>
                <w:rFonts w:ascii="仿宋" w:hAnsi="仿宋" w:eastAsia="仿宋" w:cs="仿宋"/>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bidi="ar"/>
              </w:rPr>
              <w:t xml:space="preserve">提供第三方检测机构出具的带有CMA标识的检测报告复印件加盖制造厂家公章，</w:t>
            </w:r>
            <w:r>
              <w:rPr>
                <w:rFonts w:hint="eastAsia" w:ascii="仿宋" w:hAnsi="仿宋" w:eastAsia="仿宋" w:cs="仿宋"/>
                <w:b/>
                <w:color w:val="auto"/>
                <w:szCs w:val="21"/>
                <w:highlight w:val="none"/>
              </w:rPr>
              <w:t xml:space="preserve">检测依据为：GB/T19851.15-2007《中小学体育器材和场地第15部分:足球门》。</w:t>
            </w:r>
            <w:r>
              <w:rPr>
                <w:rFonts w:ascii="仿宋" w:hAnsi="仿宋" w:eastAsia="仿宋" w:cs="仿宋"/>
                <w:b/>
                <w:bCs/>
                <w:color w:val="auto"/>
                <w:szCs w:val="21"/>
                <w:highlight w:val="none"/>
                <w:lang w:bidi="ar"/>
              </w:rPr>
              <w:t xml:space="preserve">检测报告须明确体现检测结论为合格（或符合、通过）</w:t>
            </w:r>
            <w:r>
              <w:rPr>
                <w:rFonts w:hint="eastAsia" w:ascii="仿宋" w:hAnsi="仿宋" w:eastAsia="仿宋" w:cs="仿宋"/>
                <w:b/>
                <w:bCs/>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7人制移动足球门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1.球门内净基本尺寸：长×高≥5000×≥2000（㎜）。 </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2.足球门由立杆、横梁、两侧撑杆、两侧横杆和后侧横杆组成。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3.球门立杆和横梁均采用φ≥89×≥2钢管制成，上设网勾，置网方便，球网系线柱两侧撑杆采用φ≥32×≥2的镀锌管制成，两侧横杆和后侧横杆均采用□≥60×≥40×≥2镀锌方管制作。</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4.横梁和立杆上没有可能危害到运动员安全的连接物件露在外面。球门组装完成后，立杆与地面垂直，横梁与立杆的夹角为90°，连接件周边处理圆滑，无棱角。</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5.球门两侧撑杆采用钢丝绳连接紧固，既可增强球门整体稳定性，又可起到撑网的作用。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6.为保证球门的整体稳定性，在球门后侧横杆位置配置球门固定压板，保证球门的位置不因运动员的冲撞而移动位置。</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7.球门整体可装拆，便于运输和安装。</w:t>
            </w:r>
            <w:r/>
          </w:p>
          <w:p>
            <w:pPr>
              <w:jc w:val="left"/>
              <w:rPr>
                <w:rFonts w:ascii="仿宋" w:hAnsi="仿宋" w:eastAsia="仿宋" w:cs="仿宋"/>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bidi="ar"/>
              </w:rPr>
              <w:t xml:space="preserve">提供第三方检测机构出具的带有CMA标识的检测报告复印件加盖制造厂家公章，</w:t>
            </w:r>
            <w:r>
              <w:rPr>
                <w:rFonts w:hint="eastAsia" w:ascii="仿宋" w:hAnsi="仿宋" w:eastAsia="仿宋" w:cs="仿宋"/>
                <w:b/>
                <w:color w:val="auto"/>
                <w:szCs w:val="21"/>
                <w:highlight w:val="none"/>
              </w:rPr>
              <w:t xml:space="preserve">检测依据为：GB/T19851.15-2007《中小学体育器材和场地第15部分:足球门》。</w:t>
            </w:r>
            <w:r>
              <w:rPr>
                <w:rFonts w:ascii="仿宋" w:hAnsi="仿宋" w:eastAsia="仿宋" w:cs="仿宋"/>
                <w:b/>
                <w:bCs/>
                <w:color w:val="auto"/>
                <w:szCs w:val="21"/>
                <w:highlight w:val="none"/>
                <w:lang w:bidi="ar"/>
              </w:rPr>
              <w:t xml:space="preserve">检测报告须明确体现检测结论为合格（或符合、通过）</w:t>
            </w:r>
            <w:r>
              <w:rPr>
                <w:rFonts w:hint="eastAsia" w:ascii="仿宋" w:hAnsi="仿宋" w:eastAsia="仿宋" w:cs="仿宋"/>
                <w:b/>
                <w:bCs/>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11人制足球网</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1.规格：移动式网长7500mm，高2600mm，宽2370mm。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2.足球网为白色，网眼为正方形：100±5×100±5mm，网线直径为≥φ3.5mm。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3.足球网采用≥φ6mm涤纶丝四周拷边，球门四角采用空扁绳方便于穿拉网绳。</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4.移动式足球网固定方式：球门网片直接采用网销穿于网内，均匀分布固定在球门立柱、横梁和底部横杆上即可。</w:t>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7人制足球网</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1.移动式足球网规格：长5200mm,高2100mm、宽1500mm。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2.足球网为白色，网眼为正方形：100±5×100±5mm，网线直径为≥φ3.5mm。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3.足球网采用≥φ6mm涤纶丝四周拷边，球门四角采用空扁绳方便于穿拉网绳。</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足球示教板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1.规格：示教板约</w:t>
            </w:r>
            <w:r>
              <w:rPr>
                <w:rFonts w:ascii="仿宋" w:hAnsi="仿宋" w:eastAsia="仿宋" w:cs="仿宋"/>
                <w:color w:val="auto"/>
                <w:szCs w:val="21"/>
                <w:highlight w:val="none"/>
              </w:rPr>
              <w:t xml:space="preserve">120×90cm</w:t>
            </w:r>
            <w:r>
              <w:rPr>
                <w:rFonts w:hint="eastAsia" w:ascii="仿宋" w:hAnsi="仿宋" w:eastAsia="仿宋" w:cs="仿宋"/>
                <w:color w:val="auto"/>
                <w:szCs w:val="21"/>
                <w:highlight w:val="none"/>
              </w:rPr>
              <w:t xml:space="preserve">，厚</w:t>
            </w:r>
            <w:r>
              <w:rPr>
                <w:rFonts w:ascii="仿宋" w:hAnsi="仿宋" w:eastAsia="仿宋" w:cs="仿宋"/>
                <w:color w:val="auto"/>
                <w:szCs w:val="21"/>
                <w:highlight w:val="none"/>
              </w:rPr>
              <w:t xml:space="preserve">10~20mm</w:t>
            </w:r>
            <w:r>
              <w:rPr>
                <w:rFonts w:hint="eastAsia" w:ascii="仿宋" w:hAnsi="仿宋" w:eastAsia="仿宋" w:cs="仿宋"/>
                <w:color w:val="auto"/>
                <w:szCs w:val="21"/>
                <w:highlight w:val="none"/>
              </w:rPr>
              <w:t xml:space="preserve">（误差 ±1%），支架高度80-120cm可调。</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2.材质：示教板基板为优质金属或高强度塑料，覆高质量白板材料；支架用坚固金属。</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3.功能：双面可擦写，配至少3支不同色油性笔、大擦拭面积白板擦、至少20个带吸附力球员标志棋子。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4.外观：示教板白底色，边框黑或银色；支架防锈处理，整体无尖锐边角。</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足球换人牌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ascii="仿宋" w:hAnsi="仿宋" w:eastAsia="仿宋" w:cs="仿宋"/>
                <w:color w:val="auto"/>
                <w:szCs w:val="21"/>
                <w:highlight w:val="none"/>
              </w:rPr>
              <w:t xml:space="preserve">1.四位手动翻牌式换人牌，PVC材质，双面可翻，号码0~9及补时显示。</w:t>
            </w:r>
            <w:r/>
          </w:p>
          <w:p>
            <w:pPr>
              <w:jc w:val="left"/>
              <w:rPr>
                <w:rFonts w:ascii="仿宋" w:hAnsi="仿宋" w:eastAsia="仿宋" w:cs="仿宋"/>
                <w:color w:val="auto"/>
                <w:szCs w:val="21"/>
                <w:highlight w:val="none"/>
              </w:rPr>
            </w:pPr>
            <w:r>
              <w:rPr>
                <w:rFonts w:ascii="仿宋" w:hAnsi="仿宋" w:eastAsia="仿宋" w:cs="仿宋"/>
                <w:color w:val="auto"/>
                <w:szCs w:val="21"/>
                <w:highlight w:val="none"/>
              </w:rPr>
              <w:t xml:space="preserve">2.外形尺寸</w:t>
            </w:r>
            <w:r>
              <w:rPr>
                <w:rFonts w:hint="eastAsia" w:ascii="仿宋" w:hAnsi="仿宋" w:eastAsia="仿宋" w:cs="仿宋"/>
                <w:color w:val="auto"/>
                <w:szCs w:val="21"/>
                <w:highlight w:val="none"/>
              </w:rPr>
              <w:t xml:space="preserve">≥</w:t>
            </w:r>
            <w:r>
              <w:rPr>
                <w:rFonts w:ascii="仿宋" w:hAnsi="仿宋" w:eastAsia="仿宋" w:cs="仿宋"/>
                <w:color w:val="auto"/>
                <w:szCs w:val="21"/>
                <w:highlight w:val="none"/>
              </w:rPr>
              <w:t xml:space="preserve">500×350mm，翻牌区域≥300×200mm，数字高度≥150mm，远距离清晰可辨。</w:t>
            </w:r>
            <w:r/>
          </w:p>
          <w:p>
            <w:pPr>
              <w:jc w:val="left"/>
              <w:rPr>
                <w:rFonts w:ascii="仿宋" w:hAnsi="仿宋" w:eastAsia="仿宋" w:cs="仿宋"/>
                <w:color w:val="auto"/>
                <w:szCs w:val="21"/>
                <w:highlight w:val="none"/>
              </w:rPr>
            </w:pPr>
            <w:r>
              <w:rPr>
                <w:rFonts w:ascii="仿宋" w:hAnsi="仿宋" w:eastAsia="仿宋" w:cs="仿宋"/>
                <w:color w:val="auto"/>
                <w:szCs w:val="21"/>
                <w:highlight w:val="none"/>
              </w:rPr>
              <w:t xml:space="preserve">3.配手提式支架或挂墙安装孔，室外使用不变形不褪色。</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角旗(含旗杆)</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面</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1.由旗杆、旗面和预埋件组成，旗杆高：≥1500（㎜）。 2.材质：玻璃钢，规格：≥φ</w:t>
            </w:r>
            <w:r>
              <w:rPr>
                <w:rFonts w:ascii="仿宋" w:hAnsi="仿宋" w:eastAsia="仿宋" w:cs="仿宋"/>
                <w:color w:val="auto"/>
                <w:szCs w:val="21"/>
                <w:highlight w:val="none"/>
              </w:rPr>
              <w:t xml:space="preserve">31.5×3mm</w:t>
            </w:r>
            <w:r>
              <w:rPr>
                <w:rFonts w:hint="eastAsia" w:ascii="仿宋" w:hAnsi="仿宋" w:eastAsia="仿宋" w:cs="仿宋"/>
                <w:color w:val="auto"/>
                <w:szCs w:val="21"/>
                <w:highlight w:val="none"/>
              </w:rPr>
              <w:t xml:space="preserve">圆管，旗杆顶端用塑料盖封顶，底部设计有弹簧，确保受力后能迅速复位 旗面规格：约</w:t>
            </w:r>
            <w:r>
              <w:rPr>
                <w:rFonts w:ascii="仿宋" w:hAnsi="仿宋" w:eastAsia="仿宋" w:cs="仿宋"/>
                <w:color w:val="auto"/>
                <w:szCs w:val="21"/>
                <w:highlight w:val="none"/>
              </w:rPr>
              <w:t xml:space="preserve">500×400mm</w:t>
            </w:r>
            <w:r>
              <w:rPr>
                <w:rFonts w:hint="eastAsia" w:ascii="仿宋" w:hAnsi="仿宋" w:eastAsia="仿宋" w:cs="仿宋"/>
                <w:color w:val="auto"/>
                <w:szCs w:val="21"/>
                <w:highlight w:val="none"/>
              </w:rPr>
              <w:t xml:space="preserve">，旗面采用黄色旗布，边缘埋头对折，旗套下边缘缝有黄色旗带。</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3.材质：Q235B,规格：≥φ</w:t>
            </w:r>
            <w:r>
              <w:rPr>
                <w:rFonts w:ascii="仿宋" w:hAnsi="仿宋" w:eastAsia="仿宋" w:cs="仿宋"/>
                <w:color w:val="auto"/>
                <w:szCs w:val="21"/>
                <w:highlight w:val="none"/>
              </w:rPr>
              <w:t xml:space="preserve">32×2mm</w:t>
            </w:r>
            <w:r>
              <w:rPr>
                <w:rFonts w:hint="eastAsia" w:ascii="仿宋" w:hAnsi="仿宋" w:eastAsia="仿宋" w:cs="仿宋"/>
                <w:color w:val="auto"/>
                <w:szCs w:val="21"/>
                <w:highlight w:val="none"/>
              </w:rPr>
              <w:t xml:space="preserve">热镀锌管，底部铁板封口，设有漏水孔，顶部有螺纹套，方便连接旗杆 角旗使用时，将旗杆拧进预埋件顶部的螺纹孔中即可 角旗不使用时，将旗杆退出预埋件顶部的螺纹孔，拧上标准螺栓中即可。</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4.具有耐酸碱、耐湿热、抗老化、外观美观等优点，能适合潮湿和酸雨环境，涂料均为绿色环保无毒产品，避免损害使用者的健康。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训练足球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5号足球</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1.尺寸圆周：680mm ~ 700mm。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2.重量区间：标准400g ~ 430g，日常训练优选轻重适中，适合反复盘带、射门练习。</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3.充气气压：0.6~0.8Bar（8.7~11.6PSI），1.8米自由下落回弹高度约60%~65%。</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4.适用场地：人工草坪、天然草坪、塑胶操场，也可短期在水泥地简单练习。</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5.普通聚氨酯PU，厚度0.9~1.2mm，表面浅纹路颗粒机械缝合拼接，缝线牢固 适用于日常训练球配置。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边裁旗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1.2面/套，配袋，由旗杆、旗面和把套组成。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2.铝合金管，规格：≥Φ</w:t>
            </w:r>
            <w:r>
              <w:rPr>
                <w:rFonts w:ascii="仿宋" w:hAnsi="仿宋" w:eastAsia="仿宋" w:cs="仿宋"/>
                <w:color w:val="auto"/>
                <w:szCs w:val="21"/>
                <w:highlight w:val="none"/>
              </w:rPr>
              <w:t xml:space="preserve">16×1mm</w:t>
            </w:r>
            <w:r>
              <w:rPr>
                <w:rFonts w:hint="eastAsia" w:ascii="仿宋" w:hAnsi="仿宋" w:eastAsia="仿宋" w:cs="仿宋"/>
                <w:color w:val="auto"/>
                <w:szCs w:val="21"/>
                <w:highlight w:val="none"/>
              </w:rPr>
              <w:t xml:space="preserve">，涤纶布料，规格：≥</w:t>
            </w:r>
            <w:r>
              <w:rPr>
                <w:rFonts w:ascii="仿宋" w:hAnsi="仿宋" w:eastAsia="仿宋" w:cs="仿宋"/>
                <w:color w:val="auto"/>
                <w:szCs w:val="21"/>
                <w:highlight w:val="none"/>
              </w:rPr>
              <w:t xml:space="preserve">400×≥500</w:t>
            </w:r>
            <w:r>
              <w:rPr>
                <w:rFonts w:hint="eastAsia" w:ascii="仿宋" w:hAnsi="仿宋" w:eastAsia="仿宋" w:cs="仿宋"/>
                <w:color w:val="auto"/>
                <w:szCs w:val="21"/>
                <w:highlight w:val="none"/>
              </w:rPr>
              <w:t xml:space="preserve">（㎜），橡塑软把套，防滑性能好，手感舒适。</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3.红、黄混合色，避免与运动员服装颜色重复，配合部分设计成活络机构，避免在使用时旗面与旗杆绞和在一起，手旗配有小包，外观精致。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秒表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1.基础计时：支持24小时计时，精确度达1/100秒（最大显示：23:59'59.99"）。</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2.分段计时（Lap Time）：可记录≥60组分段成绩。 倒计时：支持预设倒计时（通常为1分钟至24小时范围）。</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3.屏幕：LCD数字显示屏，可能配备背光功能（便于暗光环境使用）。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4.按键：防滑设计，适应运动场景操作。</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5.外壳材质：抗冲击树脂，轻便耐用。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6.电池与续航 电池类型：</w:t>
            </w:r>
            <w:r>
              <w:rPr>
                <w:rFonts w:ascii="仿宋" w:hAnsi="仿宋" w:eastAsia="仿宋" w:cs="仿宋"/>
                <w:color w:val="auto"/>
                <w:szCs w:val="21"/>
                <w:highlight w:val="none"/>
              </w:rPr>
              <w:t xml:space="preserve">CR2032或等效纽扣电池</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7.电池寿命：≥5年（依使用频率而异）。</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8.防水等级：IPX4或类似生活防水（防汗、防小雨）。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9.自动保存功能：断电后保留最后一次计时数据。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篮球口哨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1.核心材质 主体：ABS 树脂。 配件：附带挂绳、护齿（3 个）及收纳盒。</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2.尺寸与重量 长度：≤ 8cm（直柄设计，便于握持）。 重量：20-30g（轻量便携）。</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3.无核结构：无内部滚动部件，避免杂音，哨声响亮、穿透性强。</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4.多场景适配：适用于篮球、足球、排球等运动裁判及训练。</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5.防脱落设计：可调节挂绳，防止使用中意外掉落。</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6.高音哨声：音量大且尖锐，适合嘈杂环境（如比赛场馆）。</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7.人体工学：半圆弧形吹嘴贴合唇部，减少吹奏疲劳。</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8.适用场景 体育赛事：专业比赛裁判判罚信号。日常训练：学校、健身房等集体活动指挥。</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起跑器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1.总体长宽高：≥90cm*33cm*16cm。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2.主体：长≥90cm，宽≥8cm，厚≥6mm。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3.后垫板板：≥长24cm，宽≥8cm，厚≥12mm。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4.脚踏板：长≥17.7cm，宽≥12.2cm，≥高16cm （≥4档调节）。</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5.提手不锈钢材质。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钉鞋</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双</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1.适用场景</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①短跑项目：100米、200米、400米比赛及训练。</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②跳远/跨栏：助跑阶段提供爆发力和抓地力。</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③塑胶跑道：短钉设计（5-7mm）适配标准场地。</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2.核心材质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①鞋面：透气网布、合成革或 PU 材质，鞋面部分采用透气网布或合成材料。</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②中底：轻量回弹材料：如 </w:t>
            </w:r>
            <w:r>
              <w:rPr>
                <w:rFonts w:ascii="仿宋" w:hAnsi="仿宋" w:eastAsia="仿宋" w:cs="仿宋"/>
                <w:color w:val="auto"/>
                <w:szCs w:val="21"/>
                <w:highlight w:val="none"/>
              </w:rPr>
              <w:t xml:space="preserve">EVA、轻量发泡材料</w:t>
            </w:r>
            <w:r>
              <w:rPr>
                <w:rFonts w:hint="eastAsia" w:ascii="仿宋" w:hAnsi="仿宋" w:eastAsia="仿宋" w:cs="仿宋"/>
                <w:color w:val="auto"/>
                <w:szCs w:val="21"/>
                <w:highlight w:val="none"/>
              </w:rPr>
              <w:t xml:space="preserve">（缓震性强）。</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③外底：耐磨材料：尼龙 + 复合材料或高密度橡胶，增强抓地力。</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3.钉鞋设计</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①钉数：7颗（前掌6钉+后跟1钉），部分型号为半掌7钉。</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②钉材质：钢钉（训练用）或碳钉（专业比赛，轻量且抓地力强）。 </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③钉长：5-7mm（塑胶跑道），可更换长钉适配煤渣跑道。</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4.重量与尺寸</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①单鞋重量：约 200-250g。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②尺码范围：35-45码。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道次牌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1.道次墩采用δ≥3mm玻璃钢材料制作，底座呈正三角形，基本尺寸：底座x高度≥边长</w:t>
            </w:r>
            <w:r>
              <w:rPr>
                <w:rFonts w:ascii="仿宋" w:hAnsi="仿宋" w:eastAsia="仿宋" w:cs="仿宋"/>
                <w:color w:val="auto"/>
                <w:szCs w:val="21"/>
                <w:highlight w:val="none"/>
                <w:lang w:bidi="ar"/>
              </w:rPr>
              <w:t xml:space="preserve">470×435mm</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2.道次墩可坐人，每套共8只，号码为1-8号。其中两面为红色号码，另一面为黑色号码。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接力棒</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1.接力棒尺寸：φ≥38，长度280-300（mm）。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2.接力棒采用δ≥0.5的铝合金制作，棒的两端倒角卷边处理。</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3.接力棒的重量至少为50g。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4.棒的表面经氧化处理，颜色分红、黄、蓝、青、降红、黑色等。 </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100米钢卷尺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1.量程与精度</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①量程：100米（明确标注）。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②精度等级：按QB/T 2443-2024要求，误差应符合</w:t>
            </w:r>
            <w:r>
              <w:rPr>
                <w:rFonts w:ascii="仿宋" w:hAnsi="仿宋" w:eastAsia="仿宋" w:cs="仿宋"/>
                <w:color w:val="auto"/>
                <w:szCs w:val="21"/>
                <w:highlight w:val="none"/>
              </w:rPr>
              <w:t xml:space="preserve">QB/T 2443-2024要求</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③示值误差：100mm内：±0.06mm；1000mm内：±0.08mm；超过1000mm：±(0.03mm +3×10⁻⁵L)，L为实际长度（米分段计算）。</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2.尺带规格</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①宽度：12~15 mm（宽度差≤0.2mm）。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②厚度：0.22~0.50 mm（厚度差≤0.02mm）。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③材质：热轧卷钢或不锈钢。</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3.线纹与标识</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①线纹宽度：0.08~0.12 mm（宽度差≤0.02mm）。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②刻度制式：公制（cm/m），刻度清晰耐磨。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50米钢卷尺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1.量程与精度</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①量程：50米（明确标注）。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②精度等级：按QB/T2443-2024要求，误差应符合</w:t>
            </w:r>
            <w:r>
              <w:rPr>
                <w:rFonts w:ascii="仿宋" w:hAnsi="仿宋" w:eastAsia="仿宋" w:cs="仿宋"/>
                <w:color w:val="auto"/>
                <w:szCs w:val="21"/>
                <w:highlight w:val="none"/>
              </w:rPr>
              <w:t xml:space="preserve">QB/T 2443-2024要求</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③示值误差：100mm内：±0.06mm；1000mm内：±0.08mm；超过1000mm：±(0.03mm+3×10⁻⁵L)，L为实际长度（米分段计算）。</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2.尺带规格</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①宽度：12~15 mm（宽度差≤0.2mm）。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②厚度：0.22~0.50 mm（厚度差≤0.02mm）。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③材质：热轧卷钢（需明确标注）。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3.线纹与标识</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①线纹宽度：0.08~0.12 mm（宽度差≤0.02mm）。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②刻度制式：公制（cm/m），刻度清晰耐磨。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20米钢卷尺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1.量程与精度</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①量程：20米（明确标注）。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②精度等级：按QB/T2443-2024要求，误差应符合</w:t>
            </w:r>
            <w:r>
              <w:rPr>
                <w:rFonts w:ascii="仿宋" w:hAnsi="仿宋" w:eastAsia="仿宋" w:cs="仿宋"/>
                <w:color w:val="auto"/>
                <w:szCs w:val="21"/>
                <w:highlight w:val="none"/>
              </w:rPr>
              <w:t xml:space="preserve">QB/T 2443-2024要求</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③示值误差：100mm内：±0.06mm；1000mm内：±0.08mm；超过1000mm：±(0.03mm+3×10⁻⁵L)，L为实际长度（米分段计算）。</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2.尺带规格</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①宽度：10~15mm。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②厚度：0.22~0.50 mm（厚度差≤0.02mm）。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③材质：热轧卷钢（需明确标注）。 </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3.线纹与标识</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①线纹宽度：0.08~0.12mm（宽度差≤0.02mm）。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②刻度制式：公制（cm/m），刻度清晰耐磨。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50米皮尺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1.量程与精度</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①量程：50米（明确标注）。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②示值误差：≤±2mm。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③最小分度值：5mm（需清晰标注）。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2.尺带规格</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①材质：包胶纤维、布质或其他柔性材料。</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②宽度/厚度：常见为10~15mm宽，厚度根据材质调整。</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3.线纹与标识</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①刻度制式：公制（cm/m），双面刻度；</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②刻度要求：整厘米处印制清晰数值，半厘米刻度以长短线区分；刻线均匀、垂直纵边，无断线，刻度值耐磨不易脱落。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15米皮尺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1.量程与精度</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①量程：15米（明确标注）。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②示值误差：≤±3mm（参考 QB/T2443-2024 钢卷尺标准，需根据采购方需求调整）。</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③最小分度值：5mm或1cm（需清晰标注）。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2.尺带规格</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①材质：包胶纤维、布质或柔性复合材料。</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②宽度/厚度：常见为10~15mm宽（需明确标注）。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3.线纹与标识</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①刻度制式：公制（cm/m），单面或双面刻度。</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②刻度要求：整厘米处印制数值，半厘米刻度以长短线区分； 刻线均匀、垂直纵边，无断线，刻度值耐磨不易脱落。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画线推车</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1.单道划线车划线宽度可调：5cm-12cm。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2.划线车主要由料斗、料斗架、走轮架、手柄和线宽调节结构组成。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3.料斗采用≥1mm冷轧板在专用模具上制作。料斗架与走轮架主要采用Ф≥25×2、Ф≥30×1.5、3mm铁板、□≥150×150×3优质管材拼焊而成。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4.手柄采用φ≥32x1.5圆管在弯管机上一次成型，整洁实用。手柄上装有巴套，手感舒适。</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5.划线车走轮共3只，均为PU轮。能有效保护地面不受损伤，并且推行平稳。</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6.划线车所有紧固件均采用达克锈处理或热镀锌处理，适用于户外，能保证长年不生锈。 </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1.5Kg实心球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1.重量与规格</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①重量：1.5kg（明确标注，误差 ±0.05kg）。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②直径：约13~14cm（需符合人体工学设计，方便握持）。</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③外皮材质：防滑橡胶； PU材质。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2.功能设计</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①充气式结构：内置乳胶内胆，可调节气压。</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②表面处理：防滑纹路设计（如颗粒状、凹点结构）。</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③颜色：橙色、白色等醒目色彩。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3米跳高丈量尺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1.跳高丈量尺主要由立杆和测高器二部分组成。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2.跳高丈量尺立杆采用铝合金型材制作，上面标有刻度，调高范围：600-2900㎜。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2kg实心球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1.重量</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①标准重量：2kg（明确标注，误差 ±0.05kg）。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①外壳：橡胶（高密度生胶铸造）或硬塑料，表面带规则防滑小刺（中考专用球要求）。</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③填充物：沙子，球体内无滚动物体。</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3.尺寸</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①直径：约14cm（2kg规格）。</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4.适用场景</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①中考体育考试：符合中教委规定的考试用球标准。</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②日常训练：适合学校、健身房等场景。</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5.设计特点</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①充气式：充气橡胶材质，便于携带和调整重量。</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②防滑设计：表面纹理或小刺增强握持稳定性。</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跳高架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1.跳高架由底座、固定立柱、移动立柱、横杆托架、微调支脚构成。产品形式简洁，结构合理，可装拆，便于运输和包装。</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2.固定立柱与移动立柱选用铝合金型材，型材之间采用燕尾槽配合，合并尺寸为：45（±5%）*90（±5%）mm，表面氧化处理。固定立柱上贴有不锈钢标尺，刻度调节范围：600-2600mm。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3.底座长405（±5%）*335（±5%）*40（±5%）mm，选用δ8（±5%）厚铸钢浇筑一次成型，避免了焊接造成的接口腐蚀；单只底座重量≥10kg；底部设有PU滚轮，移动方便。</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4.跳高架横杆托架采用铝压铸件，具有防腐蚀性、安全、牢固等优点且上下移动方便。</w:t>
            </w:r>
            <w:r/>
          </w:p>
          <w:p>
            <w:pPr>
              <w:jc w:val="left"/>
              <w:rPr>
                <w:rFonts w:ascii="仿宋" w:hAnsi="仿宋" w:eastAsia="仿宋" w:cs="仿宋"/>
                <w:b/>
                <w:bCs/>
                <w:color w:val="auto"/>
                <w:szCs w:val="21"/>
                <w:highlight w:val="none"/>
              </w:rPr>
            </w:pPr>
            <w:r>
              <w:rPr>
                <w:rFonts w:hint="eastAsia" w:ascii="仿宋" w:hAnsi="仿宋" w:eastAsia="仿宋" w:cs="仿宋"/>
                <w:color w:val="auto"/>
                <w:szCs w:val="21"/>
                <w:highlight w:val="none"/>
              </w:rPr>
              <w:t xml:space="preserve">5.跳高架底座底部设有微调机构，通过调节微调机构可满足场地不平整引起的跳高架的稳定性和横杆的高度要求。</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移动式跳高海绵包</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1.跳高海绵包主体由三层重磅发泡海绵组成。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2.海绵密度25±3kg/m³弹力均衡，柔软适中。</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3.基本尺寸：长≥4000㎜，宽≥2000㎜，厚≥400㎜。</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5.海绵垫中层人体落地区域配有“井”字形框架结构，用以满足落地时人体对弹性及缓冲的要求。</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6.海绵垫表面罩有防水帆布套，套子侧面装有拉链及拉手攀，且四周设有排气孔。</w:t>
            </w:r>
            <w:r/>
          </w:p>
        </w:tc>
      </w:tr>
      <w:tr>
        <w:trPr>
          <w:jc w:val="center"/>
          <w:trHeight w:val="1975"/>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背跃式跳高海绵包</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1.海绵垫主体由三层重磅发泡海绵组成，弹力均衡，柔软适中。</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2.海绵垫基本尺寸：长</w:t>
            </w:r>
            <w:r>
              <w:rPr>
                <w:rFonts w:ascii="仿宋" w:hAnsi="仿宋" w:eastAsia="仿宋" w:cs="仿宋"/>
                <w:color w:val="auto"/>
                <w:szCs w:val="21"/>
                <w:highlight w:val="none"/>
              </w:rPr>
              <w:t xml:space="preserve">x宽x厚≥5×3×0.7（米）</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3.海绵垫的中层配以“#”字形框架结构组合，用以满足落地时人体对弹性及缓冲的要求。</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4.海绵垫表面罩防水帆布套，套子侧面装有拉链及拉手攀，且四周设有排气孔。</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跳高海绵垫底架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1.此产品置于</w:t>
            </w:r>
            <w:r>
              <w:rPr>
                <w:rFonts w:hint="eastAsia" w:ascii="仿宋" w:hAnsi="仿宋" w:eastAsia="仿宋" w:cs="仿宋"/>
                <w:color w:val="auto"/>
                <w:szCs w:val="21"/>
                <w:highlight w:val="none"/>
                <w:lang w:bidi="ar"/>
              </w:rPr>
              <w:t xml:space="preserve">背跃式跳高海绵包</w:t>
            </w:r>
            <w:r>
              <w:rPr>
                <w:rFonts w:hint="eastAsia" w:ascii="仿宋" w:hAnsi="仿宋" w:eastAsia="仿宋" w:cs="仿宋"/>
                <w:color w:val="auto"/>
                <w:szCs w:val="21"/>
                <w:highlight w:val="none"/>
              </w:rPr>
              <w:t xml:space="preserve">底部。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2.基本尺寸：约</w:t>
            </w:r>
            <w:r>
              <w:rPr>
                <w:rFonts w:ascii="仿宋" w:hAnsi="仿宋" w:eastAsia="仿宋" w:cs="仿宋"/>
                <w:color w:val="auto"/>
                <w:szCs w:val="21"/>
                <w:highlight w:val="none"/>
              </w:rPr>
              <w:t xml:space="preserve">4.8</w:t>
            </w:r>
            <w:r>
              <w:rPr>
                <w:rFonts w:hint="eastAsia" w:ascii="仿宋" w:hAnsi="仿宋" w:eastAsia="仿宋" w:cs="仿宋"/>
                <w:color w:val="auto"/>
                <w:szCs w:val="21"/>
                <w:highlight w:val="none"/>
              </w:rPr>
              <w:t xml:space="preserve">（±5%）</w:t>
            </w:r>
            <w:r>
              <w:rPr>
                <w:rFonts w:ascii="仿宋" w:hAnsi="仿宋" w:eastAsia="仿宋" w:cs="仿宋"/>
                <w:color w:val="auto"/>
                <w:szCs w:val="21"/>
                <w:highlight w:val="none"/>
              </w:rPr>
              <w:t xml:space="preserve">×2.8</w:t>
            </w:r>
            <w:r>
              <w:rPr>
                <w:rFonts w:hint="eastAsia" w:ascii="仿宋" w:hAnsi="仿宋" w:eastAsia="仿宋" w:cs="仿宋"/>
                <w:color w:val="auto"/>
                <w:szCs w:val="21"/>
                <w:highlight w:val="none"/>
              </w:rPr>
              <w:t xml:space="preserve">（±5%）</w:t>
            </w:r>
            <w:r>
              <w:rPr>
                <w:rFonts w:ascii="仿宋" w:hAnsi="仿宋" w:eastAsia="仿宋" w:cs="仿宋"/>
                <w:color w:val="auto"/>
                <w:szCs w:val="21"/>
                <w:highlight w:val="none"/>
              </w:rPr>
              <w:t xml:space="preserve">×0.1</w:t>
            </w:r>
            <w:r>
              <w:rPr>
                <w:rFonts w:hint="eastAsia" w:ascii="仿宋" w:hAnsi="仿宋" w:eastAsia="仿宋" w:cs="仿宋"/>
                <w:color w:val="auto"/>
                <w:szCs w:val="21"/>
                <w:highlight w:val="none"/>
              </w:rPr>
              <w:t xml:space="preserve">（±5%）</w:t>
            </w:r>
            <w:r>
              <w:rPr>
                <w:rFonts w:ascii="仿宋" w:hAnsi="仿宋" w:eastAsia="仿宋" w:cs="仿宋"/>
                <w:color w:val="auto"/>
                <w:szCs w:val="21"/>
                <w:highlight w:val="none"/>
              </w:rPr>
              <w:t xml:space="preserve">（m）</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3.跳高海绵垫底架由五小块底架通过连接片连接而成。防锈蚀性强，每块底架主要采用口≥30×20、口≥20×20方管拼焊组成，焊接牢固，焊缝表面均匀光滑，无虚焊。</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跳高横竿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1.调高横杆由横杆和横杆接头组成。</w:t>
            </w:r>
            <w:r/>
          </w:p>
          <w:p>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2.横杆采用φ30（±5%）的玻璃钢材料制作，横杆接头采用特殊的外形结构。</w:t>
            </w:r>
            <w:r/>
          </w:p>
          <w:p>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3.跳高横杆总长为4000MM。</w:t>
            </w:r>
            <w:r/>
          </w:p>
          <w:p>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4.横杆表面喷白、暗红双色漆，中间段为白色。</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摸高器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1.材质：主立柱 φ</w:t>
            </w:r>
            <w:r>
              <w:rPr>
                <w:rFonts w:ascii="仿宋" w:hAnsi="仿宋" w:eastAsia="仿宋" w:cs="仿宋"/>
                <w:color w:val="auto"/>
                <w:szCs w:val="21"/>
                <w:highlight w:val="none"/>
              </w:rPr>
              <w:t xml:space="preserve">114</w:t>
            </w:r>
            <w:r>
              <w:rPr>
                <w:rFonts w:hint="eastAsia" w:ascii="仿宋" w:hAnsi="仿宋" w:eastAsia="仿宋" w:cs="仿宋"/>
                <w:color w:val="auto"/>
                <w:szCs w:val="21"/>
                <w:highlight w:val="none"/>
                <w:lang w:bidi="ar"/>
              </w:rPr>
              <w:t xml:space="preserve">（±5%）</w:t>
            </w:r>
            <w:r>
              <w:rPr>
                <w:rFonts w:ascii="仿宋" w:hAnsi="仿宋" w:eastAsia="仿宋" w:cs="仿宋"/>
                <w:color w:val="auto"/>
                <w:szCs w:val="21"/>
                <w:highlight w:val="none"/>
              </w:rPr>
              <w:t xml:space="preserve">×3</w:t>
            </w:r>
            <w:r>
              <w:rPr>
                <w:rFonts w:hint="eastAsia" w:ascii="仿宋" w:hAnsi="仿宋" w:eastAsia="仿宋" w:cs="仿宋"/>
                <w:color w:val="auto"/>
                <w:szCs w:val="21"/>
                <w:highlight w:val="none"/>
                <w:lang w:bidi="ar"/>
              </w:rPr>
              <w:t xml:space="preserve">（±5%）</w:t>
            </w:r>
            <w:r>
              <w:rPr>
                <w:rFonts w:ascii="仿宋" w:hAnsi="仿宋" w:eastAsia="仿宋" w:cs="仿宋"/>
                <w:color w:val="auto"/>
                <w:szCs w:val="21"/>
                <w:highlight w:val="none"/>
              </w:rPr>
              <w:t xml:space="preserve">mm</w:t>
            </w:r>
            <w:r>
              <w:rPr>
                <w:rFonts w:hint="eastAsia" w:ascii="仿宋" w:hAnsi="仿宋" w:eastAsia="仿宋" w:cs="仿宋"/>
                <w:color w:val="auto"/>
                <w:szCs w:val="21"/>
                <w:highlight w:val="none"/>
              </w:rPr>
              <w:t xml:space="preserve"> Q235B 碳素结构钢，摸高球优质PE材质。</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2.外形尺寸：（长×宽×高）≥990×110×2715mm；摸高范围：1960-2460mm，每100mm一档，共6个球。</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3.安装方式：直埋式，埋地深度600mm，地基尺寸≥</w:t>
            </w:r>
            <w:r>
              <w:rPr>
                <w:rFonts w:ascii="仿宋" w:hAnsi="仿宋" w:eastAsia="仿宋" w:cs="仿宋"/>
                <w:color w:val="auto"/>
                <w:szCs w:val="21"/>
                <w:highlight w:val="none"/>
              </w:rPr>
              <w:t xml:space="preserve">500×500×700mm</w:t>
            </w:r>
            <w:r>
              <w:rPr>
                <w:rFonts w:hint="eastAsia" w:ascii="仿宋" w:hAnsi="仿宋" w:eastAsia="仿宋" w:cs="仿宋"/>
                <w:color w:val="auto"/>
                <w:szCs w:val="21"/>
                <w:highlight w:val="none"/>
              </w:rPr>
              <w:t xml:space="preserve">（C20混凝土）；最大承载120KG。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4.表面处理：酸洗+磷化+静电环氧粉末喷涂，涂层厚度 60-130um，36小时盐雾试验无锈蚀，铅笔硬度3H+。</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5.安全要求：无尖锐棱角，部件间距≥30mm/＜8mm，无钩挂结构，外露紧固件不锈钢防盗设计。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平砂板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1.尺寸：≥1.65×0.90（m）。</w:t>
            </w:r>
            <w:r>
              <w:rPr>
                <w:rFonts w:hint="eastAsia" w:ascii="仿宋" w:hAnsi="仿宋" w:eastAsia="仿宋" w:cs="仿宋"/>
                <w:color w:val="auto"/>
                <w:szCs w:val="21"/>
                <w:highlight w:val="none"/>
              </w:rPr>
              <w:br/>
            </w:r>
            <w:r>
              <w:rPr>
                <w:rFonts w:hint="eastAsia" w:ascii="仿宋" w:hAnsi="仿宋" w:eastAsia="仿宋" w:cs="仿宋"/>
                <w:color w:val="auto"/>
                <w:szCs w:val="21"/>
                <w:highlight w:val="none"/>
              </w:rPr>
              <w:t xml:space="preserve">2.铝合金平砂板主要由手柄、支撑杆与平砂板三部分拼装而成。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3.支撑杆与平砂板采用铝合金型材，表面氧化。手柄采用Φ30×2铝管，长度为≥1650mm。 </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4.手柄处装有巴套，握持舒适。</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海绵垫</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1.海绵垫主体由压缩海绵组成，弹力均衡，柔软适中。</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2.海绵垫基本尺寸：长x宽x厚=2</w:t>
            </w:r>
            <w:r>
              <w:rPr>
                <w:rFonts w:hint="eastAsia" w:ascii="仿宋" w:hAnsi="仿宋" w:eastAsia="仿宋" w:cs="仿宋"/>
                <w:color w:val="auto"/>
                <w:szCs w:val="21"/>
                <w:highlight w:val="none"/>
                <w:lang w:bidi="ar"/>
              </w:rPr>
              <w:t xml:space="preserve">（±5%）</w:t>
            </w: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bidi="ar"/>
              </w:rPr>
              <w:t xml:space="preserve">（±5%）</w:t>
            </w:r>
            <w:r>
              <w:rPr>
                <w:rFonts w:hint="eastAsia" w:ascii="仿宋" w:hAnsi="仿宋" w:eastAsia="仿宋" w:cs="仿宋"/>
                <w:color w:val="auto"/>
                <w:szCs w:val="21"/>
                <w:highlight w:val="none"/>
              </w:rPr>
              <w:t xml:space="preserve">×0.1</w:t>
            </w:r>
            <w:r>
              <w:rPr>
                <w:rFonts w:hint="eastAsia" w:ascii="仿宋" w:hAnsi="仿宋" w:eastAsia="仿宋" w:cs="仿宋"/>
                <w:color w:val="auto"/>
                <w:szCs w:val="21"/>
                <w:highlight w:val="none"/>
                <w:lang w:bidi="ar"/>
              </w:rPr>
              <w:t xml:space="preserve">（±5%）</w:t>
            </w:r>
            <w:r>
              <w:rPr>
                <w:rFonts w:hint="eastAsia" w:ascii="仿宋" w:hAnsi="仿宋" w:eastAsia="仿宋" w:cs="仿宋"/>
                <w:color w:val="auto"/>
                <w:szCs w:val="21"/>
                <w:highlight w:val="none"/>
              </w:rPr>
              <w:t xml:space="preserve">（米）。</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3.海绵垫表面罩PVC套，套子侧面装有拉链及拉手攀，且四周设有排气孔。</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记圈牌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1.记圈牌主要由记录板和支架组成。</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2.记圈牌记录板采用复合玻璃钢板四周铝合金包边制成，外形基本尺寸：长×宽≥1200×900（mm）。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3.记圈牌支架采用Φ32×2圆管和口25×25×2方管制作，整体可装拆，运输方便。</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4.计圈牌支架底部配有万向轮，移动方便。</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5.计圈牌配备兰色磁性珠16颗，珠子上印有黄色号码1-16号。</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6.产品涂层厚度70—80um，铅笔硬度达3H+。具有耐酸碱、耐湿热、抗老化、外观整洁等优点，能适合潮湿和酸雨环境，且前处理过程以及产品涂料配方均不含有毒元素，避免损害使用者的健康。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海绵垫</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1.海绵垫主体由重泡海绵组成，弹力均衡，柔软适中。</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2.海绵垫基本尺寸：长x宽x厚=1.2</w:t>
            </w:r>
            <w:r>
              <w:rPr>
                <w:rFonts w:hint="eastAsia" w:ascii="仿宋" w:hAnsi="仿宋" w:eastAsia="仿宋" w:cs="仿宋"/>
                <w:color w:val="auto"/>
                <w:szCs w:val="21"/>
                <w:highlight w:val="none"/>
                <w:lang w:bidi="ar"/>
              </w:rPr>
              <w:t xml:space="preserve">（±5%）</w:t>
            </w:r>
            <w:r>
              <w:rPr>
                <w:rFonts w:hint="eastAsia" w:ascii="仿宋" w:hAnsi="仿宋" w:eastAsia="仿宋" w:cs="仿宋"/>
                <w:color w:val="auto"/>
                <w:szCs w:val="21"/>
                <w:highlight w:val="none"/>
              </w:rPr>
              <w:t xml:space="preserve">×0.6</w:t>
            </w:r>
            <w:r>
              <w:rPr>
                <w:rFonts w:hint="eastAsia" w:ascii="仿宋" w:hAnsi="仿宋" w:eastAsia="仿宋" w:cs="仿宋"/>
                <w:color w:val="auto"/>
                <w:szCs w:val="21"/>
                <w:highlight w:val="none"/>
                <w:lang w:bidi="ar"/>
              </w:rPr>
              <w:t xml:space="preserve">（±5%）</w:t>
            </w:r>
            <w:r>
              <w:rPr>
                <w:rFonts w:hint="eastAsia" w:ascii="仿宋" w:hAnsi="仿宋" w:eastAsia="仿宋" w:cs="仿宋"/>
                <w:color w:val="auto"/>
                <w:szCs w:val="21"/>
                <w:highlight w:val="none"/>
              </w:rPr>
              <w:t xml:space="preserve">×0.05</w:t>
            </w:r>
            <w:r>
              <w:rPr>
                <w:rFonts w:hint="eastAsia" w:ascii="仿宋" w:hAnsi="仿宋" w:eastAsia="仿宋" w:cs="仿宋"/>
                <w:color w:val="auto"/>
                <w:szCs w:val="21"/>
                <w:highlight w:val="none"/>
                <w:lang w:bidi="ar"/>
              </w:rPr>
              <w:t xml:space="preserve">（±5%）</w:t>
            </w:r>
            <w:r>
              <w:rPr>
                <w:rFonts w:hint="eastAsia" w:ascii="仿宋" w:hAnsi="仿宋" w:eastAsia="仿宋" w:cs="仿宋"/>
                <w:color w:val="auto"/>
                <w:szCs w:val="21"/>
                <w:highlight w:val="none"/>
              </w:rPr>
              <w:t xml:space="preserve">（米），可折叠。</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3.海绵垫表面罩防水帆布套，套子侧面装有拉链及拉手攀。</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信号旗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面</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1.1面/套，配袋，由旗杆、旗面和把套组成。</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2.铝合金管，规格：≥Φ</w:t>
            </w:r>
            <w:r>
              <w:rPr>
                <w:rFonts w:ascii="仿宋" w:hAnsi="仿宋" w:eastAsia="仿宋" w:cs="仿宋"/>
                <w:color w:val="auto"/>
                <w:szCs w:val="21"/>
                <w:highlight w:val="none"/>
              </w:rPr>
              <w:t xml:space="preserve">16×1mm</w:t>
            </w:r>
            <w:r>
              <w:rPr>
                <w:rFonts w:hint="eastAsia" w:ascii="仿宋" w:hAnsi="仿宋" w:eastAsia="仿宋" w:cs="仿宋"/>
                <w:color w:val="auto"/>
                <w:szCs w:val="21"/>
                <w:highlight w:val="none"/>
              </w:rPr>
              <w:t xml:space="preserve">，涤纶布料，规格：≥</w:t>
            </w:r>
            <w:r>
              <w:rPr>
                <w:rFonts w:ascii="仿宋" w:hAnsi="仿宋" w:eastAsia="仿宋" w:cs="仿宋"/>
                <w:color w:val="auto"/>
                <w:szCs w:val="21"/>
                <w:highlight w:val="none"/>
              </w:rPr>
              <w:t xml:space="preserve">400×≥500</w:t>
            </w:r>
            <w:r>
              <w:rPr>
                <w:rFonts w:hint="eastAsia" w:ascii="仿宋" w:hAnsi="仿宋" w:eastAsia="仿宋" w:cs="仿宋"/>
                <w:color w:val="auto"/>
                <w:szCs w:val="21"/>
                <w:highlight w:val="none"/>
              </w:rPr>
              <w:t xml:space="preserve">（㎜），橡塑软把套，防滑性能好，手感舒适。</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铅球架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1.器材主要由铅球框架和上、下摆放架组成长×宽×高≥1000×580×820（mm）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2.框架材质：Q235B、规格：≥φ32×2mm焊管、≥口30×30×2mm方管，框架圆管在专用弯管机上弯曲成形后拼焊而成，外形精致，小巧玲珑，框架底部分别配置2只φ100PU万向轮和定向轮，移动方便。</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3.摆放架材质：Q235B、主要规格：≥φ22×2mm焊管、≥φ19×2mm焊管，上下摆放架可置放铅球不少于30个，摆放架两端设有拉手，置放方便。</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4.具有耐酸碱、耐湿热、抗老化、外观美观等优点，能适合潮湿和酸雨环境，涂料均为绿色环保无毒产品，避免损害使用者的健康。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3Kg铅球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1.基本规格：重量3.005-3.025kg；直径95-110mm。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2.材料：铸铁。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4Kg铅球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1.基本规格：重量4.005-4.025kg；直径95-110mm。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2.材料：铸铁。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5Kg铅球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1.基本规格：重量5.005-5.025kg；直径100-120mm。</w:t>
            </w:r>
            <w:r/>
          </w:p>
          <w:p>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2.材料：铸铁。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铅球插牌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1.宽*高≥</w:t>
            </w:r>
            <w:r>
              <w:rPr>
                <w:rFonts w:ascii="仿宋" w:hAnsi="仿宋" w:eastAsia="仿宋" w:cs="仿宋"/>
                <w:color w:val="auto"/>
                <w:szCs w:val="21"/>
                <w:highlight w:val="none"/>
              </w:rPr>
              <w:t xml:space="preserve">270×365mm</w:t>
            </w:r>
            <w:r>
              <w:rPr>
                <w:rFonts w:hint="eastAsia" w:ascii="仿宋" w:hAnsi="仿宋" w:eastAsia="仿宋" w:cs="仿宋"/>
                <w:color w:val="auto"/>
                <w:szCs w:val="21"/>
                <w:highlight w:val="none"/>
              </w:rPr>
              <w:t xml:space="preserve">，长*宽≥</w:t>
            </w:r>
            <w:r>
              <w:rPr>
                <w:rFonts w:ascii="仿宋" w:hAnsi="仿宋" w:eastAsia="仿宋" w:cs="仿宋"/>
                <w:color w:val="auto"/>
                <w:szCs w:val="21"/>
                <w:highlight w:val="none"/>
              </w:rPr>
              <w:t xml:space="preserve">200×100mm</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2.材质：Q235B、规格：δ1.6铁板、φ9圆钢，插牌表面喷黑漆，插牌表面可写字，插牌插尖呈削尖状，插拔方便。</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3.具有耐酸碱、耐湿热、抗老化、外观美观等优点，能适合潮湿和酸雨环境，涂料均为绿色环保无毒产品，避免损害使用者的健康。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铅球回送架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1.基本尺寸：长×宽×高≥</w:t>
            </w:r>
            <w:r>
              <w:rPr>
                <w:rFonts w:ascii="仿宋" w:hAnsi="仿宋" w:eastAsia="仿宋" w:cs="仿宋"/>
                <w:color w:val="auto"/>
                <w:szCs w:val="21"/>
                <w:highlight w:val="none"/>
              </w:rPr>
              <w:t xml:space="preserve">18850×525×700mm</w:t>
            </w:r>
            <w:r>
              <w:rPr>
                <w:rFonts w:hint="eastAsia" w:ascii="仿宋" w:hAnsi="仿宋" w:eastAsia="仿宋" w:cs="仿宋"/>
                <w:color w:val="auto"/>
                <w:szCs w:val="21"/>
                <w:highlight w:val="none"/>
              </w:rPr>
              <w:t xml:space="preserve">。</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2.铅球回送器分四段组成，前三段为直段，由高往低，每段长约</w:t>
            </w:r>
            <w:r>
              <w:rPr>
                <w:rFonts w:ascii="仿宋" w:hAnsi="仿宋" w:eastAsia="仿宋" w:cs="仿宋"/>
                <w:color w:val="auto"/>
                <w:szCs w:val="21"/>
                <w:highlight w:val="none"/>
              </w:rPr>
              <w:t xml:space="preserve">5950㎜</w:t>
            </w:r>
            <w:r>
              <w:rPr>
                <w:rFonts w:hint="eastAsia" w:ascii="仿宋" w:hAnsi="仿宋" w:eastAsia="仿宋" w:cs="仿宋"/>
                <w:color w:val="auto"/>
                <w:szCs w:val="21"/>
                <w:highlight w:val="none"/>
              </w:rPr>
              <w:t xml:space="preserve">，第四段呈弯曲状，长1000㎜，确保铅球凭借第一、二、三段从上而下的冲力再缓缓由下而上到达终点。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起跳板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1.尺寸规格：长度：1220mm±5mm，宽度：200mm±3mm，厚度：100mm±2mm。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2.起跳线至前端距离：300mm±5mm。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3.起跳板带螺丝调节固定功能。  </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4.重量：单块重量≥15kg，重心稳定无偏移。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敏捷圈1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1.规格：直径为</w:t>
            </w:r>
            <w:r>
              <w:rPr>
                <w:rFonts w:ascii="仿宋" w:hAnsi="仿宋" w:eastAsia="仿宋" w:cs="仿宋"/>
                <w:color w:val="auto"/>
                <w:szCs w:val="21"/>
                <w:highlight w:val="none"/>
              </w:rPr>
              <w:t xml:space="preserve">30</w:t>
            </w:r>
            <w:r>
              <w:rPr>
                <w:rFonts w:hint="eastAsia" w:ascii="仿宋" w:hAnsi="仿宋" w:eastAsia="仿宋" w:cs="仿宋"/>
                <w:color w:val="auto"/>
                <w:szCs w:val="21"/>
                <w:highlight w:val="none"/>
              </w:rPr>
              <w:t xml:space="preserve">（±0.5）</w:t>
            </w:r>
            <w:r>
              <w:rPr>
                <w:rFonts w:ascii="仿宋" w:hAnsi="仿宋" w:eastAsia="仿宋" w:cs="仿宋"/>
                <w:color w:val="auto"/>
                <w:szCs w:val="21"/>
                <w:highlight w:val="none"/>
              </w:rPr>
              <w:t xml:space="preserve">cm</w:t>
            </w:r>
            <w:r>
              <w:rPr>
                <w:rFonts w:hint="eastAsia" w:ascii="仿宋" w:hAnsi="仿宋" w:eastAsia="仿宋" w:cs="仿宋"/>
                <w:color w:val="auto"/>
                <w:szCs w:val="21"/>
                <w:highlight w:val="none"/>
              </w:rPr>
              <w:t xml:space="preserve">，5 个为一组。</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2.材质：采用耐用、环保材料，符合国家相关环保标准。</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3.性能：具有较好弹性，踩踏后能快速恢复原形；具备一定抗拉伸能力，不易破损；表面有适当摩擦力，防滑且不影响动作灵活性。</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4.外观：颜色鲜艳，不易褪色；表面光滑，无明显瑕疵。</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敏捷圈2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1.规格尺寸：直径为 50（±0.5）cm，每组包含5个敏捷圈。</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2.材质：选用高品质、耐用且环保的材料，例如高强度橡胶或优质热塑性弹性体（TPE），确保在多种环境条件下长期使用不易损坏，且对人体和环境无害，需符合国家相关环保标准。</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3.物理性能：</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①弹性：具备良好弹性，受外力挤压或踩踏后能迅速恢复初始形状，保证使用的连贯性。</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②防滑性：表面设计有合理纹理，以提供足够摩擦力，防止使用者滑倒，确保运动安全。</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4.多功能特性：可拼接，敏捷圈边缘设计有便于连接的结构，能轻松拼接成不同形状和图案，满足多样化训练需求。</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5.外观：颜色鲜艳，不易褪色，增强在不同场地环境下的辨识度；表面平整光滑，无明显毛刺、裂缝等瑕疵。</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小拦架1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1.规格：高度30cm（±0.5cm），5个一组。</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2.材质：主体用高强度工程塑料（如 ABS或聚碳酸酯）。</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3.结构：底座设计稳固（如三角或梯形，带防滑橡胶垫），栏板宽3-5cm 且与底座连接牢固、表面光滑。</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4.外观：颜色鲜艳醒目、耐褪色，整体表面光滑无尖锐边角和毛刺。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小拦架2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1.规格：高度 23cm（±0.5cm），5个一组。</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2.材质：主体用高强度工程塑料（如ABS或聚碳酸酯）。</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3.结构：底座设计稳固（如三角或梯形，带防滑橡胶垫），栏板宽3-5cm 且与底座连接牢固、表面光滑。</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4.外观：颜色鲜艳醒目、耐褪色，整体表面光滑无尖锐边角和毛刺。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落地反弹板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1.规格：长≥</w:t>
            </w:r>
            <w:r>
              <w:rPr>
                <w:rFonts w:ascii="仿宋" w:hAnsi="仿宋" w:eastAsia="仿宋" w:cs="仿宋"/>
                <w:color w:val="auto"/>
                <w:szCs w:val="21"/>
                <w:highlight w:val="none"/>
              </w:rPr>
              <w:t xml:space="preserve">100cm</w:t>
            </w:r>
            <w:r>
              <w:rPr>
                <w:rFonts w:hint="eastAsia" w:ascii="仿宋" w:hAnsi="仿宋" w:eastAsia="仿宋" w:cs="仿宋"/>
                <w:color w:val="auto"/>
                <w:szCs w:val="21"/>
                <w:highlight w:val="none"/>
              </w:rPr>
              <w:t xml:space="preserve">、宽≥</w:t>
            </w:r>
            <w:r>
              <w:rPr>
                <w:rFonts w:ascii="仿宋" w:hAnsi="仿宋" w:eastAsia="仿宋" w:cs="仿宋"/>
                <w:color w:val="auto"/>
                <w:szCs w:val="21"/>
                <w:highlight w:val="none"/>
              </w:rPr>
              <w:t xml:space="preserve">40cm</w:t>
            </w:r>
            <w:r>
              <w:rPr>
                <w:rFonts w:hint="eastAsia" w:ascii="仿宋" w:hAnsi="仿宋" w:eastAsia="仿宋" w:cs="仿宋"/>
                <w:color w:val="auto"/>
                <w:szCs w:val="21"/>
                <w:highlight w:val="none"/>
              </w:rPr>
              <w:t xml:space="preserve">、厚≥</w:t>
            </w:r>
            <w:r>
              <w:rPr>
                <w:rFonts w:ascii="仿宋" w:hAnsi="仿宋" w:eastAsia="仿宋" w:cs="仿宋"/>
                <w:color w:val="auto"/>
                <w:szCs w:val="21"/>
                <w:highlight w:val="none"/>
              </w:rPr>
              <w:t xml:space="preserve">20cm</w:t>
            </w:r>
            <w:r>
              <w:rPr>
                <w:rFonts w:hint="eastAsia" w:ascii="仿宋" w:hAnsi="仿宋" w:eastAsia="仿宋" w:cs="仿宋"/>
                <w:color w:val="auto"/>
                <w:szCs w:val="21"/>
                <w:highlight w:val="none"/>
              </w:rPr>
              <w:t xml:space="preserve">，尺寸误差±1%。</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2.材质：板面用高强度复合材料（如 FRP 或聚氨酯复合材料），框架为金属（铝合金或钢材）。</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3.性能：有良好反弹性能，符合足球训练常规要求；结构稳固。</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4.外观：板面颜色鲜明，框架有防锈涂层，整体表面光滑无瑕疵。</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手持反弹网</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1.规格：长、宽均≥</w:t>
            </w:r>
            <w:r>
              <w:rPr>
                <w:rFonts w:ascii="仿宋" w:hAnsi="仿宋" w:eastAsia="仿宋" w:cs="仿宋"/>
                <w:color w:val="auto"/>
                <w:szCs w:val="21"/>
                <w:highlight w:val="none"/>
              </w:rPr>
              <w:t xml:space="preserve">50cm</w:t>
            </w:r>
            <w:r>
              <w:rPr>
                <w:rFonts w:hint="eastAsia" w:ascii="仿宋" w:hAnsi="仿宋" w:eastAsia="仿宋" w:cs="仿宋"/>
                <w:color w:val="auto"/>
                <w:szCs w:val="21"/>
                <w:highlight w:val="none"/>
              </w:rPr>
              <w:t xml:space="preserve">，厚度≥</w:t>
            </w:r>
            <w:r>
              <w:rPr>
                <w:rFonts w:ascii="仿宋" w:hAnsi="仿宋" w:eastAsia="仿宋" w:cs="仿宋"/>
                <w:color w:val="auto"/>
                <w:szCs w:val="21"/>
                <w:highlight w:val="none"/>
              </w:rPr>
              <w:t xml:space="preserve">4cm</w:t>
            </w:r>
            <w:r>
              <w:rPr>
                <w:rFonts w:hint="eastAsia" w:ascii="仿宋" w:hAnsi="仿宋" w:eastAsia="仿宋" w:cs="仿宋"/>
                <w:color w:val="auto"/>
                <w:szCs w:val="21"/>
                <w:highlight w:val="none"/>
              </w:rPr>
              <w:t xml:space="preserve">，允许尺寸误差±0.5cm。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2.材质：网面采用高强度尼龙绳或聚酯纤维材质，坚韧耐磨，耐候性好；框架使用轻质且坚固的塑料（如ABS工程塑料）或金属（如铝合金），保证手持使用时轻便且耐用。</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3.性能：网面张力足够，能有效反弹足球，且足球撞击后网面不易变形；框架握持感舒适，长时间使用手部不易疲劳。</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4.外观：整体外观简洁，网面编织紧密均匀，框架表面光滑无毛刺，颜色以醒目且耐脏为主，如黑色、深蓝色等。</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充气人墙</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1.规格：一组10个，单个充气后高度为170cm，高度允许误差范围在±2cm。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①外皮：选用耐磨、耐撕扯的高强度PVC材料，具备良好的抗老化和耐候性，能适应不同户外环境。</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②内部气囊：采用优质橡胶材质，具有良好的密封性，保障长时间使用不漏气。</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3.性能：</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①稳定性：充气后整体结构稳固，在正常风力（如不超过 5 级风）及足球正常力度撞击下，不发生倾倒或明显晃动，能持续满足训练需求。</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②耐撞击性：可承受足球多次高强度撞击，外皮及气囊不出现破裂、变形等影响使用的问题。</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③便捷性：配备便捷充气和放气装置，充放气操作简便，放气后收纳体积小，便于存储与运输。</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波速球(平衡)</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1.规格：底部平面直径≥</w:t>
            </w:r>
            <w:r>
              <w:rPr>
                <w:rFonts w:ascii="仿宋" w:hAnsi="仿宋" w:eastAsia="仿宋" w:cs="仿宋"/>
                <w:color w:val="auto"/>
                <w:szCs w:val="21"/>
                <w:highlight w:val="none"/>
              </w:rPr>
              <w:t xml:space="preserve">60cm</w:t>
            </w:r>
            <w:r>
              <w:rPr>
                <w:rFonts w:hint="eastAsia" w:ascii="仿宋" w:hAnsi="仿宋" w:eastAsia="仿宋" w:cs="仿宋"/>
                <w:color w:val="auto"/>
                <w:szCs w:val="21"/>
                <w:highlight w:val="none"/>
              </w:rPr>
              <w:t xml:space="preserve">。</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2.材质：球体采用环保、耐磨且有弹性的橡胶或热塑性弹性体材料；底部采用防滑、稳定性好的硬质塑料材质。</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3.性能：具有良好的弹性和缓冲性，能提供多样的不稳定支撑，帮助训练平衡感与核心力量；球体与底部连接牢固，承受人体重量及训练动作时不会分离或损坏。</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4.外观：颜色以明亮、醒目的色调为主，表面光滑无瑕疵，球体与底部结合处过渡自然。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大战术板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1.规格：示教板≥</w:t>
            </w:r>
            <w:r>
              <w:rPr>
                <w:rFonts w:ascii="仿宋" w:hAnsi="仿宋" w:eastAsia="仿宋" w:cs="仿宋"/>
                <w:color w:val="auto"/>
                <w:szCs w:val="21"/>
                <w:highlight w:val="none"/>
              </w:rPr>
              <w:t xml:space="preserve">120×90cm</w:t>
            </w:r>
            <w:r>
              <w:rPr>
                <w:rFonts w:hint="eastAsia" w:ascii="仿宋" w:hAnsi="仿宋" w:eastAsia="仿宋" w:cs="仿宋"/>
                <w:color w:val="auto"/>
                <w:szCs w:val="21"/>
                <w:highlight w:val="none"/>
              </w:rPr>
              <w:t xml:space="preserve">，厚1-2cm（误差±1%），支架高度80-120cm可调。</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2.材质：示教板基板为优质金属或高强度塑料，覆高质量白板材料；支架用坚固金属。</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3.功能：双面可擦写，配至少3支不同色油性笔、大擦拭面积白板擦、至少20个带吸附力球员标志棋子。</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4.外观：示教板白底色，边框黑或银色；支架防锈处理，整体无尖锐边角。</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小战术板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1.规格：战术板≥</w:t>
            </w:r>
            <w:r>
              <w:rPr>
                <w:rFonts w:ascii="仿宋" w:hAnsi="仿宋" w:eastAsia="仿宋" w:cs="仿宋"/>
                <w:color w:val="auto"/>
                <w:szCs w:val="21"/>
                <w:highlight w:val="none"/>
              </w:rPr>
              <w:t xml:space="preserve">70×50cm</w:t>
            </w:r>
            <w:r>
              <w:rPr>
                <w:rFonts w:hint="eastAsia" w:ascii="仿宋" w:hAnsi="仿宋" w:eastAsia="仿宋" w:cs="仿宋"/>
                <w:color w:val="auto"/>
                <w:szCs w:val="21"/>
                <w:highlight w:val="none"/>
              </w:rPr>
              <w:t xml:space="preserve">（误差±1cm），三角支架高度适配站立讲解，可收纳。</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2.材质：战术板基板为高强度塑料或金属，覆优质白板涂层；三角支架用铝合金或塑料；磁石棋子耐用，磁吸力适中；携带包用耐磨防水尼龙或牛津布。</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3.配件：33个磁石棋子、1个橡皮擦、4只不同色水性笔、1个带合理分区携带包。</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4.外观：战术板白底色、边框简洁无尖角；三角支架防锈处理；携带包设计简洁，拉链等配件好用。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敏捷梯</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1、规格：长度10米，允许误差范围在±0.1米。梯格形状为多边形，单个梯格尺寸设计合理，符合敏捷训练基本要求，相邻梯格间距均匀。</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2.材质：用高强度、耐磨损的塑料材质，如增强型聚丙烯（PP），具备良好的柔韧性与抗老化性能，能适应户外不同环境条件。材料符合环保标准，无毒无味，对人体健康无危害。</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3.性能：具备一定的承重能力，在正常训练使用过程中，能承受人体踩踏而不变形、不损坏。梯格与梯身连接牢固，不会在使用时出现松动、脱落现象。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小足球门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1.尺寸规格：内口尺寸约为1.2 米（宽）×0.8 米（高），深度约0.47米，尺寸误差范围可设定在±2%以内。</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2.材质要求：气囊可采用高强度 PVC 夹网布，具备良好的耐磨性、抗撕裂性和气密性。外层可选用牛津布等耐磨防水材质，保护气囊并增加耐用性。</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3.充气性能：需配备快速充气装置，能在较短时间（如10秒左右）完成充气。充气后应能保持稳定形状，在正常使用环境下不会出现明显漏气现象。</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4.稳定性：可设计有可注水或装沙的底座，或配备地钉、拉绳等固定装置，确保足球门在使用时不易被撞倒或移位。</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5.安全性能：符合相关安全标准，如球员不慎碰撞时，球门结构应能适当变形，减少受伤风险。</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6.便携性：应配有便携收纳包，充气足球门可压缩收纳，方便携带和存放，整体重量不宜过重，便于搬运。</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比赛足球1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1.规格尺寸：5号球，圆周68.5-69.5厘米（误差±0.2厘米），重400-410克（误差±2克）。</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2.材质：外皮优质 PU，耐磨柔软防水似真皮；内胆丁基橡胶，气密性好气压稳；球胎高强度尼龙缠纱，增韧性抗变形。</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3.工艺：表面纹理增摩擦稳飞行，无缝热粘合球面光滑减阻防水。</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4.性能：2米自由落体反弹1.3-1.4米（误差±0.05米）；正常环境（15-35℃、湿度40%-60%）充气0.6-1.1个大气压，72小时气压降不超10%；模拟5000次摩擦外皮无明显破损掉皮且纹理清晰。</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5.外观标识：颜色鲜艳易辨识，品牌型号认证标志清晰牢固不褪色脱落。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比赛足球2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1.规格尺寸：5号球，圆周68.5-69.5厘米（误差±0.2 厘米），重400-410克（误差±2 克）。</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2.材质：外皮高品质合成皮革（如 PU），耐磨、柔韧、防水；内胆丁基橡胶，气密性好；球胎高强度尼龙缠纱，增强韧性与抗变形。</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3.工艺：表面纹理处理增摩擦控旋转稳飞行，热粘合或高质量缝线工艺，热粘合无缝降阻，缝线均匀牢固。</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4.性能：2米自由落体反弹1.3-1.4米（误差±0.05 米）；正常环境充气后72小时气压降不超10%；模拟一定次数摩擦外皮无明显破损掉皮、纹理清晰。</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5.外观：颜色鲜艳易辨识，品牌等标识清晰牢固不易脱落。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阻力伞</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1.材质：伞面用高强度轻质尼龙或聚酯纤维，牵引绳为耐磨抗拉涤纶绳或防锈钢丝绳，连接部件用金属或高强度塑料。</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2.性能：可调节阻力，伞面稳定张开，整体便携，配收纳袋。</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对讲机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1.基本要求‌</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①‌频率范围‌：</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VHF：136-174 MHz</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UHF：400-520 MHz</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支持FM收音机接收（65-108 MHz）。</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②‌功率输出‌：高功率≥4W，低功率≥1W（应能满足上述性能要求）。</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③‌信道容量‌：≥128个可编程信道，支持分组管理。</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‌2.功能要求‌</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①支持双频监听（主频+副频同步接收）。</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②具备CTCSS/DCS编解码功能，抗干扰能力强。</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③集成VOX声控发射（灵敏度可调）。</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④内置LED应急手电筒。</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⑤支持宽窄带切换（12.5kHz/25kHz）。</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‌3.硬件配置‌</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①‌电池‌：锂离子电池，容量≥1500mAh，续航时间≥8小时（标准使用条件下）。</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②‌天线接口‌：SMA-Female，标配可拆卸天线（需提供增益参数）。</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③‌显示屏‌：背光LCD，实时显示频率、信道、信号强度等信息。</w:t>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29" w:type="dxa"/>
            <w:vAlign w:val="center"/>
            <w:textDirection w:val="lrTb"/>
            <w:noWrap w:val="false"/>
          </w:tcPr>
          <w:p>
            <w:pPr>
              <w:jc w:val="center"/>
              <w:widowControl/>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室内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电动悬空篮架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1.产品规格：篮架伸臂3-6m，篮圈上沿离地面高3.05m，屋架高度7-12m。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产品用材：减速电机电压为220V，I=225:1，电机功率1.5KW。支撑管采用≥100×80×2.5mm方管、横梁采用≥120×120×2.5mm方管，主支架采用≥120×120×2.5mm、≥70×70×2.5mm、≥50×50×2.5mm等方管焊接而成。保险带为高强丝保险带。</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3.产品结构:电动悬空篮球架主要由减速电机、传动系统、主支架、保险带及篮板、篮圈组成。具有结构简单、操作方便、安全可靠、噪音小等特点。 </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篮板：规格：1800×1050（㎜），篮板配用国际通用的高强度安全玻璃篮板（≥13mm双层夹胶玻璃），具有透明度高、耐侯性好、抗老化、耐腐蚀、不易模糊等特点，并在篮板下沿侧面覆盖有保护圈，保护圈前后表面高度、厚度均≥20mm，底面厚度≥50mm，符合FIBA规则，能有效保护运动员扣篮时不受伤害。篮板弹性500N、1m，中心挠度≤6㎜，取消外力1min后篮板恢复原状。</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篮圈：篮圈采用φ19（±0.1）mm实心圆钢制作，圈下焊有冲压成型的圆弧形网钩，十二段均匀分布留适当间隙，配篮网。篮圈抗弯性能好，水平固定在篮板上，与篮架连接的钢板和篮圈盖板均采用优质钢板一次冲压成型，造型美观。</w:t>
            </w:r>
            <w:r/>
          </w:p>
          <w:p>
            <w:pPr>
              <w:jc w:val="left"/>
              <w:widowControl/>
              <w:rPr>
                <w:rFonts w:ascii="仿宋" w:hAnsi="仿宋" w:eastAsia="仿宋" w:cs="仿宋"/>
                <w:color w:val="auto"/>
                <w:szCs w:val="21"/>
                <w:highlight w:val="none"/>
                <w:lang w:bidi="ar"/>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bidi="ar"/>
              </w:rPr>
              <w:t xml:space="preserve">提供第三方检测机构出具的带有CMA标识的检测报告复印件加盖制造厂家公章，</w:t>
            </w:r>
            <w:r>
              <w:rPr>
                <w:rFonts w:hint="eastAsia" w:ascii="仿宋" w:hAnsi="仿宋" w:eastAsia="仿宋" w:cs="仿宋"/>
                <w:b/>
                <w:color w:val="auto"/>
                <w:szCs w:val="21"/>
                <w:highlight w:val="none"/>
              </w:rPr>
              <w:t xml:space="preserve">检测依据为：</w:t>
            </w:r>
            <w:r>
              <w:rPr>
                <w:rFonts w:hint="eastAsia" w:ascii="仿宋" w:hAnsi="仿宋" w:eastAsia="仿宋" w:cs="仿宋"/>
                <w:b/>
                <w:bCs/>
                <w:color w:val="auto"/>
                <w:szCs w:val="21"/>
                <w:highlight w:val="none"/>
                <w:lang w:bidi="ar"/>
              </w:rPr>
              <w:t xml:space="preserve">GB/T 23176-2008《篮球架》。</w:t>
            </w:r>
            <w:r>
              <w:rPr>
                <w:rFonts w:ascii="仿宋" w:hAnsi="仿宋" w:eastAsia="仿宋" w:cs="仿宋"/>
                <w:b/>
                <w:bCs/>
                <w:color w:val="auto"/>
                <w:szCs w:val="21"/>
                <w:highlight w:val="none"/>
                <w:lang w:bidi="ar"/>
              </w:rPr>
              <w:t xml:space="preserve">检测报告须明确体现检测结论为合格（或符合、通过）</w:t>
            </w:r>
            <w:r>
              <w:rPr>
                <w:rFonts w:hint="eastAsia" w:ascii="仿宋" w:hAnsi="仿宋" w:eastAsia="仿宋" w:cs="仿宋"/>
                <w:b/>
                <w:bCs/>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二十四秒显示器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产品规格：≥600MM*500MM*100MM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产品信号：无线 （无线控制距离 ≥100 米）</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产品功率：60-80W单个显示屏：单面显示</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产品电源：◊显示屏 AC~190-250V</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◊控制台 AC~110-250V 或充电宝（DC5V）供电</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产品功能：</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1.全场时间、24 秒进攻时间</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①分计时：能实现 0—99 分、0—59 秒和 1/10 秒任意调整，具有启动、暂停、复位功能。</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②秒计时：能实现 0—99 秒任意调整，具有启动、暂停、复位、14 秒功能。</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③报警：24 秒违例自动声、光报警、终场自动声响</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2.特点</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1&gt;控制台液晶显示</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2&gt;显示屏全场时间为 5 位，带有十分之一秒，并且十分之一秒可调。</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3&gt;24 秒倒计时 5 秒后精确至 1/10 秒</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3.进攻时间到零时显示屏部分能给出红色的报警信号。</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4.控制方面全场时间和进攻时间能够实现单独控制。</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5.高刷芯片，拍摄不闪烁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篮球赛全队犯规显示器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1.控制电缆线&gt;5米。</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2.电源线&gt;1.8米。</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3.电源交流：220V50Hz。</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4.功率：80-100W。</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篮球发球权显示器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1.产品规格：约</w:t>
            </w:r>
            <w:r>
              <w:rPr>
                <w:rFonts w:ascii="仿宋" w:hAnsi="仿宋" w:eastAsia="仿宋" w:cs="仿宋"/>
                <w:color w:val="auto"/>
                <w:szCs w:val="21"/>
                <w:highlight w:val="none"/>
                <w:lang w:bidi="ar"/>
              </w:rPr>
              <w:t xml:space="preserve">350mm×200mm×50mm</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2.供电方式：220V。</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3.整机功率：10-15W。</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4.结构材质：全钣金机箱。</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5.产品重量：2-2.5Kg。</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6.产品功能：显示主队或客队得球后进攻的方向。</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7.控制方式：使用按钮控制/联动记分牌打分台控制。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篮球赛记录员讯响器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1.控制电缆长：≥5m。</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2.电源线长：≥1.7m。</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3.电源：交流220V50HZ。</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4.功率：50-60W。</w:t>
            </w:r>
            <w:r/>
          </w:p>
        </w:tc>
      </w:tr>
      <w:tr>
        <w:trPr>
          <w:jc w:val="center"/>
          <w:trHeight w:val="2252"/>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篮球示教图</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1.尺寸：板面规格长×宽×厚度≥400×300×15mm。</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2.材质：磁性镀锌铁皮板面，ABS工程塑料边框；加厚硬纸板背板。</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3.配套记号笔，笔身长度约160mm，笔杆直径约10mm，环保ABS塑料笔杆，可擦水性墨水；笔帽带笔夹，可夹在示教图边框或口袋，方便携带。磁性珠共13颗，含红5颗、绿色5颗、蓝色3颗单颗直径约9mm；环保PP塑料外壳，永磁体内芯。</w:t>
            </w:r>
            <w:r/>
          </w:p>
        </w:tc>
      </w:tr>
      <w:tr>
        <w:trPr>
          <w:jc w:val="center"/>
          <w:trHeight w:val="891"/>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篮球示教板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1.尺寸≥</w:t>
            </w:r>
            <w:r>
              <w:rPr>
                <w:rFonts w:ascii="仿宋" w:hAnsi="仿宋" w:eastAsia="仿宋" w:cs="仿宋"/>
                <w:color w:val="auto"/>
                <w:szCs w:val="21"/>
                <w:highlight w:val="none"/>
                <w:lang w:bidi="ar"/>
              </w:rPr>
              <w:t xml:space="preserve">1.2×0.9m</w:t>
            </w:r>
            <w:r>
              <w:rPr>
                <w:rFonts w:hint="eastAsia" w:ascii="仿宋" w:hAnsi="仿宋" w:eastAsia="仿宋" w:cs="仿宋"/>
                <w:color w:val="auto"/>
                <w:szCs w:val="21"/>
                <w:highlight w:val="none"/>
                <w:lang w:bidi="ar"/>
              </w:rPr>
              <w:t xml:space="preserve">，复合玻璃钢板四周铝合金包边，配备磁性珠。</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2.配备5枚红色、5枚兰色、2枚黑(黄）色棋子。</w:t>
            </w:r>
            <w:r/>
          </w:p>
        </w:tc>
      </w:tr>
      <w:tr>
        <w:trPr>
          <w:jc w:val="center"/>
          <w:trHeight w:val="1980"/>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篮球记分牌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1.篮球赛记分器为立式记分器，主要由支架、记分方框和记分牌组成，外形尺寸：长×宽×高≥1380×540×1630（mm）。</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2.记分器下支架主要由口≥25×25的方管与φ≥32×2焊管拼焊而成，上支架主要由口≥25×25的方管和δ≥2铁板拼焊而成，队名牌为白色雪覆板。</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3．记分牌为手推式记分盒，采用PVC板制作。</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收放式球类推车</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1.推车外形基本尺寸：长×宽×高=950×750×800(㎜)。</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2.推车主要采用Φ≥19x2mm圆管在专用弯管机上弯曲成形后与Φ≥12x1mm圆管拼焊而成，推车整体可折叠，存放时可减少空间。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3.推车支脚底部装有滚轮，移动方便。</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4.可放置篮球 20 只，整体可折叠，底部设有走轮。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场地拖把</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1.拖把头部基本尺寸：长×宽=750×110(mm)，拖把柄长1500mm。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2.拖把手柄采用≥φ</w:t>
            </w:r>
            <w:r>
              <w:rPr>
                <w:rFonts w:ascii="仿宋" w:hAnsi="仿宋" w:eastAsia="仿宋" w:cs="仿宋"/>
                <w:color w:val="auto"/>
                <w:szCs w:val="21"/>
                <w:highlight w:val="none"/>
                <w:lang w:bidi="ar"/>
              </w:rPr>
              <w:t xml:space="preserve">25×2.5铝管</w:t>
            </w:r>
            <w:r>
              <w:rPr>
                <w:rFonts w:hint="eastAsia" w:ascii="仿宋" w:hAnsi="仿宋" w:eastAsia="仿宋" w:cs="仿宋"/>
                <w:color w:val="auto"/>
                <w:szCs w:val="21"/>
                <w:highlight w:val="none"/>
                <w:lang w:bidi="ar"/>
              </w:rPr>
              <w:t xml:space="preserve">，拖把头部采用φ≥6mm圆钢拼焊成形，拖把头为棉质。</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3.拖把手柄与头部连接处为活络件，可方便控制操纵方向。</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训练篮球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1.适用场景</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①室内/室外通用：适合水泥地、塑胶场地及室内场馆。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②日常训练：学生群体、业余爱好者基础练习。</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2.核心材质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①表皮：</w:t>
            </w:r>
            <w:r>
              <w:rPr>
                <w:rFonts w:ascii="仿宋" w:hAnsi="仿宋" w:eastAsia="仿宋" w:cs="仿宋"/>
                <w:color w:val="auto"/>
                <w:szCs w:val="21"/>
                <w:highlight w:val="none"/>
                <w:lang w:bidi="ar"/>
              </w:rPr>
              <w:t xml:space="preserve">PU或合成皮革</w:t>
            </w:r>
            <w:r>
              <w:rPr>
                <w:rFonts w:hint="eastAsia" w:ascii="仿宋" w:hAnsi="仿宋" w:eastAsia="仿宋" w:cs="仿宋"/>
                <w:color w:val="auto"/>
                <w:szCs w:val="21"/>
                <w:highlight w:val="none"/>
                <w:lang w:bidi="ar"/>
              </w:rPr>
              <w:t xml:space="preserve">（耐磨防滑，适应多种场地）。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②内胆：天然橡胶内胆（气密性良好，弹性稳定）。</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3.规格参数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①尺寸：</w:t>
            </w:r>
            <w:r>
              <w:rPr>
                <w:rFonts w:ascii="仿宋" w:hAnsi="仿宋" w:eastAsia="仿宋" w:cs="仿宋"/>
                <w:color w:val="auto"/>
                <w:szCs w:val="21"/>
                <w:highlight w:val="none"/>
                <w:lang w:bidi="ar"/>
              </w:rPr>
              <w:t xml:space="preserve">7号（</w:t>
            </w:r>
            <w:r>
              <w:rPr>
                <w:rFonts w:hint="eastAsia" w:ascii="仿宋" w:hAnsi="仿宋" w:eastAsia="仿宋" w:cs="仿宋"/>
                <w:color w:val="auto"/>
                <w:szCs w:val="21"/>
                <w:highlight w:val="none"/>
                <w:lang w:bidi="ar"/>
              </w:rPr>
              <w:t xml:space="preserve">男子用球）。</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②重量：约600-620g（符合国际篮联标准）。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比赛篮球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1.适用场景</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①国际赛事：奥运会、篮球世界杯等。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②专业训练：职业球队及高水平赛事训练。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③室内场馆：需配合木地板或塑胶场地使用，避免室外磨损。</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2.核心材质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①表皮：超纤（表面扁平粒状设计，增强持球稳定性）。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②内胆：丁基橡胶内胆（气密性强，弹性持久）。</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3.结构：内置发泡层，提升球体回弹性与触感。</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4.规格参数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①尺寸：</w:t>
            </w:r>
            <w:r>
              <w:rPr>
                <w:rFonts w:ascii="仿宋" w:hAnsi="仿宋" w:eastAsia="仿宋" w:cs="仿宋"/>
                <w:color w:val="auto"/>
                <w:szCs w:val="21"/>
                <w:highlight w:val="none"/>
                <w:lang w:bidi="ar"/>
              </w:rPr>
              <w:t xml:space="preserve">7号（</w:t>
            </w:r>
            <w:r>
              <w:rPr>
                <w:rFonts w:hint="eastAsia" w:ascii="仿宋" w:hAnsi="仿宋" w:eastAsia="仿宋" w:cs="仿宋"/>
                <w:color w:val="auto"/>
                <w:szCs w:val="21"/>
                <w:highlight w:val="none"/>
                <w:lang w:bidi="ar"/>
              </w:rPr>
              <w:t xml:space="preserve">男子比赛用球）。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②重量：约600-650g（符合国际篮联标准）。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③周长：749-780mm。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5.性能特点</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①性能符合国际篮联竞赛规则要求。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②吸湿特性：牛皮材质吸附手部汗水，增强握持感。</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③全平接缝：减少球体飞行阻力，提升投篮精准度。</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篮球假人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1.主体采用高密度环保PE塑料，一体吹塑成型，坚固耐冲击，不变形不开裂；整体高度≥1.9米，模拟真人防守站位。</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2.底座可注水或注沙，注水后重量≥80kg，注沙后重量≥100kg，底座底部设防滑垫，抓地牢固，训练中不易移位。</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3.假人双臂可拆卸，双臂展开宽度可调（调节范围≥60cm），模拟不同防守干扰面积。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篮球网</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1.篮球网规格：长度不短于400mm，也不长于450mm。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2.篮球网为白色，设有12个环孔，便于悬挂在篮圈上。</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3.篮球网软硬适中，能使篮球穿过篮圈时稍受阻力。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排球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1.适用场景</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①中考训练：符合国内中学生体育考试标准，适合基础技能练习。</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②室内/室外通用：PU材质适应塑胶地、水泥地等多种场地。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③比赛训练：支持业余比赛及日常训练，兼顾专业性与性价比。</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2.核心材质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①表皮：PU贴皮（耐磨防滑，提升控球稳定性）。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②内胆：丁基橡胶内胆（气密性好，弹性持久）。</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3.规格参数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①尺寸：5号（标准成人/中学生用球）。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②重量：约260-280g。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4.性能特点</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柔软触感：表皮质地偏软，降低初学者上手难度。</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全平接缝：减少空气阻力，提升飞行稳定性。</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ascii="仿宋" w:hAnsi="仿宋" w:eastAsia="仿宋" w:cs="仿宋"/>
                <w:color w:val="auto"/>
                <w:szCs w:val="21"/>
                <w:highlight w:val="none"/>
                <w:lang w:bidi="ar"/>
              </w:rPr>
              <w:t xml:space="preserve">16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训练乒乓球台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ascii="仿宋" w:hAnsi="仿宋" w:eastAsia="仿宋" w:cs="仿宋"/>
                <w:color w:val="auto"/>
                <w:szCs w:val="21"/>
                <w:highlight w:val="none"/>
                <w:lang w:bidi="ar"/>
              </w:rPr>
              <w:t xml:space="preserve">18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1.球台尺寸：1525*2740*760mm。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2.台面颜色：蓝面白线。</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3.面板厚度：25±1mm。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4.球台支架：≥60mm圆管及≥50mm方管。</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5.重量：≥150KG。</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6.脚轮：≥125mm直径tpr医用静音万向轮。</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7.边框高度：60±1mm。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8.整体金属件采用≥1.3mm壁厚钢管， 由静电粉末喷塑完成，表面光滑饱满，防锈防腐蚀耐刮痕。</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9.球台整体台面弹性240-260mm反弹高度，平整度≤1mm,均匀度≤3mm,光泽度&lt;0.6，稳定性≤5mm，摩擦系数&lt;0.4。</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10.球台属于单折式结构，由2个半付拼装组成，含高档赛事网架一副。</w:t>
            </w:r>
            <w:r/>
          </w:p>
          <w:p>
            <w:pPr>
              <w:jc w:val="left"/>
              <w:widowControl/>
              <w:rPr>
                <w:rFonts w:ascii="仿宋" w:hAnsi="仿宋" w:eastAsia="仿宋" w:cs="仿宋"/>
                <w:b/>
                <w:bCs/>
                <w:color w:val="auto"/>
                <w:szCs w:val="21"/>
                <w:highlight w:val="none"/>
                <w:lang w:bidi="ar"/>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bidi="ar"/>
              </w:rPr>
              <w:t xml:space="preserve">提供第三方检测机构出具的带有</w:t>
            </w:r>
            <w:r>
              <w:rPr>
                <w:rFonts w:ascii="仿宋" w:hAnsi="仿宋" w:eastAsia="仿宋" w:cs="仿宋"/>
                <w:b/>
                <w:bCs/>
                <w:color w:val="auto"/>
                <w:szCs w:val="21"/>
                <w:highlight w:val="none"/>
                <w:lang w:bidi="ar"/>
              </w:rPr>
              <w:t xml:space="preserve">CMA标识的检测报告复印件加盖制造厂家公章，</w:t>
            </w:r>
            <w:r>
              <w:rPr>
                <w:rFonts w:hint="eastAsia" w:ascii="仿宋" w:hAnsi="仿宋" w:eastAsia="仿宋" w:cs="仿宋"/>
                <w:b/>
                <w:color w:val="auto"/>
                <w:szCs w:val="21"/>
                <w:highlight w:val="none"/>
              </w:rPr>
              <w:t xml:space="preserve">检测依据为：</w:t>
            </w:r>
            <w:r>
              <w:rPr>
                <w:rFonts w:ascii="仿宋" w:hAnsi="仿宋" w:eastAsia="仿宋" w:cs="仿宋"/>
                <w:b/>
                <w:color w:val="auto"/>
                <w:szCs w:val="21"/>
                <w:highlight w:val="none"/>
              </w:rPr>
              <w:t xml:space="preserve">GB/T32597-2016《乒乓球台的安全、性能要求和试验方法》</w:t>
            </w:r>
            <w:r>
              <w:rPr>
                <w:rFonts w:hint="eastAsia" w:ascii="仿宋" w:hAnsi="仿宋" w:eastAsia="仿宋" w:cs="仿宋"/>
                <w:b/>
                <w:bCs/>
                <w:color w:val="auto"/>
                <w:szCs w:val="21"/>
                <w:highlight w:val="none"/>
                <w:lang w:bidi="ar"/>
              </w:rPr>
              <w:t xml:space="preserve">。</w:t>
            </w:r>
            <w:r>
              <w:rPr>
                <w:rFonts w:ascii="仿宋" w:hAnsi="仿宋" w:eastAsia="仿宋" w:cs="仿宋"/>
                <w:b/>
                <w:bCs/>
                <w:color w:val="auto"/>
                <w:szCs w:val="21"/>
                <w:highlight w:val="none"/>
                <w:lang w:bidi="ar"/>
              </w:rPr>
              <w:t xml:space="preserve">检测报告须明确体现检测结论为合格（或符合、通过）</w:t>
            </w:r>
            <w:r>
              <w:rPr>
                <w:rFonts w:hint="eastAsia" w:ascii="仿宋" w:hAnsi="仿宋" w:eastAsia="仿宋" w:cs="仿宋"/>
                <w:b/>
                <w:bCs/>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6号篮球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6号标准用球</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1.圆周：720mm ~ 735mm（28.5英寸），球体直径约231~235mm，重量510g ~ 567g，气压：7.0~8.0PSI（0.48~0.55Bar），表面颗粒磨砂纹理，摩擦系数≥0.65，手心出汗不打滑，皮料厚度：1.2~1.5mm，涤纶高密度无纺布基底。</w:t>
            </w:r>
            <w:r/>
          </w:p>
          <w:p>
            <w:pPr>
              <w:jc w:val="left"/>
              <w:widowControl/>
              <w:rPr>
                <w:rFonts w:ascii="仿宋" w:hAnsi="仿宋" w:eastAsia="仿宋" w:cs="仿宋"/>
                <w:color w:val="auto"/>
                <w:szCs w:val="21"/>
                <w:highlight w:val="none"/>
              </w:rPr>
            </w:pPr>
            <w:r>
              <w:rPr>
                <w:rFonts w:ascii="仿宋" w:hAnsi="仿宋" w:eastAsia="仿宋" w:cs="仿宋"/>
                <w:color w:val="auto"/>
                <w:szCs w:val="21"/>
                <w:highlight w:val="none"/>
              </w:rPr>
              <w:t xml:space="preserve">2.</w:t>
            </w:r>
            <w:r>
              <w:rPr>
                <w:rFonts w:hint="eastAsia" w:ascii="仿宋" w:hAnsi="仿宋" w:eastAsia="仿宋" w:cs="仿宋"/>
                <w:color w:val="auto"/>
                <w:szCs w:val="21"/>
                <w:highlight w:val="none"/>
              </w:rPr>
              <w:t xml:space="preserve">物理耐用性能：耐弯折次数：≥8万次无开裂起皮，吸水率：微孔隙结构主动吸附手掌汗液，新球上手无需磨合，粘手控球感强室内外通用。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比赛乒乓球台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1.产品类型：可折叠移动式乒乓球台，适用于室内训练、比赛及家庭使用。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2.核心尺寸</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①台面尺寸：2740mm×1525mm（标准比赛尺寸）。</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②台高：760mm（±5mm）。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③折叠尺寸：≤1.65m×1.46m×0.24m。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3.材质与结构</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①台面材质：高密度纤维板（厚度≥25mm），表面防滑涂层。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②台架材质：Q235碳素钢框架，表面静电喷塑防锈处理。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③脚轮配置：带刹车功能的聚氨酯万向轮（≥4个）。</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4.性能指标</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①弹性：300mm自由落体反弹高度220-250mm。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②弹性均匀度：≤5mm。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③台面稳定性：晃动幅度≤3mm（空载测试）。</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④摩擦系数：≤0.4。</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5.功能设计</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①折叠方式：双折式结构，支持单人操作展开/收纳。</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②调节功能：台面角度可调（0-15°），适应不同训练需求。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6.附件配置：标配金属网架、乒乓球网（高度152.5mm）。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7.边缘处理：台面四边倒圆角设计，防碰撞。</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乒乓球网</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1.产品类型：便携式乒乓球网架，适用于标准乒乓球台，支持室内外比赛及训练场景。</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2.核心规格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①可夹厚度：≤4cm（适配大多数乒乓球台边缘）。</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②网柱高度：152.5mm（国际标准网高）。</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③网架长度：151-170cm（覆盖球台宽度）。</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3.材质与结构</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①网柱材质：合金框架，表面防锈处理。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②球网材质：高密度锦纶纤维，耐拉伸抗老化。</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③安装方式：螺旋式夹紧设计，支持快速拆装。</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4.功能配置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①调节功能：网高可微调（±5mm），适应不同赛事需求。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②便携设计：可折叠收纳，重量≤1kg（含配件）。</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5.附件配置：标配网高测量尺，确保安装精度。</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6.安全与认证</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边缘处理：网柱底部防滑垫，避免划伤球台。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乒乓球地胶(蓝)</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rPr>
                <w:rFonts w:hint="eastAsia" w:ascii="仿宋" w:hAnsi="仿宋" w:eastAsia="仿宋" w:cs="仿宋"/>
                <w:color w:val="auto"/>
                <w:szCs w:val="21"/>
                <w:highlight w:val="none"/>
                <w:lang w:val="en-US" w:eastAsia="zh-CN" w:bidi="ar"/>
              </w:rPr>
              <w:t xml:space="preserve">.</w:t>
            </w:r>
            <w:r>
              <w:rPr>
                <w:rFonts w:hint="eastAsia" w:ascii="仿宋" w:hAnsi="仿宋" w:eastAsia="仿宋" w:cs="仿宋"/>
                <w:color w:val="auto"/>
                <w:szCs w:val="21"/>
                <w:highlight w:val="none"/>
                <w:lang w:bidi="ar"/>
              </w:rPr>
              <w:t xml:space="preserve">厚度≥6.0mm，纯PVC耐磨层表面纹理满足防滑功能纹理。耐磨层≥1.3m，高密度玻璃纤维层加黑网，背层低钙密闭式发泡背层，增加材料的柔韧性。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w:t>
            </w:r>
            <w:r>
              <w:rPr>
                <w:rFonts w:hint="eastAsia" w:ascii="仿宋" w:hAnsi="仿宋" w:eastAsia="仿宋" w:cs="仿宋"/>
                <w:color w:val="auto"/>
                <w:szCs w:val="21"/>
                <w:highlight w:val="none"/>
                <w:lang w:val="en-US" w:eastAsia="zh-CN" w:bidi="ar"/>
              </w:rPr>
              <w:t xml:space="preserve">.</w:t>
            </w:r>
            <w:r>
              <w:rPr>
                <w:rFonts w:hint="eastAsia" w:ascii="仿宋" w:hAnsi="仿宋" w:eastAsia="仿宋" w:cs="仿宋"/>
                <w:color w:val="auto"/>
                <w:szCs w:val="21"/>
                <w:highlight w:val="none"/>
                <w:lang w:bidi="ar"/>
              </w:rPr>
              <w:t xml:space="preserve">冲击吸收:20%~50%；垂直变形0. 6mm~3. 0mm；球反弹率≥75%；拉伸强度≥1.3MPa；拉断伸长率≥90%；抗滑值（20℃）80BPN~110BPN(干测)；阻燃性能I级；色牢度干、湿两种条件下均无脱色；短链氯化石蜡（C10-C13）；4,4＇—二氨基-3，3＇—二氯二苯甲烷（MOCA）未检出。3.（1）18种多环芳烃总量：表面层≤0.1mg/kg，5mm以内深层≤0.1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（2）苯并[a]芘：≤0.1mg/kg；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（3）短链氯化石蜡(SCCPs)：&lt;0.1g/kg；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（4）MOCA：&lt;0.001g/kg；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（5）游离二异氰酸酯(TDI+HDI)总和：≤0.3g/kg；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（6）二苯基甲烷二异氰酸酯(MDI)：≤0.5g/kg；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（7）可溶性铅(Pb)≤3mg/kg；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（8）可溶性镉(Cd)≤2mg/kg；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（9）可溶性汞(Hg)≤2mg/kg；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（10）可溶性铬(Cr)≤2mg/kg。</w:t>
            </w:r>
            <w:r/>
          </w:p>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val="en-US" w:eastAsia="zh-CN" w:bidi="ar"/>
              </w:rPr>
              <w:t xml:space="preserve">4.</w:t>
            </w:r>
            <w:r>
              <w:rPr>
                <w:rFonts w:hint="eastAsia" w:ascii="仿宋" w:hAnsi="仿宋" w:eastAsia="仿宋" w:cs="仿宋"/>
                <w:color w:val="auto"/>
                <w:szCs w:val="21"/>
                <w:highlight w:val="none"/>
                <w:lang w:bidi="ar"/>
              </w:rPr>
              <w:t xml:space="preserve">环境适应性：湿热-冻融-氙灯-雨水浸泡环境适应性循环测</w:t>
            </w:r>
            <w:r>
              <w:rPr>
                <w:rFonts w:hint="default" w:ascii="仿宋" w:hAnsi="仿宋" w:eastAsia="仿宋" w:cs="仿宋"/>
                <w:color w:val="auto"/>
                <w:szCs w:val="21"/>
                <w:highlight w:val="none"/>
                <w:lang w:bidi="ar"/>
              </w:rPr>
              <w:t xml:space="preserve">试时间</w:t>
            </w:r>
            <w:r>
              <w:rPr>
                <w:rFonts w:hint="eastAsia" w:ascii="仿宋" w:hAnsi="仿宋" w:eastAsia="仿宋" w:cs="仿宋"/>
                <w:color w:val="auto"/>
                <w:szCs w:val="21"/>
                <w:highlight w:val="none"/>
                <w:lang w:bidi="ar"/>
              </w:rPr>
              <w:t xml:space="preserve">≥1500h，尺寸变化率≤0.4%，硬度70-90Shore A。</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bidi="ar"/>
              </w:rPr>
              <w:t xml:space="preserve">5.</w:t>
            </w:r>
            <w:r>
              <w:rPr>
                <w:rFonts w:hint="eastAsia" w:ascii="仿宋" w:hAnsi="仿宋" w:eastAsia="仿宋" w:cs="仿宋"/>
                <w:color w:val="auto"/>
                <w:szCs w:val="21"/>
                <w:highlight w:val="none"/>
                <w:lang w:bidi="ar"/>
              </w:rPr>
              <w:t xml:space="preserve">耐湿热老化：耐湿热</w:t>
            </w:r>
            <w:r>
              <w:rPr>
                <w:rFonts w:hint="default" w:ascii="仿宋" w:hAnsi="仿宋" w:eastAsia="仿宋" w:cs="仿宋"/>
                <w:color w:val="auto"/>
                <w:szCs w:val="21"/>
                <w:highlight w:val="none"/>
                <w:lang w:bidi="ar"/>
              </w:rPr>
              <w:t xml:space="preserve">试验时间</w:t>
            </w:r>
            <w:r>
              <w:rPr>
                <w:rFonts w:hint="eastAsia" w:ascii="仿宋" w:hAnsi="仿宋" w:eastAsia="仿宋" w:cs="仿宋"/>
                <w:color w:val="auto"/>
                <w:szCs w:val="21"/>
                <w:highlight w:val="none"/>
                <w:lang w:bidi="ar"/>
              </w:rPr>
              <w:t xml:space="preserve">≥168h，拉伸强度老化前后≥0.7MPa，拉断伸长率老化前后≥90%，老化前后保持率≥80%。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训练乒乓球拍</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1.类型：成品乒乓球拍（直拍）。</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2.适用人群：进阶型训练与娱乐（适合有一定基础的中级爱好者）。</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3.套胶配置：双面反胶拍柄设计：直拍柄型二、核心结构底板材质：5层纯木厚芯。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比赛乒乓球拍</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1.类型：成品乒乓球拍（直拍）。</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2.适用人群：专业级选手/高水平业余爱好者。</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3.套胶配置：双面反胶拍柄设计：直拍柄型二、核心结构底板材质：5层纯木厚芯。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训练乒乓球网</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1.球网装置高度：15.25cm。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2.长度：与球台宽度一致（1.525m）。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3.网眼尺寸：均匀分布，边长≤15mm（抗变形、耐冲击）。</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4.材质：高强度尼龙绳（电脑编织工艺，抗拉强度≥500N）。</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5.网架结构材质：全金属框架（碳素钢或铝合金，表面防锈处理）。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6.网柱高度：15.25cm（含调节装置）。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7.网柱间距：1.525m（与球台宽度匹配）。</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8.夹持稳定性：夹钳式设计，夹持力≥5N（确保不晃动）。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9.调节功能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高度调节：支持±2mm微调（适配不同台面平整度）。</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张力调节：悬网绳张力装置，确保网面紧绷无下垂。</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乒乓球计分牌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1.翻分牌为台式，主要由翻分牌框架和翻分牌组成。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2.翻分牌框架采用塑料件制成。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3.翻分牌记分牌采用深蓝色PVC板制作，共2组，每组共52张，号码0-50，为白色。</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4.翻分牌局分牌为深蓝色PVC板，共2组，每组9张，号码0-7号，为白色。</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中级训练乒乓球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1.材质与工艺材料：优质ABS工程塑料（符合环保要求）。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2.结构：有缝设计。</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3.表面处理：哑光或高光工艺，增强击球摩擦力。</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4.性能指标弹性：从305mm高度自由落体，回弹高度≥235mm（20℃环境）。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5.圆度误差：≤0.10mm（球体对称性高）。</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6.耐打性：连续击打≥1000次无破裂或变形。</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7.旋转与飞行稳定性空气动力学设计：减少风阻，飞行轨迹稳定。</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8.重心分布：均匀对称，确保旋转一致性。</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9.包装规格：10个装。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比赛乒乓球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1.球体规格：直径：40.00-40.60mm，6个装。</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2.重量：2.70-2.80g（±0.05g公差）。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3.颜色：白色/橙色（可选，符合WTT赛事视觉规范）。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4.材质与工艺材料：优质ABS工程塑料（环保无毒，符合RoHS指令）。</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5.结构：有缝设计（需符合WTT赛事认证要求）。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6.表面处理：哑光工艺，增强击球摩擦力及球体飞行稳定性。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7.性能指标弹性：从305mm高度自由落体，回弹高度≥235mm（20℃环境）。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8.圆度误差：≤0.10mm（球体对称性高，旋转一致性强）。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9.耐打性：连续击打≥1500次无破裂或变形。</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10.空气动力学设计接缝工艺：高精度焊接或无缝成型技术，减少空气阻力。</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11.重心分布：均匀对称，确保飞行轨迹稳定。</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12.包装规格：6个装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初级训练乒乓球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1.材质与工艺材料：优质ABS工程塑料（环保无毒）。</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2.结构：有缝设计。</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3.表面处理：哑光工艺，增强击球摩擦力。</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4.性能指标弹性：从305mm高度自由落体，回弹高度≥220mm（20℃环境）。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5.圆度误差：≤0.15mm（满足基础训练需求）。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6.耐打性：连续击打≥800次无破裂或变形。</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7.稳定性重心分布：均匀对称，适合初学者掌握基础技术。</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8.包装规格：100个装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乒乓球场地挡板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1.主要由框架、围布和支撑机构组成，单块尺寸：长×高≥1.40×0.75（米），比赛时围成的场地：长×高≥14×7（米）,[由30块组成]。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底部横杆采用□≥25×25×1.5优质方管制作上部支架采用Φ≥22×2优质圆管成一次弯管成形，蓝色牛津布，底部不封口，由上而下套在框架上，拉紧后平整美观支撑机构可90度方向拨转支撑机构底部设有防震垫，保护地面使用时，支撑机构与挡板垂直，存放挡板时，支撑机构与挡板底边重合。</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3.具有耐酸碱、耐湿热、抗老化、外观美观等优点，能适合潮湿和酸雨环境，涂料均为绿色环保无毒产品，避免损害使用者的健康。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乒乓球记分桌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1.外形尺寸：长×宽×高≥780×420×735（㎜）。</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2.记分桌主要有上台板、侧板、前板等组成。</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3.记分桌全部采用δ≥15层压板制作，整体可折叠，表面喷蓝漆，美观大方。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乒乓球裁判椅</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1.基本尺寸：长×宽×高×椅面高≥900×700×1350×850（mm）。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2.乒乓球裁判椅主要由椅架、脚踏座和软包座椅三大部分组成。</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3.裁判椅椅架、脚踏座均采用φ</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rPr>
              <w:t xml:space="preserve">32x2（㎜），φ</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rPr>
              <w:t xml:space="preserve">19x2（㎜）圆管制作，扶手方管上设有搁手板，搁手板为木制板，采用螺钉连接，整体美观大气。</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4.裁判椅座椅采用软包座椅，通过螺钉等紧固件与座椅连接板连接，软包座椅比普通的中空吹塑椅更加舒适，柔软。</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5.裁判椅整体可折叠，踏板可上翻，便于运输存放,减少空间。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红黄白牌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1.数量：三块；约</w:t>
            </w:r>
            <w:r>
              <w:rPr>
                <w:rFonts w:ascii="仿宋" w:hAnsi="仿宋" w:eastAsia="仿宋" w:cs="仿宋"/>
                <w:color w:val="auto"/>
                <w:szCs w:val="21"/>
                <w:highlight w:val="none"/>
                <w:lang w:bidi="ar"/>
              </w:rPr>
              <w:t xml:space="preserve">105×75mm</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2.颜色：红、黄、白各一块。</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3.材质：0.8mm信用卡基材。</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4.配件：插片夹一个。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暂停标志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1.每套两小一大，双面显示。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训练羽毛球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筒</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1.材质与工艺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①球头：高密度软木或环保泡沫，击球稳定性强。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②羽毛：精选禽羽毛，经防水处理。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③胶水：环保树脂胶，确保羽毛与球头粘合牢固。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2.性能指标</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①飞行稳定性：在风速≤3m/s的室外环境下，落点偏差≤30cm。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②耐打性：正常击打≥50次无羽毛断裂或球头脱落。</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③球速：76-77速（标准气压环境）。</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比赛羽毛球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筒</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1.规格：球头类型：合成软木球头（高密度复合材质）。2.羽毛类型：精选鸭毛（毛杆粗壮，排列整齐）。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3.重量/球速：4.74-5.50g，球速76-77速（标准气压环境）。</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4.包装：标准纸质圆筒装（50筒/箱），每筒12只。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羽毛球地胶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216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rPr>
                <w:rFonts w:hint="eastAsia" w:ascii="仿宋" w:hAnsi="仿宋" w:eastAsia="仿宋" w:cs="仿宋"/>
                <w:color w:val="auto"/>
                <w:szCs w:val="21"/>
                <w:highlight w:val="none"/>
                <w:lang w:val="en-US" w:eastAsia="zh-CN" w:bidi="ar"/>
              </w:rPr>
              <w:t xml:space="preserve">.</w:t>
            </w:r>
            <w:r>
              <w:rPr>
                <w:rFonts w:hint="eastAsia" w:ascii="仿宋" w:hAnsi="仿宋" w:eastAsia="仿宋" w:cs="仿宋"/>
                <w:color w:val="auto"/>
                <w:szCs w:val="21"/>
                <w:highlight w:val="none"/>
                <w:lang w:bidi="ar"/>
              </w:rPr>
              <w:t xml:space="preserve">厚度≥6.0mm，纯PVC耐磨层表面纹理满足防滑功能纹理。耐磨层≥1.3m，高密度玻璃纤维层加黑网，背层低钙密闭式发泡背层，增加材料的柔韧性。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w:t>
            </w:r>
            <w:r>
              <w:rPr>
                <w:rFonts w:hint="eastAsia" w:ascii="仿宋" w:hAnsi="仿宋" w:eastAsia="仿宋" w:cs="仿宋"/>
                <w:color w:val="auto"/>
                <w:szCs w:val="21"/>
                <w:highlight w:val="none"/>
                <w:lang w:val="en-US" w:eastAsia="zh-CN" w:bidi="ar"/>
              </w:rPr>
              <w:t xml:space="preserve">.</w:t>
            </w:r>
            <w:r>
              <w:rPr>
                <w:rFonts w:hint="eastAsia" w:ascii="仿宋" w:hAnsi="仿宋" w:eastAsia="仿宋" w:cs="仿宋"/>
                <w:color w:val="auto"/>
                <w:szCs w:val="21"/>
                <w:highlight w:val="none"/>
                <w:lang w:bidi="ar"/>
              </w:rPr>
              <w:t xml:space="preserve">冲击吸收:20%~50%；垂直变形0. 6mm~3. 0mm；球反弹率≥75%；拉伸强度≥1.3MPa；拉断伸长率≥90%；抗滑值（20℃）80BPN~110BPN(干测)；阻燃性能I级；色牢度干、湿两种条件下均无脱色；短链氯化石蜡（C10-C13）；4,4＇—二氨基-3，3＇—二氯二苯甲烷（MOCA）未检出。</w:t>
            </w:r>
            <w:r>
              <w:rPr>
                <w:rFonts w:hint="eastAsia" w:ascii="仿宋" w:hAnsi="仿宋" w:eastAsia="仿宋" w:cs="仿宋"/>
                <w:b w:val="0"/>
                <w:bCs w:val="0"/>
                <w:color w:val="auto"/>
                <w:szCs w:val="21"/>
                <w:highlight w:val="none"/>
                <w:lang w:bidi="ar"/>
              </w:rPr>
              <w:t xml:space="preserve">3.</w:t>
            </w:r>
            <w:r>
              <w:rPr>
                <w:rFonts w:hint="eastAsia" w:ascii="仿宋" w:hAnsi="仿宋" w:eastAsia="仿宋" w:cs="仿宋"/>
                <w:color w:val="auto"/>
                <w:szCs w:val="21"/>
                <w:highlight w:val="none"/>
                <w:lang w:bidi="ar"/>
              </w:rPr>
              <w:t xml:space="preserve">（1）18种多环芳烃总量：表面层≤0.1mg/kg，5mm以内深层≤0.1mg/kg；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（2）苯并[a]芘：≤0.1mg/kg；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（3）短链氯化石蜡(SCCPs)：&lt;0.1g/kg；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（4）MOCA：&lt;0.001g/kg；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（5）游离二异氰酸酯(TDI+HDI)总和：≤0.3g/kg；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（6）二苯基甲烷二异氰酸酯(MDI)：≤0.5g/kg；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（7）可溶性铅(Pb)≤3mg/kg；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（8）可溶性镉(Cd)≤2mg/kg；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（9）可溶性汞(Hg)≤2mg/kg；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（10）可溶性铬(Cr)≤2mg/kg。</w:t>
            </w:r>
            <w:r/>
          </w:p>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val="en-US" w:eastAsia="zh-CN" w:bidi="ar"/>
              </w:rPr>
              <w:t xml:space="preserve">4.</w:t>
            </w:r>
            <w:r>
              <w:rPr>
                <w:rFonts w:hint="eastAsia" w:ascii="仿宋" w:hAnsi="仿宋" w:eastAsia="仿宋" w:cs="仿宋"/>
                <w:color w:val="auto"/>
                <w:szCs w:val="21"/>
                <w:highlight w:val="none"/>
                <w:lang w:bidi="ar"/>
              </w:rPr>
              <w:t xml:space="preserve">环境适应性：湿热-冻融-氙灯-雨水浸泡环境适应性循环测</w:t>
            </w:r>
            <w:r>
              <w:rPr>
                <w:rFonts w:hint="default" w:ascii="仿宋" w:hAnsi="仿宋" w:eastAsia="仿宋" w:cs="仿宋"/>
                <w:color w:val="auto"/>
                <w:szCs w:val="21"/>
                <w:highlight w:val="none"/>
                <w:lang w:bidi="ar"/>
              </w:rPr>
              <w:t xml:space="preserve">试时间</w:t>
            </w:r>
            <w:r>
              <w:rPr>
                <w:rFonts w:hint="eastAsia" w:ascii="仿宋" w:hAnsi="仿宋" w:eastAsia="仿宋" w:cs="仿宋"/>
                <w:color w:val="auto"/>
                <w:szCs w:val="21"/>
                <w:highlight w:val="none"/>
                <w:lang w:bidi="ar"/>
              </w:rPr>
              <w:t xml:space="preserve">≥1500h，尺寸变化率≤0.4%，硬度70-90Shore A。</w:t>
            </w:r>
            <w:r>
              <w:rPr>
                <w:rFonts w:hint="eastAsia" w:ascii="仿宋" w:hAnsi="仿宋" w:eastAsia="仿宋" w:cs="仿宋"/>
                <w:color w:val="auto"/>
                <w:szCs w:val="21"/>
                <w:highlight w:val="none"/>
                <w:lang w:val="en-US" w:eastAsia="zh-CN" w:bidi="ar"/>
              </w:rPr>
              <w:t xml:space="preserve">检测</w:t>
            </w:r>
            <w:r>
              <w:rPr>
                <w:rFonts w:hint="eastAsia" w:ascii="仿宋" w:hAnsi="仿宋" w:eastAsia="仿宋" w:cs="仿宋"/>
                <w:color w:val="auto"/>
                <w:szCs w:val="21"/>
                <w:highlight w:val="none"/>
                <w:lang w:bidi="ar"/>
              </w:rPr>
              <w:t xml:space="preserve">依据GB/T15905-1995《硫化橡胶湿热老化试验方法》、GB/T2423.22-2012《环境试验 第2部分：试验方法 试验N：温度变化》、GB/T16422.2-2022《塑料 实验室光源暴露试验方法 第2部分：氙弧灯》、GB/T11547-2008《塑料 耐液体化学试剂性能的测定》</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bidi="ar"/>
              </w:rPr>
              <w:t xml:space="preserve">5.</w:t>
            </w:r>
            <w:r>
              <w:rPr>
                <w:rFonts w:hint="eastAsia" w:ascii="仿宋" w:hAnsi="仿宋" w:eastAsia="仿宋" w:cs="仿宋"/>
                <w:color w:val="auto"/>
                <w:szCs w:val="21"/>
                <w:highlight w:val="none"/>
                <w:lang w:bidi="ar"/>
              </w:rPr>
              <w:t xml:space="preserve">耐湿热老化：耐湿热</w:t>
            </w:r>
            <w:r>
              <w:rPr>
                <w:rFonts w:hint="default" w:ascii="仿宋" w:hAnsi="仿宋" w:eastAsia="仿宋" w:cs="仿宋"/>
                <w:color w:val="auto"/>
                <w:szCs w:val="21"/>
                <w:highlight w:val="none"/>
                <w:lang w:bidi="ar"/>
              </w:rPr>
              <w:t xml:space="preserve">试验时间</w:t>
            </w:r>
            <w:r>
              <w:rPr>
                <w:rFonts w:hint="eastAsia" w:ascii="仿宋" w:hAnsi="仿宋" w:eastAsia="仿宋" w:cs="仿宋"/>
                <w:color w:val="auto"/>
                <w:szCs w:val="21"/>
                <w:highlight w:val="none"/>
                <w:lang w:bidi="ar"/>
              </w:rPr>
              <w:t xml:space="preserve">≥168h，拉伸强度老化前后≥0.7MPa，拉断伸长率老化前后≥90%，老化前后保持率≥80%。</w:t>
            </w:r>
            <w:r>
              <w:rPr>
                <w:rFonts w:hint="eastAsia" w:ascii="仿宋" w:hAnsi="仿宋" w:eastAsia="仿宋" w:cs="仿宋"/>
                <w:color w:val="auto"/>
                <w:szCs w:val="21"/>
                <w:highlight w:val="none"/>
                <w:lang w:val="en-US" w:eastAsia="zh-CN" w:bidi="ar"/>
              </w:rPr>
              <w:t xml:space="preserve">检测</w:t>
            </w:r>
            <w:r>
              <w:rPr>
                <w:rFonts w:hint="eastAsia" w:ascii="仿宋" w:hAnsi="仿宋" w:eastAsia="仿宋" w:cs="仿宋"/>
                <w:color w:val="auto"/>
                <w:szCs w:val="21"/>
                <w:highlight w:val="none"/>
                <w:lang w:bidi="ar"/>
              </w:rPr>
              <w:t xml:space="preserve">依据GB/T 15905-1995《硫化橡胶湿热老化试验方法》</w:t>
            </w:r>
            <w:r>
              <w:rPr>
                <w:rFonts w:hint="eastAsia" w:ascii="仿宋" w:hAnsi="仿宋" w:eastAsia="仿宋" w:cs="仿宋"/>
                <w:color w:val="auto"/>
                <w:szCs w:val="21"/>
                <w:highlight w:val="none"/>
                <w:lang w:eastAsia="zh-CN"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地胶收卷器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1.基本构成：产品由收卷芯轴、固定夹头（或卡塞）及摇柄（如有）组成，用于PVC羽毛球运动地胶的手动收卷、搬运与存放。</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2.材质要求：收卷芯轴采用硬质PVC管材，壁厚≥3mm，管材外径≥50mm，芯轴表面光滑，无毛刺、裂纹、明显划痕，端面切割平整。</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3.规格尺寸：芯轴有效收卷长度：≥5400mm（适配标准5.4米宽羽毛球场地地胶），两端须配备固定装置（如卡塞、夹头），防止地胶收卷后松散滑脱。</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4.承载能力：收卷完成后，芯轴无明显弯曲变形，能承载整卷地胶的立式存放。</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5.配件：须配地胶起头撬板1件，材质为金属或硬质塑料，便于将地胶端头从地面掀起。</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6.其他：产品应附产品标签，标明产品名称、规格、材质、生产厂家信息整体结构简单，无需润滑及特殊维护。</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移动式羽毛球球柱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1.产品结构：由底座、立柱、锁绳装置、高度微调装置和羽毛球网组成，适适合两片场地之间尺寸≥1200mm。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底座材料是高密度聚乙烯材料（HDPE），中空吹塑制造一次加工成型。底座铁板材料采用≥10mm的钢板，材质是Q235B，激光切割一次成型。走轮采用Φ50低摩擦软性宽幅PU轮。每只底座设5块防震垫,满足底座摩擦力要求。底座尺寸：≥710*400*215mm，单只底座配重≥85kg，满足产品稳定性要求。</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3.立柱总高度≥1550mm ，主要材料采用φ≥40×≥5无缝管，材质：35#。球网被拉紧时，网柱能稳固地与地面保持垂直，立柱轴线对水平面的垂直公差≤1/500，且网柱各部位均不侵入场地内边线的垂直线内。网柱能承受≥200N的外力，球柱不产生永久变形，无倾倒现象。</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4.球网是咖啡色，长度≥6100mm，宽度≥760mm，网眼为正方形，边长15～20mm ，16-18股网片，坛白布，70-75mm宽对折包边。网绳采用φ≥5硬绳线，棱边采用≥12股网线拷边。</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5.锁绳装置：紧线方便，锁定可靠，无卡滞或自动返松现象。</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6.高度微调装置：顶部螺纹无极微调，实现网的高度要求。</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折叠球类推车</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1.推车外形基本尺寸：长×宽×高≥950×750×800(㎜)。</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2.推车主要采用Φ≥19x2mm圆管在专用弯管机上弯曲成形后与Φ≥12x1mm圆管拼焊而成，推车整体可折叠，存放时可减少空间。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3.推车支脚底部装有滚轮，移动方便。</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4.可放置篮球 20 只，整体可折叠，底部设有走轮。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露营车</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1.体结构框架材质：高强度铝合金，管壁厚度≥1.5mm，表面处理工艺为阳极氧化（膜厚≥10μm）。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2.折叠机构：四向折叠，展开尺寸：≥</w:t>
            </w:r>
            <w:r>
              <w:rPr>
                <w:rFonts w:ascii="仿宋" w:hAnsi="仿宋" w:eastAsia="仿宋" w:cs="仿宋"/>
                <w:color w:val="auto"/>
                <w:szCs w:val="21"/>
                <w:highlight w:val="none"/>
                <w:lang w:bidi="ar"/>
              </w:rPr>
              <w:t xml:space="preserve">120</w:t>
            </w:r>
            <w:r>
              <w:rPr>
                <w:rFonts w:hint="eastAsia" w:ascii="仿宋" w:hAnsi="仿宋" w:eastAsia="仿宋" w:cs="仿宋"/>
                <w:color w:val="auto"/>
                <w:szCs w:val="21"/>
                <w:highlight w:val="none"/>
                <w:lang w:bidi="ar"/>
              </w:rPr>
              <w:t xml:space="preserve">cm×60cm×100cm，折叠后尺寸≤60cm×30cm×20cm。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3.整备质量：≤12kg。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4.载重与容量最大静态承重：≥200kg（水平硬质地面测试），动态行进承重：≥150kg（测试条件：柏油路面/砂石路面，坡度≤15°）。</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5.装载箱容积：≥250L（几何容积法测量，内部尺寸：≥110cm×50cm×40cm）。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6.车轮系统车轮直径：≥12英寸。</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7.轮胎类型：橡胶充气胎，胎压范围35-50PSI，胎面纹路为越野锯齿纹。</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8.轴承类型：双排密封滚珠轴承（防水等级IP54）。</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9.避震系统：弹簧液压复合避震（行程≥5cm）。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10.功能性配置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①把手调节：高度可调范围80-110cm，材质为防滑TPU包裹。</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②刹车系统：脚踩式驻车制动，制动响应时间≤1秒。</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③配件接口：标配外挂织带（宽度5cm，承重≥20kg）、侧边桌板插槽（兼容厚度1-2cm板材）。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11.环境适应性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①防腐性能：通过ASTMB117盐雾测试≥72小时（无可见锈蚀）。</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②防水等级：箱体接缝采用超声波压胶工艺，防水等级IPX4（防泼溅）。</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③适用温度：-20℃至+60℃。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气排球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1.基础规格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①球体直径：120±1mm（周长750-760mm，符合GB/T22868-2008标准）。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②球体重量：120±5g（未充气状态）。</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③球体材质：TPU复合层（外层厚度≥1.2mm，内层丁基橡胶气密层）。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2.物理性能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①工作气压：0.15-0.18Bar（充气后静置24小时压降≤5%）。</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②反弹高度：120-140cm（标准测试条件：2m自由落体至硬质地面的反弹值）。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③圆周差：≤3mm（球体任意两处周长差值）。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3.材料与工艺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①接缝工艺：接缝宽度≤0.5mm，无胶水残留。</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②表面纹路：凹凸颗粒防滑设计（颗粒高度0.3-0.5mm，密度≥25个/cm²）。</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③气嘴类型：隐蔽式直通气嘴（长度≤10mm，材质为铜镀镍）。</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气排球网</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1.基础规格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①网孔尺寸：100×100mm±2mm（正方形，符合GB/T19851.11-2005标准）。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②网体材质：高密度聚乙烯（HDPE，单丝直径≥2.0mm，密度≥0.95g/cm³）。</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③网体颜色：深蓝色（色牢度≥4级，符合ISO105-B02:2014标准）。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2.网体结构</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①网长×网高：7.0m×0.8m（网高可调节范围0.8-1.2m，误差±1cm）。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②网带宽度：上/下网带宽度≥5cm，双层加厚帆布包边（抗拉强度≥3000N）。</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③侧边标志杆：长度1.8m，直径20mm玻璃纤维杆（红白相间色带，每段10cm）。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气排球移动网架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1.产品结构：由底座、立柱和排球网组成。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2.调节高度：网高调节范围：1800-2200mm。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3.气排球柱外立柱选用φ≥89×3mm的优质管材，内立柱选用φ≥76×2.5mm管材制作，通过高度调节装置，使内立柱上下移动，实现网高调节高度：女子球网高度1.9米、男子球网高度2.1米。</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4.高度调节装置采用高强度内置弹簧助推，手柄锁紧，操作方便，高度调节升降灵活，无卡滞现象。</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5.紧线机构采用棘爪式紧线锁紧机构，紧线方便，锁定可靠，无卡滞或自动返松现象。</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6.立柱垂直度性能：球网被拉紧时，网柱能稳固地与地面保持垂直，立柱轴线对水平面的垂直公差≤1/500，且网柱各部位均不侵入场地内边线的垂直线内。</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7.立柱刚性要求：网柱能承受≥600N的外力，球柱不产生永久变形，无倾倒现象。</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8.气排球柱立柱上部设有专用封套，材质：ABS，防止立柱内管摩擦而引起表面漆膜脱落，从而影响整体美观。</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9.气排球柱底座规格：长</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rPr>
              <w:t xml:space="preserve">800mm，宽</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rPr>
              <w:t xml:space="preserve">500mm，高</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rPr>
              <w:t xml:space="preserve">260mm，采用口</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rPr>
              <w:t xml:space="preserve">120x80x2.5方管、口</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rPr>
              <w:t xml:space="preserve">80x80x2.5方管和4mm铁板焊接制作，配重箱四角呈圆弧形，底座单只配置水泥配重块</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rPr>
              <w:t xml:space="preserve">175kg，满足产品稳定性要求，上罩装饰盖，造型美观。</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10.气排球柱可选配独立移动推车，方便提起球柱底座，以便移动。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手持气筒</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1.便携式电动充气泵。</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2.最大气压≥150PSI。</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3.充气速度（185/65R15轮胎）≤8分钟。</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4.电池容量≥2000mAh，无线设计。</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5.预设模式≥6种（汽车、摩托、自行车、球类等），自动停止功能。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6.数字压力显示屏。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7.Type-C充电接口。</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8.重量400-500g。</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9.含充气软管、法式/美式气嘴转换头、球针。</w:t>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29" w:type="dxa"/>
            <w:vAlign w:val="center"/>
            <w:textDirection w:val="lrTb"/>
            <w:noWrap w:val="false"/>
          </w:tcPr>
          <w:p>
            <w:pPr>
              <w:jc w:val="center"/>
              <w:widowControl/>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健身与体操</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深蹲架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深蹲架</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1.杠铃片储存位≥4。</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2.储存位容量：每个储存位≥4*25kg。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3.产品尺寸：≤1800*1800*1900（（mm）。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4.产品净重：≥100kg,最大人体质量：≥150kg。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5.最大训练载荷：≥300kg。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6.阻力形式：杠铃片。                                                                                                        7.锻炼功能：主要用于深蹲训练，可提供安全性保护 。                              8.锻炼方法：通过前侧低起点位进行硬拉、划船等训练。 </w:t>
            </w:r>
            <w:r/>
          </w:p>
          <w:p>
            <w:pPr>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▲9.表面处理：主架需采用优质的烤漆工艺，表面涂层依据GB/T 10125-2021《人造气氛腐蚀试验 盐雾实验》，检测室内器材表面涂层通过中性盐雾实验（≥1000h），检测结果需外观评级≥9级、保护评级≥9级，</w:t>
            </w:r>
            <w:r>
              <w:rPr>
                <w:rFonts w:hint="eastAsia" w:ascii="仿宋" w:hAnsi="仿宋" w:eastAsia="仿宋" w:cs="仿宋"/>
                <w:b/>
                <w:bCs/>
                <w:color w:val="auto"/>
                <w:szCs w:val="21"/>
                <w:highlight w:val="none"/>
                <w:lang w:bidi="ar"/>
              </w:rPr>
              <w:t xml:space="preserve">提供满足本项技术性能指标要求的第三方检测机构出具的带有CMA标识的检测报告复印件加盖制造厂家公章</w:t>
            </w:r>
            <w:r>
              <w:rPr>
                <w:rFonts w:hint="eastAsia" w:ascii="仿宋" w:hAnsi="仿宋" w:eastAsia="仿宋" w:cs="仿宋"/>
                <w:b/>
                <w:bCs/>
                <w:color w:val="auto"/>
                <w:szCs w:val="21"/>
                <w:highlight w:val="none"/>
              </w:rPr>
              <w:t xml:space="preserve">。                                                             </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lang w:bidi="ar"/>
              </w:rPr>
            </w:pPr>
            <w:r>
              <w:rPr>
                <w:rFonts w:ascii="仿宋" w:hAnsi="仿宋" w:eastAsia="仿宋" w:cs="仿宋"/>
                <w:color w:val="auto"/>
                <w:szCs w:val="21"/>
                <w:highlight w:val="none"/>
                <w:lang w:bidi="ar"/>
              </w:rPr>
              <w:t xml:space="preserve">奥林匹克水平推举椅</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1.杠铃片储存位≥4个，储存位容量：4*25kg                                       2.管材：厚度≥2.5mm，主立管：≥50mm*100mm*2.5mm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3.产品尺寸：≤1800*1800*1300（mm）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4.产品净重：≥70kg,最大人体质量：≥150kg，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5.最大训练载荷：≥200kg，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6.阻力形式：杠铃片。                                                   7.锻炼功能：主要进行水平卧推训练，并且可以通过增添保护架附件，增加训练安全性。                                                              8.锻炼部位：胸大肌、肱三头肌                                                  </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lang w:bidi="ar"/>
              </w:rPr>
            </w:pPr>
            <w:r>
              <w:rPr>
                <w:rFonts w:ascii="仿宋" w:hAnsi="仿宋" w:eastAsia="仿宋" w:cs="仿宋"/>
                <w:color w:val="auto"/>
                <w:szCs w:val="21"/>
                <w:highlight w:val="none"/>
                <w:lang w:bidi="ar"/>
              </w:rPr>
              <w:t xml:space="preserve">可调式双滑轮多功能训练机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1.管材壁厚≥2mm.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2.护罩材质：铁质护罩；</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3.双侧滑轮高度可调，并且调节便利，适合各类人士需求</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4.产品尺寸≤1800×1100×2200（mm）；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5.最大人体质量≥150KG</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6.配重铁：≥2×90kg；</w:t>
            </w:r>
            <w:r/>
          </w:p>
          <w:p>
            <w:pPr>
              <w:jc w:val="left"/>
              <w:rPr>
                <w:rFonts w:ascii="仿宋" w:hAnsi="仿宋" w:eastAsia="仿宋" w:cs="仿宋"/>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7</w:t>
            </w:r>
            <w:r>
              <w:rPr>
                <w:rFonts w:hint="eastAsia" w:ascii="仿宋" w:hAnsi="仿宋" w:eastAsia="仿宋" w:cs="仿宋"/>
                <w:b/>
                <w:bCs/>
                <w:color w:val="auto"/>
                <w:szCs w:val="21"/>
                <w:highlight w:val="none"/>
              </w:rPr>
              <w:t xml:space="preserve">.阻力形式：配重铁；牵索形式：钢索，其中钢索依据GB/T8358-2023《钢丝绳 破断拉力测定方法》,检测结果钢索破断拉力≥9.5KN。</w:t>
            </w:r>
            <w:r>
              <w:rPr>
                <w:rFonts w:hint="eastAsia" w:ascii="仿宋" w:hAnsi="仿宋" w:eastAsia="仿宋" w:cs="仿宋"/>
                <w:b/>
                <w:bCs/>
                <w:color w:val="auto"/>
                <w:szCs w:val="21"/>
                <w:highlight w:val="none"/>
                <w:lang w:bidi="ar"/>
              </w:rPr>
              <w:t xml:space="preserve">提供满足本项技术性能指标要求的第三方检测机构出具的带有CMA标识的检测报告复印件加盖制造厂家公章</w:t>
            </w:r>
            <w:r>
              <w:rPr>
                <w:rFonts w:hint="eastAsia" w:ascii="仿宋" w:hAnsi="仿宋" w:eastAsia="仿宋" w:cs="仿宋"/>
                <w:b/>
                <w:bCs/>
                <w:color w:val="auto"/>
                <w:szCs w:val="21"/>
                <w:highlight w:val="none"/>
              </w:rPr>
              <w:t xml:space="preserve">。 </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可调式训练椅</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1.产品尺寸：≤1500*700*500（mm）。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2.产品净重：≥40kg,最大人体质量：≥150kg。</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3.最大训练载荷：≥150kg。                    </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4.坐垫调节≥3档可调。</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5.背垫调节≥6档可调。                                    </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6.锻炼功能：主要在各项负重力量训练中提供坐姿或者卧姿支撑，并且坐垫角度和背垫角度可调，可满足不同角度的训练需求。                                            7.锻炼部位：借助哑铃，杠铃等辅助器械锻炼上半身各部位肌肉。 </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体操垫</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1.采用泡沫塑料和泡沫乳胶，帆布或人造革外皮。</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2.长800mm±5mm,宽600mm±5mm,厚≥100mm。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大体操垫</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1.采用泡沫塑料和泡沫乳胶，帆布或人造革外皮。</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2.长2000mm±5mm,宽1200mm±5mm,厚≥100mm。</w:t>
            </w:r>
            <w:r/>
          </w:p>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3.在长度方向可对半折叠，两侧应各有提手，四周加装  粘扣。</w:t>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29"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b/>
                <w:bCs/>
                <w:color w:val="auto"/>
                <w:szCs w:val="21"/>
                <w:highlight w:val="none"/>
                <w:lang w:bidi="ar"/>
              </w:rPr>
              <w:t xml:space="preserve">体测类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身高体重测试一体机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1.身高测量方式：高精度超声波探头并实现温差补偿检测。</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2.体重测量方式：精密平衡梁式压力传感器称重（具有偏心负载功能，灵敏度高，线性好，测量快速精准，耐疲劳，寿命长等特点)。</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3.体型：国际通用体格指数（BMI)。</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4.显示方式：≥19寸高清液晶触摸屏。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5.屏幕分辨率≥1920*1080。</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6.运行内存：≥2G，存储: ≥16G。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7.测量范围：身高：20cm－200cm，体重：1kg－500kg。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8.精确度：身高：±0.1cm，体重：±0.1kg。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9.摄像头像素：≥500万像素内置摄像头。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10.人脸识别功能：集人脸检测、人脸跟踪、人脸对比、人脸查找、人脸属性、RGB/IR活体检测等多项能力与一身。支持离线服务，可在无网络环境下使用，本地化部署，保证数据的安全。毫秒级识别、服务高效。</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11.语音提示：测量过程提示及测量结果播报，可根据客户需求定制播报。</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12.使用温湿度:温度-20-40℃，湿度20%-85%RH。</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13.电源电压:AC220V50HZ，平均功耗:≤20W。</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14.外形设计:测量、显示一体化，模具一次成型的铝合金机身，符合人体工程学。</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15.外形尺寸：整机高度：220-240CM。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16.支持学生自助进行测试，点击主屏幕即可快速进入人脸识别界面，通过识别后进入个人界面。</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17.完成测试后系统自动生成个人成绩报告，分别显示学生身高、体重、BMI数据等，并分别给出BMI区间建议及健康分析。</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18.支持测试记录自动上传智慧体育校级数据系统/智慧体育自助体测系统，可查看具体成绩记录，并支持体测表单一键导出。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肺活量测试一体机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1.屏幕显示方式：≥19寸高清液晶触摸屏。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2.屏幕分辨率：≥1920*1080。</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3.运行内存：≥2G，存储: ≥16G。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4.测量范围:0~9999ml，测试分度值：≤1ml。</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5.精度：≥2.5%FS，误差：≤2.5%FS。</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6.摄像头：≥500万像素内置摄像头。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7.人脸识别功能：集人脸检测、人脸跟踪、人脸对比、人脸查找、人脸属性、RGB/IR活体检测等多项能力与一身。</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8.支持离线服务，可在无网络环境下使用，本地化部署，保证数据的安全，毫秒级识别、服务高效。</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9.语音提示：测量过程提示及测量结果播报，可根据客户需求定制播报。</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10.使用温湿度：温度-20-40℃，湿度20%-85%RH。</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11.电源电压：AC220V50HZ，平均功耗:≤20W。</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12.支持学生自助进行测试，点击主屏幕即可快速进入人脸识别界面，通过识别后进入个人界面。</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13.测试过程实时显示肺活量（毫升）数值，并分别记录第一次成绩和第二次成绩，测试完成无需操作直接离开。</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14.支持测试记录自动上传智慧体育校级数据系统/智慧体育自助体测系统，可查看具体成绩记录，并支持体测表单一键导出。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lang w:bidi="ar"/>
              </w:rPr>
            </w:pPr>
            <w:r>
              <w:rPr>
                <w:rFonts w:ascii="仿宋" w:hAnsi="仿宋" w:eastAsia="仿宋" w:cs="仿宋"/>
                <w:color w:val="auto"/>
                <w:szCs w:val="21"/>
                <w:highlight w:val="none"/>
                <w:lang w:bidi="ar"/>
              </w:rPr>
              <w:t xml:space="preserve">智慧体育教学练测评系统</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一、系统平台管理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1.1.支持具备体育考试、随堂测试、国家体测、自由练习等功能模块；</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1.2.支持PC端、Pad端、手机端登录智慧体育管理平台，可操作系统平台发布测试任务、布置体育专项作业；</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1.3.支持学生个人、班级、年级、全校体测成绩分析及汇总；</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1.4.支持学生信息管理、学生体测数据报表导出、体测功能设置；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1.5.支持测试视频存储与测试数据分析服务；</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1.6.支持基于老师、班级、学校分别开通管理账号，分层分级管理；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1.7.支持基于班级、学生的运动锻炼数据分析、展示与导出；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1.8.支持不少于8个运动项目并行开展测试，且实心球、铅球、立定跳远、引体向上、仰卧起坐、坐位体前屈、跳绳、50米、50*8往返跑、100米、800米/1000米、阳光跑等项目均可同时测试，满足学校各类场景项目同时开启的实际需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二、学生信息管理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2.1.支持行政班与分项班班级信息管理；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2.2.支持学生名单管理，可一键导入名单信息；</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2.3.支持可进行人脸信息录入、本地化存储和管理；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2.4.支持可根据学生体育兴趣发展进行分层、项班管理；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2.5.支持学生信息自动化升学年。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三、体育考试模块</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3.1.支持应用于运动会、体育考试、体育中考等场景，自动检测项目测试成绩，智能识别违规动作，自动汇总体育考试成绩；</w:t>
            </w:r>
            <w:r/>
          </w:p>
          <w:p>
            <w:pPr>
              <w:jc w:val="left"/>
              <w:widowControl/>
              <w:rPr>
                <w:rFonts w:hint="eastAsia" w:ascii="仿宋" w:hAnsi="仿宋" w:eastAsia="仿宋" w:cs="仿宋"/>
                <w:color w:val="auto"/>
                <w:szCs w:val="21"/>
                <w:highlight w:val="none"/>
                <w:lang w:eastAsia="zh-CN" w:bidi="ar"/>
              </w:rPr>
            </w:pPr>
            <w:r>
              <w:rPr>
                <w:rFonts w:hint="eastAsia" w:ascii="仿宋" w:hAnsi="仿宋" w:eastAsia="仿宋" w:cs="仿宋"/>
                <w:color w:val="auto"/>
                <w:szCs w:val="21"/>
                <w:highlight w:val="none"/>
                <w:lang w:bidi="ar"/>
              </w:rPr>
              <w:t xml:space="preserve">3.2.考试中心支持通过班级名单或人脸识别方式开启测试，最终记录考试成绩并自动匹配学生信息</w:t>
            </w:r>
            <w:r>
              <w:rPr>
                <w:rFonts w:hint="eastAsia" w:ascii="仿宋" w:hAnsi="仿宋" w:eastAsia="仿宋" w:cs="仿宋"/>
                <w:color w:val="auto"/>
                <w:szCs w:val="21"/>
                <w:highlight w:val="none"/>
                <w:lang w:eastAsia="zh-CN"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3.3.支持体育考试模块操作端测试过程中选择重测、修改成绩或选择下一组等操作；</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3.4.支持查看测试项目成绩、分数、等级、姿态指标、肌群分析、运动点评及建议、视频回放、动作关键帧等内容，且支持生成定制化运动处方报告；</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3.5.支持体育考试当前测试记录查看，测试记录根据分班级、分项目、分时间段进行分类管理；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3.6.支持体育考试测试项目进度查询，可分析整体测试成绩优秀率、良好率、及格率、不及格率等；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3.7.支持体育考试成绩管理表查询，可选择分学期、分年级进行筛选、也可选择输入具体学生学号筛选；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3.8.支持实时筛选并查看考试学生已考项目数，并可通过查看详情查看考试详情；</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3.9.支持为每一位学生生成个人考试详情，包括学生个人信息及分数详情，分数详情包含考试项目名称、考试成绩（展示历史最好成绩）、项目成绩评分；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3.10.支持选择自由练习模块的学生成绩数据迁移至体育考试模块；</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3.11.支持自定义评分标准，体育考试成绩等级和评分根据自定义评分标准进行判定。</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四、国家体测模块</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4.1.支持各阶段学校年度国家体测功能，实现各类运动项目数据自动采集、录入、整理、分析；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4.2.支持当前测试进度查看，测试记录根据时间进行分类管理；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4.3.支持下载上报成绩表格模板，且表格模板符合国家体测平台标准；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4.4.体测成绩实时更新汇总，并支持一键下载体测分析表格；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4.5.支持测试成绩即时更新汇总，电脑端可一键下载国家体测成绩表，表格形式符合国家体测平台上传标准，表格可修改并自动计算本年度学生体测及格情况；</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4.6.支持教师操作端测试过程中进行重测、修改成绩等操作；</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4.7.支持体测成绩综合分析，可从年级、班级、项目类型等维度分析当前的及格率、良好率、优秀率等数据情况；</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4.8.支持选择自由练习模块的学生成绩数据迁移至国家体测模块；</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4.9.支持所有体测成绩评分以《国家体质健康测试标准》进行评定。</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五、自由练习模块</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5.1.支持应用于课后学生自主练习场景，无需老师介入指导，学生通过人脸识别或者特定手势自助触发项目测试功能，可实时获取成绩反馈、以及对违规动作的有效检测和提醒；</w:t>
            </w:r>
            <w:r/>
          </w:p>
          <w:p>
            <w:pPr>
              <w:jc w:val="left"/>
              <w:widowControl/>
              <w:rPr>
                <w:rFonts w:hint="eastAsia" w:ascii="仿宋" w:hAnsi="仿宋" w:eastAsia="仿宋" w:cs="仿宋"/>
                <w:color w:val="auto"/>
                <w:szCs w:val="21"/>
                <w:highlight w:val="none"/>
                <w:lang w:eastAsia="zh-CN" w:bidi="ar"/>
              </w:rPr>
            </w:pPr>
            <w:r>
              <w:rPr>
                <w:rFonts w:hint="eastAsia" w:ascii="仿宋" w:hAnsi="仿宋" w:eastAsia="仿宋" w:cs="仿宋"/>
                <w:color w:val="auto"/>
                <w:szCs w:val="21"/>
                <w:highlight w:val="none"/>
                <w:lang w:bidi="ar"/>
              </w:rPr>
              <w:t xml:space="preserve">5.2.支持老师在一个操作终端远程一键开启、一键关闭所有自由练习项目</w:t>
            </w:r>
            <w:r>
              <w:rPr>
                <w:rFonts w:hint="eastAsia" w:ascii="仿宋" w:hAnsi="仿宋" w:eastAsia="仿宋" w:cs="仿宋"/>
                <w:color w:val="auto"/>
                <w:szCs w:val="21"/>
                <w:highlight w:val="none"/>
                <w:lang w:eastAsia="zh-CN"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5.3.支持学生在自由练习项目开启的任意时间段进行练习；</w:t>
            </w:r>
            <w:r/>
          </w:p>
          <w:p>
            <w:pPr>
              <w:jc w:val="left"/>
              <w:widowControl/>
              <w:rPr>
                <w:rFonts w:hint="eastAsia" w:ascii="仿宋" w:hAnsi="仿宋" w:eastAsia="仿宋" w:cs="仿宋"/>
                <w:b/>
                <w:bCs/>
                <w:color w:val="auto"/>
                <w:szCs w:val="21"/>
                <w:highlight w:val="none"/>
                <w:lang w:eastAsia="zh-CN" w:bidi="ar"/>
              </w:rPr>
            </w:pPr>
            <w:r>
              <w:rPr>
                <w:rFonts w:hint="eastAsia" w:ascii="仿宋" w:hAnsi="仿宋" w:eastAsia="仿宋" w:cs="仿宋"/>
                <w:color w:val="auto"/>
                <w:szCs w:val="21"/>
                <w:highlight w:val="none"/>
                <w:lang w:bidi="ar"/>
              </w:rPr>
              <w:t xml:space="preserve">5.4.支持无需操作任何设备的人脸识别方式，测试学生举手向摄像头示意即可刷脸匹配学生信息，自助、无感开启测试任务，测试成绩可实时播报，并记录测试成绩</w:t>
            </w:r>
            <w:r>
              <w:rPr>
                <w:rFonts w:hint="eastAsia" w:ascii="仿宋" w:hAnsi="仿宋" w:eastAsia="仿宋" w:cs="仿宋"/>
                <w:color w:val="auto"/>
                <w:szCs w:val="21"/>
                <w:highlight w:val="none"/>
                <w:lang w:eastAsia="zh-CN"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5.5.支持无需操作任何设备开展自由练习，站在测试区域即可触发测试任务；支持实时语音反馈；</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5.6.支持各项目使用量统计，进行可视化分析；支持分析图下载；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5.7.支持自由练习模块的学生测试成绩迁移至国家体测模块或体育考试模块；</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5.8.支持自定义评分标准，自由练习成绩等级和评分根据自定义评分标准进行判定。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lang w:bidi="ar"/>
              </w:rPr>
            </w:pPr>
            <w:r>
              <w:rPr>
                <w:rFonts w:ascii="仿宋" w:hAnsi="仿宋" w:eastAsia="仿宋" w:cs="仿宋"/>
                <w:color w:val="auto"/>
                <w:szCs w:val="21"/>
                <w:highlight w:val="none"/>
                <w:lang w:bidi="ar"/>
              </w:rPr>
              <w:t xml:space="preserve">智慧体育校级数据平台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一、基础信息管理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1.1.支持智慧体育数据多级管理及分析，具备学生运动数据管理、国家体测管理、体育考试管理、体育课基础数据管理、教学管理；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1.2.支持多级账号登录管理，分级查看体育数据信息，实现精准数据管理。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二、校级体育数据总览</w:t>
            </w:r>
            <w:r/>
          </w:p>
          <w:p>
            <w:pPr>
              <w:jc w:val="left"/>
              <w:widowControl/>
              <w:rPr>
                <w:rFonts w:hint="eastAsia" w:ascii="仿宋" w:hAnsi="仿宋" w:eastAsia="仿宋" w:cs="仿宋"/>
                <w:b/>
                <w:bCs/>
                <w:color w:val="auto"/>
                <w:szCs w:val="21"/>
                <w:highlight w:val="none"/>
                <w:lang w:eastAsia="zh-CN" w:bidi="ar"/>
              </w:rPr>
            </w:pPr>
            <w:r>
              <w:rPr>
                <w:rFonts w:hint="eastAsia" w:ascii="仿宋" w:hAnsi="仿宋" w:eastAsia="仿宋" w:cs="仿宋"/>
                <w:color w:val="auto"/>
                <w:szCs w:val="21"/>
                <w:highlight w:val="none"/>
                <w:lang w:bidi="ar"/>
              </w:rPr>
              <w:t xml:space="preserve">2.1.支持智慧体育数字大脑数据一览，覆盖全校运动项目、全校全年级学生日常的所有运动数据统计，并对数据进行多维度分析与综合展示</w:t>
            </w:r>
            <w:r>
              <w:rPr>
                <w:rFonts w:hint="eastAsia" w:ascii="仿宋" w:hAnsi="仿宋" w:eastAsia="仿宋" w:cs="仿宋"/>
                <w:color w:val="auto"/>
                <w:szCs w:val="21"/>
                <w:highlight w:val="none"/>
                <w:lang w:eastAsia="zh-CN"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2.2.支持查看全校运动达标率/优良率趋势图、全部运动项目达标率/优良率，并智能分析本月达标率、达标率月提升情况、本月提升人数等；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2.3.支持汇总学校今日运动人数/占比、昨日运动人数/占比、本月总运动人数（人次）、学期总运动量（人次）数据，并进行数据实时呈现；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2.4.支持全校成绩提升人次、全校运动人数、全校人均运动次数数据分析，并生成相应的趋势图；</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2.5.支持选择分年级查看各年级的运动达标率/优良率趋势图、全部运动项目达标率/优良率及班级运动频次&amp;达标率；</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2.6.支持实时显示各运动项目今日运动量、本月运动量数据，并支持学生个人最好成绩截图实时上屏展示。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三、学生运动数据管理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3.1.支持运动一小时管理、校园运动风云榜管理、阳光跑管理、学生测试记录管理、学生运动档案管理；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3.2.支持实时汇总校级每日人均运动时长（单位：分钟），可分本周、本月、本学期进行查看，并呈现完整波线图展示；</w:t>
            </w:r>
            <w:r/>
          </w:p>
          <w:p>
            <w:pPr>
              <w:jc w:val="left"/>
              <w:widowControl/>
              <w:rPr>
                <w:rFonts w:hint="eastAsia" w:ascii="仿宋" w:hAnsi="仿宋" w:eastAsia="仿宋" w:cs="仿宋"/>
                <w:color w:val="auto"/>
                <w:szCs w:val="21"/>
                <w:highlight w:val="none"/>
                <w:lang w:eastAsia="zh-CN" w:bidi="ar"/>
              </w:rPr>
            </w:pPr>
            <w:r>
              <w:rPr>
                <w:rFonts w:hint="eastAsia" w:ascii="仿宋" w:hAnsi="仿宋" w:eastAsia="仿宋" w:cs="仿宋"/>
                <w:color w:val="auto"/>
                <w:szCs w:val="21"/>
                <w:highlight w:val="none"/>
                <w:lang w:bidi="ar"/>
              </w:rPr>
              <w:t xml:space="preserve">3.3.支持每日运动人数占比分析、每日达标人数占比分析、并可分年级、分本周、本月、本学期进行查看班级运动一小时情况明细（包含但不限于班级、总人数、运动人数、达标人数、运动人数占比、达标人数占比</w:t>
            </w:r>
            <w:r>
              <w:rPr>
                <w:rFonts w:hint="eastAsia" w:ascii="仿宋" w:hAnsi="仿宋" w:eastAsia="仿宋" w:cs="仿宋"/>
                <w:color w:val="auto"/>
                <w:szCs w:val="21"/>
                <w:highlight w:val="none"/>
                <w:lang w:eastAsia="zh-CN"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3.4支持校园运动风云榜数据管理，可分年级、分性别、分项目，按照本周、本月、本学期进行校园运动风云榜的数据查询及批量导出操作；</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3.5支持校园运动风云榜展示，可查看数据包括学生项目排名、项目成绩、学生班级信息、姓名、性别、学号等；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3.6支持阳光跑数据管理，可分年级、分班级、分性别、分本周、本月、本学期或任意时段进行阳光跑数据查询及批量导出操作；</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3.7支持阳光跑数据查看，可查看数据包括但不限于班级、姓名、性别、学号、累计里程、平均配速等；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3.8支持展示学生所有累计阳光跑单日跑步记录，可查询并一键导出Excel；</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3.9支持分班级、分年级、分项目、分任意时段、分测试模式查看学生练习数据，数据包含学生自由练习记录、并支持成绩的查询、下载、一键迁移至体育考试模块和国家体测模块等操作；</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3.10学生测试记录查看，包括但不限于测试时间、测试班级、测试项目、测试模式、测试人数及已测人数分析；</w:t>
            </w:r>
            <w:r/>
          </w:p>
          <w:p>
            <w:pPr>
              <w:jc w:val="left"/>
              <w:widowControl/>
              <w:rPr>
                <w:rFonts w:hint="eastAsia" w:ascii="仿宋" w:hAnsi="仿宋" w:eastAsia="仿宋" w:cs="仿宋"/>
                <w:color w:val="auto"/>
                <w:szCs w:val="21"/>
                <w:highlight w:val="none"/>
                <w:lang w:eastAsia="zh-CN" w:bidi="ar"/>
              </w:rPr>
            </w:pPr>
            <w:r>
              <w:rPr>
                <w:rFonts w:hint="eastAsia" w:ascii="仿宋" w:hAnsi="仿宋" w:eastAsia="仿宋" w:cs="仿宋"/>
                <w:color w:val="auto"/>
                <w:szCs w:val="21"/>
                <w:highlight w:val="none"/>
                <w:lang w:bidi="ar"/>
              </w:rPr>
              <w:t xml:space="preserve">3.11支持以班级为单位汇总学生当天测试记录，可点击查看所有测试学生多次测试记录(包括但不限于班级、姓名、学号、成绩、评分等级）和个人成绩档案（包括但不限于成绩记录、姿态指标分析、肌群分析、点评及建议、动作关键帧分析）</w:t>
            </w:r>
            <w:r>
              <w:rPr>
                <w:rFonts w:hint="eastAsia" w:ascii="仿宋" w:hAnsi="仿宋" w:eastAsia="仿宋" w:cs="仿宋"/>
                <w:color w:val="auto"/>
                <w:szCs w:val="21"/>
                <w:highlight w:val="none"/>
                <w:lang w:eastAsia="zh-CN"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3.12支持分年级、分班级、分学年查看学生体育运动档案，档案内容包括：学生基础信息、累计运动天数、时长、测试项目及综合能力图谱，并可分项目查看最佳成绩、得分、等级、排名等数据；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3.13支持查看所有学生成长趋势分析、查看分近七天和近30天运动活跃分析、以及体测成绩管理表，查看所有学生运动成绩数据。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四、国家体测管理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4.1支持自助式体测功能，实现全部国家体质测试项目的自助测试、数据采集、分析，实现体质测试过程违规自动判定和成绩测试（包括但不限于立定跳远、仰卧起坐、引体向上、坐位体前屈、50米、800/1000米、BMI、肺活量、50*8往返跑等运动项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4.2支持自定义体测设置，可自助设置体测时间及多个测试时段，支持选择是否开启预约模式，可在一学年内发布多次体测任务分批开展国家体质测试；</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4.3支持分年级查看当前测试进度，并支持分项目查看总人数、需测人数、免测人数、已测人数、未测人数及测试完成率；</w:t>
            </w:r>
            <w:r/>
          </w:p>
          <w:p>
            <w:pPr>
              <w:jc w:val="left"/>
              <w:widowControl/>
              <w:rPr>
                <w:rFonts w:hint="eastAsia" w:ascii="仿宋" w:hAnsi="仿宋" w:eastAsia="仿宋" w:cs="仿宋"/>
                <w:color w:val="auto"/>
                <w:szCs w:val="21"/>
                <w:highlight w:val="none"/>
                <w:lang w:eastAsia="zh-CN" w:bidi="ar"/>
              </w:rPr>
            </w:pPr>
            <w:r>
              <w:rPr>
                <w:rFonts w:hint="eastAsia" w:ascii="仿宋" w:hAnsi="仿宋" w:eastAsia="仿宋" w:cs="仿宋"/>
                <w:color w:val="auto"/>
                <w:szCs w:val="21"/>
                <w:highlight w:val="none"/>
                <w:lang w:bidi="ar"/>
              </w:rPr>
              <w:t xml:space="preserve">4.4支持全项目无感人脸方式检录，站在测试位前系统自动检录，无需多余操作，测试结束系统自动提醒并播报“已完成测试”</w:t>
            </w:r>
            <w:r>
              <w:rPr>
                <w:rFonts w:hint="eastAsia" w:ascii="仿宋" w:hAnsi="仿宋" w:eastAsia="仿宋" w:cs="仿宋"/>
                <w:color w:val="auto"/>
                <w:szCs w:val="21"/>
                <w:highlight w:val="none"/>
                <w:lang w:eastAsia="zh-CN"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4.5支持教师端、国家体测平台端对测试过程中进行成绩补录、修改等操作；</w:t>
            </w:r>
            <w:r/>
          </w:p>
          <w:p>
            <w:pPr>
              <w:jc w:val="left"/>
              <w:widowControl/>
              <w:rPr>
                <w:rFonts w:hint="eastAsia" w:ascii="仿宋" w:hAnsi="仿宋" w:eastAsia="仿宋" w:cs="仿宋"/>
                <w:color w:val="auto"/>
                <w:szCs w:val="21"/>
                <w:highlight w:val="none"/>
                <w:lang w:eastAsia="zh-CN" w:bidi="ar"/>
              </w:rPr>
            </w:pPr>
            <w:r>
              <w:rPr>
                <w:rFonts w:hint="eastAsia" w:ascii="仿宋" w:hAnsi="仿宋" w:eastAsia="仿宋" w:cs="仿宋"/>
                <w:color w:val="auto"/>
                <w:szCs w:val="21"/>
                <w:highlight w:val="none"/>
                <w:lang w:bidi="ar"/>
              </w:rPr>
              <w:t xml:space="preserve">4.6支持成绩筛选，学生单项目有多条测试记录的，系统自动筛选取最好成绩为体测最终成绩</w:t>
            </w:r>
            <w:r>
              <w:rPr>
                <w:rFonts w:hint="eastAsia" w:ascii="仿宋" w:hAnsi="仿宋" w:eastAsia="仿宋" w:cs="仿宋"/>
                <w:color w:val="auto"/>
                <w:szCs w:val="21"/>
                <w:highlight w:val="none"/>
                <w:lang w:eastAsia="zh-CN"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4.7支持测试成绩实时更新汇总，测试数据自动上传，根据体测标准自动计算成绩得分，可一键导出符合国家学生体质健康平台数据格式的成绩表格，表格可修改并自动计算本年度学生体测及格情况；</w:t>
            </w:r>
            <w:r/>
          </w:p>
          <w:p>
            <w:pPr>
              <w:jc w:val="left"/>
              <w:widowControl/>
              <w:rPr>
                <w:rFonts w:hint="eastAsia" w:ascii="仿宋" w:hAnsi="仿宋" w:eastAsia="仿宋" w:cs="仿宋"/>
                <w:b/>
                <w:bCs/>
                <w:color w:val="auto"/>
                <w:szCs w:val="21"/>
                <w:highlight w:val="none"/>
                <w:lang w:eastAsia="zh-CN" w:bidi="ar"/>
              </w:rPr>
            </w:pPr>
            <w:r>
              <w:rPr>
                <w:rFonts w:hint="eastAsia" w:ascii="仿宋" w:hAnsi="仿宋" w:eastAsia="仿宋" w:cs="仿宋"/>
                <w:color w:val="auto"/>
                <w:szCs w:val="21"/>
                <w:highlight w:val="none"/>
                <w:lang w:bidi="ar"/>
              </w:rPr>
              <w:t xml:space="preserve">4.8支持项目多测位部署，根据要求进行体测中心部署实现多项目、多测位并发测试，多设备独立使用，互不干扰</w:t>
            </w:r>
            <w:r>
              <w:rPr>
                <w:rFonts w:hint="eastAsia" w:ascii="仿宋" w:hAnsi="仿宋" w:eastAsia="仿宋" w:cs="仿宋"/>
                <w:color w:val="auto"/>
                <w:szCs w:val="21"/>
                <w:highlight w:val="none"/>
                <w:lang w:eastAsia="zh-CN"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4.9支持分年级、分班级、分学期查看学生体测档案，档案内容包括：学生基础信息、身高体重、肺活量、体测成绩详情等；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4.10支持测试成绩结果仲裁，测试成绩溯源等功能。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五、体育课基础数据管理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5.1支持实时展示体育课基础数据，包含学校基础信息（学生总数、体育老师人数、AI智慧体育项目数量、AI智慧体育项目建设情况），以及体育课开课数、开课班级数、参与学生人次；</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5.2支持实时展示AI智慧体育项目使用排行情况及使用次数展示。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六、体育考试管理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6.1支持体育考试成绩管理表查询，可选择分学期、分年级、分班级进行筛选、也可选择输入具体学生学号筛选；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6.2支持实时筛选并查看考试学生已考项目数，并可通过查看详情查看考试详情；</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6.3支持为每一位学生生成个人考试详情，包括学生个人信息及分数详情，分数详情包含考试项目名称、考试成绩（展示历史最好成绩）、项目成绩评分。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七、教学管理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支持根据地区要求，自定义运动项目评分标准。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lang w:bidi="ar"/>
              </w:rPr>
            </w:pPr>
            <w:r>
              <w:rPr>
                <w:rFonts w:ascii="仿宋" w:hAnsi="仿宋" w:eastAsia="仿宋" w:cs="仿宋"/>
                <w:color w:val="auto"/>
                <w:szCs w:val="21"/>
                <w:highlight w:val="none"/>
                <w:lang w:bidi="ar"/>
              </w:rPr>
              <w:t xml:space="preserve">智慧体育助手</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1.支持系统分配账号管理权限，登入智慧体育助手进行学生基础信息管理、平台管理和运动风云榜审核处理等；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2.支持快速创建行政班和分项班，并实时查看各班级录入进度；</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3.人脸识别：</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3.1支持多种人脸信息录入方式，如小程序、app、PAD现场拍照，学生照片本地导入等，完成学生身份信息完善，同时支持人脸信息重录；</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3.2支持快速录入人脸信息，不戴眼镜的学生拍照一次性识别；</w:t>
            </w:r>
            <w:r/>
          </w:p>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3.3特殊人群人脸录入，支持盲人学生闭眼检录，人脸识别率≥99%；</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4.支持学生姓名、性别、学号、班级、年级等基础信息管理和学生人员删减，支持通过条形码扫码、准考证扫码等方式快速添加学生；</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支持跳绳、50米、50*8往返跑、100米、800米/1000米、计圈跑、定距跑等项目发令操作，可利用智慧体育助手管理项目的开启与关闭，并支持测试成绩记录实时查看、成绩补录及修正，成绩表单可支持一键下载及导出分享。</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6.支持立定跳远、引体向上、仰卧起坐、坐位体前屈、跳绳、实心球、50米、50*8往返跑、800米/1000米、计圈跑、定距跑等多项目风云榜成绩审核；</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7支持分项目查看举报记录，并对举报记录进行确认、处理及删除，或解除审核等操作；</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8.支持所有已建项目的体育作业任务一键发布，可针对每一位学生发布定制化体育作业，且根据每一位学生运动能力匹配体育作业最低达成标准及定制化作业强度等要求；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9.支持通过移动端智慧体育助手进行自由练习项目管理，并一键控制项目开启与关闭；</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支持教师班级权限管理，后台为老师分配各自班级使用权限，后台支持隐私信息保护设置；系统提供智慧体育使用视频教程，包含全部项目的测试教学演示视频、测试场景国家体测数据下载视频、小程序布置体育作业视频、智慧体育平台操作视频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11.支持体育角设备自定义时间锁定，支持临时锁定并在倒计时结束后自动开启；</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12.支持开启国家体测模式，开启后通过移动端智慧体育助手开启的任务成绩归属于国家体测成绩；</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13.支持开启体育考试模式，开启后通过移动端智慧体育助手开启的任务成绩归属于体育考试成绩，支持将非体育考试的任务成绩归档到体育考试成绩；</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14.支持查看学生运动档案，包含学生运动时长、阳光跑的里程记录、每日跑步里程和每日平均配速，以及其他项目的最佳运动记录、成绩趋势，支持对最佳成绩进行修改；</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15.支持创建不同角色管理账号，包括校园代理、学校管理员、区管理员、行政老师，并分配相应教师端后台管理权限；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16.支持教师班级权限管理，后台为老师分配各自班级使用权限，后台支持隐私信息保护设置；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17.系统提供智慧体育使用视频教程，包含全部项目的测试教学演示视频、测试场景国家体测数据下载视频、智慧体育平台操作视频等；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18.支持版本更新提醒、确认，以及在线版本信息查看等功能；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19.支持在线联系客服反馈产品需求，匹配在线售后服务体系；</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20.自定义分项班：支持教师根据不同场景需求，自行创建分项班，通过选择学生添加或扫描准考证添加，快速导入学生信息；</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21.支持开启或关闭国家体测、体育考试模式；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22.支持系统管理员进行分类设置，包括区管理员、学校管理员和行政老师等，且设置人员数量不设限，满足学校多样化管理需求；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23.支持开启自动开关机模式，可根据法定节假日和调休日期自动调整；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24.节能模式：自由模式开启时，系统自动检测长时间无人使用即可触发熄屏模式。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体测地胶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rPr>
                <w:rFonts w:hint="eastAsia" w:ascii="仿宋" w:hAnsi="仿宋" w:eastAsia="仿宋" w:cs="仿宋"/>
                <w:color w:val="auto"/>
                <w:szCs w:val="21"/>
                <w:highlight w:val="none"/>
                <w:lang w:val="en-US" w:eastAsia="zh-CN" w:bidi="ar"/>
              </w:rPr>
              <w:t xml:space="preserve">.</w:t>
            </w:r>
            <w:r>
              <w:rPr>
                <w:rFonts w:hint="eastAsia" w:ascii="仿宋" w:hAnsi="仿宋" w:eastAsia="仿宋" w:cs="仿宋"/>
                <w:color w:val="auto"/>
                <w:szCs w:val="21"/>
                <w:highlight w:val="none"/>
                <w:lang w:bidi="ar"/>
              </w:rPr>
              <w:t xml:space="preserve">厚度≥6.0mm，纯PVC耐磨层表面纹理满足防滑功能纹理。耐磨层≥1.3m，高密度玻璃纤维层加黑网，背层低钙密闭式发泡背层，增加材料的柔韧性。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w:t>
            </w:r>
            <w:r>
              <w:rPr>
                <w:rFonts w:hint="eastAsia" w:ascii="仿宋" w:hAnsi="仿宋" w:eastAsia="仿宋" w:cs="仿宋"/>
                <w:color w:val="auto"/>
                <w:szCs w:val="21"/>
                <w:highlight w:val="none"/>
                <w:lang w:val="en-US" w:eastAsia="zh-CN" w:bidi="ar"/>
              </w:rPr>
              <w:t xml:space="preserve">.</w:t>
            </w:r>
            <w:r>
              <w:rPr>
                <w:rFonts w:hint="eastAsia" w:ascii="仿宋" w:hAnsi="仿宋" w:eastAsia="仿宋" w:cs="仿宋"/>
                <w:color w:val="auto"/>
                <w:szCs w:val="21"/>
                <w:highlight w:val="none"/>
                <w:lang w:bidi="ar"/>
              </w:rPr>
              <w:t xml:space="preserve">冲击吸收:20%~50%；垂直变形0. 6mm~3. 0mm；球反弹率≥75%；拉伸强度≥1.3MPa；拉断伸长率≥90%；抗滑值（20℃）80BPN~110BPN(干测)；阻燃性能I级；色牢度干、湿两种条件下均无脱色；短链氯化石蜡（C10-C13）；4,4＇—二氨基-3，3＇—二氯二苯甲烷（MOCA）未检出。3.（1）18种多环芳烃总量：表面层≤0.1mg/kg，5mm以内深层≤0.1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（2）苯并[a]芘：≤0.1mg/kg；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（3）短链氯化石蜡(SCCPs)：&lt;0.1g/kg；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（4）MOCA：&lt;0.001g/kg；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（5）游离二异氰酸酯(TDI+HDI)总和：≤0.3g/kg；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（6）二苯基甲烷二异氰酸酯(MDI)：≤0.5g/kg；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（7）可溶性铅(Pb)≤3mg/kg；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（8）可溶性镉(Cd)≤2mg/kg；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（9）可溶性汞(Hg)≤2mg/kg；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（10）可溶性铬(Cr)≤2mg/kg。</w:t>
            </w:r>
            <w:r/>
          </w:p>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val="en-US" w:eastAsia="zh-CN" w:bidi="ar"/>
              </w:rPr>
              <w:t xml:space="preserve">4.</w:t>
            </w:r>
            <w:r>
              <w:rPr>
                <w:rFonts w:hint="eastAsia" w:ascii="仿宋" w:hAnsi="仿宋" w:eastAsia="仿宋" w:cs="仿宋"/>
                <w:color w:val="auto"/>
                <w:szCs w:val="21"/>
                <w:highlight w:val="none"/>
                <w:lang w:bidi="ar"/>
              </w:rPr>
              <w:t xml:space="preserve">环境适应性：湿热-冻融-氙灯-雨水浸泡环境适应性循环测</w:t>
            </w:r>
            <w:r>
              <w:rPr>
                <w:rFonts w:hint="default" w:ascii="仿宋" w:hAnsi="仿宋" w:eastAsia="仿宋" w:cs="仿宋"/>
                <w:color w:val="auto"/>
                <w:szCs w:val="21"/>
                <w:highlight w:val="none"/>
                <w:lang w:bidi="ar"/>
              </w:rPr>
              <w:t xml:space="preserve">试时间</w:t>
            </w:r>
            <w:r>
              <w:rPr>
                <w:rFonts w:hint="eastAsia" w:ascii="仿宋" w:hAnsi="仿宋" w:eastAsia="仿宋" w:cs="仿宋"/>
                <w:color w:val="auto"/>
                <w:szCs w:val="21"/>
                <w:highlight w:val="none"/>
                <w:lang w:bidi="ar"/>
              </w:rPr>
              <w:t xml:space="preserve">≥1500h，尺寸变化率≤0.4%，硬度70-90Shore A。</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bidi="ar"/>
              </w:rPr>
              <w:t xml:space="preserve">5.</w:t>
            </w:r>
            <w:r>
              <w:rPr>
                <w:rFonts w:hint="eastAsia" w:ascii="仿宋" w:hAnsi="仿宋" w:eastAsia="仿宋" w:cs="仿宋"/>
                <w:color w:val="auto"/>
                <w:szCs w:val="21"/>
                <w:highlight w:val="none"/>
                <w:lang w:bidi="ar"/>
              </w:rPr>
              <w:t xml:space="preserve">耐湿热老化：耐湿热</w:t>
            </w:r>
            <w:r>
              <w:rPr>
                <w:rFonts w:hint="default" w:ascii="仿宋" w:hAnsi="仿宋" w:eastAsia="仿宋" w:cs="仿宋"/>
                <w:color w:val="auto"/>
                <w:szCs w:val="21"/>
                <w:highlight w:val="none"/>
                <w:lang w:bidi="ar"/>
              </w:rPr>
              <w:t xml:space="preserve">试验时间</w:t>
            </w:r>
            <w:r>
              <w:rPr>
                <w:rFonts w:hint="eastAsia" w:ascii="仿宋" w:hAnsi="仿宋" w:eastAsia="仿宋" w:cs="仿宋"/>
                <w:color w:val="auto"/>
                <w:szCs w:val="21"/>
                <w:highlight w:val="none"/>
                <w:lang w:bidi="ar"/>
              </w:rPr>
              <w:t xml:space="preserve">≥168h，拉伸强度老化前后≥0.7MPa，拉断伸长率老化前后≥90%，老化前后保持率≥80%。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仰卧起坐测试板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1.长≥1.6*宽≥0.5*厚≥0.04m（勾脚有效高度0.15±0.01m）。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2.材料：户外防晒防烫皮，整体采用环保材料不含甲醛等有害物质，框架使用Q235材质环保塑粉喷塑，不容易生锈变形等特点，软包使用多层绵海绵，环保PVC皮料，对人体没有化学伤害。</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3.功能特点：产品符合国家规定标准，满足人体工程学需要，锻炼与测试舒适程度较高。</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肺活量测试仪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1.测量范围0-9999ml，精度±3%或±50ml（以较大值为准）。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2.采样频率≥100次/秒，响应时间≤3秒。</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3.人性化操作界面，液晶显示屏且有背光。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4.存储数据，支持USB、蓝牙传输。</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5.支持交流（220V）与电池供电.高强度环保耐腐蚀ABS外壳，符合人体工程学设计。</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6.有自动和手动校准功能，标配一次性环保吹嘴。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坐位体前屈测试仪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1.测量范围-20cm至+60cm，精度±0.1cm。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2.主体框架用≥1.5mm厚优质镀锌钢板，滑动标尺为耐磨防锈材料。</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3.导轨平滑，弹簧弹性合适且稳定，自动复位。</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4.刻度激光蚀刻或高精度印刷，以厘米为单位、最小0.1cm。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5.整体稳定不晃动，边角圆润。</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6.部分部件可拆卸，重量≤15kg。</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立定跳远测试仪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1.测量范围0-600cm，精度±1cm。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2.采用高精度红外感应传感器，感应范围覆盖起跳与落地区，灵敏度可调。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3.简洁操作面板，≥6英寸液晶显示屏带背光。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4.至少存储100组数据，支持USB、蓝牙等≥2种传输方式。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5.支持220V交流电与内置锂电池供电，锂电池续航≥6小时。</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6.高强度耐磨防水工程塑料外壳，结构紧凑稳固。</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7.具备智能犯规判定、语音播报、自动及手动校准功能。</w:t>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29"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b/>
                <w:bCs/>
                <w:color w:val="auto"/>
                <w:szCs w:val="21"/>
                <w:highlight w:val="none"/>
                <w:lang w:bidi="ar"/>
              </w:rPr>
              <w:t xml:space="preserve">其他类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毽子</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800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1.基础规格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①整体高度：11.5±0.5cm（含底座与鸡毛，自然直立状态）。</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②底座直径：3.8±0.2cm（锌合金镀镍底座，边缘倒圆角半径≥1mm）。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③总重量：14±1g（含底座、鸡毛及配重）。</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④羽毛数量：多片对称鸡毛（长度7.5±0.3cm，羽枝密度≥18根/cm）。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2.物理性能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①抗冲击性：1.2m高度自由跌落至水泥地面≥50次（底座无开裂、鸡毛无脱落，符合GB/T19851.20-2005）。</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②气动稳定性：无风环境下垂直踢击10次，平均滞空时间≥2.8秒（测试高度2m）。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③底座平衡性：静置倾斜角≤3°（水平面测试）。</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草坪划线器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1.外形尺寸</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①展开状态：长×宽×高：120±2cm×60±1cm×90±1cm。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②折叠后尺寸：65±1cm×30±0.5cm×15±0.5cm。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③整备质量：≤25kg（含储液罐及划线装置）。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2.框架材质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①主体：6061-T6铝合金（管径40mm，壁厚≥2.0mm，表面阳极氧化处理）。</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②连接件：304不锈钢（螺栓抗拉强度≥800MPa）。</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草坪划线喷雾</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1.基础规格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①包装规格：罐体容量：500mL±10mL（净含量，压力填充法测量）。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②喷雾覆盖量：≥3㎡/罐（喷涂宽度10cm，离地高度30cm）。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③适用基材：沥青/混凝土/环氧地坪（附着力等级≥4B，划格法测试）。</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④颜色类型：白/黄/红（色坐标符合GB/T3181-2008标准）。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2.物理性能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①干燥时间（23℃,50%RH）：表干时间：≤5分钟（ASTMD1640标准），实干时间：≤30分钟（可承重50kg车轮碾压）。</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②耐磨性：橡胶轮磨耗值（1kg负载）：≤50mg/1000转（GB/T9268-2008）。</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③抗砂石冲击：10kg石英砂（粒径2-4mm）自由跌落1m，涂层无脱落。</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④附着力：拉开法强度：≥3.5MPa（ISO4624:2016标准），湿态附着力（浸水24h）：强度保留率≥90%。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随身扩音器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1.基础规格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①外形尺寸：长×宽×高：18±0.5cm×6±0.2cm×5±0.2cm。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②净重：300±10g（含内置电池）。</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③材质构成：外壳：ABS+PC复合塑料（防火等级UL94V-0），扬声器网罩：304不锈钢冲孔网（孔径1.0mm，开孔率≥45%）。</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2.音频性能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①输出功率：额定功率：5WRMS（THD≤1%）峰值功率：10W。</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②频率响应：80Hz-20kHz（±3dB）。</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③信噪比：≥80dB（A计权）。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④失真度：≤0.5%（1W输出，1kHz测试）。</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3.功能配置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①无线连接：蓝牙版本：5.0（支持A2DP/AVRCP/HFP协议，有效距离≥10m）NFC快速配对（符合ISO/IEC18092标准）。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②有线接口：3.5mmAUX输入（阻抗32Ω，支持线控功能）MicroUSB充电接口（DC5V/1A）。</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③控制按键：物理按键：电源/音量/播放控制（寿命≥10万次按压）。</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④LED指示灯：三色状态显示（红/蓝/绿）。</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4.电源与续航</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①电池容量：≥1200mAh锂聚合物电池（标称电压3.7V）。</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②续航时间：中等音量播放：≥8小时（70dBSPL测试）。</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③待机时间：≥200小时。</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④充电时间：≤3小时（5V/1A输入）。</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5.环境适应性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①防护等级：IPX5（防喷射水，持续3分钟无渗水）。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②耐温范围：工作温度：-10℃至+45℃。</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③存储温度：-20℃至+60℃。</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④抗跌落性能：1.2m高度自由跌落至混凝土地面3次（外壳无开裂，功能正常）。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扩音机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1.基础规格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①外形尺寸：长×宽×高：20±0.5cm×8±0.3cm×7±0.3cm。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②净重：450±15g（含内置电池）。</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③材质构成：外壳：ABS+金属复合框架（表面喷砂处理，粗糙度Ra≤1.6μm），扬声器网罩：蜂窝状铝合金冲孔（孔径2mm，开孔率≥50%）。</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2.音频性能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①输出功率：额定功率：10WRMS（THD≤1%，1kHz测试）峰值功率：≥20W（瞬时脉冲输出）。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②频率响应：70Hz-20kHz（±3dB，1/3倍频程分析）。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③信噪比：≥85dB（A计权，空载背景噪声≤15dB）。</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④音效模式：预设EQ模式≥3种（含人声增强/低音强化）。</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3.功能配置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①无线连接：蓝牙版本：5.3（支持LC3编码，有效距离≥15m，抗干扰灵敏度≤-90dBm），TWS互联：支持双机配对（延迟≤40ms）。</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②有线接口：3.5mmAUX输入（阻抗32Ω，支持线控）USB-C充电接口（PD18W快充，兼容QC3.0）。</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③控制方式：触控面板：电容式感应（支持滑动调音，响应时间≤0.1s）。</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④RGB灯光：1680万色可调（亮度≥200cd/m²，IP65防尘防水）。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4.电源与续航</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①电池容量：4000mAh锂聚合物电池（循环寿命≥500次，容量保留≥80%）。</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②续航时间：中等音量播放：≥15小时（75dBSPL测试），最大音量播放：≥6小时（90dBSPL测试）。</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③充电时间：≤2小时（18W快充，0-100%电量）。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5.环境适应性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①防护等级：IP67（防尘防水，1米水深浸泡30分钟）。</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②耐温范围：工作温度：-20℃至+50℃（带低温电池加热模块）。</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③存储温度：-30℃至+70℃。</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④抗冲击性能：1.5m高度六面跌落测试。</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移动大音箱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1.基础规格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①外形尺寸：长×宽×高：60±1cm×30±0.5cm×40±1cm（含支架）。</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②净重：15±0.5kg（不含线材）。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③材质构成：箱体：高密度MDF板（厚度≥15mm，表面环保水性漆），防护网罩：可拆卸金属冲孔网（孔径2mm，开孔率≥55%）。</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2.音频性能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①输出功率：额定功率：200WRMS（THD≤1%，频段20Hz-20kHz），峰值功率：≥400W（瞬时动态输出）。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②频率响应：35Hz-20kHz（±3dB，1/3倍频程平滑度≤6dB）。</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③灵敏度：90dB/W/m（1kHz测试）。</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④信噪比：≥100dB（A计权，空载背景噪声≤20dB）。</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3.驱动单元配置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①低频单元：尺寸：≥12英寸（304mm）复合纸盆低音（磁钢重量≥1.5kg），冲程：±6mm（线性位移，失真≤5%）。</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②中高频单元：尺寸：≥2英寸钛膜球顶高音（频响范围1kHz-25kHz），波导设计：90°×60°水平/垂直扩散角。</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4.接口与功能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①输入接口：XLR/TRS组合接口（平衡输入，阻抗≥10kΩ）RCA非平衡输入（电平范围0.775V-2VRMS）</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调节功能：独立高/低音调节（±6dB，中心频率5kHz/80Hz）限幅保护（阈值可调，响应时间≤0.1ms）。</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②扩展接口：LinkOut（并联输出，阻抗匹配≤0.1Ω）外置分频器接口（支持主动/被动模式切换）。</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5.环境适应性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①防护等级：IP44（防溅水、防尘，适用于室内外固定安装）。</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②耐温范围：工作温度：-10℃至+50℃（湿度≤90%RH），存储温度：-30℃至+70℃。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手持喇叭</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①产品类型：手持式/肩扛式多功能扩音器（含喊话、录音、播放等功能）。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②适用场景：户外宣传、应急救援、景区导览、防汛救灾。</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③尺寸规格：长宽高：≤350mm×250mm×100mm（便携设计）。</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④重量：≤3kg（含电池）。</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⑤材质要求：外壳：ABS工程塑料，表面防滑涂层，抗摔高度≥1.5m。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2.核心技术参数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1）性能参数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①输出功率：≥30W（峰值功率≥75W）。</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②频响范围：50Hz-20kHz（人声清晰无失真）。</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③信噪比：≥75dB（环境噪音抑制能力强）。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④有效距离：≥150米（开阔场地）。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2）功能配置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①核心功能：一键喊话、120秒录音、循环播放、音量调节支持插卡（SD卡≤32GB）、USB直读、蓝牙连接（4.0及以上）。</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②扩展功能：LED强光照明（应急救援用）折叠式手柄设计，便于携带。</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3）电源系统</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①电池类型：内置锂电池（1500mAh-2600mAh可选）。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②续航时间：连续工作≥8小时（满电状态）。</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③充电方式：USB充电，支持充电宝直充。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标志筒</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①产品类型：高密度聚乙烯（PE）标志筒（用于足球训练、障碍物设置等）。</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②适用场景：足球训练、体能训练、道路警示、活动场地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规划尺寸规格：高度：38cm±1cm底部直径：≥15cm，顶部直径：≥10cm。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③材质要求：主体：全新PE塑料，密度≥0.941g/cm³，抗冲击强度≥25kJ/m²。</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④表面处理：哑光防滑涂层，颜色附着力≥4B级。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2.核心技术参数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①结构设计孔位配置：可选无孔/4孔设计（孔径≥2cm，用于插杆或减重）。</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②壁厚：≥2.5mm，底部加厚至≥3mm。</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③重量：单只重量170g±5g。</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保温箱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1.容量≥38L。</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2.内部尺寸≥40</w:t>
            </w:r>
            <w:r>
              <w:rPr>
                <w:rFonts w:ascii="仿宋" w:hAnsi="仿宋" w:eastAsia="仿宋" w:cs="仿宋"/>
                <w:color w:val="auto"/>
                <w:szCs w:val="21"/>
                <w:highlight w:val="none"/>
                <w:lang w:bidi="ar"/>
              </w:rPr>
              <w:t xml:space="preserve">×2</w:t>
            </w:r>
            <w:r>
              <w:rPr>
                <w:rFonts w:hint="eastAsia" w:ascii="仿宋" w:hAnsi="仿宋" w:eastAsia="仿宋" w:cs="仿宋"/>
                <w:color w:val="auto"/>
                <w:szCs w:val="21"/>
                <w:highlight w:val="none"/>
                <w:lang w:bidi="ar"/>
              </w:rPr>
              <w:t xml:space="preserve">5</w:t>
            </w:r>
            <w:r>
              <w:rPr>
                <w:rFonts w:ascii="仿宋" w:hAnsi="仿宋" w:eastAsia="仿宋" w:cs="仿宋"/>
                <w:color w:val="auto"/>
                <w:szCs w:val="21"/>
                <w:highlight w:val="none"/>
                <w:lang w:bidi="ar"/>
              </w:rPr>
              <w:t xml:space="preserve">×</w:t>
            </w:r>
            <w:r>
              <w:rPr>
                <w:rFonts w:hint="eastAsia" w:ascii="仿宋" w:hAnsi="仿宋" w:eastAsia="仿宋" w:cs="仿宋"/>
                <w:color w:val="auto"/>
                <w:szCs w:val="21"/>
                <w:highlight w:val="none"/>
                <w:lang w:bidi="ar"/>
              </w:rPr>
              <w:t xml:space="preserve">35</w:t>
            </w:r>
            <w:r>
              <w:rPr>
                <w:rFonts w:ascii="仿宋" w:hAnsi="仿宋" w:eastAsia="仿宋" w:cs="仿宋"/>
                <w:color w:val="auto"/>
                <w:szCs w:val="21"/>
                <w:highlight w:val="none"/>
                <w:lang w:bidi="ar"/>
              </w:rPr>
              <w:t xml:space="preserve">cm</w:t>
            </w:r>
            <w:r>
              <w:rPr>
                <w:rFonts w:hint="eastAsia" w:ascii="仿宋" w:hAnsi="仿宋" w:eastAsia="仿宋" w:cs="仿宋"/>
                <w:color w:val="auto"/>
                <w:szCs w:val="21"/>
                <w:highlight w:val="none"/>
                <w:lang w:bidi="ar"/>
              </w:rPr>
              <w:t xml:space="preserve">，外部尺寸约</w:t>
            </w:r>
            <w:r>
              <w:rPr>
                <w:rFonts w:ascii="仿宋" w:hAnsi="仿宋" w:eastAsia="仿宋" w:cs="仿宋"/>
                <w:color w:val="auto"/>
                <w:szCs w:val="21"/>
                <w:highlight w:val="none"/>
                <w:lang w:bidi="ar"/>
              </w:rPr>
              <w:t xml:space="preserve">52×36×46cm</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 xml:space="preserve">3.箱体材质上盖：HDPE（高密度聚乙烯），箱体：PP（聚丙烯），内层：PU（聚氨酯）隔绝材质PU发泡技术，携带方式拉杆+手提设计内部结构单层无隔板。</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蓝牙音箱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①材质主体：再生塑料框架+可回收织物网罩边缘：弹性橡胶缓冲层（防碰撞）。</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②尺寸94±1mm×76±1mm×42±1mm（掌心大小，便携设计）。</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③重量约190克（含电池）。</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2.功能特性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①防水防尘等级IP67级（可浸泡1米水深30分钟，防尘防泼溅）。</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②蓝牙技术版本：5.3。</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③有效距离：10米（无障碍环境）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④续航能力常规播放：7小时（中等音量）。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⑥充电时间：≤3小时（Type-C接口，5V/3A）。</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⑦电池容量：≥850mAh锂离子电池。</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3.音频性能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①功率4.2WRMS（全频驱动单元）。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②频响范围90Hz-20kHz（覆盖中高频，低频通过无源辐射器增强）。</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③失真度≤1%（高保真还原）。</w:t>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29" w:type="dxa"/>
            <w:vAlign w:val="center"/>
            <w:textDirection w:val="lrTb"/>
            <w:noWrap w:val="false"/>
          </w:tcPr>
          <w:p>
            <w:pPr>
              <w:jc w:val="center"/>
              <w:widowControl/>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社团类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象棋</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1.棋子材质：采用天然原木（榉木）制作，木质均匀细腻，表面光滑无毛刺、无开裂、无结节。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2.棋子直径：40mm，厚度均匀一致，误差≤0.5mm。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3.棋子字体：红黑双色，字迹清晰饱满，采用烫印或雕刻工艺，不掉色、不磨损。</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4.棋子重量：单颗棋子重量适中，手感舒适，落子沉稳。</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5.棋盘规格：折叠式便携棋盘，展开尺寸不小于400mm×450mm，棋盘格线清晰、工整，采用优质复合板或密度板基材。</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6.棋盘工艺：棋盘表面覆膜或喷漆处理，耐磨防污，格线颜色鲜明不反光。</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7.收纳设计：棋盘折叠后可将棋子收纳于内部，便于携带和存放。</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国际象棋</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1.产品名称及规格：磁吸式木制国际象棋套装，棋盘尺寸≥390mm×390mm（展开后）。</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2.技术参数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①棋盘材质：采用优质实木或高密度木质板材，表面贴覆专业国际象棋棋盘纹路，纹理清晰自然，不得使用纸质覆面。</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②棋盘尺寸：展开尺寸≥390mm×390mm，厚度不低于10mm，棋盘格线印刷精准，黑白格分明，格线不反光、不褪色。</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③棋盘工艺：折叠式设计，折叠后尺寸≤390mm×195mm，便于收纳携带；折合处采用金属合页加固，开合顺畅无松动；棋盘四角倒角处理，光滑无毛刺。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④棋子材质：实木制作，木质均匀细腻，表面清漆处理，光滑无毛刺、无开裂、无结节。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⑤棋子规格：王高度不低于70mm，底座直径不低于30mm，后高度不低于60mm，底座直径不低于28mm，其余棋子按比例递减，所有棋子大小比例协调，符合国际象棋标准形制。</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⑥棋子工艺：棋子内置强力磁铁，磁吸力适中，吸附牢固不易滑落，同时方便拿取移动棋子底部镶嵌软磁垫或金属片，与棋盘磁性匹配，确保摆放平稳棋子底部粘贴优质毛毡，保护棋盘表面，移动时无噪音。</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⑦棋子颜色：浅色棋（通常为白色/原木色）与深色棋（通常为棕色/黑色）各16枚，共计32枚，颜色对比鲜明。</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⑧棋子识别：棋子顶部可采用激光雕刻或烫印工艺标注棋子符号（王冠、后冠等），清晰耐磨不掉色。</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材质及工艺要求：整套产品采用环保材料制作，无异味，符合国家相关环保标准，棋盘表面耐磨、防污，易于清洁磁吸设计需保证棋子在不同方向倾斜时不易滑落，同时不影响正常对弈取子棋子重量适中，手感舒适，落子沉稳</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围棋</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1.产品名称及规格：围棋套装，包含2.0cm厚度楠竹双面棋盘（13路+19路）1副、楠竹棋罐2个、仿玉棋子361粒（黑子181粒+白子180粒）。</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2.技术参数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①棋盘材质：采用优质天然楠竹材质，竹质均匀细腻，表面光滑无毛刺、无开裂、无变形。</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②棋盘厚度：≥2.0cm，厚度均匀一致，手感扎实稳固。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③棋盘尺寸：19路面棋盘格线印刷精准，线条清晰工整，格点位置准确；13路面适合初学者练习</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④棋盘工艺：双面两用设计，一面为19路围棋盘，另一面为13路围棋盘（或中国象棋盘，以实际采购确认为准）；棋盘表面经耐磨处理，格线不反光、不褪色。</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⑤棋盘环保：楠竹材质天然环保，无异味，不易变形、耐磨耐刮。</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⑥棋子材质：仿玉材质（密胺树脂或合成玉石），质感温润如玉，色泽均匀。</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⑦棋子规格：直径约22mm，厚度约5mm，大小均匀一致，误差≤0.3mm。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⑧棋子颜色：黑子181粒（纯黑色或墨绿色），白子180粒（乳白色或仿玉色），颜色对比鲜明，色泽通透。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⑨棋子工艺：棋子表面光滑圆润，无气泡、无裂纹、无杂质；手感舒适，落子声音清脆。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⑩棋罐材质：采用天然楠竹制作，与棋盘材质统一。</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⑾棋罐规格：罐体高度约120-150mm，罐口直径约80-100mm，容量可容纳全部361粒棋子。</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⑿棋罐工艺：罐体表面光滑，无毛刺，罐盖开合顺畅，密封性好，防止棋子散落。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飞盘</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1.基础规格</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①标准重量：175±3g（静态称重，符合WFDF世界飞盘联合会竞赛标准）。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②直径×厚度：27.3cm±0.5cm×3.2cm±0.2mm（边缘至中心渐变设计）。</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③材质构成：外层：高弹性TPU（邵氏硬度80±5A，密度1.12g/cm³）；内层：玻纤增强尼龙（纤维含量≥20%，层厚1.5±0.1mm）。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2.飞行性能</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①空气动力学参数：升阻比（L/D）：≥1.8（风速5m/s测试）。</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②滑翔稳定性：30m投掷水平偏移≤1.5m（无风环境）。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③旋转保持：初始转速≥1200rpm时，10秒后转速保留≥60%。</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④抗风性能：5级风（8.0-10.7m/s）下飞行轨迹偏移率≤20%。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花样跳绳</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1.4米花样跳绳，绳体长度4-4.2米（可调节）。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2.绳体采用优质PVC或PP环保塑料材质，柔韧性好，耐磨耐用。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3.绳体结构为竹节式设计（单节长度约30-35mm），打地声音清脆，节奏感强，便于学生掌握摇绳节奏。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4.手柄采用防滑设计，握持舒适，不易脱手。</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5.手柄内置轴承或活扣连接，转动灵活，防止缠绕打结。</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6.绳体颜色鲜艳（可选红、黄、蓝、绿等多种颜色），不易褪色。</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7.适用于学校花样跳绳教学、训练及表演使用。</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8.产品无异味，符合国家相关环保标准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拔河绳</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1.规格尺寸：长度：28m±0.5m（含两端握把），直径：32mm±2mm；握把长度：≥1.2m。</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2.表面防滑纹路设计（摩擦系数≥0.75）。</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长跳绳</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1.绳长500厘米（误差±5厘米），绳径8毫米（误差±0.5毫米）。</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2.绳体用优质紧密均匀棉纱，两端牢固编织锁边防松散。</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3.柔韧性好易弯曲转动且能恢复。</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4.色泽为棉纱原色无染色褪色，表面光滑无毛刺。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平推毽球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1.符合国家GB/T29778-2013《毽球》标准，适用于学校体育教学、训练及比赛使用。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2.球体直径约4.2cm，总重量14.5g（误差±0.5g），符合国际赛事要求。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3.外层羽毛采用8根优质鹅毛，经高温定型处理，羽毛排列呈螺旋式结构，不易脱落、风阻小、飞行轨迹稳定。</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4.内芯为天然橡胶球胆，弹性稳定，耐摔耐磨。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5.颜色为经典红白配色或国际比赛常用配色，色彩鲜明，阳光下不反光，便于观察飞行轨迹。</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6.整球无明显接缝，手感圆润，重量分布均匀。</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啦啦操手花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1.啦啦操手花规格为4寸（手柄款），花球直径约4寸（约10-12cm），手柄长度约8-10cm，加粗防滑设计，便于抓握。</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2.花瓣采用优质环保PP材质，柔软有弹性，不易折断，摇晃时律动感强。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3.手柄内置加粗铁丝或多层固定结构，花瓣紧密排列，不易脱落散开。</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4.整体颜色为彩虹蓝（由浅蓝至深蓝渐变或多层次蓝色搭配），色彩鲜艳饱满，阳光下不褪色。</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5.单只重量约25-30g，手感轻盈。</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6.产品无异味，符合国家环保标准。</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7.每对独立包装，花瓣可擦拭清洁，反复使用不变形。</w:t>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29" w:type="dxa"/>
            <w:vAlign w:val="center"/>
            <w:textDirection w:val="lrTb"/>
            <w:noWrap w:val="false"/>
          </w:tcPr>
          <w:p>
            <w:pPr>
              <w:jc w:val="center"/>
              <w:widowControl/>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卫生保健室</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诊察设备桌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主台：≥</w:t>
            </w:r>
            <w:r>
              <w:rPr>
                <w:rFonts w:ascii="仿宋" w:hAnsi="仿宋" w:eastAsia="仿宋" w:cs="仿宋"/>
                <w:color w:val="auto"/>
                <w:szCs w:val="21"/>
                <w:highlight w:val="none"/>
                <w:lang w:bidi="ar"/>
              </w:rPr>
              <w:t xml:space="preserve">1400×600×750mm</w:t>
            </w:r>
            <w:r>
              <w:rPr>
                <w:rFonts w:hint="eastAsia" w:ascii="仿宋" w:hAnsi="仿宋" w:eastAsia="仿宋" w:cs="仿宋"/>
                <w:color w:val="auto"/>
                <w:szCs w:val="21"/>
                <w:highlight w:val="none"/>
                <w:lang w:bidi="ar"/>
              </w:rPr>
              <w:t xml:space="preserve">，副台：≥</w:t>
            </w:r>
            <w:r>
              <w:rPr>
                <w:rFonts w:ascii="仿宋" w:hAnsi="仿宋" w:eastAsia="仿宋" w:cs="仿宋"/>
                <w:color w:val="auto"/>
                <w:szCs w:val="21"/>
                <w:highlight w:val="none"/>
                <w:lang w:bidi="ar"/>
              </w:rPr>
              <w:t xml:space="preserve">1200×450×645mm</w:t>
            </w:r>
            <w:r>
              <w:rPr>
                <w:rFonts w:hint="eastAsia" w:ascii="仿宋" w:hAnsi="仿宋" w:eastAsia="仿宋" w:cs="仿宋"/>
                <w:color w:val="auto"/>
                <w:szCs w:val="21"/>
                <w:highlight w:val="none"/>
                <w:lang w:bidi="ar"/>
              </w:rPr>
              <w:t xml:space="preserve">，柜体≥</w:t>
            </w:r>
            <w:r>
              <w:rPr>
                <w:rFonts w:ascii="仿宋" w:hAnsi="仿宋" w:eastAsia="仿宋" w:cs="仿宋"/>
                <w:color w:val="auto"/>
                <w:szCs w:val="21"/>
                <w:highlight w:val="none"/>
                <w:lang w:bidi="ar"/>
              </w:rPr>
              <w:t xml:space="preserve">0.7mm冷轧钢板</w:t>
            </w:r>
            <w:r>
              <w:rPr>
                <w:rFonts w:hint="eastAsia" w:ascii="仿宋" w:hAnsi="仿宋" w:eastAsia="仿宋" w:cs="仿宋"/>
                <w:color w:val="auto"/>
                <w:szCs w:val="21"/>
                <w:highlight w:val="none"/>
                <w:lang w:bidi="ar"/>
              </w:rPr>
              <w:t xml:space="preserve">，钢架为≥</w:t>
            </w:r>
            <w:r>
              <w:rPr>
                <w:rFonts w:ascii="仿宋" w:hAnsi="仿宋" w:eastAsia="仿宋" w:cs="仿宋"/>
                <w:color w:val="auto"/>
                <w:szCs w:val="21"/>
                <w:highlight w:val="none"/>
                <w:lang w:bidi="ar"/>
              </w:rPr>
              <w:t xml:space="preserve">1.5mm矩形管</w:t>
            </w:r>
            <w:r>
              <w:rPr>
                <w:rFonts w:hint="eastAsia" w:ascii="仿宋" w:hAnsi="仿宋" w:eastAsia="仿宋" w:cs="仿宋"/>
                <w:color w:val="auto"/>
                <w:szCs w:val="21"/>
                <w:highlight w:val="none"/>
                <w:lang w:bidi="ar"/>
              </w:rPr>
              <w:t xml:space="preserve">，≥</w:t>
            </w:r>
            <w:r>
              <w:rPr>
                <w:rFonts w:ascii="仿宋" w:hAnsi="仿宋" w:eastAsia="仿宋" w:cs="仿宋"/>
                <w:color w:val="auto"/>
                <w:szCs w:val="21"/>
                <w:highlight w:val="none"/>
                <w:lang w:bidi="ar"/>
              </w:rPr>
              <w:t xml:space="preserve">25×50×1.2mm方管</w:t>
            </w:r>
            <w:r>
              <w:rPr>
                <w:rFonts w:hint="eastAsia" w:ascii="仿宋" w:hAnsi="仿宋" w:eastAsia="仿宋" w:cs="仿宋"/>
                <w:color w:val="auto"/>
                <w:szCs w:val="21"/>
                <w:highlight w:val="none"/>
                <w:lang w:bidi="ar"/>
              </w:rPr>
              <w:t xml:space="preserve">，主台含一块钢吊板，副台带一个侧三抽柜，中间一个打印机托盘和一个抽屉，侧面带一个主机箱。</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诊察设备椅</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网布饰面</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1.背框：优质</w:t>
            </w:r>
            <w:r>
              <w:rPr>
                <w:rFonts w:ascii="仿宋" w:hAnsi="仿宋" w:eastAsia="仿宋" w:cs="仿宋"/>
                <w:color w:val="auto"/>
                <w:szCs w:val="21"/>
                <w:highlight w:val="none"/>
                <w:lang w:bidi="ar"/>
              </w:rPr>
              <w:t xml:space="preserve">PP+玻纤增强塑料</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2.扶手：优质</w:t>
            </w:r>
            <w:r>
              <w:rPr>
                <w:rFonts w:ascii="仿宋" w:hAnsi="仿宋" w:eastAsia="仿宋" w:cs="仿宋"/>
                <w:color w:val="auto"/>
                <w:szCs w:val="21"/>
                <w:highlight w:val="none"/>
                <w:lang w:bidi="ar"/>
              </w:rPr>
              <w:t xml:space="preserve">PP+玻纤增强塑料</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3.坐垫绵：</w:t>
            </w:r>
            <w:r>
              <w:rPr>
                <w:rFonts w:ascii="仿宋" w:hAnsi="仿宋" w:eastAsia="仿宋" w:cs="仿宋"/>
                <w:color w:val="auto"/>
                <w:szCs w:val="21"/>
                <w:highlight w:val="none"/>
                <w:lang w:bidi="ar"/>
              </w:rPr>
              <w:t xml:space="preserve">50密度高回弹一体成形定型海绵</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4.底盘：≥</w:t>
            </w:r>
            <w:r>
              <w:rPr>
                <w:rFonts w:ascii="仿宋" w:hAnsi="仿宋" w:eastAsia="仿宋" w:cs="仿宋"/>
                <w:color w:val="auto"/>
                <w:szCs w:val="21"/>
                <w:highlight w:val="none"/>
                <w:lang w:bidi="ar"/>
              </w:rPr>
              <w:t xml:space="preserve">25mm厚钢制底盘</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5.气杆：</w:t>
            </w:r>
            <w:r>
              <w:rPr>
                <w:rFonts w:ascii="仿宋" w:hAnsi="仿宋" w:eastAsia="仿宋" w:cs="仿宋"/>
                <w:color w:val="auto"/>
                <w:szCs w:val="21"/>
                <w:highlight w:val="none"/>
                <w:lang w:bidi="ar"/>
              </w:rPr>
              <w:t xml:space="preserve">85mm行程黑色升降气压杆</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6.脚：</w:t>
            </w:r>
            <w:r>
              <w:rPr>
                <w:rFonts w:ascii="仿宋" w:hAnsi="仿宋" w:eastAsia="仿宋" w:cs="仿宋"/>
                <w:color w:val="auto"/>
                <w:szCs w:val="21"/>
                <w:highlight w:val="none"/>
                <w:lang w:bidi="ar"/>
              </w:rPr>
              <w:t xml:space="preserve">PA尼龙脚，承重测试≥1100kg</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7.轮子：</w:t>
            </w:r>
            <w:r>
              <w:rPr>
                <w:rFonts w:ascii="仿宋" w:hAnsi="仿宋" w:eastAsia="仿宋" w:cs="仿宋"/>
                <w:color w:val="auto"/>
                <w:szCs w:val="21"/>
                <w:highlight w:val="none"/>
                <w:lang w:bidi="ar"/>
              </w:rPr>
              <w:t xml:space="preserve">PA尼龙万向轮，静音耐磨</w:t>
            </w:r>
            <w:r>
              <w:rPr>
                <w:rFonts w:hint="eastAsia" w:ascii="仿宋" w:hAnsi="仿宋" w:eastAsia="仿宋" w:cs="仿宋"/>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卫生药品收纳</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1.规格：≥</w:t>
            </w:r>
            <w:r>
              <w:rPr>
                <w:rFonts w:ascii="仿宋" w:hAnsi="仿宋" w:eastAsia="仿宋" w:cs="仿宋"/>
                <w:color w:val="auto"/>
                <w:szCs w:val="21"/>
                <w:highlight w:val="none"/>
                <w:lang w:bidi="ar"/>
              </w:rPr>
              <w:t xml:space="preserve">450×900×1800mm</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2.材质：PP材质。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3.柜体：侧板，顶板及底板采用增强型PP材质，一体注塑成型。表面做磨砂处理，结构紧密，耐腐蚀性强。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4.上柜门：采用增强型PP材质一体注塑成型，外嵌4mm钢化烤漆玻璃,中间玻璃做镂空处理，透明可视。</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5.下柜门：采用增强型PP材质一体注塑成型，外嵌4mm钢化烤漆玻璃。</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6.层板：配≥</w:t>
            </w:r>
            <w:r>
              <w:rPr>
                <w:rFonts w:ascii="仿宋" w:hAnsi="仿宋" w:eastAsia="仿宋" w:cs="仿宋"/>
                <w:color w:val="auto"/>
                <w:szCs w:val="21"/>
                <w:highlight w:val="none"/>
                <w:lang w:bidi="ar"/>
              </w:rPr>
              <w:t xml:space="preserve">2块可调活动层板</w:t>
            </w:r>
            <w:r>
              <w:rPr>
                <w:rFonts w:hint="eastAsia" w:ascii="仿宋" w:hAnsi="仿宋" w:eastAsia="仿宋" w:cs="仿宋"/>
                <w:color w:val="auto"/>
                <w:szCs w:val="21"/>
                <w:highlight w:val="none"/>
                <w:lang w:bidi="ar"/>
              </w:rPr>
              <w:t xml:space="preserve">，层板为增强型PP材质一体注层板加强筋为整体抽芯工艺，抽芯处加入两根1.2mm厚方管，承重不低于20公斤。美观耐用。层板可以抽取，自由组合各层空间。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7.门铰链：用增强型PP材质一体注塑成型，内嵌隐藏安装方便，耐腐蚀。</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8.药品柜内部无可视金属材料，确保了药品柜的耐腐蚀性。</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9.柜体预留通风系统，可以与通风管路连接。</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10.阶梯：配一块阶梯；规格245*120*800mm,整体PP材料一体注塑成型（非二次焊接或者拼接）,牢固耐用，一共两层，每层高度60mm，宽度112mm，同层板组成三层阶梯。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卫生专用器材柜</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1.规格：≥</w:t>
            </w:r>
            <w:r>
              <w:rPr>
                <w:rFonts w:ascii="仿宋" w:hAnsi="仿宋" w:eastAsia="仿宋" w:cs="仿宋"/>
                <w:color w:val="auto"/>
                <w:szCs w:val="21"/>
                <w:highlight w:val="none"/>
                <w:lang w:bidi="ar"/>
              </w:rPr>
              <w:t xml:space="preserve">1000×500×2000mm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2.柜体框架：采用模具成型的专用铝合金方管制作，通过ABS专用连接件组装而成，保证连接牢固。铝合金管材壁厚≥</w:t>
            </w:r>
            <w:r>
              <w:rPr>
                <w:rFonts w:ascii="仿宋" w:hAnsi="仿宋" w:eastAsia="仿宋" w:cs="仿宋"/>
                <w:color w:val="auto"/>
                <w:szCs w:val="21"/>
                <w:highlight w:val="none"/>
                <w:lang w:bidi="ar"/>
              </w:rPr>
              <w:t xml:space="preserve">1.2mm</w:t>
            </w:r>
            <w:r>
              <w:rPr>
                <w:rFonts w:hint="eastAsia" w:ascii="仿宋" w:hAnsi="仿宋" w:eastAsia="仿宋" w:cs="仿宋"/>
                <w:color w:val="auto"/>
                <w:szCs w:val="21"/>
                <w:highlight w:val="none"/>
                <w:lang w:bidi="ar"/>
              </w:rPr>
              <w:t xml:space="preserve">（误差≤±0.15mm）。铝合金型材带凹槽，凹槽的宽度与柜体衬板（</w:t>
            </w:r>
            <w:r>
              <w:rPr>
                <w:rFonts w:ascii="仿宋" w:hAnsi="仿宋" w:eastAsia="仿宋" w:cs="仿宋"/>
                <w:color w:val="auto"/>
                <w:szCs w:val="21"/>
                <w:highlight w:val="none"/>
                <w:lang w:bidi="ar"/>
              </w:rPr>
              <w:t xml:space="preserve">E1级环保板材）</w:t>
            </w:r>
            <w:r>
              <w:rPr>
                <w:rFonts w:hint="eastAsia" w:ascii="仿宋" w:hAnsi="仿宋" w:eastAsia="仿宋" w:cs="仿宋"/>
                <w:color w:val="auto"/>
                <w:szCs w:val="21"/>
                <w:highlight w:val="none"/>
                <w:lang w:bidi="ar"/>
              </w:rPr>
              <w:t xml:space="preserve">相匹配，凹槽的深度足够，保证柜体衬板与铝型材之间接缝严密，无晃动现象，不发生脱落。铝合金型材表面需经静电粉沫喷涂处理，整体耐腐蚀、防火、防潮、稳固耐用。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3.柜体采用E1级16mm的暖白实木颗粒板，所有板材外露面采用不可逆封边工艺，封边耐热、寒、水蒸气、化学品和溶剂，稳定性强，封边后封边条不可剥离，高密封性不吸水、不膨胀，外型美观、经久耐用。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4.柜门：上部为专用木框对开玻璃门，下部为对开木门，铝合金拉手。</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5.隔板：上柜设置2块活动隔板，下柜设置1块固定隔板。隔板采用E1级18mm的暖白实木多层板制作，可活动升降，为了维护柜子空间完整及美观度，不得使用升降条等突出形态装置。</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6.支脚：采用直径不小于8mm的不锈钢螺杆与工程塑料一次注塑成型的脚垫。</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专业洗涤台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1.规格：≥</w:t>
            </w:r>
            <w:r>
              <w:rPr>
                <w:rFonts w:ascii="仿宋" w:hAnsi="仿宋" w:eastAsia="仿宋" w:cs="仿宋"/>
                <w:color w:val="auto"/>
                <w:szCs w:val="21"/>
                <w:highlight w:val="none"/>
                <w:lang w:bidi="ar"/>
              </w:rPr>
              <w:t xml:space="preserve">1800×600×780mm</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2.台面：采用≥12.7mm厚实芯理化板，具有耐酸碱腐蚀、抗污染、防水、防火特性，台面立面倒角、打磨，各处光滑。</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3.产品结构：全木结构，现代工艺，结构牢固。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4.台身参数：台身主体背板及吊板采用16mm厚优质实木多层板；所有板材截面均采用PUR封边工艺，粘力强、密封性好、外形美观、经久耐用，避免甲醛随意释放，确保达到环保标准。</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5.固定脚：采用ABS工程塑料模具成型制作而成，具有高度可调、耐磨、防潮、耐腐蚀等特点。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1.规格：420≥</w:t>
            </w:r>
            <w:r>
              <w:rPr>
                <w:rFonts w:ascii="仿宋" w:hAnsi="仿宋" w:eastAsia="仿宋" w:cs="仿宋"/>
                <w:color w:val="auto"/>
                <w:szCs w:val="21"/>
                <w:highlight w:val="none"/>
                <w:lang w:bidi="ar"/>
              </w:rPr>
              <w:t xml:space="preserve">420×320×200mm，壁厚≥5mm</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2.高密度黑色</w:t>
            </w:r>
            <w:r>
              <w:rPr>
                <w:rFonts w:ascii="仿宋" w:hAnsi="仿宋" w:eastAsia="仿宋" w:cs="仿宋"/>
                <w:color w:val="auto"/>
                <w:szCs w:val="21"/>
                <w:highlight w:val="none"/>
                <w:lang w:bidi="ar"/>
              </w:rPr>
              <w:t xml:space="preserve">PP材质一体注塑成型</w:t>
            </w:r>
            <w:r>
              <w:rPr>
                <w:rFonts w:hint="eastAsia" w:ascii="仿宋" w:hAnsi="仿宋" w:eastAsia="仿宋" w:cs="仿宋"/>
                <w:color w:val="auto"/>
                <w:szCs w:val="21"/>
                <w:highlight w:val="none"/>
                <w:lang w:bidi="ar"/>
              </w:rPr>
              <w:t xml:space="preserve">，具有弹性、耐酸碱、耐有机溶剂、耐热在无外力作用下加热至150℃不变形。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1.鹅颈式实验室专用优质化验水嘴：要求防酸碱、防锈、防虹吸、防阻塞，表面环氧树脂喷涂。</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2.出水嘴为铜质瓷芯，高头，便于多用途使用，可拆卸清洗阻塞。</w:t>
            </w:r>
            <w:r/>
          </w:p>
          <w:p>
            <w:pPr>
              <w:jc w:val="left"/>
              <w:widowControl/>
              <w:rPr>
                <w:rFonts w:ascii="仿宋" w:hAnsi="仿宋" w:eastAsia="仿宋" w:cs="仿宋"/>
                <w:b/>
                <w:bCs/>
                <w:color w:val="auto"/>
                <w:szCs w:val="21"/>
                <w:highlight w:val="none"/>
              </w:rPr>
            </w:pPr>
            <w:r>
              <w:rPr>
                <w:rFonts w:hint="eastAsia" w:ascii="仿宋" w:hAnsi="仿宋" w:eastAsia="仿宋" w:cs="仿宋"/>
                <w:color w:val="auto"/>
                <w:szCs w:val="21"/>
                <w:highlight w:val="none"/>
                <w:lang w:bidi="ar"/>
              </w:rPr>
              <w:t xml:space="preserve">3.出水嘴可拆卸，内有成型螺纹，可方便连接循环等特殊用水水管。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检查床</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1.规格尺寸：≥</w:t>
            </w:r>
            <w:r>
              <w:rPr>
                <w:rFonts w:ascii="仿宋" w:hAnsi="仿宋" w:eastAsia="仿宋" w:cs="仿宋"/>
                <w:color w:val="auto"/>
                <w:szCs w:val="21"/>
                <w:highlight w:val="none"/>
                <w:lang w:bidi="ar"/>
              </w:rPr>
              <w:t xml:space="preserve">1880×600×670mm</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2.床框采用≥</w:t>
            </w:r>
            <w:r>
              <w:rPr>
                <w:rFonts w:ascii="仿宋" w:hAnsi="仿宋" w:eastAsia="仿宋" w:cs="仿宋"/>
                <w:color w:val="auto"/>
                <w:szCs w:val="21"/>
                <w:highlight w:val="none"/>
                <w:lang w:bidi="ar"/>
              </w:rPr>
              <w:t xml:space="preserve">40×20×1.2mm</w:t>
            </w:r>
            <w:r>
              <w:rPr>
                <w:rFonts w:hint="eastAsia" w:ascii="仿宋" w:hAnsi="仿宋" w:eastAsia="仿宋" w:cs="仿宋"/>
                <w:color w:val="auto"/>
                <w:szCs w:val="21"/>
                <w:highlight w:val="none"/>
                <w:lang w:bidi="ar"/>
              </w:rPr>
              <w:t xml:space="preserve">厚的矩管焊接。</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3.床腿采用圆形管焊接。</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4.床面采用≥</w:t>
            </w:r>
            <w:r>
              <w:rPr>
                <w:rFonts w:ascii="仿宋" w:hAnsi="仿宋" w:eastAsia="仿宋" w:cs="仿宋"/>
                <w:color w:val="auto"/>
                <w:szCs w:val="21"/>
                <w:highlight w:val="none"/>
                <w:lang w:bidi="ar"/>
              </w:rPr>
              <w:t xml:space="preserve">15mm厚多层实木板</w:t>
            </w:r>
            <w:r>
              <w:rPr>
                <w:rFonts w:hint="eastAsia" w:ascii="仿宋" w:hAnsi="仿宋" w:eastAsia="仿宋" w:cs="仿宋"/>
                <w:color w:val="auto"/>
                <w:szCs w:val="21"/>
                <w:highlight w:val="none"/>
                <w:lang w:bidi="ar"/>
              </w:rPr>
              <w:t xml:space="preserve">包覆以高密度海绵</w:t>
            </w:r>
            <w:r>
              <w:rPr>
                <w:rFonts w:ascii="仿宋" w:hAnsi="仿宋" w:eastAsia="仿宋" w:cs="仿宋"/>
                <w:color w:val="auto"/>
                <w:szCs w:val="21"/>
                <w:highlight w:val="none"/>
                <w:lang w:bidi="ar"/>
              </w:rPr>
              <w:t xml:space="preserve">+优质PU人造革</w:t>
            </w:r>
            <w:r>
              <w:rPr>
                <w:rFonts w:hint="eastAsia" w:ascii="仿宋" w:hAnsi="仿宋" w:eastAsia="仿宋" w:cs="仿宋"/>
                <w:color w:val="auto"/>
                <w:szCs w:val="21"/>
                <w:highlight w:val="none"/>
                <w:lang w:bidi="ar"/>
              </w:rPr>
              <w:t xml:space="preserve">制成。</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隔断</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1.移动式。</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w:t>
            </w:r>
            <w:r>
              <w:rPr>
                <w:rFonts w:ascii="仿宋" w:hAnsi="仿宋" w:eastAsia="仿宋" w:cs="仿宋"/>
                <w:color w:val="auto"/>
                <w:szCs w:val="21"/>
                <w:highlight w:val="none"/>
                <w:lang w:bidi="ar"/>
              </w:rPr>
              <w:t xml:space="preserve">80×50cm/片，4片/套</w:t>
            </w:r>
            <w:r>
              <w:rPr>
                <w:rFonts w:hint="eastAsia" w:ascii="仿宋" w:hAnsi="仿宋" w:eastAsia="仿宋" w:cs="仿宋"/>
                <w:color w:val="auto"/>
                <w:szCs w:val="21"/>
                <w:highlight w:val="none"/>
                <w:lang w:bidi="ar"/>
              </w:rPr>
              <w:t xml:space="preserve">，屏风框架采用≥</w:t>
            </w:r>
            <w:r>
              <w:rPr>
                <w:rFonts w:ascii="仿宋" w:hAnsi="仿宋" w:eastAsia="仿宋" w:cs="仿宋"/>
                <w:color w:val="auto"/>
                <w:szCs w:val="21"/>
                <w:highlight w:val="none"/>
                <w:lang w:bidi="ar"/>
              </w:rPr>
              <w:t xml:space="preserve">2.5cm不锈钢管焊接</w:t>
            </w:r>
            <w:r>
              <w:rPr>
                <w:rFonts w:hint="eastAsia" w:ascii="仿宋" w:hAnsi="仿宋" w:eastAsia="仿宋" w:cs="仿宋"/>
                <w:color w:val="auto"/>
                <w:szCs w:val="21"/>
                <w:highlight w:val="none"/>
                <w:lang w:bidi="ar"/>
              </w:rPr>
              <w:t xml:space="preserve">，优质屏风布，底部配万向滑轮，移动平稳。</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体重秤</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1.金属铝制精密指针，表盘≥</w:t>
            </w:r>
            <w:r>
              <w:rPr>
                <w:rFonts w:ascii="仿宋" w:hAnsi="仿宋" w:eastAsia="仿宋" w:cs="仿宋"/>
                <w:color w:val="auto"/>
                <w:szCs w:val="21"/>
                <w:highlight w:val="none"/>
                <w:lang w:bidi="ar"/>
              </w:rPr>
              <w:t xml:space="preserve">300mm，刻度清晰</w:t>
            </w:r>
            <w:r>
              <w:rPr>
                <w:rFonts w:hint="eastAsia" w:ascii="仿宋" w:hAnsi="仿宋" w:eastAsia="仿宋" w:cs="仿宋"/>
                <w:color w:val="auto"/>
                <w:szCs w:val="21"/>
                <w:highlight w:val="none"/>
                <w:lang w:bidi="ar"/>
              </w:rPr>
              <w:t xml:space="preserve">，精准，不易断，物理秤抗干扰。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2.表盘清晰明了，精准稳定灵敏。</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3.静电喷塑，铝制清晰测量杆。</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4.最大称量≥</w:t>
            </w:r>
            <w:r>
              <w:rPr>
                <w:rFonts w:ascii="仿宋" w:hAnsi="仿宋" w:eastAsia="仿宋" w:cs="仿宋"/>
                <w:color w:val="auto"/>
                <w:szCs w:val="21"/>
                <w:highlight w:val="none"/>
                <w:lang w:bidi="ar"/>
              </w:rPr>
              <w:t xml:space="preserve">120kg，分度值≤0.5kg</w:t>
            </w:r>
            <w:r>
              <w:rPr>
                <w:rFonts w:hint="eastAsia" w:ascii="仿宋" w:hAnsi="仿宋" w:eastAsia="仿宋" w:cs="仿宋"/>
                <w:color w:val="auto"/>
                <w:szCs w:val="21"/>
                <w:highlight w:val="none"/>
                <w:lang w:bidi="ar"/>
              </w:rPr>
              <w:t xml:space="preserve">，最小分度值0.5千克,身高量程</w:t>
            </w:r>
            <w:r>
              <w:rPr>
                <w:rFonts w:ascii="仿宋" w:hAnsi="仿宋" w:eastAsia="仿宋" w:cs="仿宋"/>
                <w:color w:val="auto"/>
                <w:szCs w:val="21"/>
                <w:highlight w:val="none"/>
                <w:lang w:bidi="ar"/>
              </w:rPr>
              <w:t xml:space="preserve">700~1900mm，分度值≤5mm</w:t>
            </w:r>
            <w:r>
              <w:rPr>
                <w:rFonts w:hint="eastAsia" w:ascii="仿宋" w:hAnsi="仿宋" w:eastAsia="仿宋" w:cs="仿宋"/>
                <w:color w:val="auto"/>
                <w:szCs w:val="21"/>
                <w:highlight w:val="none"/>
                <w:lang w:bidi="ar"/>
              </w:rPr>
              <w:t xml:space="preserve">，最小分度值5mm误差±5mm，身高尺安装稳固，使用灵活。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血压计</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1.测量范围：0-300mmHg(0-40KPa)。</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2.基本误差：±3.75mmHg。</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3.灵敏度≥2.25mmHg。</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4.外形尺寸：约350*92*50mm。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听诊器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单用型听诊器：镀铬金属耳挂，</w:t>
            </w:r>
            <w:r>
              <w:rPr>
                <w:rFonts w:ascii="仿宋" w:hAnsi="仿宋" w:eastAsia="仿宋" w:cs="仿宋"/>
                <w:color w:val="auto"/>
                <w:szCs w:val="21"/>
                <w:highlight w:val="none"/>
                <w:lang w:bidi="ar"/>
              </w:rPr>
              <w:t xml:space="preserve">PVC或橡胶导管，扁形听头直径≥45mm听诊清晰无杂音</w:t>
            </w:r>
            <w:r>
              <w:rPr>
                <w:rFonts w:hint="eastAsia" w:ascii="仿宋" w:hAnsi="仿宋" w:eastAsia="仿宋" w:cs="仿宋"/>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视力表灯箱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1.5M标准对数。</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2.视力表灯箱采用LED光源，遥控型，三划等长的正方形“E”字视标，光照度应达到200~700Lx，铝合金外框，带导光板，开启方便。</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3.电压：220V/50hz,输入功率：≤60VA+15%，带红绿视标，三合一含附件，分离式安全电源线。</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落地蛇形灯</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1.不锈钢反光灯。</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2升降杆调整范围：</w:t>
            </w:r>
            <w:r>
              <w:rPr>
                <w:rFonts w:ascii="仿宋" w:hAnsi="仿宋" w:eastAsia="仿宋" w:cs="仿宋"/>
                <w:color w:val="auto"/>
                <w:szCs w:val="21"/>
                <w:highlight w:val="none"/>
                <w:lang w:bidi="ar"/>
              </w:rPr>
              <w:t xml:space="preserve">1380~1730mm（可调）</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3.电源电压：220V±22V50Hz±1Hz。</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4.输入功率：≤200VA。</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5.环境温度：5℃--40℃。</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6.湿度：≤80%。</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7.大气压力：86Kpa--106Kpa。</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8.使用灯泡功率：≤200W。</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9.电源线长度：1650mm。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担架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1.折叠式，≥</w:t>
            </w:r>
            <w:r>
              <w:rPr>
                <w:rFonts w:ascii="仿宋" w:hAnsi="仿宋" w:eastAsia="仿宋" w:cs="仿宋"/>
                <w:color w:val="auto"/>
                <w:szCs w:val="21"/>
                <w:highlight w:val="none"/>
                <w:lang w:bidi="ar"/>
              </w:rPr>
              <w:t xml:space="preserve">2010×510×160mm</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2.折叠式担架最大承载≥</w:t>
            </w:r>
            <w:r>
              <w:rPr>
                <w:rFonts w:ascii="仿宋" w:hAnsi="仿宋" w:eastAsia="仿宋" w:cs="仿宋"/>
                <w:color w:val="auto"/>
                <w:szCs w:val="21"/>
                <w:highlight w:val="none"/>
                <w:lang w:bidi="ar"/>
              </w:rPr>
              <w:t xml:space="preserve">150kg</w:t>
            </w:r>
            <w:r>
              <w:rPr>
                <w:rFonts w:hint="eastAsia" w:ascii="仿宋" w:hAnsi="仿宋" w:eastAsia="仿宋" w:cs="仿宋"/>
                <w:color w:val="auto"/>
                <w:szCs w:val="21"/>
                <w:highlight w:val="none"/>
                <w:lang w:bidi="ar"/>
              </w:rPr>
              <w:t xml:space="preserve">的力后，担架杆不允许产生永久性变形，帆布面、帆布缝制处及担架脚无开裂、破损现象。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急救箱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1.铝合金材质。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2.尺寸：约</w:t>
            </w:r>
            <w:r>
              <w:rPr>
                <w:rFonts w:ascii="仿宋" w:hAnsi="仿宋" w:eastAsia="仿宋" w:cs="仿宋"/>
                <w:color w:val="auto"/>
                <w:szCs w:val="21"/>
                <w:highlight w:val="none"/>
                <w:lang w:bidi="ar"/>
              </w:rPr>
              <w:t xml:space="preserve">360×190×210mm</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3.内设多层隔断及弹性插袋，可手提或肩背。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外伤处理器械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脱脂纱布1包，药棉1包，绷带1卷，40止血带1根，创口贴10片，镊子1把，剪刀1把，碘伏1瓶，止血钳1把，缝合针1包，缝合线1捆等。</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医药箱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1.铝合金材质。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2.尺寸：约</w:t>
            </w:r>
            <w:r>
              <w:rPr>
                <w:rFonts w:ascii="仿宋" w:hAnsi="仿宋" w:eastAsia="仿宋" w:cs="仿宋"/>
                <w:color w:val="auto"/>
                <w:szCs w:val="21"/>
                <w:highlight w:val="none"/>
                <w:lang w:bidi="ar"/>
              </w:rPr>
              <w:t xml:space="preserve">360×190×210mm</w:t>
            </w:r>
            <w:r>
              <w:rPr>
                <w:rFonts w:hint="eastAsia" w:ascii="仿宋" w:hAnsi="仿宋" w:eastAsia="仿宋" w:cs="仿宋"/>
                <w:color w:val="auto"/>
                <w:szCs w:val="21"/>
                <w:highlight w:val="none"/>
                <w:lang w:bidi="ar"/>
              </w:rPr>
              <w:t xml:space="preserve">。</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3.内设多层隔断及弹性插袋，可手提或肩背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器械台(车)</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不锈钢双层，配万向轮，≥</w:t>
            </w:r>
            <w:r>
              <w:rPr>
                <w:rFonts w:ascii="仿宋" w:hAnsi="仿宋" w:eastAsia="仿宋" w:cs="仿宋"/>
                <w:color w:val="auto"/>
                <w:szCs w:val="21"/>
                <w:highlight w:val="none"/>
                <w:lang w:bidi="ar"/>
              </w:rPr>
              <w:t xml:space="preserve">500×400×850mm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污物桶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不锈钢材质，直径≥</w:t>
            </w:r>
            <w:r>
              <w:rPr>
                <w:rFonts w:ascii="仿宋" w:hAnsi="仿宋" w:eastAsia="仿宋" w:cs="仿宋"/>
                <w:color w:val="auto"/>
                <w:szCs w:val="21"/>
                <w:highlight w:val="none"/>
                <w:lang w:bidi="ar"/>
              </w:rPr>
              <w:t xml:space="preserve">300mm，脚踏翻盖式，内桶可取出清洗，桶盖密封无异味泄漏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敷料缸</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不锈钢材质，直径≥</w:t>
            </w:r>
            <w:r>
              <w:rPr>
                <w:rFonts w:ascii="仿宋" w:hAnsi="仿宋" w:eastAsia="仿宋" w:cs="仿宋"/>
                <w:color w:val="auto"/>
                <w:szCs w:val="21"/>
                <w:highlight w:val="none"/>
                <w:lang w:bidi="ar"/>
              </w:rPr>
              <w:t xml:space="preserve">9cm，带盖，表面抛光处理，耐高温消毒</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棉球缸</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不锈钢材质，直径≥</w:t>
            </w:r>
            <w:r>
              <w:rPr>
                <w:rFonts w:ascii="仿宋" w:hAnsi="仿宋" w:eastAsia="仿宋" w:cs="仿宋"/>
                <w:color w:val="auto"/>
                <w:szCs w:val="21"/>
                <w:highlight w:val="none"/>
                <w:lang w:bidi="ar"/>
              </w:rPr>
              <w:t xml:space="preserve">9cm，带盖，表面抛光处理，耐高温消毒</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器械缸</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不锈钢材质，直径≥</w:t>
            </w:r>
            <w:r>
              <w:rPr>
                <w:rFonts w:ascii="仿宋" w:hAnsi="仿宋" w:eastAsia="仿宋" w:cs="仿宋"/>
                <w:color w:val="auto"/>
                <w:szCs w:val="21"/>
                <w:highlight w:val="none"/>
                <w:lang w:bidi="ar"/>
              </w:rPr>
              <w:t xml:space="preserve">9cm，带盖，表面抛光处理，耐高温灭菌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贮槽</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不锈钢材质，直径≥</w:t>
            </w:r>
            <w:r>
              <w:rPr>
                <w:rFonts w:ascii="仿宋" w:hAnsi="仿宋" w:eastAsia="仿宋" w:cs="仿宋"/>
                <w:color w:val="auto"/>
                <w:szCs w:val="21"/>
                <w:highlight w:val="none"/>
                <w:lang w:bidi="ar"/>
              </w:rPr>
              <w:t xml:space="preserve">20cm，带盖，密封性好，适用于器械、敷料的灭菌存储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带盖方盘</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不锈钢材质，≥</w:t>
            </w:r>
            <w:r>
              <w:rPr>
                <w:rFonts w:ascii="仿宋" w:hAnsi="仿宋" w:eastAsia="仿宋" w:cs="仿宋"/>
                <w:color w:val="auto"/>
                <w:szCs w:val="21"/>
                <w:highlight w:val="none"/>
                <w:lang w:bidi="ar"/>
              </w:rPr>
              <w:t xml:space="preserve">23×15cm，带盖，四角圆弧过渡，表面抛光，易清洁消毒</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加厚耐热玻璃灯体，容量≥</w:t>
            </w:r>
            <w:r>
              <w:rPr>
                <w:rFonts w:ascii="仿宋" w:hAnsi="仿宋" w:eastAsia="仿宋" w:cs="仿宋"/>
                <w:color w:val="auto"/>
                <w:szCs w:val="21"/>
                <w:highlight w:val="none"/>
                <w:lang w:bidi="ar"/>
              </w:rPr>
              <w:t xml:space="preserve">250ml，配灯芯及灯帽，灯芯管可调节火焰大小</w:t>
            </w:r>
            <w:r>
              <w:rPr>
                <w:rFonts w:hint="eastAsia" w:ascii="仿宋" w:hAnsi="仿宋" w:eastAsia="仿宋" w:cs="仿宋"/>
                <w:color w:val="auto"/>
                <w:szCs w:val="21"/>
                <w:highlight w:val="none"/>
                <w:lang w:bidi="ar"/>
              </w:rPr>
              <w:t xml:space="preserve">加厚耐热玻璃，容量≥</w:t>
            </w:r>
            <w:r>
              <w:rPr>
                <w:rFonts w:ascii="仿宋" w:hAnsi="仿宋" w:eastAsia="仿宋" w:cs="仿宋"/>
                <w:color w:val="auto"/>
                <w:szCs w:val="21"/>
                <w:highlight w:val="none"/>
                <w:lang w:bidi="ar"/>
              </w:rPr>
              <w:t xml:space="preserve">250ml</w:t>
            </w:r>
            <w:r>
              <w:rPr>
                <w:rFonts w:hint="eastAsia" w:ascii="仿宋" w:hAnsi="仿宋" w:eastAsia="仿宋" w:cs="仿宋"/>
                <w:color w:val="auto"/>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冲眼壶</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不锈钢材质，容量≥</w:t>
            </w:r>
            <w:r>
              <w:rPr>
                <w:rFonts w:ascii="仿宋" w:hAnsi="仿宋" w:eastAsia="仿宋" w:cs="仿宋"/>
                <w:color w:val="auto"/>
                <w:szCs w:val="21"/>
                <w:highlight w:val="none"/>
                <w:lang w:bidi="ar"/>
              </w:rPr>
              <w:t xml:space="preserve">500ml</w:t>
            </w:r>
            <w:r>
              <w:rPr>
                <w:rFonts w:hint="eastAsia" w:ascii="仿宋" w:hAnsi="仿宋" w:eastAsia="仿宋" w:cs="仿宋"/>
                <w:color w:val="auto"/>
                <w:szCs w:val="21"/>
                <w:highlight w:val="none"/>
                <w:lang w:bidi="ar"/>
              </w:rPr>
              <w:t xml:space="preserve">材质，容量≥</w:t>
            </w:r>
            <w:r>
              <w:rPr>
                <w:rFonts w:ascii="仿宋" w:hAnsi="仿宋" w:eastAsia="仿宋" w:cs="仿宋"/>
                <w:color w:val="auto"/>
                <w:szCs w:val="21"/>
                <w:highlight w:val="none"/>
                <w:lang w:bidi="ar"/>
              </w:rPr>
              <w:t xml:space="preserve">500ml，壶嘴弧度适合眼部冲洗，表面光滑无毛刺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受水器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医用级</w:t>
            </w:r>
            <w:r>
              <w:rPr>
                <w:rFonts w:ascii="仿宋" w:hAnsi="仿宋" w:eastAsia="仿宋" w:cs="仿宋"/>
                <w:color w:val="auto"/>
                <w:szCs w:val="21"/>
                <w:highlight w:val="none"/>
                <w:lang w:bidi="ar"/>
              </w:rPr>
              <w:t xml:space="preserve">PP或ABS塑料注塑成型，容量≥300ml，边缘光滑，符合面部轮廓弧度</w:t>
            </w:r>
            <w:r>
              <w:rPr>
                <w:rFonts w:hint="eastAsia" w:ascii="仿宋" w:hAnsi="仿宋" w:eastAsia="仿宋" w:cs="仿宋"/>
                <w:color w:val="auto"/>
                <w:szCs w:val="21"/>
                <w:highlight w:val="none"/>
                <w:lang w:bidi="ar"/>
              </w:rPr>
              <w:t xml:space="preserve">医用</w:t>
            </w:r>
            <w:r>
              <w:rPr>
                <w:rFonts w:ascii="仿宋" w:hAnsi="仿宋" w:eastAsia="仿宋" w:cs="仿宋"/>
                <w:color w:val="auto"/>
                <w:szCs w:val="21"/>
                <w:highlight w:val="none"/>
                <w:lang w:bidi="ar"/>
              </w:rPr>
              <w:t xml:space="preserve">PP或ABS注塑成型，容量≥300ml</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医用剪刀</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不锈钢医用剪刀</w:t>
            </w:r>
            <w:r>
              <w:rPr>
                <w:rFonts w:ascii="仿宋" w:hAnsi="仿宋" w:eastAsia="仿宋" w:cs="仿宋"/>
                <w:color w:val="auto"/>
                <w:szCs w:val="21"/>
                <w:highlight w:val="none"/>
                <w:lang w:bidi="ar"/>
              </w:rPr>
              <w:t xml:space="preserve">12把/套，含直头、弯头、拆线剪等常用型号，长度12.5~22cm，刃口锋利无缺口</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医用镊子</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不锈钢医用镊子</w:t>
            </w:r>
            <w:r>
              <w:rPr>
                <w:rFonts w:ascii="仿宋" w:hAnsi="仿宋" w:eastAsia="仿宋" w:cs="仿宋"/>
                <w:color w:val="auto"/>
                <w:szCs w:val="21"/>
                <w:highlight w:val="none"/>
                <w:lang w:bidi="ar"/>
              </w:rPr>
              <w:t xml:space="preserve">6种/套，含直头、弯头、有齿、无齿等规格，长度12.5~25cm，尖端对合严密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叩诊锤</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不锈钢手柄</w:t>
            </w:r>
            <w:r>
              <w:rPr>
                <w:rFonts w:ascii="仿宋" w:hAnsi="仿宋" w:eastAsia="仿宋" w:cs="仿宋"/>
                <w:color w:val="auto"/>
                <w:szCs w:val="21"/>
                <w:highlight w:val="none"/>
                <w:lang w:bidi="ar"/>
              </w:rPr>
              <w:t xml:space="preserve">+橡胶锤头，手柄带角度刻度标识，锤头柔软适中，适合神经反射检查</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压舌板</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不锈钢材质，长度≥</w:t>
            </w:r>
            <w:r>
              <w:rPr>
                <w:rFonts w:ascii="仿宋" w:hAnsi="仿宋" w:eastAsia="仿宋" w:cs="仿宋"/>
                <w:color w:val="auto"/>
                <w:szCs w:val="21"/>
                <w:highlight w:val="none"/>
                <w:lang w:bidi="ar"/>
              </w:rPr>
              <w:t xml:space="preserve">14cm，两端圆滑处理，表面抛光无毛刺，可高温灭菌重复使用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口镜</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ascii="仿宋" w:hAnsi="仿宋" w:eastAsia="仿宋" w:cs="仿宋"/>
                <w:color w:val="auto"/>
                <w:szCs w:val="21"/>
                <w:highlight w:val="none"/>
                <w:lang w:bidi="ar"/>
              </w:rPr>
              <w:t xml:space="preserve">1.不锈钢口镜，镜面直径≥22mm，含平面镜片1片</w:t>
            </w:r>
            <w:r/>
          </w:p>
          <w:p>
            <w:pPr>
              <w:jc w:val="left"/>
              <w:widowControl/>
              <w:rPr>
                <w:rFonts w:ascii="仿宋" w:hAnsi="仿宋" w:eastAsia="仿宋" w:cs="仿宋"/>
                <w:color w:val="auto"/>
                <w:szCs w:val="21"/>
                <w:highlight w:val="none"/>
                <w:lang w:bidi="ar"/>
              </w:rPr>
            </w:pPr>
            <w:r>
              <w:rPr>
                <w:rFonts w:ascii="仿宋" w:hAnsi="仿宋" w:eastAsia="仿宋" w:cs="仿宋"/>
                <w:color w:val="auto"/>
                <w:szCs w:val="21"/>
                <w:highlight w:val="none"/>
                <w:lang w:bidi="ar"/>
              </w:rPr>
              <w:t xml:space="preserve">2.手柄长度≥120mm，表面滚花防滑处理，便于握持操作。</w:t>
            </w:r>
            <w:r/>
          </w:p>
          <w:p>
            <w:pPr>
              <w:jc w:val="left"/>
              <w:widowControl/>
              <w:rPr>
                <w:rFonts w:ascii="仿宋" w:hAnsi="仿宋" w:eastAsia="仿宋" w:cs="仿宋"/>
                <w:color w:val="auto"/>
                <w:szCs w:val="21"/>
                <w:highlight w:val="none"/>
              </w:rPr>
            </w:pPr>
            <w:r>
              <w:rPr>
                <w:rFonts w:ascii="仿宋" w:hAnsi="仿宋" w:eastAsia="仿宋" w:cs="仿宋"/>
                <w:color w:val="auto"/>
                <w:szCs w:val="21"/>
                <w:highlight w:val="none"/>
                <w:lang w:bidi="ar"/>
              </w:rPr>
              <w:t xml:space="preserve">3.镜面与手柄连接牢固，整体可耐高温高压灭菌（134℃）。</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照度计</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1.最大测量：100000Lux，准确度高反应速度快，读值锁定功能，可锁定测量值，符号及单位显示，读取方便，自动归零。</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2.测量范围：1Lux-100000Lux。</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3.分辨率：1Lux。</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4.显示：31/2位液晶显示器，显示量大读数1999。</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5.量程档位：2000Lux档、20000Lux、100000Lux，Lux档显示之读数需要×10才为正确的照度值，100000Lux档显示之读数需要×100才为正确的照度值。</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6.准确度：±（4%rdg+2d）0-19999Lux，±（5%rdg+2d）20000-100000Lux，(以色温2856K标准面灯校正)。</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血糖仪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250组记忆，8秒快速检测</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体温计</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玻璃水银制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电子血压计</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1.显示方式：数字式LCD显示。</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2.测量方式：示波法。</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3.电源规格1.5VAA碱性电池4节/MicroUSB5V1A。</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4.测量范围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血压：（0~260）mmHg/（0~34.67）KPa；脉搏：（40~200）脉搏次/分钟。</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5.测量精度</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血压：+-3mmHg/+-0.4KPa；脉搏+-5%。</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6.记忆功能：2*120组。</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7.记忆时间显示：可显示年份/日期/时间。</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8.低电压指示：电量不足提示自动关机约150秒未使用</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9.使用环境：温度5°C~40°C/41°F~104°F，湿度：15%RH~80RH。</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10.储存环境：温度-20°C~+55°C/（-4°F~+131°F），湿度：10%RH~93RH。</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11.尺寸：长130mm*宽81mm*高42mm。</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12.臂带臂围（22~32）厘米，如有特殊要求可根据需要定制。</w:t>
            </w:r>
            <w:r/>
          </w:p>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13.重量：约425克（包含电池、臂带）。</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14.附件电池4节，臂带，使用说明书，保修单，合格证。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止血带</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一次性捆扎止血带，点连式设计，长约</w:t>
            </w:r>
            <w:r>
              <w:rPr>
                <w:rFonts w:ascii="仿宋" w:hAnsi="仿宋" w:eastAsia="仿宋" w:cs="仿宋"/>
                <w:color w:val="auto"/>
                <w:szCs w:val="21"/>
                <w:highlight w:val="none"/>
                <w:lang w:bidi="ar"/>
              </w:rPr>
              <w:t xml:space="preserve">35cm，宽约2cm，50条/盒，弹性适中不回缩，用于暂时阻断静脉回流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一次性床单</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1.医用一次性床单主要由无纺布、多层复合布、聚乙烯薄膜或PVC复塑无纺布制作而成。</w:t>
            </w:r>
            <w:r/>
          </w:p>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2.规格多样，长度在≥</w:t>
            </w:r>
            <w:r>
              <w:rPr>
                <w:rFonts w:ascii="仿宋" w:hAnsi="仿宋" w:eastAsia="仿宋" w:cs="仿宋"/>
                <w:color w:val="auto"/>
                <w:szCs w:val="21"/>
                <w:highlight w:val="none"/>
                <w:lang w:bidi="ar"/>
              </w:rPr>
              <w:t xml:space="preserve">150cm</w:t>
            </w:r>
            <w:r>
              <w:rPr>
                <w:rFonts w:hint="eastAsia" w:ascii="仿宋" w:hAnsi="仿宋" w:eastAsia="仿宋" w:cs="仿宋"/>
                <w:color w:val="auto"/>
                <w:szCs w:val="21"/>
                <w:highlight w:val="none"/>
                <w:lang w:bidi="ar"/>
              </w:rPr>
              <w:t xml:space="preserve">-</w:t>
            </w:r>
            <w:r>
              <w:rPr>
                <w:rFonts w:ascii="仿宋" w:hAnsi="仿宋" w:eastAsia="仿宋" w:cs="仿宋"/>
                <w:color w:val="auto"/>
                <w:szCs w:val="21"/>
                <w:highlight w:val="none"/>
                <w:lang w:bidi="ar"/>
              </w:rPr>
              <w:t xml:space="preserve">220cm</w:t>
            </w:r>
            <w:r>
              <w:rPr>
                <w:rFonts w:hint="eastAsia" w:ascii="仿宋" w:hAnsi="仿宋" w:eastAsia="仿宋" w:cs="仿宋"/>
                <w:color w:val="auto"/>
                <w:szCs w:val="21"/>
                <w:highlight w:val="none"/>
                <w:lang w:bidi="ar"/>
              </w:rPr>
              <w:t xml:space="preserve">之间，宽度在80cm-160cm之间。‌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 </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床帘</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83"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医用隔帘，面料采用高密度聚酯纤维，透气防尘，轨道式悬挂，颜色柔和，展开后有效分隔检查区域，保护患者隐私。</w:t>
            </w:r>
            <w:r/>
          </w:p>
        </w:tc>
      </w:tr>
    </w:tbl>
    <w:p>
      <w:pPr>
        <w:pStyle w:val="1639"/>
        <w:ind w:firstLine="422"/>
        <w:spacing w:line="360" w:lineRule="auto"/>
        <w:rPr>
          <w:rFonts w:ascii="仿宋" w:hAnsi="仿宋" w:eastAsia="仿宋" w:cs="仿宋"/>
          <w:b/>
          <w:bCs/>
          <w:color w:val="auto"/>
          <w:szCs w:val="21"/>
          <w:highlight w:val="none"/>
          <w:lang w:val="en-US"/>
        </w:rPr>
      </w:pPr>
      <w:r>
        <w:rPr>
          <w:rFonts w:hint="eastAsia" w:ascii="仿宋" w:hAnsi="仿宋" w:eastAsia="仿宋" w:cs="仿宋"/>
          <w:b/>
          <w:bCs/>
          <w:color w:val="auto"/>
          <w:szCs w:val="21"/>
          <w:highlight w:val="none"/>
          <w:lang w:val="en-US"/>
        </w:rPr>
        <w:t xml:space="preserve">注：1.核心产品：电动悬空篮球架、</w:t>
      </w:r>
      <w:r>
        <w:rPr>
          <w:rFonts w:ascii="仿宋" w:hAnsi="仿宋" w:eastAsia="仿宋" w:cs="仿宋"/>
          <w:b/>
          <w:bCs/>
          <w:color w:val="auto"/>
          <w:szCs w:val="21"/>
          <w:highlight w:val="none"/>
          <w:lang w:val="en-US"/>
        </w:rPr>
        <w:t xml:space="preserve">羽毛球地胶</w:t>
      </w:r>
      <w:r>
        <w:rPr>
          <w:rFonts w:hint="eastAsia" w:ascii="仿宋" w:hAnsi="仿宋" w:eastAsia="仿宋" w:cs="仿宋"/>
          <w:b/>
          <w:bCs/>
          <w:color w:val="auto"/>
          <w:szCs w:val="21"/>
          <w:highlight w:val="none"/>
          <w:lang w:val="en-US"/>
        </w:rPr>
        <w:t xml:space="preserve">。</w:t>
      </w:r>
      <w:r/>
    </w:p>
    <w:p>
      <w:pPr>
        <w:ind w:firstLine="422"/>
        <w:spacing w:line="360" w:lineRule="auto"/>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2.强制节能产品：水嘴。供应商应当选择强制采购产品，并提供由国家确定的认证机构出具的、处于有效期之内的</w:t>
      </w:r>
      <w:r>
        <w:rPr>
          <w:rFonts w:ascii="仿宋" w:hAnsi="仿宋" w:eastAsia="仿宋" w:cs="仿宋"/>
          <w:b/>
          <w:bCs/>
          <w:color w:val="auto"/>
          <w:szCs w:val="21"/>
          <w:highlight w:val="none"/>
        </w:rPr>
        <w:t xml:space="preserve">《中国节能产品认证证书》，证书上的产品名称及型号须与所投产品完全一致</w:t>
      </w:r>
      <w:r>
        <w:rPr>
          <w:rFonts w:hint="eastAsia" w:ascii="仿宋" w:hAnsi="仿宋" w:eastAsia="仿宋" w:cs="仿宋"/>
          <w:b/>
          <w:bCs/>
          <w:color w:val="auto"/>
          <w:szCs w:val="21"/>
          <w:highlight w:val="none"/>
        </w:rPr>
        <w:t xml:space="preserve">，否则视为无效响应。</w:t>
      </w:r>
      <w:r/>
    </w:p>
    <w:p>
      <w:pPr>
        <w:ind w:firstLine="422"/>
        <w:spacing w:line="360" w:lineRule="auto"/>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3.卫生保健室中序号11血压计、序号17外伤处理器械、序号35血糖仪、序号36体温计、序号37电子血压计属于二类医疗器械。</w:t>
      </w:r>
      <w:r/>
    </w:p>
    <w:p>
      <w:pPr>
        <w:ind w:firstLine="422"/>
        <w:spacing w:line="360" w:lineRule="auto"/>
        <w:rPr>
          <w:rFonts w:hint="eastAsia" w:ascii="仿宋" w:hAnsi="仿宋" w:eastAsia="仿宋" w:cs="仿宋"/>
          <w:b/>
          <w:bCs/>
          <w:color w:val="auto"/>
          <w:highlight w:val="none"/>
        </w:rPr>
      </w:pPr>
      <w:r>
        <w:rPr>
          <w:rFonts w:hint="eastAsia" w:ascii="仿宋" w:hAnsi="仿宋" w:eastAsia="仿宋" w:cs="仿宋"/>
          <w:b/>
          <w:bCs/>
          <w:color w:val="auto"/>
          <w:szCs w:val="21"/>
          <w:highlight w:val="none"/>
        </w:rPr>
        <w:t xml:space="preserve">4.本项目</w:t>
      </w:r>
      <w:r>
        <w:rPr>
          <w:rFonts w:hint="eastAsia" w:ascii="仿宋" w:hAnsi="仿宋" w:eastAsia="仿宋" w:cs="仿宋"/>
          <w:b/>
          <w:bCs/>
          <w:color w:val="auto"/>
          <w:szCs w:val="21"/>
          <w:highlight w:val="none"/>
        </w:rPr>
        <w:t xml:space="preserve">采购清单中的系统属于应用软件</w:t>
      </w:r>
      <w:r>
        <w:rPr>
          <w:rFonts w:hint="eastAsia" w:ascii="仿宋" w:hAnsi="仿宋" w:eastAsia="仿宋" w:cs="仿宋"/>
          <w:b/>
          <w:bCs/>
          <w:color w:val="auto"/>
          <w:szCs w:val="21"/>
          <w:highlight w:val="none"/>
        </w:rPr>
        <w:t xml:space="preserve">，不</w:t>
      </w:r>
      <w:r>
        <w:rPr>
          <w:rFonts w:hint="eastAsia" w:ascii="仿宋" w:hAnsi="仿宋" w:eastAsia="仿宋" w:cs="仿宋"/>
          <w:b/>
          <w:bCs/>
          <w:color w:val="auto"/>
          <w:szCs w:val="21"/>
          <w:highlight w:val="none"/>
        </w:rPr>
        <w:t xml:space="preserve">涉及集采品目</w:t>
      </w:r>
      <w:r>
        <w:rPr>
          <w:rFonts w:hint="eastAsia" w:ascii="仿宋" w:hAnsi="仿宋" w:eastAsia="仿宋" w:cs="仿宋"/>
          <w:b/>
          <w:bCs/>
          <w:color w:val="auto"/>
          <w:szCs w:val="21"/>
          <w:highlight w:val="none"/>
        </w:rPr>
      </w: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rPr>
      </w:r>
      <w:r>
        <w:rPr>
          <w:rFonts w:ascii="仿宋" w:hAnsi="仿宋" w:eastAsia="仿宋" w:cs="仿宋"/>
          <w:b/>
          <w:bCs/>
          <w:color w:val="auto"/>
          <w:szCs w:val="21"/>
          <w:highlight w:val="none"/>
        </w:rPr>
      </w:r>
    </w:p>
    <w:p>
      <w:pPr>
        <w:ind w:firstLine="422"/>
        <w:spacing w:line="360" w:lineRule="auto"/>
        <w:rPr>
          <w:rFonts w:ascii="仿宋" w:hAnsi="仿宋" w:eastAsia="仿宋" w:cs="仿宋"/>
          <w:b/>
          <w:bCs/>
          <w:color w:val="auto"/>
          <w:highlight w:val="none"/>
        </w:rPr>
      </w:pPr>
      <w:r>
        <w:rPr>
          <w:rFonts w:hint="eastAsia" w:ascii="仿宋" w:hAnsi="仿宋" w:eastAsia="仿宋" w:cs="仿宋"/>
          <w:b/>
          <w:bCs/>
          <w:color w:val="auto"/>
          <w:szCs w:val="21"/>
          <w:highlight w:val="none"/>
        </w:rPr>
        <w:t xml:space="preserve">5.本项目不接受进口产品投标，上述货物标的物所属行业均为工业。</w:t>
      </w:r>
      <w:r/>
      <w:r/>
    </w:p>
    <w:p>
      <w:pPr>
        <w:pStyle w:val="1639"/>
        <w:ind w:firstLine="422"/>
        <w:spacing w:line="360" w:lineRule="auto"/>
        <w:rPr>
          <w:rFonts w:ascii="仿宋" w:hAnsi="仿宋" w:eastAsia="仿宋" w:cs="仿宋"/>
          <w:b/>
          <w:bCs/>
          <w:color w:val="auto"/>
          <w:szCs w:val="21"/>
          <w:highlight w:val="none"/>
          <w:lang w:val="en-US"/>
        </w:rPr>
      </w:pPr>
      <w:r>
        <w:rPr>
          <w:rFonts w:hint="eastAsia" w:ascii="仿宋" w:hAnsi="仿宋" w:eastAsia="仿宋" w:cs="仿宋"/>
          <w:b/>
          <w:bCs/>
          <w:color w:val="auto"/>
          <w:szCs w:val="21"/>
          <w:highlight w:val="none"/>
          <w:lang w:val="en-US"/>
        </w:rPr>
        <w:t xml:space="preserve">6.本项目包含多项货物，供应商需要明确每个采购标的均由中小企业制造才能享受相关扶持政策。如果供应商提供的《中小企业声明函》未对所有标的进行有效响应，则声明函无效。</w:t>
      </w:r>
      <w:r/>
    </w:p>
    <w:p>
      <w:pPr>
        <w:pStyle w:val="1639"/>
        <w:ind w:firstLine="0"/>
        <w:spacing w:line="360" w:lineRule="auto"/>
        <w:rPr>
          <w:rFonts w:ascii="仿宋" w:hAnsi="仿宋" w:eastAsia="仿宋" w:cs="仿宋"/>
          <w:color w:val="auto"/>
          <w:sz w:val="24"/>
          <w:szCs w:val="24"/>
          <w:highlight w:val="none"/>
          <w:lang w:val="en-US"/>
        </w:rPr>
      </w:pPr>
      <w:r>
        <w:rPr>
          <w:rFonts w:hint="eastAsia" w:ascii="仿宋" w:hAnsi="仿宋" w:eastAsia="仿宋" w:cs="仿宋"/>
          <w:b/>
          <w:bCs/>
          <w:color w:val="auto"/>
          <w:sz w:val="24"/>
          <w:szCs w:val="24"/>
          <w:highlight w:val="none"/>
          <w:lang w:val="en-US"/>
        </w:rPr>
        <w:t xml:space="preserve">三、一般技术要求</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1.所提供货物的生产、制造、安装等，各项技术标准应当符合国家（强制性）标准、各项规范要求；国家没有相应标准、规范的，可使用行业标准、规定；非标设备按采购文件约定的技术要求和规范。</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2.所有设备、附（配）件应具备该类产品的功能要求，无瑕疵和缺陷，质量为合格产品，同时有明确的生产厂商或制造厂商。</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所提供货物是全新的、未使用过的、原包装未拆封的商品，完全符合采购清单规定的质量、规格和性能的要求，投标单位应保证其提供的设备在正确安装、正常使用和保养条件下，在规定的使用寿命期内具有满意的性能。</w:t>
      </w:r>
      <w:r/>
    </w:p>
    <w:p>
      <w:pPr>
        <w:pStyle w:val="1639"/>
        <w:ind w:firstLine="0"/>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rPr>
        <w:t xml:space="preserve">四、</w:t>
      </w:r>
      <w:r>
        <w:rPr>
          <w:rFonts w:hint="eastAsia" w:ascii="仿宋" w:hAnsi="仿宋" w:eastAsia="仿宋" w:cs="仿宋"/>
          <w:b/>
          <w:bCs/>
          <w:color w:val="auto"/>
          <w:sz w:val="24"/>
          <w:szCs w:val="24"/>
          <w:highlight w:val="none"/>
        </w:rPr>
        <w:t xml:space="preserve">商务要求</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1.交货要求</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（1）交付期限：合同签订生效后45日历天内将所供产品送至采购人指定地点，安装到位并调试完毕。</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（2）交货方式及地点：原厂包装免费送货至采购人指定地点。</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2.免费保修期：自项目验收合格（以双方在验收报告签订日期为准），提供3年整体免费保修服务</w:t>
      </w:r>
      <w:r>
        <w:rPr>
          <w:rFonts w:hint="eastAsia" w:ascii="仿宋" w:hAnsi="仿宋" w:eastAsia="仿宋" w:cs="仿宋"/>
          <w:color w:val="auto"/>
          <w:sz w:val="24"/>
          <w:szCs w:val="24"/>
          <w:highlight w:val="none"/>
          <w:lang w:eastAsia="zh-TW"/>
        </w:rPr>
        <w:t xml:space="preserve">。免费</w:t>
      </w:r>
      <w:r>
        <w:rPr>
          <w:rFonts w:hint="eastAsia" w:ascii="仿宋" w:hAnsi="仿宋" w:eastAsia="仿宋" w:cs="仿宋"/>
          <w:color w:val="auto"/>
          <w:sz w:val="24"/>
          <w:szCs w:val="24"/>
          <w:highlight w:val="none"/>
        </w:rPr>
        <w:t xml:space="preserve">保修</w:t>
      </w:r>
      <w:r>
        <w:rPr>
          <w:rFonts w:hint="eastAsia" w:ascii="仿宋" w:hAnsi="仿宋" w:eastAsia="仿宋" w:cs="仿宋"/>
          <w:color w:val="auto"/>
          <w:sz w:val="24"/>
          <w:szCs w:val="24"/>
          <w:highlight w:val="none"/>
          <w:lang w:eastAsia="zh-TW"/>
        </w:rPr>
        <w:t xml:space="preserve">期内，除人为损坏和不可抗拒因素外，中标人对物品进行免费维修或更换</w:t>
      </w:r>
      <w:r>
        <w:rPr>
          <w:rFonts w:hint="eastAsia" w:ascii="仿宋" w:hAnsi="仿宋" w:eastAsia="仿宋" w:cs="仿宋"/>
          <w:color w:val="auto"/>
          <w:sz w:val="24"/>
          <w:szCs w:val="24"/>
          <w:highlight w:val="none"/>
        </w:rPr>
        <w:t xml:space="preserve">。</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3.售后服务</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免费保修期内中标人在接到采购人维修要求后，必须在1小时内对采购人所提出的维修要求作出响应，6小时内到达维修现场，并在72小时内修复完毕，如72小时内无法修复完毕应免费更换同样品牌、规格的产品。否则由于故障造成的全部损失由中标人承担。</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免费保修期内如有质量问题时（使用不当除外），中标人应免费修复、更换，同一问题二次修复后仍有问题时，则全套更换。</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免费保修期满后的维修内容减免上门费及人工费等费用，仅按原材料的价格收取维修费用，零配件应保证5年以上的供应期，合同签订时提供原材料的价格、零配件的优惠价为免费保修期满后的结算依据，未提供在免费保修期满后价格维修清单的内容视为免费维修，不因时间的递增或物价上涨而改变结算价格。</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中标人应按其投标文件中的承诺，进行其他售后服务工作。包括但不限于免费提供对采购方操作人员的免费应用技术培训，时间、地点协商而定。</w:t>
      </w:r>
      <w:r/>
    </w:p>
    <w:p>
      <w:pPr>
        <w:ind w:firstLine="480"/>
        <w:jc w:val="left"/>
        <w:spacing w:line="360" w:lineRule="auto"/>
        <w:rPr>
          <w:rFonts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eastAsia="zh-Hans"/>
        </w:rPr>
        <w:t xml:space="preserve">4.付款</w:t>
      </w:r>
      <w:r/>
    </w:p>
    <w:p>
      <w:pPr>
        <w:ind w:firstLine="480"/>
        <w:jc w:val="left"/>
        <w:spacing w:line="360" w:lineRule="auto"/>
        <w:rPr>
          <w:rFonts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rPr>
        <w:t xml:space="preserve">合同签订生效后预付签约合同价的30%，</w:t>
      </w:r>
      <w:r>
        <w:rPr>
          <w:rFonts w:hint="eastAsia" w:ascii="仿宋" w:hAnsi="仿宋" w:eastAsia="仿宋" w:cs="仿宋"/>
          <w:color w:val="auto"/>
          <w:sz w:val="24"/>
          <w:szCs w:val="24"/>
          <w:highlight w:val="none"/>
          <w:lang w:eastAsia="zh-Hans"/>
        </w:rPr>
        <w:t xml:space="preserve">项目安装调试完毕且</w:t>
      </w:r>
      <w:r>
        <w:rPr>
          <w:rFonts w:hint="eastAsia" w:ascii="仿宋" w:hAnsi="仿宋" w:eastAsia="仿宋" w:cs="仿宋"/>
          <w:color w:val="auto"/>
          <w:sz w:val="24"/>
          <w:szCs w:val="24"/>
          <w:highlight w:val="none"/>
        </w:rPr>
        <w:t xml:space="preserve">经采购人</w:t>
      </w:r>
      <w:r>
        <w:rPr>
          <w:rFonts w:hint="eastAsia" w:ascii="仿宋" w:hAnsi="仿宋" w:eastAsia="仿宋" w:cs="仿宋"/>
          <w:color w:val="auto"/>
          <w:sz w:val="24"/>
          <w:szCs w:val="24"/>
          <w:highlight w:val="none"/>
          <w:lang w:eastAsia="zh-Hans"/>
        </w:rPr>
        <w:t xml:space="preserve">验收合格，支付至</w:t>
      </w:r>
      <w:r>
        <w:rPr>
          <w:rFonts w:hint="eastAsia" w:ascii="仿宋" w:hAnsi="仿宋" w:eastAsia="仿宋" w:cs="仿宋"/>
          <w:color w:val="auto"/>
          <w:sz w:val="24"/>
          <w:szCs w:val="24"/>
          <w:highlight w:val="none"/>
        </w:rPr>
        <w:t xml:space="preserve">签约</w:t>
      </w:r>
      <w:r>
        <w:rPr>
          <w:rFonts w:hint="eastAsia" w:ascii="仿宋" w:hAnsi="仿宋" w:eastAsia="仿宋" w:cs="仿宋"/>
          <w:color w:val="auto"/>
          <w:sz w:val="24"/>
          <w:szCs w:val="24"/>
          <w:highlight w:val="none"/>
          <w:lang w:eastAsia="zh-Hans"/>
        </w:rPr>
        <w:t xml:space="preserve">合同</w:t>
      </w:r>
      <w:r>
        <w:rPr>
          <w:rFonts w:hint="eastAsia" w:ascii="仿宋" w:hAnsi="仿宋" w:eastAsia="仿宋" w:cs="仿宋"/>
          <w:color w:val="auto"/>
          <w:sz w:val="24"/>
          <w:szCs w:val="24"/>
          <w:highlight w:val="none"/>
        </w:rPr>
        <w:t xml:space="preserve">价</w:t>
      </w:r>
      <w:r>
        <w:rPr>
          <w:rFonts w:hint="eastAsia" w:ascii="仿宋" w:hAnsi="仿宋" w:eastAsia="仿宋" w:cs="仿宋"/>
          <w:color w:val="auto"/>
          <w:sz w:val="24"/>
          <w:szCs w:val="24"/>
          <w:highlight w:val="none"/>
          <w:lang w:eastAsia="zh-Hans"/>
        </w:rPr>
        <w:t xml:space="preserve">的60%；</w:t>
      </w:r>
      <w:r>
        <w:rPr>
          <w:rFonts w:hint="eastAsia" w:ascii="仿宋" w:hAnsi="仿宋" w:eastAsia="仿宋" w:cs="仿宋"/>
          <w:color w:val="auto"/>
          <w:sz w:val="24"/>
          <w:szCs w:val="24"/>
          <w:highlight w:val="none"/>
        </w:rPr>
        <w:t xml:space="preserve">结算审计完成付至审计价的80%，余款两年内付清。</w:t>
      </w:r>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五、验收要求及标准</w:t>
      </w:r>
      <w:r/>
    </w:p>
    <w:p>
      <w:pPr>
        <w:ind w:firstLine="420"/>
        <w:jc w:val="lef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验收：产品运抵采购单位指定地点后，采购人对所供货物就数量、外观、材质、工艺等基本检测项目进行验收，若有产品损坏、丢失或出现其他不符合招标要求的情况，中标人应根据采购人的要求免费补充、更换；安装调试完毕后，采购人组织质量性能验收，若发现中标人提供的设备及其安装有质量、性能方面的问题采购人有权拒收或要求中标人更换、维修直至验收合格。</w:t>
      </w:r>
      <w:r/>
    </w:p>
    <w:p>
      <w:pPr>
        <w:ind w:firstLine="420"/>
        <w:jc w:val="lef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2.验收时，中标人必须参加，由双方签署验收单。</w:t>
      </w:r>
      <w:r/>
    </w:p>
    <w:p>
      <w:pPr>
        <w:ind w:firstLine="420"/>
        <w:jc w:val="lef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3.项目完成后，中标人需提供所投产品生产厂家的授权书、质保书、保修证明等书面资料，并按国家制造和安装的标准要求检测验收。</w:t>
      </w:r>
      <w:r/>
    </w:p>
    <w:p>
      <w:pPr>
        <w:ind w:firstLine="420"/>
        <w:jc w:val="lef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4.本次采购全部内容为“交钥匙”项目，一切费用均包含在报价内，请各投标单位认真考虑其各种风险。</w:t>
      </w:r>
      <w:r/>
    </w:p>
    <w:p>
      <w:pPr>
        <w:ind w:firstLine="420"/>
        <w:jc w:val="left"/>
        <w:spacing w:line="360" w:lineRule="auto"/>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5.验收标准：按本招标文件、供应商的投标文件、承诺及国家相关标准为准。</w:t>
      </w:r>
      <w:r/>
    </w:p>
    <w:p>
      <w:pPr>
        <w:ind w:firstLine="420"/>
        <w:jc w:val="left"/>
        <w:spacing w:line="360" w:lineRule="auto"/>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按《江苏省政府采购履约验收管理办法》（苏财规〔2024〕7号）的通知要求，提供验收通知单、验收书，详见附件。</w:t>
      </w:r>
      <w:r/>
    </w:p>
    <w:p>
      <w:pPr>
        <w:ind w:firstLine="420"/>
        <w:jc w:val="left"/>
        <w:spacing w:line="360" w:lineRule="auto"/>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如双方对验收结果有分歧，则以苏州市技术质量监督局的检验结果为准，检验费用由有过失的一方支付。</w:t>
      </w:r>
      <w:r/>
    </w:p>
    <w:p>
      <w:pPr>
        <w:ind w:firstLine="420"/>
        <w:jc w:val="lef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6.交货过程中如发现不符合本次招标文件所规定产品，供方应无条件退换。</w:t>
      </w:r>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六、其他要求</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1.中标人须负责其所提供的所有货物的安装调试，以及与之相关的一切必要配套工作。</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2.货物进场后的搬运、成品保护、平面布置优化等措施，费用均在投标报价时自行考虑在内，结算不予增加。</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3.投标人应认真考虑需配合项目、涉及范围及与其他单位的相关配合工作，如需涉及相关配合等费用投标时自行考虑在投标报价中，中标后不得以任何理由增加费用和延长交货期限。</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货物搬运、安装、调试等过程中需对已有成品进行保护，如有损坏，由中标人负责修复，并承担相关费用。</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ascii="仿宋" w:hAnsi="仿宋" w:eastAsia="仿宋" w:cs="仿宋"/>
          <w:color w:val="auto"/>
          <w:sz w:val="24"/>
          <w:szCs w:val="24"/>
          <w:highlight w:val="none"/>
        </w:rPr>
        <w:t xml:space="preserve">中标后，采购</w:t>
      </w:r>
      <w:r>
        <w:rPr>
          <w:rFonts w:hint="eastAsia" w:ascii="仿宋" w:hAnsi="仿宋" w:eastAsia="仿宋" w:cs="仿宋"/>
          <w:color w:val="auto"/>
          <w:sz w:val="24"/>
          <w:szCs w:val="24"/>
          <w:highlight w:val="none"/>
        </w:rPr>
        <w:t xml:space="preserve">人</w:t>
      </w:r>
      <w:r>
        <w:rPr>
          <w:rFonts w:ascii="仿宋" w:hAnsi="仿宋" w:eastAsia="仿宋" w:cs="仿宋"/>
          <w:color w:val="auto"/>
          <w:sz w:val="24"/>
          <w:szCs w:val="24"/>
          <w:highlight w:val="none"/>
        </w:rPr>
        <w:t xml:space="preserve">有权视情况需要（对于采购清单中不同类产品），组织合同相关方从所供货物中随机抽样，送相关检测机构进行检测，按招标文件的技术要求为标准验收，如检测不合格，抽检不合格所有同类货物免费更换、检测费 + 工期损失全部由中标方承担。</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应以人民币报价，投标总价一次报定，报价均已包括本项目的所有费用，包括但不限于由投标人为实施和完成本合同所承担的全部费用和要求获得的利润，包括货物、辅材、配件、运输、吊装、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r/>
    </w:p>
    <w:p>
      <w:pPr>
        <w:ind w:firstLine="360"/>
        <w:spacing w:line="360" w:lineRule="auto"/>
        <w:rPr>
          <w:rFonts w:ascii="仿宋" w:hAnsi="仿宋" w:eastAsia="仿宋" w:cs="仿宋"/>
          <w:b/>
          <w:bCs/>
          <w:color w:val="auto"/>
          <w:sz w:val="24"/>
          <w:szCs w:val="24"/>
          <w:highlight w:val="none"/>
        </w:rPr>
      </w:pPr>
      <w:r>
        <w:rPr>
          <w:rFonts w:ascii="仿宋" w:hAnsi="仿宋" w:eastAsia="仿宋" w:cs="仿宋"/>
          <w:color w:val="auto"/>
          <w:sz w:val="24"/>
          <w:szCs w:val="24"/>
          <w:highlight w:val="none"/>
        </w:rPr>
        <w:t xml:space="preserve">7.</w:t>
      </w:r>
      <w:r>
        <w:rPr>
          <w:rFonts w:hint="eastAsia" w:ascii="仿宋" w:hAnsi="仿宋" w:eastAsia="仿宋" w:cs="仿宋"/>
          <w:b/>
          <w:bCs/>
          <w:color w:val="auto"/>
          <w:sz w:val="24"/>
          <w:szCs w:val="24"/>
          <w:highlight w:val="none"/>
        </w:rPr>
        <w:t xml:space="preserve">履约保证金：</w:t>
      </w:r>
      <w:r/>
    </w:p>
    <w:p>
      <w:pPr>
        <w:ind w:firstLine="360"/>
        <w:spacing w:line="360" w:lineRule="auto"/>
        <w:rPr>
          <w:rFonts w:ascii="仿宋" w:hAnsi="仿宋" w:cs="仿宋"/>
          <w:color w:val="auto"/>
          <w:sz w:val="24"/>
          <w:szCs w:val="24"/>
          <w:highlight w:val="none"/>
        </w:rPr>
      </w:pP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1）合同签订前，中标人按合同金额的3%提交履约保证金。</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2）履约保证金用以约束中标人在合同履行中的行为，弥补合同执行中由于自身行为可能给采购人带来的各种损失。</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3）履约保证金将在中标人合同履行完毕且项目验收合格满1年无息退还。</w:t>
      </w:r>
      <w:r/>
    </w:p>
    <w:p>
      <w:pPr>
        <w:ind w:firstLine="480"/>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8.现场踏勘：根据自身投标需要，投标人可对有关现场和周围环境进行勘察，以获取编制投标文件和签署合同所需的信息。勘查现场所发生的费用由投标人自己承担。</w:t>
      </w:r>
      <w:r/>
    </w:p>
    <w:p>
      <w:pPr>
        <w:jc w:val="left"/>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七、实施方案要求</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投标文件中需提供项目实施方案，包括以下内容：</w:t>
      </w:r>
      <w:r/>
    </w:p>
    <w:p>
      <w:pPr>
        <w:ind w:firstLine="480"/>
        <w:spacing w:line="360" w:lineRule="auto"/>
        <w:rPr>
          <w:rFonts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rPr>
        <w:t xml:space="preserve">1.整体供货组织、到货验收、成品保护方案：包含①全品类器材分区域仓储规划、②物流运输防护措施、③到校卸货流程、④数量外观初验、⑤破损退换应急机制、⑥成品保护方案（列明地胶、玻璃篮板、精密体测仪器、保健设备完工防护措施）等，贴合本项目室外/室内/健身/体测/保健多品类大批量供货需求。</w:t>
      </w:r>
      <w:r/>
    </w:p>
    <w:p>
      <w:pPr>
        <w:ind w:firstLine="480"/>
        <w:spacing w:line="360" w:lineRule="auto"/>
        <w:rPr>
          <w:rFonts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rPr>
        <w:t xml:space="preserve">2.室外预埋器材混凝土基础专项施工方案：针对预埋篮球架、单双杠、足球门等列明基坑尺寸、C20混凝土配比、钢筋预埋、养护周期、场地复原、安全围挡等施工细节。</w:t>
      </w:r>
      <w:r/>
    </w:p>
    <w:p>
      <w:pPr>
        <w:ind w:firstLine="480"/>
        <w:spacing w:line="360" w:lineRule="auto"/>
        <w:rPr>
          <w:rFonts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rPr>
        <w:t xml:space="preserve">3.智慧体测设备部署实施方案：包括体测一体机、校园体育平台软硬件进场、点位布置、网络布线、人脸设备调试、多终端数据对接、校园系统联调完整流程。</w:t>
      </w:r>
      <w:r/>
    </w:p>
    <w:p>
      <w:pPr>
        <w:ind w:firstLine="480"/>
        <w:spacing w:line="360" w:lineRule="auto"/>
        <w:rPr>
          <w:rFonts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rPr>
        <w:t xml:space="preserve">4.</w:t>
      </w:r>
      <w:r>
        <w:rPr>
          <w:rFonts w:ascii="仿宋" w:hAnsi="仿宋" w:eastAsia="仿宋" w:cs="仿宋"/>
          <w:bCs/>
          <w:color w:val="auto"/>
          <w:sz w:val="24"/>
          <w:szCs w:val="24"/>
          <w:highlight w:val="none"/>
        </w:rPr>
        <w:t xml:space="preserve">PVC运动地胶铺设专项施工方案：地面基层处理、自流平施工、卷材拼接、高温焊缝、边角收边、完工清洁、短期防滑保护全套工序。</w:t>
      </w:r>
      <w:r/>
    </w:p>
    <w:p>
      <w:pPr>
        <w:ind w:firstLine="480"/>
        <w:spacing w:line="360" w:lineRule="auto"/>
        <w:rPr>
          <w:rFonts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rPr>
        <w:t xml:space="preserve">5.验收方案：全品类分阶段验收包括划分室外器材、室内场馆、健身体操、智慧体测、卫生保健五大独立验收阶段，列明每阶段</w:t>
      </w:r>
      <w:r>
        <w:rPr>
          <w:rFonts w:hint="eastAsia" w:ascii="仿宋" w:hAnsi="仿宋" w:eastAsia="仿宋" w:cs="仿宋"/>
          <w:b w:val="0"/>
          <w:bCs/>
          <w:color w:val="auto"/>
          <w:sz w:val="24"/>
          <w:szCs w:val="24"/>
          <w:highlight w:val="none"/>
        </w:rPr>
        <w:t xml:space="preserve">①</w:t>
      </w:r>
      <w:r>
        <w:rPr>
          <w:rFonts w:hint="eastAsia" w:ascii="仿宋" w:hAnsi="仿宋" w:eastAsia="仿宋" w:cs="仿宋"/>
          <w:b w:val="0"/>
          <w:bCs/>
          <w:color w:val="auto"/>
          <w:sz w:val="24"/>
          <w:szCs w:val="24"/>
          <w:highlight w:val="none"/>
          <w:lang w:val="en-US" w:eastAsia="zh-CN"/>
        </w:rPr>
        <w:t xml:space="preserve">验收流程、</w:t>
      </w:r>
      <w:r>
        <w:rPr>
          <w:rFonts w:hint="eastAsia" w:ascii="仿宋" w:hAnsi="仿宋" w:eastAsia="仿宋" w:cs="仿宋"/>
          <w:b w:val="0"/>
          <w:bCs/>
          <w:color w:val="auto"/>
          <w:sz w:val="24"/>
          <w:szCs w:val="24"/>
          <w:highlight w:val="none"/>
        </w:rPr>
        <w:t xml:space="preserve">②验收指标、③抽检比例、④不合格品处置流程</w:t>
      </w:r>
      <w:r>
        <w:rPr>
          <w:rFonts w:hint="eastAsia" w:ascii="仿宋" w:hAnsi="仿宋" w:eastAsia="仿宋" w:cs="仿宋"/>
          <w:bCs/>
          <w:color w:val="auto"/>
          <w:sz w:val="24"/>
          <w:szCs w:val="24"/>
          <w:highlight w:val="none"/>
        </w:rPr>
        <w:t xml:space="preserve">。</w:t>
      </w:r>
      <w:r/>
    </w:p>
    <w:p>
      <w:pPr>
        <w:ind w:firstLine="480"/>
        <w:spacing w:line="360" w:lineRule="auto"/>
        <w:rPr>
          <w:rFonts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rPr>
        <w:t xml:space="preserve">6.分层级师生操作培训方案：区分体育教师、班主任、学生三层培训对象，分别制定①大型器材、②地胶、③体测系统、④保健设备实操课程，明确培训时长、考核标准。</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7.售后服务：包含①售后服务人员配备（提供姓名及相关工作经验证明）、②运动会/体育中考等重大活动配合工作、③器材场地保养方案、④故障响应及修复时间、⑤易损件配置、⑥常态化培训计划（</w:t>
      </w:r>
      <w:r>
        <w:rPr>
          <w:rFonts w:ascii="仿宋" w:hAnsi="仿宋" w:eastAsia="仿宋" w:cs="仿宋"/>
          <w:color w:val="auto"/>
          <w:sz w:val="24"/>
          <w:szCs w:val="24"/>
          <w:highlight w:val="none"/>
          <w:lang w:bidi="ar"/>
        </w:rPr>
        <w:t xml:space="preserve">年度免费复训、设备故障简易排查教学、器材日常保养教学、备品更换教学</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等。</w:t>
      </w:r>
      <w:r/>
    </w:p>
    <w:p>
      <w:pPr>
        <w:pStyle w:val="1544"/>
        <w:spacing w:line="360" w:lineRule="auto"/>
        <w:rPr>
          <w:rFonts w:ascii="仿宋" w:hAnsi="仿宋" w:eastAsia="仿宋" w:cs="仿宋"/>
          <w:color w:val="auto"/>
          <w:sz w:val="24"/>
          <w:szCs w:val="24"/>
          <w:highlight w:val="none"/>
        </w:rPr>
        <w:outlineLvl w:val="1"/>
      </w:pPr>
      <w:r>
        <w:rPr>
          <w:rFonts w:hint="eastAsia" w:ascii="仿宋" w:hAnsi="仿宋" w:eastAsia="仿宋" w:cs="仿宋"/>
          <w:b/>
          <w:color w:val="auto"/>
          <w:sz w:val="24"/>
          <w:szCs w:val="24"/>
          <w:highlight w:val="none"/>
        </w:rPr>
        <w:t xml:space="preserve">八、政府采购政策</w:t>
      </w:r>
      <w:r/>
    </w:p>
    <w:p>
      <w:pPr>
        <w:pStyle w:val="1639"/>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（一）节能产品和环境标志产品</w:t>
      </w:r>
      <w:r/>
    </w:p>
    <w:p>
      <w:pPr>
        <w:pStyle w:val="1639"/>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bCs/>
          <w:color w:val="auto"/>
          <w:sz w:val="24"/>
          <w:szCs w:val="24"/>
          <w:highlight w:val="none"/>
          <w:lang w:val="en-US"/>
        </w:rPr>
        <w:t xml:space="preserve">采购清单产品如属于国家节能或环保品目清单的强制采购产品的，投标人应当选择强制采购产品，</w:t>
      </w:r>
      <w:bookmarkStart w:id="19" w:name="_Hlk45012782"/>
      <w:r>
        <w:rPr>
          <w:rFonts w:hint="eastAsia" w:ascii="仿宋" w:hAnsi="仿宋" w:eastAsia="仿宋" w:cs="仿宋"/>
          <w:b/>
          <w:bCs/>
          <w:color w:val="auto"/>
          <w:sz w:val="24"/>
          <w:szCs w:val="24"/>
          <w:highlight w:val="none"/>
          <w:lang w:val="en-US"/>
        </w:rPr>
        <w:t xml:space="preserve">并提供由国家确定的认证机构出具的、处于有效期之内的节能产品或环境标志产品认证证书，否则视为未实质响应。</w:t>
      </w:r>
      <w:bookmarkEnd w:id="19"/>
      <w:r/>
      <w:r/>
    </w:p>
    <w:p>
      <w:pPr>
        <w:pStyle w:val="1639"/>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（二）小微企业的价格分评审：</w:t>
      </w:r>
      <w:r/>
    </w:p>
    <w:p>
      <w:pPr>
        <w:pStyle w:val="847"/>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专门面向中小企业采购的项目，不再执行价格评审优惠的扶持政策。</w:t>
      </w:r>
      <w:r/>
    </w:p>
    <w:p>
      <w:pPr>
        <w:rPr>
          <w:rFonts w:ascii="宋体" w:hAnsi="宋体"/>
          <w:color w:val="auto"/>
          <w:highlight w:val="none"/>
        </w:rPr>
      </w:pPr>
      <w:r>
        <w:rPr>
          <w:rFonts w:ascii="宋体" w:hAnsi="宋体"/>
          <w:color w:val="auto"/>
          <w:highlight w:val="none"/>
        </w:rPr>
        <w:br w:type="page" w:clear="all"/>
      </w:r>
      <w:r/>
    </w:p>
    <w:p>
      <w:pPr>
        <w:spacing w:before="234" w:after="120" w:line="207" w:lineRule="auto"/>
        <w:rPr>
          <w:rFonts w:ascii="仿宋" w:hAnsi="仿宋" w:eastAsia="仿宋" w:cs="仿宋"/>
          <w:color w:val="auto"/>
          <w:szCs w:val="24"/>
          <w:highlight w:val="none"/>
        </w:rPr>
      </w:pPr>
      <w:r>
        <w:rPr>
          <w:rFonts w:hint="eastAsia" w:ascii="仿宋" w:hAnsi="仿宋" w:eastAsia="仿宋" w:cs="仿宋"/>
          <w:color w:val="auto"/>
          <w:spacing w:val="-17"/>
          <w:szCs w:val="24"/>
          <w:highlight w:val="none"/>
        </w:rPr>
        <w:t xml:space="preserve">附件</w:t>
      </w:r>
      <w:r>
        <w:rPr>
          <w:rFonts w:hint="eastAsia" w:ascii="仿宋" w:hAnsi="仿宋" w:eastAsia="仿宋" w:cs="仿宋"/>
          <w:color w:val="auto"/>
          <w:spacing w:val="-61"/>
          <w:szCs w:val="24"/>
          <w:highlight w:val="none"/>
        </w:rPr>
        <w:t xml:space="preserve"> </w:t>
      </w:r>
      <w:r>
        <w:rPr>
          <w:rFonts w:hint="eastAsia" w:ascii="仿宋" w:hAnsi="仿宋" w:eastAsia="仿宋" w:cs="仿宋"/>
          <w:color w:val="auto"/>
          <w:spacing w:val="-17"/>
          <w:szCs w:val="24"/>
          <w:highlight w:val="none"/>
        </w:rPr>
        <w:t xml:space="preserve">1</w:t>
      </w:r>
      <w:r/>
    </w:p>
    <w:p>
      <w:pPr>
        <w:ind w:left="1410"/>
        <w:spacing w:before="263" w:line="223" w:lineRule="auto"/>
        <w:rPr>
          <w:rFonts w:ascii="仿宋" w:hAnsi="仿宋" w:eastAsia="仿宋" w:cs="仿宋"/>
          <w:color w:val="auto"/>
          <w:sz w:val="36"/>
          <w:szCs w:val="36"/>
          <w:highlight w:val="none"/>
        </w:rPr>
        <w:outlineLvl w:val="0"/>
      </w:pPr>
      <w:r>
        <w:rPr>
          <w:rFonts w:hint="eastAsia" w:ascii="仿宋" w:hAnsi="仿宋" w:eastAsia="仿宋" w:cs="仿宋"/>
          <w:color w:val="auto"/>
          <w:spacing w:val="17"/>
          <w:sz w:val="36"/>
          <w:szCs w:val="36"/>
          <w:highlight w:val="none"/>
        </w:rPr>
        <w:t xml:space="preserve">政府采购履约验收通知单（参考样本）</w:t>
      </w:r>
      <w:r/>
    </w:p>
    <w:p>
      <w:pPr>
        <w:ind w:left="85"/>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szCs w:val="24"/>
          <w:highlight w:val="none"/>
        </w:rPr>
      </w:pPr>
      <w:r>
        <w:rPr>
          <w:rFonts w:ascii="仿宋" w:hAnsi="仿宋" w:eastAsia="仿宋" w:cs="仿宋"/>
          <w:color w:val="auto"/>
          <w:szCs w:val="24"/>
          <w:highlight w:val="none"/>
        </w:rPr>
      </w:r>
      <w:r/>
    </w:p>
    <w:tbl>
      <w:tblPr>
        <w:tblStyle w:val="1654"/>
        <w:tblW w:w="9318" w:type="dxa"/>
        <w:tblInd w:w="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708" w:type="dxa"/>
            <w:textDirection w:val="lrTb"/>
            <w:noWrap w:val="false"/>
          </w:tcPr>
          <w:p>
            <w:pPr>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r>
      <w:tr>
        <w:trPr>
          <w:trHeight w:val="560"/>
        </w:trPr>
        <w:tc>
          <w:tcPr>
            <w:tcW w:w="2610" w:type="dxa"/>
            <w:textDirection w:val="lrTb"/>
            <w:noWrap w:val="false"/>
          </w:tcPr>
          <w:p>
            <w:pPr>
              <w:ind w:left="841"/>
              <w:spacing w:before="249"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708" w:type="dxa"/>
            <w:textDirection w:val="lrTb"/>
            <w:noWrap w:val="false"/>
          </w:tcPr>
          <w:p>
            <w:pPr>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r>
      <w:tr>
        <w:trPr>
          <w:trHeight w:val="559"/>
        </w:trPr>
        <w:tc>
          <w:tcPr>
            <w:tcW w:w="2610" w:type="dxa"/>
            <w:textDirection w:val="lrTb"/>
            <w:noWrap w:val="false"/>
          </w:tcPr>
          <w:p>
            <w:pPr>
              <w:ind w:left="841"/>
              <w:spacing w:before="247"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708" w:type="dxa"/>
            <w:textDirection w:val="lrTb"/>
            <w:noWrap w:val="false"/>
          </w:tcPr>
          <w:p>
            <w:pPr>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r>
      <w:tr>
        <w:trPr>
          <w:trHeight w:val="560"/>
        </w:trPr>
        <w:tc>
          <w:tcPr>
            <w:tcW w:w="2610" w:type="dxa"/>
            <w:textDirection w:val="lrTb"/>
            <w:noWrap w:val="false"/>
          </w:tcPr>
          <w:p>
            <w:pPr>
              <w:ind w:left="841"/>
              <w:spacing w:before="247"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61" w:type="dxa"/>
            <w:textDirection w:val="lrTb"/>
            <w:noWrap w:val="false"/>
          </w:tcPr>
          <w:p>
            <w:pPr>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c>
          <w:tcPr>
            <w:tcW w:w="2139" w:type="dxa"/>
            <w:textDirection w:val="lrTb"/>
            <w:noWrap w:val="false"/>
          </w:tcPr>
          <w:p>
            <w:pPr>
              <w:ind w:left="607"/>
              <w:spacing w:before="247"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608" w:type="dxa"/>
            <w:textDirection w:val="lrTb"/>
            <w:noWrap w:val="false"/>
          </w:tcPr>
          <w:p>
            <w:pPr>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r>
      <w:tr>
        <w:trPr>
          <w:trHeight w:val="559"/>
        </w:trPr>
        <w:tc>
          <w:tcPr>
            <w:tcW w:w="2610" w:type="dxa"/>
            <w:textDirection w:val="lrTb"/>
            <w:noWrap w:val="false"/>
          </w:tcPr>
          <w:p>
            <w:pPr>
              <w:ind w:left="841"/>
              <w:spacing w:before="248"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61" w:type="dxa"/>
            <w:textDirection w:val="lrTb"/>
            <w:noWrap w:val="false"/>
          </w:tcPr>
          <w:p>
            <w:pPr>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c>
          <w:tcPr>
            <w:tcW w:w="2139" w:type="dxa"/>
            <w:textDirection w:val="lrTb"/>
            <w:noWrap w:val="false"/>
          </w:tcPr>
          <w:p>
            <w:pPr>
              <w:ind w:left="607"/>
              <w:spacing w:before="248"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608" w:type="dxa"/>
            <w:textDirection w:val="lrTb"/>
            <w:noWrap w:val="false"/>
          </w:tcPr>
          <w:p>
            <w:pPr>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r>
      <w:tr>
        <w:trPr>
          <w:trHeight w:val="560"/>
        </w:trPr>
        <w:tc>
          <w:tcPr>
            <w:tcW w:w="2610" w:type="dxa"/>
            <w:textDirection w:val="lrTb"/>
            <w:noWrap w:val="false"/>
          </w:tcPr>
          <w:p>
            <w:pPr>
              <w:ind w:left="960"/>
              <w:spacing w:before="248"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61" w:type="dxa"/>
            <w:textDirection w:val="lrTb"/>
            <w:noWrap w:val="false"/>
          </w:tcPr>
          <w:p>
            <w:pPr>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c>
          <w:tcPr>
            <w:tcW w:w="2139" w:type="dxa"/>
            <w:textDirection w:val="lrTb"/>
            <w:noWrap w:val="false"/>
          </w:tcPr>
          <w:p>
            <w:pPr>
              <w:ind w:left="605"/>
              <w:spacing w:before="248"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608" w:type="dxa"/>
            <w:textDirection w:val="lrTb"/>
            <w:noWrap w:val="false"/>
          </w:tcPr>
          <w:p>
            <w:pPr>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r>
      <w:tr>
        <w:trPr>
          <w:trHeight w:val="560"/>
        </w:trPr>
        <w:tc>
          <w:tcPr>
            <w:gridSpan w:val="4"/>
            <w:tcW w:w="9318" w:type="dxa"/>
            <w:textDirection w:val="lrTb"/>
            <w:noWrap w:val="false"/>
          </w:tcPr>
          <w:p>
            <w:pPr>
              <w:ind w:left="3353"/>
              <w:spacing w:before="250"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7569"/>
        </w:trPr>
        <w:tc>
          <w:tcPr>
            <w:gridSpan w:val="4"/>
            <w:tcW w:w="9318" w:type="dxa"/>
            <w:textDirection w:val="lrTb"/>
            <w:noWrap w:val="false"/>
          </w:tcPr>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1"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2"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242" w:lineRule="auto"/>
              <w:rPr>
                <w:rFonts w:ascii="仿宋" w:hAnsi="仿宋" w:eastAsia="仿宋" w:cs="仿宋"/>
                <w:color w:val="auto"/>
                <w:szCs w:val="21"/>
                <w:highlight w:val="none"/>
              </w:rPr>
            </w:pPr>
            <w:r>
              <w:rPr>
                <w:rFonts w:ascii="仿宋" w:hAnsi="仿宋" w:eastAsia="仿宋" w:cs="仿宋"/>
                <w:color w:val="auto"/>
                <w:szCs w:val="21"/>
                <w:highlight w:val="none"/>
              </w:rPr>
            </w:r>
            <w:r/>
          </w:p>
          <w:p>
            <w:pPr>
              <w:ind w:right="2893" w:firstLine="4720"/>
              <w:spacing w:before="75" w:line="507" w:lineRule="auto"/>
              <w:rPr>
                <w:rFonts w:ascii="仿宋" w:hAnsi="仿宋" w:eastAsia="仿宋" w:cs="仿宋"/>
                <w:color w:val="auto"/>
                <w:spacing w:val="3"/>
                <w:sz w:val="23"/>
                <w:szCs w:val="23"/>
                <w:highlight w:val="none"/>
              </w:rPr>
            </w:pPr>
            <w:r>
              <w:rPr>
                <w:rFonts w:hint="eastAsia" w:ascii="仿宋" w:hAnsi="仿宋" w:eastAsia="仿宋" w:cs="仿宋"/>
                <w:color w:val="auto"/>
                <w:spacing w:val="3"/>
                <w:sz w:val="23"/>
                <w:szCs w:val="23"/>
                <w:highlight w:val="none"/>
              </w:rPr>
              <w:t xml:space="preserve">单位公章</w:t>
            </w:r>
            <w:r/>
          </w:p>
          <w:p>
            <w:pPr>
              <w:ind w:right="2893" w:firstLine="4600"/>
              <w:spacing w:before="75" w:line="507" w:lineRule="auto"/>
              <w:rPr>
                <w:rFonts w:ascii="仿宋" w:hAnsi="仿宋" w:eastAsia="仿宋" w:cs="仿宋"/>
                <w:color w:val="auto"/>
                <w:sz w:val="23"/>
                <w:szCs w:val="23"/>
                <w:highlight w:val="none"/>
              </w:rPr>
            </w:pP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jc w:val="left"/>
        <w:rPr>
          <w:rFonts w:ascii="宋体" w:hAnsi="宋体"/>
          <w:color w:val="auto"/>
          <w:highlight w:val="none"/>
        </w:rPr>
        <w:sectPr>
          <w:headerReference w:type="default" r:id="rId9"/>
          <w:footerReference w:type="default" r:id="rId14"/>
          <w:footnotePr/>
          <w:endnotePr/>
          <w:type w:val="nextPage"/>
          <w:pgSz w:w="11906" w:h="16838" w:orient="portrait"/>
          <w:pgMar w:top="1157" w:right="1236" w:bottom="1157" w:left="1236" w:header="851" w:footer="992" w:gutter="0"/>
          <w:pgNumType w:start="1"/>
          <w:cols w:num="1" w:sep="0" w:space="425" w:equalWidth="1"/>
          <w:docGrid w:linePitch="360"/>
        </w:sectPr>
      </w:pPr>
      <w:r>
        <w:rPr>
          <w:rFonts w:ascii="宋体" w:hAnsi="宋体"/>
          <w:color w:val="auto"/>
          <w:highlight w:val="none"/>
        </w:rPr>
      </w:r>
      <w:r/>
    </w:p>
    <w:p>
      <w:pPr>
        <w:spacing w:before="101" w:after="120" w:line="207" w:lineRule="auto"/>
        <w:rPr>
          <w:rFonts w:ascii="仿宋" w:hAnsi="仿宋" w:eastAsia="仿宋" w:cs="仿宋"/>
          <w:color w:val="auto"/>
          <w:szCs w:val="24"/>
          <w:highlight w:val="none"/>
        </w:rPr>
      </w:pPr>
      <w:r>
        <w:rPr>
          <w:rFonts w:hint="eastAsia" w:ascii="仿宋" w:hAnsi="仿宋" w:eastAsia="仿宋" w:cs="仿宋"/>
          <w:color w:val="auto"/>
          <w:spacing w:val="-4"/>
          <w:szCs w:val="24"/>
          <w:highlight w:val="none"/>
        </w:rPr>
        <w:t xml:space="preserve">附件 2</w:t>
      </w:r>
      <w:r/>
    </w:p>
    <w:p>
      <w:pPr>
        <w:ind w:left="3812"/>
        <w:spacing w:before="104" w:line="185" w:lineRule="auto"/>
        <w:rPr>
          <w:rFonts w:ascii="仿宋" w:hAnsi="仿宋" w:eastAsia="仿宋" w:cs="仿宋"/>
          <w:color w:val="auto"/>
          <w:sz w:val="36"/>
          <w:szCs w:val="36"/>
          <w:highlight w:val="none"/>
        </w:rPr>
      </w:pPr>
      <w:r>
        <w:rPr>
          <w:rFonts w:hint="eastAsia" w:ascii="仿宋" w:hAnsi="仿宋" w:eastAsia="仿宋" w:cs="仿宋"/>
          <w:color w:val="auto"/>
          <w:spacing w:val="19"/>
          <w:sz w:val="36"/>
          <w:szCs w:val="36"/>
          <w:highlight w:val="none"/>
        </w:rPr>
        <w:t xml:space="preserve">政府采购履约验收书参考样本(货物类)</w:t>
      </w:r>
      <w:r/>
    </w:p>
    <w:tbl>
      <w:tblPr>
        <w:tblStyle w:val="1655"/>
        <w:tblW w:w="142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138"/>
        <w:gridCol w:w="1860"/>
        <w:gridCol w:w="1620"/>
        <w:gridCol w:w="1308"/>
        <w:gridCol w:w="1356"/>
        <w:gridCol w:w="1500"/>
        <w:gridCol w:w="1548"/>
        <w:gridCol w:w="2270"/>
      </w:tblGrid>
      <w:tr>
        <w:trPr>
          <w:jc w:val="center"/>
          <w:trHeight w:val="454"/>
        </w:trPr>
        <w:tc>
          <w:tcPr>
            <w:tcW w:w="1625"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采购人</w:t>
            </w:r>
            <w:r/>
          </w:p>
        </w:tc>
        <w:tc>
          <w:tcPr>
            <w:gridSpan w:val="2"/>
            <w:tcW w:w="2998" w:type="dxa"/>
            <w:vAlign w:val="center"/>
            <w:textDirection w:val="lrTb"/>
            <w:noWrap w:val="false"/>
          </w:tcPr>
          <w:p>
            <w:pPr>
              <w:jc w:val="center"/>
              <w:spacing w:before="80" w:after="80"/>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c>
          <w:tcPr>
            <w:tcW w:w="162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项目名称</w:t>
            </w:r>
            <w:r/>
          </w:p>
        </w:tc>
        <w:tc>
          <w:tcPr>
            <w:gridSpan w:val="2"/>
            <w:tcW w:w="2664" w:type="dxa"/>
            <w:vAlign w:val="center"/>
            <w:textDirection w:val="lrTb"/>
            <w:noWrap w:val="false"/>
          </w:tcPr>
          <w:p>
            <w:pPr>
              <w:jc w:val="center"/>
              <w:spacing w:before="80" w:after="80"/>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c>
          <w:tcPr>
            <w:gridSpan w:val="2"/>
            <w:tcW w:w="3048"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合同名称</w:t>
            </w:r>
            <w:r/>
          </w:p>
        </w:tc>
        <w:tc>
          <w:tcPr>
            <w:tcW w:w="2270" w:type="dxa"/>
            <w:vAlign w:val="center"/>
            <w:textDirection w:val="lrTb"/>
            <w:noWrap w:val="false"/>
          </w:tcPr>
          <w:p>
            <w:pPr>
              <w:jc w:val="center"/>
              <w:spacing w:before="80" w:after="80"/>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r>
      <w:tr>
        <w:trPr>
          <w:jc w:val="center"/>
          <w:trHeight w:val="454"/>
        </w:trPr>
        <w:tc>
          <w:tcPr>
            <w:tcW w:w="1625"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供应商</w:t>
            </w:r>
            <w:r/>
          </w:p>
        </w:tc>
        <w:tc>
          <w:tcPr>
            <w:gridSpan w:val="2"/>
            <w:tcW w:w="2998" w:type="dxa"/>
            <w:vAlign w:val="center"/>
            <w:textDirection w:val="lrTb"/>
            <w:noWrap w:val="false"/>
          </w:tcPr>
          <w:p>
            <w:pPr>
              <w:jc w:val="center"/>
              <w:spacing w:before="80" w:after="80"/>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c>
          <w:tcPr>
            <w:tcW w:w="162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项目及合同编号</w:t>
            </w:r>
            <w:r/>
          </w:p>
        </w:tc>
        <w:tc>
          <w:tcPr>
            <w:gridSpan w:val="2"/>
            <w:tcW w:w="2664" w:type="dxa"/>
            <w:vAlign w:val="center"/>
            <w:textDirection w:val="lrTb"/>
            <w:noWrap w:val="false"/>
          </w:tcPr>
          <w:p>
            <w:pPr>
              <w:jc w:val="center"/>
              <w:spacing w:before="80" w:after="80"/>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c>
          <w:tcPr>
            <w:gridSpan w:val="2"/>
            <w:tcW w:w="3048"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合同金额</w:t>
            </w:r>
            <w:r/>
          </w:p>
        </w:tc>
        <w:tc>
          <w:tcPr>
            <w:tcW w:w="2270" w:type="dxa"/>
            <w:vAlign w:val="center"/>
            <w:textDirection w:val="lrTb"/>
            <w:noWrap w:val="false"/>
          </w:tcPr>
          <w:p>
            <w:pPr>
              <w:jc w:val="center"/>
              <w:spacing w:before="80" w:after="80"/>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r>
      <w:tr>
        <w:trPr>
          <w:jc w:val="center"/>
          <w:trHeight w:val="454"/>
        </w:trPr>
        <w:tc>
          <w:tcPr>
            <w:tcW w:w="1625"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分期（段）验收</w:t>
            </w:r>
            <w:r/>
          </w:p>
        </w:tc>
        <w:tc>
          <w:tcPr>
            <w:gridSpan w:val="2"/>
            <w:tcW w:w="2998"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是□   否□</w:t>
            </w:r>
            <w:r/>
          </w:p>
        </w:tc>
        <w:tc>
          <w:tcPr>
            <w:tcW w:w="162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分期（段）情况</w:t>
            </w:r>
            <w:r/>
          </w:p>
        </w:tc>
        <w:tc>
          <w:tcPr>
            <w:gridSpan w:val="5"/>
            <w:tcW w:w="7982" w:type="dxa"/>
            <w:vAlign w:val="center"/>
            <w:textDirection w:val="lrTb"/>
            <w:noWrap w:val="false"/>
          </w:tcPr>
          <w:p>
            <w:pPr>
              <w:jc w:val="center"/>
              <w:rPr>
                <w:rFonts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共分   期（段），此为第   期（段）验收</w:t>
            </w:r>
            <w:r/>
          </w:p>
        </w:tc>
      </w:tr>
      <w:tr>
        <w:trPr>
          <w:jc w:val="center"/>
          <w:trHeight w:val="454"/>
        </w:trPr>
        <w:tc>
          <w:tcPr>
            <w:tcW w:w="1625"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验收时间</w:t>
            </w:r>
            <w:r/>
          </w:p>
        </w:tc>
        <w:tc>
          <w:tcPr>
            <w:gridSpan w:val="2"/>
            <w:tcW w:w="2998" w:type="dxa"/>
            <w:vAlign w:val="center"/>
            <w:textDirection w:val="lrTb"/>
            <w:noWrap w:val="false"/>
          </w:tcPr>
          <w:p>
            <w:pPr>
              <w:jc w:val="center"/>
              <w:spacing w:before="80" w:after="80"/>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c>
          <w:tcPr>
            <w:tcW w:w="162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验收地点</w:t>
            </w:r>
            <w:r/>
          </w:p>
        </w:tc>
        <w:tc>
          <w:tcPr>
            <w:gridSpan w:val="2"/>
            <w:tcW w:w="2664" w:type="dxa"/>
            <w:vAlign w:val="center"/>
            <w:textDirection w:val="lrTb"/>
            <w:noWrap w:val="false"/>
          </w:tcPr>
          <w:p>
            <w:pPr>
              <w:jc w:val="center"/>
              <w:spacing w:before="80" w:after="80"/>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c>
          <w:tcPr>
            <w:gridSpan w:val="2"/>
            <w:tcW w:w="3048"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验收组织形式</w:t>
            </w:r>
            <w:r/>
          </w:p>
        </w:tc>
        <w:tc>
          <w:tcPr>
            <w:tcW w:w="2270" w:type="dxa"/>
            <w:vAlign w:val="center"/>
            <w:textDirection w:val="lrTb"/>
            <w:noWrap w:val="false"/>
          </w:tcPr>
          <w:p>
            <w:pPr>
              <w:rPr>
                <w:rFonts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□自行简易验收</w:t>
            </w:r>
            <w:r/>
          </w:p>
          <w:p>
            <w:pPr>
              <w:rPr>
                <w:rFonts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□验收小组验收</w:t>
            </w:r>
            <w:r/>
          </w:p>
        </w:tc>
      </w:tr>
      <w:tr>
        <w:trPr>
          <w:jc w:val="center"/>
          <w:trHeight w:val="454"/>
        </w:trPr>
        <w:tc>
          <w:tcPr>
            <w:tcBorders>
              <w:bottom w:val="none" w:color="000000" w:sz="4" w:space="0"/>
            </w:tcBorders>
            <w:tcW w:w="1625" w:type="dxa"/>
            <w:vAlign w:val="center"/>
            <w:vMerge w:val="restart"/>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验收内容</w:t>
            </w:r>
            <w:r/>
          </w:p>
        </w:tc>
        <w:tc>
          <w:tcPr>
            <w:tcW w:w="1138"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货物清单</w:t>
            </w:r>
            <w:r/>
          </w:p>
        </w:tc>
        <w:tc>
          <w:tcPr>
            <w:tcW w:w="1860" w:type="dxa"/>
            <w:vAlign w:val="center"/>
            <w:textDirection w:val="lrTb"/>
            <w:noWrap w:val="false"/>
          </w:tcPr>
          <w:p>
            <w:pPr>
              <w:jc w:val="center"/>
              <w:rPr>
                <w:rFonts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品牌、型号、规格、数量及外观质量</w:t>
            </w:r>
            <w:r/>
          </w:p>
        </w:tc>
        <w:tc>
          <w:tcPr>
            <w:tcW w:w="162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技术、性能指标</w:t>
            </w:r>
            <w:r/>
          </w:p>
        </w:tc>
        <w:tc>
          <w:tcPr>
            <w:tcW w:w="1308"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运行状况及</w:t>
            </w:r>
            <w:r/>
          </w:p>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安装调试</w:t>
            </w:r>
            <w:r/>
          </w:p>
        </w:tc>
        <w:tc>
          <w:tcPr>
            <w:tcW w:w="1356"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质量证明文件</w:t>
            </w:r>
            <w:r/>
          </w:p>
        </w:tc>
        <w:tc>
          <w:tcPr>
            <w:tcW w:w="150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售后服务</w:t>
            </w:r>
            <w:r/>
          </w:p>
        </w:tc>
        <w:tc>
          <w:tcPr>
            <w:tcW w:w="1548"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安全标准</w:t>
            </w:r>
            <w:r/>
          </w:p>
        </w:tc>
        <w:tc>
          <w:tcPr>
            <w:tcW w:w="2270" w:type="dxa"/>
            <w:vAlign w:val="center"/>
            <w:textDirection w:val="lrTb"/>
            <w:noWrap w:val="false"/>
          </w:tcPr>
          <w:p>
            <w:pPr>
              <w:jc w:val="center"/>
              <w:rPr>
                <w:rFonts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合同履约</w:t>
            </w:r>
            <w:r/>
          </w:p>
          <w:p>
            <w:pPr>
              <w:jc w:val="center"/>
              <w:rPr>
                <w:rFonts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时间、地点、方式</w:t>
            </w:r>
            <w:r/>
          </w:p>
        </w:tc>
      </w:tr>
      <w:tr>
        <w:trPr>
          <w:jc w:val="center"/>
          <w:trHeight w:val="454"/>
        </w:trPr>
        <w:tc>
          <w:tcPr>
            <w:tcBorders>
              <w:top w:val="none" w:color="000000" w:sz="4" w:space="0"/>
            </w:tcBorders>
            <w:tcW w:w="1625" w:type="dxa"/>
            <w:vAlign w:val="center"/>
            <w:vMerge w:val="continue"/>
            <w:textDirection w:val="lrTb"/>
            <w:noWrap w:val="false"/>
          </w:tcPr>
          <w:p>
            <w:pPr>
              <w:jc w:val="center"/>
              <w:spacing w:before="80" w:after="80"/>
              <w:rPr>
                <w:rFonts w:ascii="仿宋" w:hAnsi="仿宋" w:eastAsia="仿宋" w:cs="仿宋"/>
                <w:color w:val="auto"/>
                <w:szCs w:val="21"/>
                <w:highlight w:val="none"/>
                <w:lang w:eastAsia="zh-CN"/>
              </w:rPr>
            </w:pPr>
            <w:r>
              <w:rPr>
                <w:rFonts w:ascii="仿宋" w:hAnsi="仿宋" w:eastAsia="仿宋" w:cs="仿宋"/>
                <w:color w:val="auto"/>
                <w:szCs w:val="21"/>
                <w:highlight w:val="none"/>
                <w:lang w:eastAsia="zh-CN"/>
              </w:rPr>
            </w:r>
            <w:r/>
          </w:p>
        </w:tc>
        <w:tc>
          <w:tcPr>
            <w:tcW w:w="1138"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 格□ </w:t>
            </w:r>
            <w:r/>
          </w:p>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不合格□</w:t>
            </w:r>
            <w:r/>
          </w:p>
        </w:tc>
        <w:tc>
          <w:tcPr>
            <w:tcW w:w="186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 格□ 不合格□</w:t>
            </w:r>
            <w:r/>
          </w:p>
        </w:tc>
        <w:tc>
          <w:tcPr>
            <w:tcW w:w="162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 格□ </w:t>
            </w:r>
            <w:r/>
          </w:p>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不合格□</w:t>
            </w:r>
            <w:r/>
          </w:p>
        </w:tc>
        <w:tc>
          <w:tcPr>
            <w:tcW w:w="1308"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 格□ </w:t>
            </w:r>
            <w:r/>
          </w:p>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不合格□</w:t>
            </w:r>
            <w:r/>
          </w:p>
        </w:tc>
        <w:tc>
          <w:tcPr>
            <w:tcW w:w="1356"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 格□ </w:t>
            </w:r>
            <w:r/>
          </w:p>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不合格□</w:t>
            </w:r>
            <w:r/>
          </w:p>
        </w:tc>
        <w:tc>
          <w:tcPr>
            <w:tcW w:w="150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 格□ </w:t>
            </w:r>
            <w:r/>
          </w:p>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不合格□</w:t>
            </w:r>
            <w:r/>
          </w:p>
        </w:tc>
        <w:tc>
          <w:tcPr>
            <w:tcW w:w="1548"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 格□ </w:t>
            </w:r>
            <w:r/>
          </w:p>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不合格□</w:t>
            </w:r>
            <w:r/>
          </w:p>
        </w:tc>
        <w:tc>
          <w:tcPr>
            <w:tcW w:w="227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 格□ </w:t>
            </w:r>
            <w:r/>
          </w:p>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不合格□</w:t>
            </w:r>
            <w:r/>
          </w:p>
        </w:tc>
      </w:tr>
      <w:tr>
        <w:trPr>
          <w:jc w:val="center"/>
          <w:trHeight w:val="454"/>
        </w:trPr>
        <w:tc>
          <w:tcPr>
            <w:tcW w:w="1625" w:type="dxa"/>
            <w:vAlign w:val="center"/>
            <w:textDirection w:val="lrTb"/>
            <w:noWrap w:val="false"/>
          </w:tcPr>
          <w:p>
            <w:pPr>
              <w:jc w:val="center"/>
              <w:rPr>
                <w:rFonts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专业检测机构情况说明</w:t>
            </w:r>
            <w:r/>
          </w:p>
        </w:tc>
        <w:tc>
          <w:tcPr>
            <w:gridSpan w:val="8"/>
            <w:tcW w:w="12600" w:type="dxa"/>
            <w:vAlign w:val="center"/>
            <w:textDirection w:val="lrTb"/>
            <w:noWrap w:val="false"/>
          </w:tcPr>
          <w:p>
            <w:pPr>
              <w:jc w:val="center"/>
              <w:spacing w:before="80" w:after="80"/>
              <w:rPr>
                <w:rFonts w:ascii="仿宋" w:hAnsi="仿宋" w:eastAsia="仿宋" w:cs="仿宋"/>
                <w:color w:val="auto"/>
                <w:szCs w:val="21"/>
                <w:highlight w:val="none"/>
                <w:lang w:eastAsia="zh-CN"/>
              </w:rPr>
            </w:pPr>
            <w:r>
              <w:rPr>
                <w:rFonts w:ascii="仿宋" w:hAnsi="仿宋" w:eastAsia="仿宋" w:cs="仿宋"/>
                <w:color w:val="auto"/>
                <w:szCs w:val="21"/>
                <w:highlight w:val="none"/>
                <w:lang w:eastAsia="zh-CN"/>
              </w:rPr>
            </w:r>
            <w:r/>
          </w:p>
        </w:tc>
      </w:tr>
      <w:tr>
        <w:trPr>
          <w:jc w:val="center"/>
          <w:trHeight w:val="454"/>
        </w:trPr>
        <w:tc>
          <w:tcPr>
            <w:tcW w:w="1625"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存在问题</w:t>
            </w:r>
            <w:r/>
          </w:p>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和改进意见</w:t>
            </w:r>
            <w:r/>
          </w:p>
        </w:tc>
        <w:tc>
          <w:tcPr>
            <w:gridSpan w:val="8"/>
            <w:tcW w:w="12600" w:type="dxa"/>
            <w:vAlign w:val="center"/>
            <w:textDirection w:val="lrTb"/>
            <w:noWrap w:val="false"/>
          </w:tcPr>
          <w:p>
            <w:pPr>
              <w:jc w:val="center"/>
              <w:spacing w:before="80" w:after="80"/>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r>
      <w:tr>
        <w:trPr>
          <w:jc w:val="center"/>
          <w:trHeight w:val="599"/>
        </w:trPr>
        <w:tc>
          <w:tcPr>
            <w:tcW w:w="1625"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最终结论</w:t>
            </w:r>
            <w:r/>
          </w:p>
        </w:tc>
        <w:tc>
          <w:tcPr>
            <w:gridSpan w:val="8"/>
            <w:tcW w:w="12600"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zCs w:val="21"/>
                <w:highlight w:val="none"/>
                <w:lang w:eastAsia="en-US"/>
              </w:rPr>
              <w:t xml:space="preserve">合  格□                              不合格□</w:t>
            </w:r>
            <w:r/>
          </w:p>
        </w:tc>
      </w:tr>
      <w:tr>
        <w:trPr>
          <w:jc w:val="center"/>
          <w:trHeight w:val="704"/>
        </w:trPr>
        <w:tc>
          <w:tcPr>
            <w:tcW w:w="1625" w:type="dxa"/>
            <w:vAlign w:val="center"/>
            <w:textDirection w:val="lrTb"/>
            <w:noWrap w:val="false"/>
          </w:tcPr>
          <w:p>
            <w:pPr>
              <w:jc w:val="center"/>
              <w:rPr>
                <w:rFonts w:ascii="仿宋" w:hAnsi="仿宋" w:eastAsia="仿宋" w:cs="仿宋"/>
                <w:color w:val="auto"/>
                <w:szCs w:val="21"/>
                <w:highlight w:val="none"/>
                <w:lang w:eastAsia="en-US"/>
              </w:rPr>
            </w:pPr>
            <w:r>
              <w:rPr>
                <w:rFonts w:hint="eastAsia" w:ascii="仿宋" w:hAnsi="仿宋" w:eastAsia="仿宋" w:cs="仿宋"/>
                <w:color w:val="auto"/>
                <w:spacing w:val="-2"/>
                <w:szCs w:val="21"/>
                <w:highlight w:val="none"/>
                <w:lang w:eastAsia="en-US"/>
              </w:rPr>
              <w:t xml:space="preserve">验收小组成员</w:t>
            </w:r>
            <w:r>
              <w:rPr>
                <w:rFonts w:hint="eastAsia" w:ascii="仿宋" w:hAnsi="仿宋" w:eastAsia="仿宋" w:cs="仿宋"/>
                <w:color w:val="auto"/>
                <w:spacing w:val="-4"/>
                <w:szCs w:val="21"/>
                <w:highlight w:val="none"/>
                <w:lang w:eastAsia="en-US"/>
              </w:rPr>
              <w:t xml:space="preserve">签字</w:t>
            </w:r>
            <w:r/>
          </w:p>
        </w:tc>
        <w:tc>
          <w:tcPr>
            <w:gridSpan w:val="8"/>
            <w:tcW w:w="12600" w:type="dxa"/>
            <w:textDirection w:val="lrTb"/>
            <w:noWrap w:val="false"/>
          </w:tcPr>
          <w:p>
            <w:pPr>
              <w:spacing w:before="80" w:after="80"/>
              <w:rPr>
                <w:rFonts w:ascii="仿宋" w:hAnsi="仿宋" w:eastAsia="仿宋" w:cs="仿宋"/>
                <w:color w:val="auto"/>
                <w:szCs w:val="21"/>
                <w:highlight w:val="none"/>
                <w:lang w:eastAsia="en-US"/>
              </w:rPr>
            </w:pPr>
            <w:r>
              <w:rPr>
                <w:rFonts w:ascii="仿宋" w:hAnsi="仿宋" w:eastAsia="仿宋" w:cs="仿宋"/>
                <w:color w:val="auto"/>
                <w:szCs w:val="21"/>
                <w:highlight w:val="none"/>
                <w:lang w:eastAsia="en-US"/>
              </w:rPr>
            </w:r>
            <w:r/>
          </w:p>
        </w:tc>
      </w:tr>
      <w:tr>
        <w:trPr>
          <w:jc w:val="center"/>
          <w:trHeight w:val="454"/>
        </w:trPr>
        <w:tc>
          <w:tcPr>
            <w:gridSpan w:val="9"/>
            <w:tcW w:w="14225" w:type="dxa"/>
            <w:textDirection w:val="lrTb"/>
            <w:noWrap w:val="false"/>
          </w:tcPr>
          <w:p>
            <w:pPr>
              <w:ind w:firstLine="257"/>
              <w:spacing w:before="80" w:after="80" w:line="255" w:lineRule="auto"/>
              <w:rPr>
                <w:rFonts w:ascii="仿宋" w:hAnsi="仿宋" w:eastAsia="仿宋" w:cs="仿宋"/>
                <w:color w:val="auto"/>
                <w:szCs w:val="21"/>
                <w:highlight w:val="none"/>
                <w:lang w:eastAsia="zh-CN"/>
              </w:rPr>
            </w:pPr>
            <w:r>
              <w:rPr>
                <w:rFonts w:hint="eastAsia" w:ascii="仿宋" w:hAnsi="仿宋" w:eastAsia="仿宋" w:cs="仿宋"/>
                <w:color w:val="auto"/>
                <w:spacing w:val="-2"/>
                <w:szCs w:val="21"/>
                <w:highlight w:val="none"/>
                <w:lang w:eastAsia="zh-CN"/>
              </w:rPr>
              <w:t xml:space="preserve">采购人意见</w:t>
            </w:r>
            <w:r/>
          </w:p>
          <w:p>
            <w:pPr>
              <w:ind w:firstLine="262"/>
              <w:spacing w:before="80" w:after="80" w:line="255" w:lineRule="auto"/>
              <w:rPr>
                <w:rFonts w:ascii="仿宋" w:hAnsi="仿宋" w:eastAsia="仿宋" w:cs="仿宋"/>
                <w:color w:val="auto"/>
                <w:szCs w:val="21"/>
                <w:highlight w:val="none"/>
                <w:lang w:eastAsia="zh-CN"/>
              </w:rPr>
            </w:pPr>
            <w:r>
              <w:rPr>
                <w:rFonts w:ascii="仿宋" w:hAnsi="仿宋" w:eastAsia="仿宋" w:cs="仿宋"/>
                <w:color w:val="auto"/>
                <w:szCs w:val="21"/>
                <w:highlight w:val="none"/>
                <w:lang w:eastAsia="zh-CN"/>
              </w:rPr>
            </w:r>
            <w:r/>
          </w:p>
          <w:p>
            <w:pPr>
              <w:ind w:firstLine="265"/>
              <w:jc w:val="right"/>
              <w:spacing w:before="59" w:line="238" w:lineRule="exact"/>
              <w:rPr>
                <w:rFonts w:ascii="仿宋" w:hAnsi="仿宋" w:eastAsia="仿宋" w:cs="仿宋"/>
                <w:color w:val="auto"/>
                <w:szCs w:val="21"/>
                <w:highlight w:val="none"/>
                <w:lang w:eastAsia="zh-CN"/>
              </w:rPr>
            </w:pPr>
            <w:r>
              <w:rPr>
                <w:rFonts w:hint="eastAsia" w:ascii="仿宋" w:hAnsi="仿宋" w:eastAsia="仿宋" w:cs="仿宋"/>
                <w:color w:val="auto"/>
                <w:spacing w:val="1"/>
                <w:position w:val="1"/>
                <w:szCs w:val="21"/>
                <w:highlight w:val="none"/>
                <w:lang w:eastAsia="zh-CN"/>
              </w:rPr>
              <w:t xml:space="preserve">经办人：         负责人</w:t>
            </w:r>
            <w:r>
              <w:rPr>
                <w:rFonts w:hint="eastAsia" w:ascii="仿宋" w:hAnsi="仿宋" w:eastAsia="仿宋" w:cs="仿宋"/>
                <w:color w:val="auto"/>
                <w:spacing w:val="-17"/>
                <w:position w:val="1"/>
                <w:szCs w:val="21"/>
                <w:highlight w:val="none"/>
                <w:lang w:eastAsia="zh-CN"/>
              </w:rPr>
              <w:t xml:space="preserve">：</w:t>
            </w:r>
            <w:r>
              <w:rPr>
                <w:rFonts w:hint="eastAsia" w:ascii="仿宋" w:hAnsi="仿宋" w:eastAsia="仿宋" w:cs="仿宋"/>
                <w:color w:val="auto"/>
                <w:position w:val="1"/>
                <w:szCs w:val="21"/>
                <w:highlight w:val="none"/>
                <w:lang w:eastAsia="zh-CN"/>
              </w:rPr>
              <w:t xml:space="preserve">               </w:t>
            </w:r>
            <w:r>
              <w:rPr>
                <w:rFonts w:hint="eastAsia" w:ascii="仿宋" w:hAnsi="仿宋" w:eastAsia="仿宋" w:cs="仿宋"/>
                <w:color w:val="auto"/>
                <w:spacing w:val="-17"/>
                <w:position w:val="1"/>
                <w:szCs w:val="21"/>
                <w:highlight w:val="none"/>
                <w:lang w:eastAsia="zh-CN"/>
              </w:rPr>
              <w:t xml:space="preserve">（</w:t>
            </w:r>
            <w:r>
              <w:rPr>
                <w:rFonts w:hint="eastAsia" w:ascii="仿宋" w:hAnsi="仿宋" w:eastAsia="仿宋" w:cs="仿宋"/>
                <w:color w:val="auto"/>
                <w:spacing w:val="1"/>
                <w:position w:val="1"/>
                <w:szCs w:val="21"/>
                <w:highlight w:val="none"/>
                <w:lang w:eastAsia="zh-CN"/>
              </w:rPr>
              <w:t xml:space="preserve">采购人公章）</w:t>
            </w:r>
            <w:r/>
          </w:p>
        </w:tc>
      </w:tr>
      <w:tr>
        <w:trPr>
          <w:jc w:val="center"/>
          <w:trHeight w:val="1073"/>
        </w:trPr>
        <w:tc>
          <w:tcPr>
            <w:gridSpan w:val="9"/>
            <w:tcW w:w="14225" w:type="dxa"/>
            <w:textDirection w:val="lrTb"/>
            <w:noWrap w:val="false"/>
          </w:tcPr>
          <w:p>
            <w:pPr>
              <w:ind w:firstLine="257"/>
              <w:jc w:val="left"/>
              <w:spacing w:before="299" w:line="207" w:lineRule="auto"/>
              <w:rPr>
                <w:rFonts w:ascii="仿宋" w:hAnsi="仿宋" w:eastAsia="仿宋" w:cs="仿宋"/>
                <w:color w:val="auto"/>
                <w:szCs w:val="21"/>
                <w:highlight w:val="none"/>
                <w:lang w:eastAsia="zh-CN"/>
              </w:rPr>
            </w:pPr>
            <w:r>
              <w:rPr>
                <w:rFonts w:hint="eastAsia" w:ascii="仿宋" w:hAnsi="仿宋" w:eastAsia="仿宋" w:cs="仿宋"/>
                <w:color w:val="auto"/>
                <w:spacing w:val="-2"/>
                <w:szCs w:val="21"/>
                <w:highlight w:val="none"/>
                <w:lang w:eastAsia="zh-CN"/>
              </w:rPr>
              <w:t xml:space="preserve">供应商确认：</w:t>
            </w:r>
            <w:r/>
          </w:p>
          <w:p>
            <w:pPr>
              <w:ind w:firstLine="260"/>
              <w:jc w:val="left"/>
              <w:spacing w:before="59" w:line="238" w:lineRule="exact"/>
              <w:rPr>
                <w:rFonts w:ascii="仿宋" w:hAnsi="仿宋" w:eastAsia="仿宋" w:cs="仿宋"/>
                <w:color w:val="auto"/>
                <w:spacing w:val="1"/>
                <w:position w:val="1"/>
                <w:szCs w:val="21"/>
                <w:highlight w:val="none"/>
                <w:lang w:eastAsia="zh-CN"/>
              </w:rPr>
            </w:pPr>
            <w:r>
              <w:rPr>
                <w:rFonts w:hint="eastAsia" w:ascii="仿宋" w:hAnsi="仿宋" w:eastAsia="仿宋" w:cs="仿宋"/>
                <w:color w:val="auto"/>
                <w:spacing w:val="-1"/>
                <w:position w:val="1"/>
                <w:szCs w:val="21"/>
                <w:highlight w:val="none"/>
                <w:lang w:eastAsia="zh-CN"/>
              </w:rPr>
              <w:t xml:space="preserve">（单位公章或授权代表签字）</w:t>
            </w:r>
            <w:r/>
          </w:p>
        </w:tc>
      </w:tr>
    </w:tbl>
    <w:p>
      <w:pPr>
        <w:jc w:val="left"/>
        <w:rPr>
          <w:rFonts w:ascii="宋体" w:hAnsi="宋体"/>
          <w:b/>
          <w:color w:val="auto"/>
          <w:sz w:val="44"/>
          <w:szCs w:val="44"/>
          <w:highlight w:val="none"/>
        </w:rPr>
      </w:pPr>
      <w:r>
        <w:rPr>
          <w:rFonts w:ascii="宋体" w:hAnsi="宋体"/>
          <w:color w:val="auto"/>
          <w:highlight w:val="none"/>
        </w:rPr>
        <w:br w:type="page" w:clear="all"/>
      </w:r>
      <w:r/>
    </w:p>
    <w:p>
      <w:pPr>
        <w:pStyle w:val="1218"/>
        <w:rPr>
          <w:rFonts w:ascii="仿宋" w:hAnsi="仿宋" w:eastAsia="仿宋" w:cs="仿宋"/>
          <w:color w:val="auto"/>
          <w:highlight w:val="none"/>
        </w:rPr>
        <w:sectPr>
          <w:footnotePr/>
          <w:endnotePr/>
          <w:type w:val="nextPage"/>
          <w:pgSz w:w="16838" w:h="11906" w:orient="landscape"/>
          <w:pgMar w:top="1236" w:right="1157" w:bottom="1236" w:left="1157" w:header="851" w:footer="992" w:gutter="0"/>
          <w:cols w:num="1" w:sep="0" w:space="425" w:equalWidth="1"/>
          <w:docGrid w:linePitch="360"/>
        </w:sectPr>
      </w:pPr>
      <w:r>
        <w:rPr>
          <w:rFonts w:ascii="仿宋" w:hAnsi="仿宋" w:eastAsia="仿宋" w:cs="仿宋"/>
          <w:color w:val="auto"/>
          <w:highlight w:val="none"/>
        </w:rPr>
      </w:r>
      <w:r/>
    </w:p>
    <w:p>
      <w:pPr>
        <w:pStyle w:val="1218"/>
        <w:rPr>
          <w:rFonts w:ascii="仿宋" w:hAnsi="仿宋" w:eastAsia="仿宋" w:cs="仿宋"/>
          <w:color w:val="auto"/>
          <w:highlight w:val="none"/>
        </w:rPr>
      </w:pPr>
      <w:r>
        <w:rPr>
          <w:rFonts w:hint="eastAsia" w:ascii="仿宋" w:hAnsi="仿宋" w:eastAsia="仿宋" w:cs="仿宋"/>
          <w:color w:val="auto"/>
          <w:highlight w:val="none"/>
        </w:rPr>
        <w:t xml:space="preserve">第四部分 投标文件格式</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对本章所有的投标书格式，投标方可根据自身情况进行补充和修改，但补充和修改不得造成与本格式内容有实质性的违背。</w:t>
      </w:r>
      <w:bookmarkEnd w:id="14"/>
      <w:r/>
      <w:r/>
    </w:p>
    <w:p>
      <w:pPr>
        <w:jc w:val="left"/>
        <w:rPr>
          <w:rFonts w:ascii="宋体" w:hAnsi="宋体"/>
          <w:b/>
          <w:color w:val="auto"/>
          <w:sz w:val="24"/>
          <w:szCs w:val="24"/>
          <w:highlight w:val="none"/>
        </w:rPr>
      </w:pPr>
      <w:r>
        <w:rPr>
          <w:rFonts w:ascii="宋体" w:hAnsi="宋体"/>
          <w:b/>
          <w:color w:val="auto"/>
          <w:sz w:val="24"/>
          <w:szCs w:val="24"/>
          <w:highlight w:val="none"/>
        </w:rPr>
      </w:r>
      <w:r/>
    </w:p>
    <w:p>
      <w:pPr>
        <w:pStyle w:val="824"/>
        <w:jc w:val="both"/>
        <w:keepNext w:val="0"/>
        <w:spacing w:line="42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 xml:space="preserve">格式1：</w:t>
      </w:r>
      <w:r>
        <w:rPr>
          <w:rFonts w:hint="eastAsia" w:ascii="仿宋" w:hAnsi="仿宋" w:eastAsia="仿宋" w:cs="仿宋"/>
          <w:color w:val="auto"/>
          <w:sz w:val="21"/>
          <w:szCs w:val="21"/>
          <w:highlight w:val="none"/>
        </w:rPr>
        <w:t xml:space="preserve">投标函</w:t>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投标函</w:t>
      </w:r>
      <w:r/>
    </w:p>
    <w:p>
      <w:pPr>
        <w:pStyle w:val="1098"/>
        <w:spacing w:line="36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苏州乐鑫诚项目管理有限公司：</w:t>
      </w:r>
      <w:r/>
    </w:p>
    <w:p>
      <w:pPr>
        <w:spacing w:line="440" w:lineRule="exact"/>
        <w:rPr>
          <w:rFonts w:ascii="仿宋" w:hAnsi="仿宋" w:eastAsia="仿宋" w:cs="仿宋"/>
          <w:color w:val="auto"/>
          <w:sz w:val="24"/>
          <w:szCs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rPr>
        <w:t xml:space="preserve"> 我方收到贵公司</w:t>
      </w:r>
      <w:r>
        <w:rPr>
          <w:rFonts w:hint="eastAsia" w:ascii="仿宋" w:hAnsi="仿宋" w:eastAsia="仿宋" w:cs="仿宋"/>
          <w:color w:val="auto"/>
          <w:sz w:val="24"/>
          <w:szCs w:val="24"/>
          <w:highlight w:val="none"/>
          <w:u w:val="single"/>
        </w:rPr>
        <w:t xml:space="preserve">JSZC-320585-YXCZ-G2026-0007</w:t>
      </w:r>
      <w:r>
        <w:rPr>
          <w:rFonts w:hint="eastAsia" w:ascii="仿宋" w:hAnsi="仿宋" w:eastAsia="仿宋" w:cs="仿宋"/>
          <w:color w:val="auto"/>
          <w:sz w:val="24"/>
          <w:szCs w:val="24"/>
          <w:highlight w:val="none"/>
        </w:rPr>
        <w:t xml:space="preserve">号招标文件，经仔细阅读和研究，我方决定参加投标。并向贵公司承诺：</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1、我方自愿按照招标文件规定的各项要求向采购人提供所需服务。</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2、一旦我方中标，我们将严格履行招标文件中规定的每一项要求，按期、按质、按量履行合同的义务。</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3．我们已详细审查全部招标文件，包括更正文件(如有)，对招标文件及更正公告(如有)无任何异议。我们完全理解并同意放弃对上述全部文件有不明及误解的权力。</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4、我们同意按招标文件中的规定，本投标书的有效期限为自投标截止之日起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5、我们愿意提供招标采购单位在招标文件中要求的相关资料。</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6、我们愿意遵守招标公告及招标文件中所列的收费标准。</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7、我们承诺该项投标在开标后的全过程中保持有效，不作任何更改和变动。</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8、我们同意中标方若无法按约定条款履行义务等行为，招标方有权取消其中标资格。</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9、与本投标有关的通讯地址：</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    位：                                   联 系 人：                   </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邮政编码：                </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传    真：       </w:t>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58"/>
        <w:ind w:left="481" w:firstLine="525"/>
        <w:spacing w:line="360" w:lineRule="auto"/>
        <w:tabs>
          <w:tab w:val="left" w:pos="360" w:leader="none"/>
          <w:tab w:val="clear" w:pos="1785" w:leader="none"/>
          <w:tab w:val="clear" w:pos="1887" w:leader="none"/>
          <w:tab w:val="clear" w:pos="2112" w:leader="none"/>
          <w:tab w:val="clear" w:pos="9000" w:leader="none"/>
        </w:tabs>
        <w:rPr>
          <w:rFonts w:ascii="仿宋" w:hAnsi="仿宋" w:eastAsia="仿宋" w:cs="仿宋"/>
          <w:bCs/>
          <w:color w:val="auto"/>
          <w:sz w:val="21"/>
          <w:szCs w:val="21"/>
          <w:highlight w:val="none"/>
        </w:rPr>
      </w:pPr>
      <w:r>
        <w:rPr>
          <w:rFonts w:ascii="仿宋" w:hAnsi="仿宋" w:eastAsia="仿宋" w:cs="仿宋"/>
          <w:bCs/>
          <w:color w:val="auto"/>
          <w:sz w:val="21"/>
          <w:szCs w:val="21"/>
          <w:highlight w:val="none"/>
        </w:rPr>
      </w:r>
      <w:r/>
    </w:p>
    <w:p>
      <w:pPr>
        <w:ind w:firstLine="480"/>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0"/>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0"/>
        <w:spacing w:line="460" w:lineRule="exact"/>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spacing w:line="360" w:lineRule="auto"/>
        <w:rPr>
          <w:rFonts w:ascii="仿宋" w:hAnsi="仿宋" w:eastAsia="仿宋" w:cs="仿宋"/>
          <w:b/>
          <w:bCs/>
          <w:color w:val="auto"/>
          <w:szCs w:val="21"/>
          <w:highlight w:val="none"/>
        </w:rPr>
      </w:pPr>
      <w:r>
        <w:rPr>
          <w:rFonts w:hint="eastAsia" w:ascii="仿宋" w:hAnsi="仿宋" w:eastAsia="仿宋" w:cs="仿宋"/>
          <w:color w:val="auto"/>
          <w:szCs w:val="21"/>
          <w:highlight w:val="none"/>
        </w:rPr>
        <w:br w:type="page" w:clear="all"/>
      </w:r>
      <w:r>
        <w:rPr>
          <w:rFonts w:hint="eastAsia" w:ascii="仿宋" w:hAnsi="仿宋" w:eastAsia="仿宋" w:cs="仿宋"/>
          <w:bCs/>
          <w:color w:val="auto"/>
          <w:szCs w:val="21"/>
          <w:highlight w:val="none"/>
          <w:lang w:val="zh-CN"/>
        </w:rPr>
        <w:t xml:space="preserve">格式2：</w:t>
      </w:r>
      <w:r>
        <w:rPr>
          <w:rFonts w:hint="eastAsia" w:ascii="仿宋" w:hAnsi="仿宋" w:eastAsia="仿宋" w:cs="仿宋"/>
          <w:b/>
          <w:color w:val="auto"/>
          <w:highlight w:val="none"/>
        </w:rPr>
        <w:t xml:space="preserve">法人授权委托书</w:t>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法人授权委托书</w:t>
      </w:r>
      <w:r/>
    </w:p>
    <w:p>
      <w:pPr>
        <w:ind w:firstLine="425"/>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本授权委托书声明：我</w:t>
      </w:r>
      <w:r>
        <w:rPr>
          <w:rFonts w:hint="eastAsia" w:ascii="仿宋" w:hAnsi="仿宋" w:eastAsia="仿宋" w:cs="仿宋"/>
          <w:color w:val="auto"/>
          <w:sz w:val="24"/>
          <w:szCs w:val="24"/>
          <w:highlight w:val="none"/>
          <w:u w:val="single"/>
          <w:lang w:val="zh-CN"/>
        </w:rPr>
        <w:t xml:space="preserve"> （姓名） </w:t>
      </w:r>
      <w:r>
        <w:rPr>
          <w:rFonts w:hint="eastAsia" w:ascii="仿宋" w:hAnsi="仿宋" w:eastAsia="仿宋" w:cs="仿宋"/>
          <w:color w:val="auto"/>
          <w:sz w:val="24"/>
          <w:szCs w:val="24"/>
          <w:highlight w:val="none"/>
          <w:lang w:val="zh-CN"/>
        </w:rPr>
        <w:t xml:space="preserve">系</w:t>
      </w:r>
      <w:r>
        <w:rPr>
          <w:rFonts w:hint="eastAsia" w:ascii="仿宋" w:hAnsi="仿宋" w:eastAsia="仿宋" w:cs="仿宋"/>
          <w:color w:val="auto"/>
          <w:sz w:val="24"/>
          <w:szCs w:val="24"/>
          <w:highlight w:val="none"/>
          <w:u w:val="single"/>
          <w:lang w:val="zh-CN"/>
        </w:rPr>
        <w:t xml:space="preserve">     （投标人名称）</w:t>
      </w:r>
      <w:r>
        <w:rPr>
          <w:rFonts w:hint="eastAsia" w:ascii="仿宋" w:hAnsi="仿宋" w:eastAsia="仿宋" w:cs="仿宋"/>
          <w:color w:val="auto"/>
          <w:sz w:val="24"/>
          <w:szCs w:val="24"/>
          <w:highlight w:val="none"/>
          <w:lang w:val="zh-CN"/>
        </w:rPr>
        <w:t xml:space="preserve">的法定代表人，现授权委托</w:t>
      </w:r>
      <w:r>
        <w:rPr>
          <w:rFonts w:hint="eastAsia" w:ascii="仿宋" w:hAnsi="仿宋" w:eastAsia="仿宋" w:cs="仿宋"/>
          <w:color w:val="auto"/>
          <w:sz w:val="24"/>
          <w:szCs w:val="24"/>
          <w:highlight w:val="none"/>
          <w:u w:val="single"/>
          <w:lang w:val="zh-CN"/>
        </w:rPr>
        <w:t xml:space="preserve">（姓名） </w:t>
      </w:r>
      <w:r>
        <w:rPr>
          <w:rFonts w:hint="eastAsia" w:ascii="仿宋" w:hAnsi="仿宋" w:eastAsia="仿宋" w:cs="仿宋"/>
          <w:color w:val="auto"/>
          <w:sz w:val="24"/>
          <w:szCs w:val="24"/>
          <w:highlight w:val="none"/>
          <w:lang w:val="zh-CN"/>
        </w:rPr>
        <w:t xml:space="preserve">为我公司代理人，以本公司的名义参加苏州乐鑫诚项目管理有限公司组织实施的编号为</w:t>
      </w:r>
      <w:r>
        <w:rPr>
          <w:rFonts w:hint="eastAsia" w:ascii="仿宋" w:hAnsi="仿宋" w:eastAsia="仿宋" w:cs="仿宋"/>
          <w:color w:val="auto"/>
          <w:sz w:val="24"/>
          <w:szCs w:val="24"/>
          <w:highlight w:val="none"/>
          <w:u w:val="single"/>
          <w:lang w:val="zh-CN"/>
        </w:rPr>
        <w:t xml:space="preserve">JSZC-320585-YXCZ-G2026-0007</w:t>
      </w:r>
      <w:r>
        <w:rPr>
          <w:rFonts w:hint="eastAsia" w:ascii="仿宋" w:hAnsi="仿宋" w:eastAsia="仿宋" w:cs="仿宋"/>
          <w:color w:val="auto"/>
          <w:sz w:val="24"/>
          <w:szCs w:val="24"/>
          <w:highlight w:val="none"/>
          <w:lang w:val="zh-CN"/>
        </w:rPr>
        <w:t xml:space="preserve">的招投标活动。代理人在开标、评标、合同谈判过程中所签署的一切文件和处理与这有关的一切事务，我均予以承认。</w:t>
      </w:r>
      <w:r/>
    </w:p>
    <w:p>
      <w:pPr>
        <w:ind w:firstLine="4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代理人无转委托权。特此委托。</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投标单位</w:t>
      </w:r>
      <w:r>
        <w:rPr>
          <w:rFonts w:hint="eastAsia" w:ascii="仿宋" w:hAnsi="仿宋" w:eastAsia="仿宋" w:cs="仿宋"/>
          <w:color w:val="auto"/>
          <w:sz w:val="24"/>
          <w:szCs w:val="24"/>
          <w:highlight w:val="none"/>
        </w:rPr>
        <w:t xml:space="preserve">：（公章）</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法定代表人：（签字或签章）</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w:t>
      </w:r>
      <w:r>
        <w:rPr>
          <w:rFonts w:hint="eastAsia" w:ascii="仿宋" w:hAnsi="仿宋" w:eastAsia="仿宋" w:cs="仿宋"/>
          <w:color w:val="auto"/>
          <w:sz w:val="24"/>
          <w:szCs w:val="24"/>
          <w:highlight w:val="none"/>
        </w:rPr>
        <w:t xml:space="preserve">：（签字或签章）</w:t>
      </w:r>
      <w:r/>
    </w:p>
    <w:p>
      <w:pPr>
        <w:ind w:firstLine="425"/>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5"/>
        <w:jc w:val="right"/>
        <w:spacing w:line="360" w:lineRule="auto"/>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ind w:firstLine="425"/>
        <w:jc w:val="right"/>
        <w:spacing w:line="360" w:lineRule="auto"/>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ind w:firstLine="425"/>
        <w:jc w:val="center"/>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        年     月     日</w:t>
      </w:r>
      <w:r/>
    </w:p>
    <w:p>
      <w:pP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pStyle w:val="824"/>
        <w:keepNext w:val="0"/>
        <w:spacing w:line="420" w:lineRule="exact"/>
        <w:rPr>
          <w:rFonts w:ascii="仿宋" w:hAnsi="仿宋" w:eastAsia="仿宋" w:cs="仿宋"/>
          <w:bCs/>
          <w:color w:val="auto"/>
          <w:sz w:val="21"/>
          <w:szCs w:val="21"/>
          <w:highlight w:val="none"/>
          <w:lang w:val="zh-CN"/>
        </w:rPr>
      </w:pPr>
      <w:r>
        <w:rPr>
          <w:rFonts w:ascii="仿宋" w:hAnsi="仿宋" w:eastAsia="仿宋" w:cs="仿宋"/>
          <w:bCs/>
          <w:color w:val="auto"/>
          <w:sz w:val="21"/>
          <w:szCs w:val="21"/>
          <w:highlight w:val="none"/>
          <w:lang w:val="zh-CN"/>
        </w:rPr>
      </w:r>
      <w:r/>
    </w:p>
    <w:p>
      <w:pPr>
        <w:pStyle w:val="824"/>
        <w:keepNext w:val="0"/>
        <w:spacing w:line="420" w:lineRule="exact"/>
        <w:rPr>
          <w:rFonts w:ascii="仿宋" w:hAnsi="仿宋" w:eastAsia="仿宋" w:cs="仿宋"/>
          <w:bCs/>
          <w:color w:val="auto"/>
          <w:sz w:val="21"/>
          <w:szCs w:val="21"/>
          <w:highlight w:val="none"/>
          <w:lang w:val="zh-CN"/>
        </w:rPr>
      </w:pPr>
      <w:r>
        <w:rPr>
          <w:rFonts w:ascii="仿宋" w:hAnsi="仿宋" w:eastAsia="仿宋" w:cs="仿宋"/>
          <w:bCs/>
          <w:color w:val="auto"/>
          <w:sz w:val="21"/>
          <w:szCs w:val="21"/>
          <w:highlight w:val="none"/>
          <w:lang w:val="zh-CN"/>
        </w:rPr>
      </w:r>
      <w:r/>
    </w:p>
    <w:p>
      <w:pPr>
        <w:spacing w:line="400" w:lineRule="exac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spacing w:line="400" w:lineRule="exac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spacing w:line="400" w:lineRule="exac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rPr>
          <w:rFonts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spacing w:line="400" w:lineRule="exact"/>
        <w:rPr>
          <w:rFonts w:ascii="仿宋" w:hAnsi="仿宋" w:eastAsia="仿宋" w:cs="仿宋"/>
          <w:color w:val="auto"/>
          <w:szCs w:val="21"/>
          <w:highlight w:val="none"/>
        </w:rPr>
      </w:pPr>
      <w:r>
        <w:rPr>
          <w:rFonts w:hint="eastAsia" w:ascii="仿宋" w:hAnsi="仿宋" w:eastAsia="仿宋" w:cs="仿宋"/>
          <w:bCs/>
          <w:color w:val="auto"/>
          <w:szCs w:val="21"/>
          <w:highlight w:val="none"/>
          <w:lang w:val="zh-CN"/>
        </w:rPr>
        <w:t xml:space="preserve">格式3：</w:t>
      </w:r>
      <w:r>
        <w:rPr>
          <w:rFonts w:hint="eastAsia" w:ascii="仿宋" w:hAnsi="仿宋" w:eastAsia="仿宋" w:cs="仿宋"/>
          <w:b/>
          <w:bCs/>
          <w:color w:val="auto"/>
          <w:szCs w:val="21"/>
          <w:highlight w:val="none"/>
          <w:lang w:val="zh-CN"/>
        </w:rPr>
        <w:t xml:space="preserve">开标一览表</w:t>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开标一览表</w:t>
      </w:r>
      <w:r/>
    </w:p>
    <w:p>
      <w:pPr>
        <w:spacing w:line="360" w:lineRule="auto"/>
        <w:rPr>
          <w:rFonts w:ascii="仿宋" w:hAnsi="仿宋" w:eastAsia="仿宋" w:cs="仿宋"/>
          <w:color w:val="auto"/>
          <w:highlight w:val="none"/>
        </w:rPr>
      </w:pPr>
      <w:r>
        <w:rPr>
          <w:rFonts w:hint="eastAsia" w:ascii="仿宋" w:hAnsi="仿宋" w:eastAsia="仿宋" w:cs="仿宋"/>
          <w:color w:val="auto"/>
          <w:sz w:val="24"/>
          <w:szCs w:val="24"/>
          <w:highlight w:val="none"/>
        </w:rPr>
        <w:t xml:space="preserve">项目编号：</w:t>
      </w:r>
      <w:r/>
    </w:p>
    <w:tbl>
      <w:tblPr>
        <w:tblStyle w:val="832"/>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6463" w:type="dxa"/>
            <w:vAlign w:val="center"/>
            <w:textDirection w:val="lrTb"/>
            <w:noWrap w:val="false"/>
          </w:tcPr>
          <w:p>
            <w:pPr>
              <w:spacing w:line="3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1073"/>
        </w:trPr>
        <w:tc>
          <w:tcPr>
            <w:tcW w:w="2613" w:type="dxa"/>
            <w:vAlign w:val="center"/>
            <w:textDirection w:val="lrTb"/>
            <w:noWrap w:val="false"/>
          </w:tcPr>
          <w:p>
            <w:pPr>
              <w:jc w:val="center"/>
              <w:spacing w:line="32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投标报价（元）</w:t>
            </w:r>
            <w:r/>
          </w:p>
        </w:tc>
        <w:tc>
          <w:tcPr>
            <w:tcW w:w="6463" w:type="dxa"/>
            <w:vAlign w:val="center"/>
            <w:textDirection w:val="lrTb"/>
            <w:noWrap w:val="false"/>
          </w:tcPr>
          <w:p>
            <w:pPr>
              <w:spacing w:line="32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小写：</w:t>
            </w:r>
            <w:r/>
          </w:p>
          <w:p>
            <w:pPr>
              <w:spacing w:line="32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大写：</w:t>
            </w:r>
            <w:r/>
          </w:p>
        </w:tc>
      </w:tr>
    </w:tbl>
    <w:p>
      <w:pPr>
        <w:ind w:firstLine="210"/>
        <w:spacing w:line="360" w:lineRule="auto"/>
        <w:rPr>
          <w:rFonts w:ascii="仿宋" w:hAnsi="仿宋" w:eastAsia="仿宋" w:cs="仿宋"/>
          <w:color w:val="auto"/>
          <w:highlight w:val="none"/>
          <w:lang w:val="zh-CN"/>
        </w:rPr>
      </w:pPr>
      <w:r>
        <w:rPr>
          <w:rFonts w:ascii="仿宋" w:hAnsi="仿宋" w:eastAsia="仿宋" w:cs="仿宋"/>
          <w:color w:val="auto"/>
          <w:highlight w:val="none"/>
          <w:lang w:val="zh-CN"/>
        </w:rPr>
      </w:r>
      <w:r/>
    </w:p>
    <w:p>
      <w:pPr>
        <w:ind w:firstLine="210"/>
        <w:spacing w:line="360" w:lineRule="auto"/>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投标日期：年月日</w:t>
      </w:r>
      <w:r/>
    </w:p>
    <w:p>
      <w:pPr>
        <w:ind w:left="741" w:hanging="741"/>
        <w:spacing w:line="400" w:lineRule="exact"/>
        <w:tabs>
          <w:tab w:val="left" w:pos="1320" w:leader="none"/>
        </w:tabs>
        <w:rPr>
          <w:rFonts w:ascii="仿宋" w:hAnsi="仿宋" w:eastAsia="仿宋" w:cs="仿宋"/>
          <w:b/>
          <w:color w:val="auto"/>
          <w:highlight w:val="none"/>
        </w:rPr>
      </w:pPr>
      <w:r>
        <w:rPr>
          <w:rFonts w:hint="eastAsia" w:ascii="仿宋" w:hAnsi="仿宋" w:eastAsia="仿宋" w:cs="仿宋"/>
          <w:b/>
          <w:bCs/>
          <w:color w:val="auto"/>
          <w:szCs w:val="21"/>
          <w:highlight w:val="none"/>
          <w:lang w:val="zh-CN"/>
        </w:rPr>
        <w:br w:type="page" w:clear="all"/>
      </w:r>
      <w:r>
        <w:rPr>
          <w:rFonts w:hint="eastAsia" w:ascii="仿宋" w:hAnsi="仿宋" w:eastAsia="仿宋" w:cs="仿宋"/>
          <w:color w:val="auto"/>
          <w:szCs w:val="21"/>
          <w:highlight w:val="none"/>
        </w:rPr>
        <w:t xml:space="preserve">格式4</w:t>
      </w:r>
      <w:r>
        <w:rPr>
          <w:rFonts w:hint="eastAsia" w:ascii="仿宋" w:hAnsi="仿宋" w:eastAsia="仿宋" w:cs="仿宋"/>
          <w:b/>
          <w:color w:val="auto"/>
          <w:szCs w:val="21"/>
          <w:highlight w:val="none"/>
        </w:rPr>
        <w:t xml:space="preserve">、</w:t>
      </w:r>
      <w:r>
        <w:rPr>
          <w:rFonts w:hint="eastAsia" w:ascii="仿宋" w:hAnsi="仿宋" w:eastAsia="仿宋" w:cs="仿宋"/>
          <w:b/>
          <w:bCs/>
          <w:color w:val="auto"/>
          <w:szCs w:val="21"/>
          <w:highlight w:val="none"/>
          <w:lang w:val="zh-CN"/>
        </w:rPr>
        <w:t xml:space="preserve">投标报价</w:t>
      </w:r>
      <w:r>
        <w:rPr>
          <w:rFonts w:hint="eastAsia" w:ascii="仿宋" w:hAnsi="仿宋" w:eastAsia="仿宋" w:cs="仿宋"/>
          <w:b/>
          <w:bCs/>
          <w:color w:val="auto"/>
          <w:szCs w:val="21"/>
          <w:highlight w:val="none"/>
        </w:rPr>
        <w:t xml:space="preserve">明细</w:t>
      </w:r>
      <w:r>
        <w:rPr>
          <w:rFonts w:hint="eastAsia" w:ascii="仿宋" w:hAnsi="仿宋" w:eastAsia="仿宋" w:cs="仿宋"/>
          <w:b/>
          <w:bCs/>
          <w:color w:val="auto"/>
          <w:szCs w:val="21"/>
          <w:highlight w:val="none"/>
          <w:lang w:val="zh-CN"/>
        </w:rPr>
        <w:t xml:space="preserve">表</w:t>
      </w:r>
      <w:r/>
    </w:p>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zh-CN"/>
        </w:rPr>
        <w:t xml:space="preserve">投标报价</w:t>
      </w:r>
      <w:r>
        <w:rPr>
          <w:rFonts w:hint="eastAsia" w:ascii="仿宋" w:hAnsi="仿宋" w:eastAsia="仿宋" w:cs="仿宋"/>
          <w:b/>
          <w:color w:val="auto"/>
          <w:sz w:val="30"/>
          <w:szCs w:val="30"/>
          <w:highlight w:val="none"/>
        </w:rPr>
        <w:t xml:space="preserve">明细</w:t>
      </w:r>
      <w:r>
        <w:rPr>
          <w:rFonts w:hint="eastAsia" w:ascii="仿宋" w:hAnsi="仿宋" w:eastAsia="仿宋" w:cs="仿宋"/>
          <w:b/>
          <w:color w:val="auto"/>
          <w:sz w:val="30"/>
          <w:szCs w:val="30"/>
          <w:highlight w:val="none"/>
          <w:lang w:val="zh-CN"/>
        </w:rPr>
        <w:t xml:space="preserve">表</w:t>
      </w:r>
      <w:r/>
    </w:p>
    <w:p>
      <w:pPr>
        <w:ind w:firstLine="240"/>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价格单位：元                                     </w:t>
      </w:r>
      <w:r/>
    </w:p>
    <w:tbl>
      <w:tblPr>
        <w:tblStyle w:val="832"/>
        <w:tblW w:w="4998"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047"/>
        <w:gridCol w:w="1627"/>
        <w:gridCol w:w="1327"/>
        <w:gridCol w:w="753"/>
        <w:gridCol w:w="10"/>
        <w:gridCol w:w="763"/>
        <w:gridCol w:w="763"/>
        <w:gridCol w:w="753"/>
        <w:gridCol w:w="938"/>
      </w:tblGrid>
      <w:tr>
        <w:trPr>
          <w:jc w:val="center"/>
          <w:trHeight w:val="566"/>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品牌、规格</w:t>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392" w:type="pct"/>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单价</w:t>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ind w:right="-199"/>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1436"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3563"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大写：               元； 小写：               元</w:t>
            </w:r>
            <w:r/>
          </w:p>
        </w:tc>
      </w:tr>
    </w:tbl>
    <w:p>
      <w:pPr>
        <w:ind w:firstLine="42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注：1.总价金额须与开标一览表投标报价一致。</w:t>
      </w:r>
      <w:r/>
    </w:p>
    <w:p>
      <w:pPr>
        <w:ind w:firstLine="480"/>
        <w:spacing w:line="360" w:lineRule="auto"/>
        <w:rPr>
          <w:rFonts w:ascii="仿宋" w:hAnsi="仿宋" w:eastAsia="仿宋" w:cs="仿宋"/>
          <w:bCs/>
          <w:color w:val="auto"/>
          <w:sz w:val="24"/>
          <w:szCs w:val="24"/>
          <w:highlight w:val="none"/>
          <w:lang w:val="zh-CN"/>
        </w:rPr>
      </w:pPr>
      <w:r>
        <w:rPr>
          <w:rFonts w:ascii="仿宋" w:hAnsi="仿宋" w:eastAsia="仿宋" w:cs="仿宋"/>
          <w:bCs/>
          <w:color w:val="auto"/>
          <w:sz w:val="24"/>
          <w:szCs w:val="24"/>
          <w:highlight w:val="none"/>
          <w:lang w:val="zh-CN"/>
        </w:rPr>
      </w:r>
      <w:r/>
    </w:p>
    <w:p>
      <w:pPr>
        <w:ind w:firstLine="480"/>
        <w:spacing w:line="360" w:lineRule="auto"/>
        <w:rPr>
          <w:rFonts w:ascii="仿宋" w:hAnsi="仿宋" w:eastAsia="仿宋" w:cs="仿宋"/>
          <w:bCs/>
          <w:color w:val="auto"/>
          <w:sz w:val="24"/>
          <w:szCs w:val="24"/>
          <w:highlight w:val="none"/>
          <w:lang w:val="zh-CN"/>
        </w:rPr>
      </w:pPr>
      <w:r>
        <w:rPr>
          <w:rFonts w:ascii="仿宋" w:hAnsi="仿宋" w:eastAsia="仿宋" w:cs="仿宋"/>
          <w:bCs/>
          <w:color w:val="auto"/>
          <w:sz w:val="24"/>
          <w:szCs w:val="24"/>
          <w:highlight w:val="none"/>
          <w:lang w:val="zh-CN"/>
        </w:rPr>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2"/>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投标日期：年月日</w:t>
      </w:r>
      <w:r/>
    </w:p>
    <w:p>
      <w:pPr>
        <w:ind w:firstLine="560"/>
        <w:spacing w:line="400" w:lineRule="exact"/>
        <w:tabs>
          <w:tab w:val="left" w:pos="1320" w:leader="none"/>
        </w:tabs>
        <w:rPr>
          <w:rFonts w:ascii="仿宋" w:hAnsi="仿宋" w:eastAsia="仿宋" w:cs="仿宋"/>
          <w:color w:val="auto"/>
          <w:sz w:val="28"/>
          <w:szCs w:val="21"/>
          <w:highlight w:val="none"/>
        </w:rPr>
      </w:pPr>
      <w:r>
        <w:rPr>
          <w:rFonts w:ascii="仿宋" w:hAnsi="仿宋" w:eastAsia="仿宋" w:cs="仿宋"/>
          <w:color w:val="auto"/>
          <w:sz w:val="28"/>
          <w:szCs w:val="21"/>
          <w:highlight w:val="none"/>
        </w:rPr>
      </w:r>
      <w:r/>
    </w:p>
    <w:p>
      <w:pPr>
        <w:ind w:firstLine="560"/>
        <w:spacing w:line="400" w:lineRule="exact"/>
        <w:tabs>
          <w:tab w:val="left" w:pos="1320" w:leader="none"/>
        </w:tabs>
        <w:rPr>
          <w:rFonts w:ascii="仿宋" w:hAnsi="仿宋" w:eastAsia="仿宋" w:cs="仿宋"/>
          <w:color w:val="auto"/>
          <w:sz w:val="28"/>
          <w:szCs w:val="21"/>
          <w:highlight w:val="none"/>
        </w:rPr>
      </w:pPr>
      <w:r>
        <w:rPr>
          <w:rFonts w:ascii="仿宋" w:hAnsi="仿宋" w:eastAsia="仿宋" w:cs="仿宋"/>
          <w:color w:val="auto"/>
          <w:sz w:val="28"/>
          <w:szCs w:val="21"/>
          <w:highlight w:val="none"/>
        </w:rPr>
      </w:r>
      <w:r/>
    </w:p>
    <w:p>
      <w:pPr>
        <w:ind w:firstLine="560"/>
        <w:spacing w:line="400" w:lineRule="exact"/>
        <w:tabs>
          <w:tab w:val="left" w:pos="1320" w:leader="none"/>
        </w:tabs>
        <w:rPr>
          <w:rFonts w:ascii="仿宋" w:hAnsi="仿宋" w:eastAsia="仿宋" w:cs="仿宋"/>
          <w:color w:val="auto"/>
          <w:sz w:val="28"/>
          <w:szCs w:val="21"/>
          <w:highlight w:val="none"/>
        </w:rPr>
      </w:pPr>
      <w:r>
        <w:rPr>
          <w:rFonts w:ascii="仿宋" w:hAnsi="仿宋" w:eastAsia="仿宋" w:cs="仿宋"/>
          <w:color w:val="auto"/>
          <w:sz w:val="28"/>
          <w:szCs w:val="21"/>
          <w:highlight w:val="none"/>
        </w:rPr>
      </w:r>
      <w:r/>
    </w:p>
    <w:p>
      <w:pPr>
        <w:rPr>
          <w:rFonts w:ascii="仿宋" w:hAnsi="仿宋" w:eastAsia="仿宋" w:cs="仿宋"/>
          <w:b/>
          <w:bCs/>
          <w:color w:val="auto"/>
          <w:highlight w:val="none"/>
        </w:rPr>
      </w:pPr>
      <w:r>
        <w:rPr>
          <w:rFonts w:hint="eastAsia" w:ascii="仿宋" w:hAnsi="仿宋" w:eastAsia="仿宋" w:cs="仿宋"/>
          <w:b/>
          <w:bCs/>
          <w:color w:val="auto"/>
          <w:highlight w:val="none"/>
        </w:rPr>
        <w:br w:type="page" w:clear="all"/>
      </w:r>
      <w:r/>
    </w:p>
    <w:p>
      <w:pPr>
        <w:rPr>
          <w:rFonts w:ascii="仿宋" w:hAnsi="仿宋" w:eastAsia="仿宋" w:cs="仿宋"/>
          <w:b/>
          <w:color w:val="auto"/>
          <w:highlight w:val="none"/>
        </w:rPr>
      </w:pPr>
      <w:r>
        <w:rPr>
          <w:rFonts w:hint="eastAsia" w:ascii="仿宋" w:hAnsi="仿宋" w:eastAsia="仿宋" w:cs="仿宋"/>
          <w:bCs/>
          <w:color w:val="auto"/>
          <w:szCs w:val="21"/>
          <w:highlight w:val="none"/>
        </w:rPr>
        <w:t xml:space="preserve">格式5、</w:t>
      </w:r>
      <w:r>
        <w:rPr>
          <w:rFonts w:hint="eastAsia" w:ascii="仿宋" w:hAnsi="仿宋" w:eastAsia="仿宋" w:cs="仿宋"/>
          <w:b/>
          <w:bCs/>
          <w:color w:val="auto"/>
          <w:szCs w:val="21"/>
          <w:highlight w:val="none"/>
        </w:rPr>
        <w:t xml:space="preserve">技术（服务）要求偏离表</w:t>
      </w:r>
      <w:r/>
    </w:p>
    <w:p>
      <w:pPr>
        <w:ind w:firstLine="432"/>
        <w:rPr>
          <w:rFonts w:ascii="仿宋" w:hAnsi="仿宋" w:eastAsia="仿宋" w:cs="仿宋"/>
          <w:b/>
          <w:color w:val="auto"/>
          <w:highlight w:val="none"/>
        </w:rPr>
      </w:pPr>
      <w:r>
        <w:rPr>
          <w:rFonts w:ascii="仿宋" w:hAnsi="仿宋" w:eastAsia="仿宋" w:cs="仿宋"/>
          <w:b/>
          <w:color w:val="auto"/>
          <w:highlight w:val="none"/>
        </w:rPr>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技术（服务）要求偏离表</w:t>
      </w:r>
      <w:r/>
    </w:p>
    <w:p>
      <w:pPr>
        <w:ind w:firstLine="600"/>
        <w:spacing w:line="380" w:lineRule="exact"/>
        <w:rPr>
          <w:rFonts w:ascii="仿宋" w:hAnsi="仿宋" w:eastAsia="仿宋" w:cs="仿宋"/>
          <w:b/>
          <w:color w:val="auto"/>
          <w:spacing w:val="20"/>
          <w:sz w:val="24"/>
          <w:szCs w:val="24"/>
          <w:highlight w:val="none"/>
        </w:rPr>
      </w:pPr>
      <w:r>
        <w:rPr>
          <w:rFonts w:hint="eastAsia" w:ascii="仿宋" w:hAnsi="仿宋" w:eastAsia="仿宋" w:cs="仿宋"/>
          <w:color w:val="auto"/>
          <w:sz w:val="24"/>
          <w:szCs w:val="24"/>
          <w:highlight w:val="none"/>
        </w:rPr>
        <w:t xml:space="preserve">项目编号：</w:t>
      </w:r>
      <w:r/>
    </w:p>
    <w:tbl>
      <w:tblPr>
        <w:tblStyle w:val="832"/>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683" w:type="dxa"/>
            <w:vAlign w:val="center"/>
            <w:textDirection w:val="lrTb"/>
            <w:noWrap w:val="false"/>
          </w:tcPr>
          <w:p>
            <w:pPr>
              <w:ind w:left="54"/>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2051"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招标要求</w:t>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w:t>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jc w:val="center"/>
        </w:trPr>
        <w:tc>
          <w:tcPr>
            <w:tcW w:w="95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683"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95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683"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95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683"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95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683"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95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683"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95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83"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 xml:space="preserve">注：</w:t>
      </w:r>
      <w:r>
        <w:rPr>
          <w:rFonts w:hint="eastAsia" w:ascii="仿宋" w:hAnsi="仿宋" w:eastAsia="仿宋" w:cs="仿宋"/>
          <w:color w:val="auto"/>
          <w:sz w:val="22"/>
          <w:szCs w:val="22"/>
          <w:highlight w:val="none"/>
        </w:rPr>
        <w:t xml:space="preserve">1.投标人提交的投标文件中与招标文件的技术部分的要求有不同时，应在本表中把招标文件要求与投标实际响应内容逐项对应列出。并在“偏离说明”项下填写以下内容：优于的，填写“正偏离”；符合的，填写“无偏离”；低于的，填写“负偏离”。</w:t>
      </w:r>
      <w:r/>
    </w:p>
    <w:p>
      <w:pPr>
        <w:ind w:right="480"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rPr>
          <w:rFonts w:hint="eastAsia" w:ascii="仿宋" w:hAnsi="仿宋" w:eastAsia="仿宋" w:cs="仿宋"/>
          <w:color w:val="auto"/>
          <w:szCs w:val="21"/>
          <w:highlight w:val="none"/>
        </w:rPr>
        <w:t xml:space="preserve">投标单位必须明确所投产品的具体技术参数</w:t>
      </w:r>
      <w:r/>
    </w:p>
    <w:p>
      <w:pPr>
        <w:ind w:right="480" w:firstLine="440"/>
        <w:spacing w:line="360" w:lineRule="auto"/>
        <w:rPr>
          <w:rFonts w:ascii="宋体" w:hAnsi="宋体" w:cs="宋体"/>
          <w:color w:val="auto"/>
          <w:sz w:val="22"/>
          <w:szCs w:val="22"/>
          <w:highlight w:val="none"/>
        </w:rPr>
      </w:pPr>
      <w:r>
        <w:rPr>
          <w:rFonts w:hint="eastAsia" w:ascii="仿宋" w:hAnsi="仿宋" w:eastAsia="仿宋" w:cs="仿宋"/>
          <w:color w:val="auto"/>
          <w:sz w:val="22"/>
          <w:szCs w:val="22"/>
          <w:highlight w:val="none"/>
        </w:rPr>
        <w:t xml:space="preserve">3.若事项较多，投标人可根据投标内容的实际情况另纸说明。</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投标日期：年月日</w:t>
      </w:r>
      <w:r/>
    </w:p>
    <w:p>
      <w:pPr>
        <w:spacing w:line="360" w:lineRule="auto"/>
        <w:rPr>
          <w:rFonts w:ascii="仿宋" w:hAnsi="仿宋" w:eastAsia="仿宋" w:cs="仿宋"/>
          <w:b/>
          <w:color w:val="auto"/>
          <w:highlight w:val="none"/>
        </w:rPr>
      </w:pPr>
      <w:r>
        <w:rPr>
          <w:rFonts w:hint="eastAsia" w:ascii="仿宋" w:hAnsi="仿宋" w:eastAsia="仿宋" w:cs="仿宋"/>
          <w:b/>
          <w:color w:val="auto"/>
          <w:highlight w:val="none"/>
        </w:rPr>
        <w:br w:type="page" w:clear="all"/>
      </w:r>
      <w:r/>
    </w:p>
    <w:p>
      <w:pPr>
        <w:rPr>
          <w:rFonts w:ascii="仿宋" w:hAnsi="仿宋" w:eastAsia="仿宋" w:cs="仿宋"/>
          <w:b/>
          <w:color w:val="auto"/>
          <w:highlight w:val="none"/>
        </w:rPr>
      </w:pPr>
      <w:r>
        <w:rPr>
          <w:rFonts w:hint="eastAsia" w:ascii="仿宋" w:hAnsi="仿宋" w:eastAsia="仿宋" w:cs="仿宋"/>
          <w:color w:val="auto"/>
          <w:szCs w:val="21"/>
          <w:highlight w:val="none"/>
        </w:rPr>
        <w:t xml:space="preserve">格式6、</w:t>
      </w:r>
      <w:r>
        <w:rPr>
          <w:rFonts w:hint="eastAsia" w:ascii="仿宋" w:hAnsi="仿宋" w:eastAsia="仿宋" w:cs="仿宋"/>
          <w:b/>
          <w:color w:val="auto"/>
          <w:szCs w:val="21"/>
          <w:highlight w:val="none"/>
        </w:rPr>
        <w:t xml:space="preserve">商务偏离表</w:t>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商务条款偏离表</w:t>
      </w:r>
      <w:r/>
    </w:p>
    <w:p>
      <w:pPr>
        <w:pStyle w:val="1098"/>
        <w:jc w:val="left"/>
        <w:spacing w:line="420" w:lineRule="exact"/>
        <w:rPr>
          <w:rFonts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832"/>
        <w:tblW w:w="990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1677"/>
        <w:gridCol w:w="2410"/>
        <w:gridCol w:w="2409"/>
        <w:gridCol w:w="1276"/>
        <w:gridCol w:w="1134"/>
      </w:tblGrid>
      <w:tr>
        <w:trPr>
          <w:cantSplit/>
          <w:trHeight w:val="567"/>
          <w:tblHeader/>
        </w:trPr>
        <w:tc>
          <w:tcPr>
            <w:tcW w:w="996" w:type="dxa"/>
            <w:vAlign w:val="center"/>
            <w:textDirection w:val="lrTb"/>
            <w:noWrap w:val="false"/>
          </w:tcPr>
          <w:p>
            <w:pPr>
              <w:jc w:val="cente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W w:w="1677" w:type="dxa"/>
            <w:vAlign w:val="center"/>
            <w:textDirection w:val="lrTb"/>
            <w:noWrap w:val="false"/>
          </w:tcPr>
          <w:p>
            <w:pPr>
              <w:jc w:val="cente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w:t>
            </w:r>
            <w:r/>
          </w:p>
        </w:tc>
        <w:tc>
          <w:tcPr>
            <w:tcW w:w="2410" w:type="dxa"/>
            <w:vAlign w:val="center"/>
            <w:textDirection w:val="lrTb"/>
            <w:noWrap w:val="false"/>
          </w:tcPr>
          <w:p>
            <w:pPr>
              <w:jc w:val="center"/>
              <w:spacing w:line="360" w:lineRule="auto"/>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招标文件的商务条款</w:t>
            </w:r>
            <w:r/>
          </w:p>
        </w:tc>
        <w:tc>
          <w:tcPr>
            <w:tcW w:w="2409" w:type="dxa"/>
            <w:vAlign w:val="center"/>
            <w:textDirection w:val="lrTb"/>
            <w:noWrap w:val="false"/>
          </w:tcPr>
          <w:p>
            <w:pPr>
              <w:jc w:val="center"/>
              <w:spacing w:line="360" w:lineRule="auto"/>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投标文件的商务条款</w:t>
            </w:r>
            <w:r/>
          </w:p>
        </w:tc>
        <w:tc>
          <w:tcPr>
            <w:tcW w:w="1276"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c>
          <w:tcPr>
            <w:tcW w:w="1134" w:type="dxa"/>
            <w:vAlign w:val="center"/>
            <w:textDirection w:val="lrTb"/>
            <w:noWrap w:val="false"/>
          </w:tcPr>
          <w:p>
            <w:pPr>
              <w:jc w:val="cente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tc>
      </w:tr>
      <w:tr>
        <w:trPr>
          <w:cantSplit/>
          <w:trHeight w:val="567"/>
        </w:trPr>
        <w:tc>
          <w:tcPr>
            <w:tcW w:w="99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677" w:type="dxa"/>
            <w:vAlign w:val="center"/>
            <w:textDirection w:val="lrTb"/>
            <w:noWrap w:val="false"/>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供货期限</w:t>
            </w:r>
            <w:r/>
          </w:p>
        </w:tc>
        <w:tc>
          <w:tcPr>
            <w:tcW w:w="241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34"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567"/>
        </w:trPr>
        <w:tc>
          <w:tcPr>
            <w:tcW w:w="99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677" w:type="dxa"/>
            <w:vAlign w:val="center"/>
            <w:textDirection w:val="lrTb"/>
            <w:noWrap w:val="false"/>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供货</w:t>
            </w:r>
            <w:r>
              <w:rPr>
                <w:rFonts w:hint="eastAsia" w:ascii="仿宋" w:hAnsi="仿宋" w:eastAsia="仿宋" w:cs="仿宋"/>
                <w:color w:val="auto"/>
                <w:sz w:val="24"/>
                <w:szCs w:val="24"/>
                <w:highlight w:val="none"/>
                <w:lang w:val="zh-CN"/>
              </w:rPr>
              <w:t xml:space="preserve">地点</w:t>
            </w:r>
            <w:r/>
          </w:p>
        </w:tc>
        <w:tc>
          <w:tcPr>
            <w:tcW w:w="241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34"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567"/>
        </w:trPr>
        <w:tc>
          <w:tcPr>
            <w:tcW w:w="99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677" w:type="dxa"/>
            <w:vAlign w:val="center"/>
            <w:textDirection w:val="lrTb"/>
            <w:noWrap w:val="false"/>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付款方式</w:t>
            </w:r>
            <w:r/>
          </w:p>
        </w:tc>
        <w:tc>
          <w:tcPr>
            <w:tcW w:w="241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34"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567"/>
        </w:trPr>
        <w:tc>
          <w:tcPr>
            <w:tcW w:w="99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677" w:type="dxa"/>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质保售后</w:t>
            </w:r>
            <w:r/>
          </w:p>
        </w:tc>
        <w:tc>
          <w:tcPr>
            <w:tcW w:w="241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34"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567"/>
        </w:trPr>
        <w:tc>
          <w:tcPr>
            <w:tcW w:w="996" w:type="dxa"/>
            <w:vAlign w:val="center"/>
            <w:textDirection w:val="lrTb"/>
            <w:noWrap w:val="false"/>
          </w:tcPr>
          <w:p>
            <w:pPr>
              <w:jc w:val="cente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tc>
        <w:tc>
          <w:tcPr>
            <w:tcW w:w="1677" w:type="dxa"/>
            <w:vAlign w:val="center"/>
            <w:textDirection w:val="lrTb"/>
            <w:noWrap w:val="false"/>
          </w:tcPr>
          <w:p>
            <w:pPr>
              <w:spacing w:line="360" w:lineRule="auto"/>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tc>
        <w:tc>
          <w:tcPr>
            <w:tcW w:w="241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34"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567"/>
        </w:trPr>
        <w:tc>
          <w:tcPr>
            <w:tcW w:w="996" w:type="dxa"/>
            <w:vAlign w:val="center"/>
            <w:textDirection w:val="lrTb"/>
            <w:noWrap w:val="false"/>
          </w:tcPr>
          <w:p>
            <w:pPr>
              <w:jc w:val="cente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tc>
        <w:tc>
          <w:tcPr>
            <w:tcW w:w="1677" w:type="dxa"/>
            <w:vAlign w:val="center"/>
            <w:textDirection w:val="lrTb"/>
            <w:noWrap w:val="false"/>
          </w:tcPr>
          <w:p>
            <w:pPr>
              <w:spacing w:line="360" w:lineRule="auto"/>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tc>
        <w:tc>
          <w:tcPr>
            <w:tcW w:w="241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34"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注：</w:t>
      </w:r>
      <w:r>
        <w:rPr>
          <w:rFonts w:hint="eastAsia" w:ascii="仿宋" w:hAnsi="仿宋" w:eastAsia="仿宋" w:cs="仿宋"/>
          <w:color w:val="auto"/>
          <w:szCs w:val="21"/>
          <w:highlight w:val="none"/>
        </w:rPr>
        <w:t xml:space="preserve">1.投标人提交的投标文件中与招标文件的商务部分的要求有不同时，应在本表中把招标文件要求与投标实际响应内容逐项对应列出。并在“偏离说明”项下填写以下内容：优于的，填写“正偏离”；符合的，填写“无偏离”；低于的，填写“负偏离”。</w:t>
      </w:r>
      <w:r/>
    </w:p>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2.若事项较多，投标人可根据投标内容的实际情况另纸说明。</w:t>
      </w:r>
      <w:r/>
    </w:p>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3.商务条款不允许出现负偏离，否则为无效标。</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2"/>
        <w:spacing w:line="360" w:lineRule="auto"/>
        <w:rPr>
          <w:rFonts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spacing w:line="360" w:lineRule="auto"/>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pStyle w:val="838"/>
        <w:ind w:firstLine="0"/>
        <w:spacing w:line="360"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838"/>
        <w:ind w:firstLine="0"/>
        <w:spacing w:line="360" w:lineRule="auto"/>
        <w:rPr>
          <w:rFonts w:ascii="仿宋" w:hAnsi="仿宋" w:eastAsia="仿宋" w:cs="仿宋"/>
          <w:b/>
          <w:color w:val="auto"/>
          <w:szCs w:val="21"/>
          <w:highlight w:val="none"/>
        </w:rPr>
      </w:pPr>
      <w:r>
        <w:rPr>
          <w:rFonts w:ascii="仿宋" w:hAnsi="仿宋" w:eastAsia="仿宋" w:cs="仿宋"/>
          <w:b/>
          <w:color w:val="auto"/>
          <w:szCs w:val="21"/>
          <w:highlight w:val="none"/>
        </w:rPr>
      </w:r>
      <w:r/>
    </w:p>
    <w:p>
      <w:pPr>
        <w:rPr>
          <w:rFonts w:ascii="仿宋" w:hAnsi="仿宋" w:eastAsia="仿宋" w:cs="仿宋"/>
          <w:b/>
          <w:bCs/>
          <w:color w:val="auto"/>
          <w:highlight w:val="none"/>
        </w:rPr>
      </w:pPr>
      <w:r>
        <w:rPr>
          <w:rFonts w:hint="eastAsia" w:ascii="仿宋" w:hAnsi="仿宋" w:eastAsia="仿宋" w:cs="仿宋"/>
          <w:b/>
          <w:bCs/>
          <w:color w:val="auto"/>
          <w:highlight w:val="none"/>
        </w:rPr>
        <w:br w:type="page" w:clear="all"/>
      </w:r>
      <w:r/>
    </w:p>
    <w:p>
      <w:pPr>
        <w:rPr>
          <w:rFonts w:ascii="仿宋" w:hAnsi="仿宋" w:eastAsia="仿宋" w:cs="仿宋"/>
          <w:b/>
          <w:bCs/>
          <w:color w:val="auto"/>
          <w:highlight w:val="none"/>
        </w:rPr>
      </w:pPr>
      <w:r>
        <w:rPr>
          <w:rFonts w:hint="eastAsia" w:ascii="仿宋" w:hAnsi="仿宋" w:eastAsia="仿宋" w:cs="仿宋"/>
          <w:bCs/>
          <w:color w:val="auto"/>
          <w:szCs w:val="21"/>
          <w:highlight w:val="none"/>
        </w:rPr>
        <w:t xml:space="preserve">格式7、</w:t>
      </w:r>
      <w:r>
        <w:rPr>
          <w:rFonts w:hint="eastAsia" w:ascii="仿宋" w:hAnsi="仿宋" w:eastAsia="仿宋" w:cs="仿宋"/>
          <w:b/>
          <w:bCs/>
          <w:color w:val="auto"/>
          <w:szCs w:val="21"/>
          <w:highlight w:val="none"/>
        </w:rPr>
        <w:t xml:space="preserve">企业类似业绩一览表</w:t>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类似业绩一览表</w:t>
      </w:r>
      <w:r/>
    </w:p>
    <w:p>
      <w:pPr>
        <w:pStyle w:val="1098"/>
        <w:jc w:val="left"/>
        <w:spacing w:line="420" w:lineRule="exact"/>
        <w:rPr>
          <w:rFonts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832"/>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624"/>
        <w:gridCol w:w="1688"/>
        <w:gridCol w:w="1274"/>
      </w:tblGrid>
      <w:tr>
        <w:trPr>
          <w:trHeight w:val="567"/>
        </w:trPr>
        <w:tc>
          <w:tcPr>
            <w:tcW w:w="123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35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327"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项目时间</w:t>
            </w:r>
            <w:r/>
          </w:p>
        </w:tc>
        <w:tc>
          <w:tcPr>
            <w:tcW w:w="1624" w:type="dxa"/>
            <w:vAlign w:val="center"/>
            <w:textDirection w:val="lrTb"/>
            <w:noWrap w:val="false"/>
          </w:tcPr>
          <w:p>
            <w:pPr>
              <w:jc w:val="center"/>
              <w:tabs>
                <w:tab w:val="left" w:pos="6252"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合同金额</w:t>
            </w:r>
            <w:r/>
          </w:p>
          <w:p>
            <w:pPr>
              <w:jc w:val="center"/>
              <w:tabs>
                <w:tab w:val="left" w:pos="6252"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w:t>
            </w:r>
            <w:r/>
          </w:p>
        </w:tc>
        <w:tc>
          <w:tcPr>
            <w:tcW w:w="168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供货内容</w:t>
            </w:r>
            <w:r/>
          </w:p>
        </w:tc>
        <w:tc>
          <w:tcPr>
            <w:tcW w:w="127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567"/>
        </w:trPr>
        <w:tc>
          <w:tcPr>
            <w:tcW w:w="123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35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2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8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7"/>
        </w:trPr>
        <w:tc>
          <w:tcPr>
            <w:tcW w:w="123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35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2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8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7"/>
        </w:trPr>
        <w:tc>
          <w:tcPr>
            <w:tcW w:w="123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35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2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8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7"/>
        </w:trPr>
        <w:tc>
          <w:tcPr>
            <w:tcW w:w="123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35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2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8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7"/>
        </w:trPr>
        <w:tc>
          <w:tcPr>
            <w:tcW w:w="123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35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2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8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7"/>
        </w:trPr>
        <w:tc>
          <w:tcPr>
            <w:tcW w:w="123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35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2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8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7"/>
        </w:trPr>
        <w:tc>
          <w:tcPr>
            <w:tcW w:w="123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35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2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8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7"/>
        </w:trPr>
        <w:tc>
          <w:tcPr>
            <w:tcW w:w="123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5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2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8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7"/>
        </w:trPr>
        <w:tc>
          <w:tcPr>
            <w:tcW w:w="123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5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2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8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360" w:lineRule="auto"/>
        <w:rPr>
          <w:rFonts w:ascii="仿宋" w:hAnsi="仿宋" w:eastAsia="仿宋" w:cs="仿宋"/>
          <w:b/>
          <w:bCs/>
          <w:color w:val="auto"/>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b/>
          <w:bCs/>
          <w:color w:val="auto"/>
          <w:szCs w:val="21"/>
          <w:highlight w:val="none"/>
        </w:rPr>
        <w:t xml:space="preserve">注：按招标文件和评分标准要求提供相应证明材料</w:t>
      </w:r>
      <w:r/>
    </w:p>
    <w:p>
      <w:pPr>
        <w:ind w:firstLine="420"/>
        <w:spacing w:line="360" w:lineRule="auto"/>
        <w:rPr>
          <w:rFonts w:ascii="仿宋" w:hAnsi="仿宋" w:eastAsia="仿宋" w:cs="仿宋"/>
          <w:color w:val="auto"/>
          <w:highlight w:val="none"/>
        </w:rPr>
      </w:pPr>
      <w:r>
        <w:rPr>
          <w:rFonts w:ascii="仿宋" w:hAnsi="仿宋" w:eastAsia="仿宋" w:cs="仿宋"/>
          <w:color w:val="auto"/>
          <w:highlight w:val="none"/>
        </w:rPr>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2"/>
        <w:spacing w:line="360" w:lineRule="auto"/>
        <w:rPr>
          <w:rFonts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38"/>
        <w:ind w:firstLine="0"/>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rPr>
          <w:rFonts w:ascii="仿宋" w:hAnsi="仿宋" w:eastAsia="仿宋" w:cs="仿宋"/>
          <w:bCs/>
          <w:color w:val="auto"/>
          <w:szCs w:val="21"/>
          <w:highlight w:val="none"/>
        </w:rPr>
      </w:pPr>
      <w:r>
        <w:rPr>
          <w:rFonts w:hint="eastAsia" w:ascii="仿宋" w:hAnsi="仿宋" w:eastAsia="仿宋" w:cs="仿宋"/>
          <w:bCs/>
          <w:color w:val="auto"/>
          <w:szCs w:val="21"/>
          <w:highlight w:val="none"/>
        </w:rPr>
        <w:br w:type="page" w:clear="all"/>
      </w:r>
      <w:r/>
    </w:p>
    <w:p>
      <w:pPr>
        <w:rPr>
          <w:rFonts w:ascii="仿宋" w:hAnsi="仿宋" w:eastAsia="仿宋" w:cs="仿宋"/>
          <w:b/>
          <w:bCs/>
          <w:color w:val="auto"/>
          <w:szCs w:val="21"/>
          <w:highlight w:val="none"/>
        </w:rPr>
      </w:pPr>
      <w:r>
        <w:rPr>
          <w:rFonts w:hint="eastAsia" w:ascii="仿宋" w:hAnsi="仿宋" w:eastAsia="仿宋" w:cs="仿宋"/>
          <w:bCs/>
          <w:color w:val="auto"/>
          <w:szCs w:val="21"/>
          <w:highlight w:val="none"/>
        </w:rPr>
        <w:t xml:space="preserve">格式8、</w:t>
      </w:r>
      <w:r>
        <w:rPr>
          <w:rFonts w:hint="eastAsia" w:ascii="仿宋" w:hAnsi="仿宋" w:eastAsia="仿宋" w:cs="仿宋"/>
          <w:b/>
          <w:bCs/>
          <w:color w:val="auto"/>
          <w:szCs w:val="21"/>
          <w:highlight w:val="none"/>
        </w:rPr>
        <w:t xml:space="preserve">拟投入本项目的人员情况一览表</w:t>
      </w:r>
      <w:r/>
    </w:p>
    <w:p>
      <w:pPr>
        <w:pStyle w:val="1072"/>
        <w:ind w:firstLine="420"/>
        <w:widowControl w:val="off"/>
        <w:rPr>
          <w:rFonts w:ascii="仿宋" w:hAnsi="仿宋" w:eastAsia="仿宋" w:cs="仿宋"/>
          <w:color w:val="auto"/>
          <w:highlight w:val="none"/>
        </w:rPr>
      </w:pPr>
      <w:r>
        <w:rPr>
          <w:rFonts w:ascii="仿宋" w:hAnsi="仿宋" w:eastAsia="仿宋" w:cs="仿宋"/>
          <w:color w:val="auto"/>
          <w:highlight w:val="none"/>
        </w:rPr>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拟投入本项目的人员情况一览表</w:t>
      </w:r>
      <w:r/>
    </w:p>
    <w:p>
      <w:pPr>
        <w:pStyle w:val="1098"/>
        <w:jc w:val="left"/>
        <w:spacing w:line="420" w:lineRule="exact"/>
        <w:rPr>
          <w:rFonts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832"/>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553"/>
        <w:gridCol w:w="1044"/>
        <w:gridCol w:w="960"/>
        <w:gridCol w:w="1116"/>
        <w:gridCol w:w="1632"/>
        <w:gridCol w:w="1037"/>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34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55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32"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1037"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82"/>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注：按招标文件和评分标准要求提供相应证明材料</w:t>
      </w:r>
      <w:r/>
    </w:p>
    <w:p>
      <w:pPr>
        <w:ind w:firstLine="420"/>
        <w:spacing w:line="360" w:lineRule="auto"/>
        <w:rPr>
          <w:rFonts w:ascii="仿宋" w:hAnsi="仿宋" w:eastAsia="仿宋" w:cs="仿宋"/>
          <w:color w:val="auto"/>
          <w:highlight w:val="none"/>
        </w:rPr>
      </w:pPr>
      <w:r>
        <w:rPr>
          <w:rFonts w:ascii="仿宋" w:hAnsi="仿宋" w:eastAsia="仿宋" w:cs="仿宋"/>
          <w:color w:val="auto"/>
          <w:highlight w:val="none"/>
        </w:rPr>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2"/>
        <w:spacing w:line="360" w:lineRule="auto"/>
        <w:rPr>
          <w:rFonts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838"/>
        <w:ind w:firstLine="0"/>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spacing w:line="360" w:lineRule="auto"/>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838"/>
        <w:ind w:firstLine="0"/>
        <w:spacing w:line="360" w:lineRule="auto"/>
        <w:rPr>
          <w:rFonts w:ascii="仿宋" w:hAnsi="仿宋" w:eastAsia="仿宋" w:cs="仿宋"/>
          <w:bCs/>
          <w:color w:val="auto"/>
          <w:szCs w:val="21"/>
          <w:highlight w:val="none"/>
        </w:rPr>
      </w:pPr>
      <w:r>
        <w:rPr>
          <w:rFonts w:ascii="仿宋" w:hAnsi="仿宋" w:eastAsia="仿宋" w:cs="仿宋"/>
          <w:bCs/>
          <w:color w:val="auto"/>
          <w:szCs w:val="21"/>
          <w:highlight w:val="none"/>
        </w:rPr>
      </w:r>
      <w:r/>
    </w:p>
    <w:p>
      <w:pPr>
        <w:rPr>
          <w:rFonts w:ascii="仿宋" w:hAnsi="仿宋" w:eastAsia="仿宋" w:cs="仿宋"/>
          <w:b/>
          <w:color w:val="auto"/>
          <w:szCs w:val="21"/>
          <w:highlight w:val="none"/>
        </w:rPr>
      </w:pPr>
      <w:r>
        <w:rPr>
          <w:rFonts w:hint="eastAsia" w:ascii="仿宋" w:hAnsi="仿宋" w:eastAsia="仿宋" w:cs="仿宋"/>
          <w:bCs/>
          <w:color w:val="auto"/>
          <w:szCs w:val="21"/>
          <w:highlight w:val="none"/>
        </w:rPr>
        <w:br w:type="page" w:clear="all"/>
      </w:r>
      <w:r>
        <w:rPr>
          <w:rFonts w:hint="eastAsia" w:ascii="仿宋" w:hAnsi="仿宋" w:eastAsia="仿宋" w:cs="仿宋"/>
          <w:bCs/>
          <w:color w:val="auto"/>
          <w:szCs w:val="21"/>
          <w:highlight w:val="none"/>
        </w:rPr>
        <w:t xml:space="preserve">格式</w:t>
      </w:r>
      <w:r>
        <w:rPr>
          <w:rFonts w:hint="eastAsia" w:ascii="仿宋" w:hAnsi="仿宋" w:eastAsia="仿宋" w:cs="仿宋"/>
          <w:color w:val="auto"/>
          <w:szCs w:val="21"/>
          <w:highlight w:val="none"/>
        </w:rPr>
        <w:t xml:space="preserve">9、</w:t>
      </w:r>
      <w:r>
        <w:rPr>
          <w:rFonts w:hint="eastAsia" w:ascii="仿宋" w:hAnsi="仿宋" w:eastAsia="仿宋" w:cs="仿宋"/>
          <w:b/>
          <w:color w:val="auto"/>
          <w:szCs w:val="21"/>
          <w:highlight w:val="none"/>
        </w:rPr>
        <w:t xml:space="preserve">资格证明文件</w:t>
      </w:r>
      <w:r/>
    </w:p>
    <w:p>
      <w:pPr>
        <w:pStyle w:val="838"/>
        <w:ind w:firstLine="0"/>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(1)关于资格文件的声明函</w:t>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关于资格文件的声明函</w:t>
      </w:r>
      <w:r/>
    </w:p>
    <w:p>
      <w:pPr>
        <w:pStyle w:val="838"/>
        <w:jc w:val="center"/>
        <w:rPr>
          <w:rFonts w:ascii="仿宋" w:hAnsi="仿宋" w:eastAsia="仿宋" w:cs="仿宋"/>
          <w:color w:val="auto"/>
          <w:szCs w:val="24"/>
          <w:highlight w:val="none"/>
        </w:rPr>
      </w:pPr>
      <w:r>
        <w:rPr>
          <w:rFonts w:ascii="仿宋" w:hAnsi="仿宋" w:eastAsia="仿宋" w:cs="仿宋"/>
          <w:color w:val="auto"/>
          <w:szCs w:val="24"/>
          <w:highlight w:val="none"/>
        </w:rPr>
      </w:r>
      <w:r/>
    </w:p>
    <w:p>
      <w:pPr>
        <w:pStyle w:val="838"/>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苏州乐鑫诚项目管理有限公司：</w:t>
      </w:r>
      <w:r/>
    </w:p>
    <w:p>
      <w:pPr>
        <w:pStyle w:val="838"/>
        <w:ind w:firstLine="426"/>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本公司愿就由贵公司组织实施的编号</w:t>
      </w:r>
      <w:r>
        <w:rPr>
          <w:rFonts w:hint="eastAsia" w:ascii="仿宋" w:hAnsi="仿宋" w:eastAsia="仿宋" w:cs="仿宋"/>
          <w:color w:val="auto"/>
          <w:sz w:val="24"/>
          <w:szCs w:val="24"/>
          <w:highlight w:val="none"/>
          <w:u w:val="single"/>
        </w:rPr>
        <w:t xml:space="preserve">JSZC-320585-YXCZ-G2026-0007</w:t>
      </w:r>
      <w:r>
        <w:rPr>
          <w:rFonts w:hint="eastAsia" w:ascii="仿宋" w:hAnsi="仿宋" w:eastAsia="仿宋" w:cs="仿宋"/>
          <w:color w:val="auto"/>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838"/>
        <w:ind w:firstLine="426"/>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2"/>
        <w:spacing w:line="360" w:lineRule="auto"/>
        <w:rPr>
          <w:rFonts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p>
    <w:p>
      <w:pPr>
        <w:pStyle w:val="838"/>
        <w:ind w:firstLine="0"/>
        <w:spacing w:line="40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(2)投标单位情况表</w:t>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投标单位情况表</w:t>
      </w:r>
      <w:r/>
    </w:p>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单位名称（盖章）</w:t>
      </w:r>
      <w:r/>
    </w:p>
    <w:tbl>
      <w:tblPr>
        <w:tblStyle w:val="832"/>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38"/>
              <w:ind w:firstLine="21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38"/>
              <w:ind w:firstLine="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38"/>
              <w:ind w:firstLine="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38"/>
              <w:ind w:firstLine="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38"/>
              <w:ind w:firstLine="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2025年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2025年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自有面积         平方米</w:t>
            </w:r>
            <w:r/>
          </w:p>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38"/>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38"/>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pStyle w:val="838"/>
        <w:ind w:firstLine="0"/>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rPr>
          <w:rFonts w:ascii="仿宋" w:hAnsi="仿宋" w:eastAsia="仿宋" w:cs="仿宋"/>
          <w:b/>
          <w:bCs/>
          <w:color w:val="auto"/>
          <w:szCs w:val="21"/>
          <w:highlight w:val="none"/>
        </w:rPr>
      </w:pPr>
      <w:r>
        <w:rPr>
          <w:rFonts w:hint="eastAsia" w:ascii="仿宋" w:hAnsi="仿宋" w:eastAsia="仿宋" w:cs="仿宋"/>
          <w:b/>
          <w:bCs/>
          <w:color w:val="auto"/>
          <w:szCs w:val="21"/>
          <w:highlight w:val="none"/>
        </w:rPr>
        <w:br w:type="page" w:clear="all"/>
      </w:r>
      <w:r/>
    </w:p>
    <w:p>
      <w:pPr>
        <w:pStyle w:val="838"/>
        <w:ind w:firstLine="0"/>
        <w:rPr>
          <w:rFonts w:ascii="仿宋" w:hAnsi="仿宋" w:eastAsia="仿宋" w:cs="仿宋"/>
          <w:color w:val="auto"/>
          <w:szCs w:val="21"/>
          <w:highlight w:val="none"/>
        </w:rPr>
      </w:pPr>
      <w:r>
        <w:rPr>
          <w:rFonts w:hint="eastAsia" w:ascii="仿宋" w:hAnsi="仿宋" w:eastAsia="仿宋" w:cs="仿宋"/>
          <w:bCs/>
          <w:color w:val="auto"/>
          <w:szCs w:val="21"/>
          <w:highlight w:val="none"/>
        </w:rPr>
        <w:t xml:space="preserve">格式10、</w:t>
      </w:r>
      <w:r>
        <w:rPr>
          <w:rFonts w:hint="eastAsia" w:ascii="仿宋" w:hAnsi="仿宋" w:eastAsia="仿宋" w:cs="仿宋"/>
          <w:b/>
          <w:bCs/>
          <w:color w:val="auto"/>
          <w:szCs w:val="21"/>
          <w:highlight w:val="none"/>
        </w:rPr>
        <w:t xml:space="preserve">参加政府采购活动前3年内在经营活动中没有重大违法记录的书面声明</w:t>
      </w:r>
      <w:r/>
    </w:p>
    <w:p>
      <w:pPr>
        <w:jc w:val="center"/>
        <w:spacing w:line="440" w:lineRule="exact"/>
        <w:rPr>
          <w:rFonts w:ascii="仿宋" w:hAnsi="仿宋" w:eastAsia="仿宋" w:cs="仿宋"/>
          <w:b/>
          <w:bCs/>
          <w:color w:val="auto"/>
          <w:szCs w:val="21"/>
          <w:highlight w:val="none"/>
        </w:rPr>
      </w:pPr>
      <w:r>
        <w:rPr>
          <w:rFonts w:ascii="仿宋" w:hAnsi="仿宋" w:eastAsia="仿宋" w:cs="仿宋"/>
          <w:b/>
          <w:bCs/>
          <w:color w:val="auto"/>
          <w:szCs w:val="21"/>
          <w:highlight w:val="none"/>
        </w:rPr>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参加政府采购活动前3年内在经营活动中没有重大违法记录的书面声明</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致苏州乐鑫诚项目管理有限公司：</w:t>
      </w:r>
      <w:r/>
    </w:p>
    <w:p>
      <w:pPr>
        <w:ind w:firstLine="4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（投标人名称）        </w:t>
      </w:r>
      <w:r>
        <w:rPr>
          <w:rFonts w:hint="eastAsia" w:ascii="仿宋" w:hAnsi="仿宋" w:eastAsia="仿宋" w:cs="仿宋"/>
          <w:color w:val="auto"/>
          <w:sz w:val="24"/>
          <w:szCs w:val="24"/>
          <w:highlight w:val="none"/>
        </w:rPr>
        <w:t xml:space="preserve"> 在参加政府采购活动前三年内，没有重大违法记录，特此声明。</w:t>
      </w:r>
      <w:r/>
    </w:p>
    <w:p>
      <w:pPr>
        <w:ind w:firstLine="4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若采购代理机构在本项目采购过程中发现我单位近三年内在政府采购活动中有重大违法记录，我单位将无条件退出本项目的招标，并承担因此引起的一切后果。</w:t>
      </w:r>
      <w:r/>
    </w:p>
    <w:p>
      <w:pPr>
        <w:pStyle w:val="1290"/>
        <w:ind w:right="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2"/>
        <w:spacing w:line="360" w:lineRule="auto"/>
        <w:rPr>
          <w:rFonts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pStyle w:val="1290"/>
        <w:ind w:right="480" w:firstLine="4920"/>
        <w:spacing w:line="360" w:lineRule="auto"/>
        <w:rPr>
          <w:rFonts w:ascii="仿宋" w:hAnsi="仿宋" w:eastAsia="仿宋" w:cs="仿宋"/>
          <w:b/>
          <w:bCs/>
          <w:color w:val="auto"/>
          <w:sz w:val="24"/>
          <w:szCs w:val="24"/>
          <w:highlight w:val="none"/>
          <w:lang w:val="zh-CN"/>
        </w:rPr>
      </w:pPr>
      <w:r>
        <w:rPr>
          <w:rFonts w:ascii="仿宋" w:hAnsi="仿宋" w:eastAsia="仿宋" w:cs="仿宋"/>
          <w:b/>
          <w:bCs/>
          <w:color w:val="auto"/>
          <w:sz w:val="24"/>
          <w:szCs w:val="24"/>
          <w:highlight w:val="none"/>
          <w:lang w:val="zh-CN"/>
        </w:rPr>
      </w:r>
      <w:r/>
    </w:p>
    <w:p>
      <w:pPr>
        <w:spacing w:line="360" w:lineRule="auto"/>
        <w:rPr>
          <w:rFonts w:ascii="仿宋" w:hAnsi="仿宋" w:eastAsia="仿宋" w:cs="仿宋"/>
          <w:b/>
          <w:bCs/>
          <w:color w:val="auto"/>
          <w:highlight w:val="none"/>
          <w:lang w:val="zh-CN"/>
        </w:rPr>
      </w:pPr>
      <w:r>
        <w:rPr>
          <w:rFonts w:ascii="仿宋" w:hAnsi="仿宋" w:eastAsia="仿宋" w:cs="仿宋"/>
          <w:b/>
          <w:bCs/>
          <w:color w:val="auto"/>
          <w:highlight w:val="none"/>
          <w:lang w:val="zh-CN"/>
        </w:rPr>
      </w:r>
      <w:r/>
    </w:p>
    <w:p>
      <w:pPr>
        <w:jc w:val="left"/>
        <w:rPr>
          <w:rFonts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spacing w:line="400" w:lineRule="exact"/>
        <w:rPr>
          <w:rFonts w:ascii="仿宋" w:hAnsi="仿宋" w:eastAsia="仿宋" w:cs="仿宋"/>
          <w:b/>
          <w:bCs/>
          <w:color w:val="auto"/>
          <w:szCs w:val="21"/>
          <w:highlight w:val="none"/>
          <w:lang w:val="zh-CN"/>
        </w:rPr>
      </w:pPr>
      <w:r>
        <w:rPr>
          <w:rFonts w:hint="eastAsia" w:ascii="仿宋" w:hAnsi="仿宋" w:eastAsia="仿宋" w:cs="仿宋"/>
          <w:bCs/>
          <w:color w:val="auto"/>
          <w:szCs w:val="21"/>
          <w:highlight w:val="none"/>
          <w:lang w:val="zh-CN"/>
        </w:rPr>
        <w:t xml:space="preserve">格式</w:t>
      </w:r>
      <w:r>
        <w:rPr>
          <w:rFonts w:hint="eastAsia" w:ascii="仿宋" w:hAnsi="仿宋" w:eastAsia="仿宋" w:cs="仿宋"/>
          <w:bCs/>
          <w:color w:val="auto"/>
          <w:szCs w:val="21"/>
          <w:highlight w:val="none"/>
        </w:rPr>
        <w:t xml:space="preserve">11</w:t>
      </w:r>
      <w:r>
        <w:rPr>
          <w:rFonts w:hint="eastAsia" w:ascii="仿宋" w:hAnsi="仿宋" w:eastAsia="仿宋" w:cs="仿宋"/>
          <w:bCs/>
          <w:color w:val="auto"/>
          <w:szCs w:val="21"/>
          <w:highlight w:val="none"/>
          <w:lang w:val="zh-CN"/>
        </w:rPr>
        <w:t xml:space="preserve">、</w:t>
      </w:r>
      <w:r>
        <w:rPr>
          <w:rFonts w:hint="eastAsia" w:ascii="仿宋" w:hAnsi="仿宋" w:eastAsia="仿宋" w:cs="仿宋"/>
          <w:b/>
          <w:bCs/>
          <w:color w:val="auto"/>
          <w:szCs w:val="21"/>
          <w:highlight w:val="none"/>
          <w:lang w:val="zh-CN"/>
        </w:rPr>
        <w:t xml:space="preserve">中小企业声明函</w:t>
      </w:r>
      <w:r/>
    </w:p>
    <w:p>
      <w:pPr>
        <w:pStyle w:val="1098"/>
        <w:jc w:val="center"/>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中小企业声明函（货物）</w:t>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本公司郑重声明，根据《政府采购促进中小企业发展管理办法》（财库﹝2020﹞46 号）的规定，本公司 参加 </w:t>
      </w:r>
      <w:r>
        <w:rPr>
          <w:rFonts w:ascii="仿宋" w:hAnsi="仿宋" w:eastAsia="仿宋" w:cs="仿宋"/>
          <w:color w:val="auto"/>
          <w:sz w:val="24"/>
          <w:highlight w:val="none"/>
          <w:u w:val="single"/>
        </w:rPr>
        <w:t xml:space="preserve">（ 单 位 名 称 ） </w:t>
      </w:r>
      <w:r>
        <w:rPr>
          <w:rFonts w:ascii="仿宋" w:hAnsi="仿宋" w:eastAsia="仿宋" w:cs="仿宋"/>
          <w:color w:val="auto"/>
          <w:sz w:val="24"/>
          <w:highlight w:val="none"/>
        </w:rPr>
        <w:t xml:space="preserve">的 </w:t>
      </w:r>
      <w:r>
        <w:rPr>
          <w:rFonts w:ascii="仿宋" w:hAnsi="仿宋" w:eastAsia="仿宋" w:cs="仿宋"/>
          <w:color w:val="auto"/>
          <w:sz w:val="24"/>
          <w:highlight w:val="none"/>
          <w:u w:val="single"/>
        </w:rPr>
        <w:t xml:space="preserve">（ 项 目 名 称 ） </w:t>
      </w:r>
      <w:r>
        <w:rPr>
          <w:rFonts w:ascii="仿宋" w:hAnsi="仿宋" w:eastAsia="仿宋" w:cs="仿宋"/>
          <w:color w:val="auto"/>
          <w:sz w:val="24"/>
          <w:highlight w:val="none"/>
        </w:rPr>
        <w:t xml:space="preserve">采购活动，提供的货物全部由符合政策要求的中小企业制造。相关企业的具体情况如下：</w:t>
      </w:r>
      <w:r/>
    </w:p>
    <w:p>
      <w:pPr>
        <w:ind w:left="142"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行业 ；制造商为 </w:t>
      </w:r>
      <w:r>
        <w:rPr>
          <w:rFonts w:hint="eastAsia" w:ascii="仿宋" w:hAnsi="仿宋" w:eastAsia="仿宋" w:cs="仿宋"/>
          <w:color w:val="auto"/>
          <w:sz w:val="24"/>
          <w:szCs w:val="24"/>
          <w:highlight w:val="none"/>
          <w:u w:val="single"/>
        </w:rPr>
        <w:t xml:space="preserve">（ 企 业 名 称 ）</w:t>
      </w:r>
      <w:r>
        <w:rPr>
          <w:rFonts w:hint="eastAsia" w:ascii="仿宋" w:hAnsi="仿宋" w:eastAsia="仿宋" w:cs="仿宋"/>
          <w:color w:val="auto"/>
          <w:sz w:val="24"/>
          <w:szCs w:val="24"/>
          <w:highlight w:val="none"/>
        </w:rPr>
        <w:t xml:space="preserve"> ，从业人员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 </w:t>
      </w:r>
      <w:r>
        <w:rPr>
          <w:rFonts w:hint="eastAsia" w:ascii="仿宋" w:hAnsi="仿宋" w:eastAsia="仿宋" w:cs="仿宋"/>
          <w:color w:val="auto"/>
          <w:sz w:val="24"/>
          <w:szCs w:val="24"/>
          <w:highlight w:val="none"/>
          <w:u w:val="single"/>
        </w:rPr>
        <w:t xml:space="preserve">（ 中 型 企 业 、 小 型 企 业 、 微 型 企 业 ） </w:t>
      </w:r>
      <w:r>
        <w:rPr>
          <w:rFonts w:hint="eastAsia" w:ascii="仿宋" w:hAnsi="仿宋" w:eastAsia="仿宋" w:cs="仿宋"/>
          <w:color w:val="auto"/>
          <w:sz w:val="24"/>
          <w:szCs w:val="24"/>
          <w:highlight w:val="none"/>
        </w:rPr>
        <w:t xml:space="preserve">；</w:t>
      </w:r>
      <w:r/>
    </w:p>
    <w:p>
      <w:pPr>
        <w:ind w:left="142"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行业 ；制造商为 </w:t>
      </w:r>
      <w:r>
        <w:rPr>
          <w:rFonts w:hint="eastAsia" w:ascii="仿宋" w:hAnsi="仿宋" w:eastAsia="仿宋" w:cs="仿宋"/>
          <w:color w:val="auto"/>
          <w:sz w:val="24"/>
          <w:szCs w:val="24"/>
          <w:highlight w:val="none"/>
          <w:u w:val="single"/>
        </w:rPr>
        <w:t xml:space="preserve">（ 企 业 名 称 ）</w:t>
      </w:r>
      <w:r>
        <w:rPr>
          <w:rFonts w:hint="eastAsia" w:ascii="仿宋" w:hAnsi="仿宋" w:eastAsia="仿宋" w:cs="仿宋"/>
          <w:color w:val="auto"/>
          <w:sz w:val="24"/>
          <w:szCs w:val="24"/>
          <w:highlight w:val="none"/>
        </w:rPr>
        <w:t xml:space="preserve"> ，从业人员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 </w:t>
      </w:r>
      <w:r>
        <w:rPr>
          <w:rFonts w:hint="eastAsia" w:ascii="仿宋" w:hAnsi="仿宋" w:eastAsia="仿宋" w:cs="仿宋"/>
          <w:color w:val="auto"/>
          <w:sz w:val="24"/>
          <w:szCs w:val="24"/>
          <w:highlight w:val="none"/>
          <w:u w:val="single"/>
        </w:rPr>
        <w:t xml:space="preserve">（ 中 型 企 业 、 小 型 企 业 、 微 型 企 业 ） </w:t>
      </w:r>
      <w:r>
        <w:rPr>
          <w:rFonts w:hint="eastAsia" w:ascii="仿宋" w:hAnsi="仿宋" w:eastAsia="仿宋" w:cs="仿宋"/>
          <w:color w:val="auto"/>
          <w:sz w:val="24"/>
          <w:szCs w:val="24"/>
          <w:highlight w:val="none"/>
        </w:rPr>
        <w:t xml:space="preserve">；</w:t>
      </w:r>
      <w:r/>
    </w:p>
    <w:p>
      <w:pPr>
        <w:ind w:left="622"/>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 </w:t>
      </w:r>
      <w:r/>
    </w:p>
    <w:p>
      <w:pPr>
        <w:ind w:firstLine="6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 </w:t>
      </w:r>
      <w:r/>
    </w:p>
    <w:p>
      <w:pPr>
        <w:ind w:firstLine="6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注：从业人员、营业收入、资产总额填报上一年度数据，无上一年度数据的新成立企业可不填报。</w:t>
      </w:r>
      <w:r/>
    </w:p>
    <w:p>
      <w:pPr>
        <w:ind w:firstLine="482"/>
        <w:jc w:val="left"/>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备注：</w:t>
      </w:r>
      <w:r/>
    </w:p>
    <w:p>
      <w:pPr>
        <w:ind w:firstLine="480"/>
        <w:jc w:val="left"/>
        <w:spacing w:line="46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1、本项目为</w:t>
      </w:r>
      <w:r>
        <w:rPr>
          <w:rFonts w:hint="eastAsia" w:ascii="仿宋" w:hAnsi="仿宋" w:eastAsia="仿宋" w:cs="仿宋"/>
          <w:b/>
          <w:bCs/>
          <w:color w:val="auto"/>
          <w:sz w:val="24"/>
          <w:highlight w:val="none"/>
        </w:rPr>
        <w:t xml:space="preserve">专门面向中小企业采购</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投标人</w:t>
      </w:r>
      <w:r>
        <w:rPr>
          <w:rFonts w:hint="eastAsia" w:ascii="仿宋" w:hAnsi="仿宋" w:eastAsia="仿宋" w:cs="仿宋"/>
          <w:b/>
          <w:color w:val="auto"/>
          <w:sz w:val="24"/>
          <w:highlight w:val="none"/>
        </w:rPr>
        <w:t xml:space="preserve">应提供中小企业声明函或残疾人福利性单位声明函或省级以上监狱管理局、戒毒管理局（含新疆生产建设兵团）出具的属于监狱企业的证明文件,否则视为投标无效。</w:t>
      </w:r>
      <w:r/>
    </w:p>
    <w:p>
      <w:pPr>
        <w:pStyle w:val="881"/>
        <w:ind w:firstLine="480"/>
        <w:spacing w:before="0" w:beforeAutospacing="0" w:after="0" w:afterAutospacing="0" w:line="440" w:lineRule="exact"/>
        <w:widowControl w:val="off"/>
        <w:rPr>
          <w:rFonts w:ascii="仿宋" w:hAnsi="仿宋" w:eastAsia="仿宋" w:cs="仿宋"/>
          <w:bCs/>
          <w:color w:val="auto"/>
          <w:highlight w:val="none"/>
        </w:rPr>
      </w:pPr>
      <w:r>
        <w:rPr>
          <w:rFonts w:hint="eastAsia" w:ascii="仿宋" w:hAnsi="仿宋" w:eastAsia="仿宋" w:cs="仿宋"/>
          <w:bCs/>
          <w:color w:val="auto"/>
          <w:highlight w:val="none"/>
        </w:rPr>
        <w:t xml:space="preserve">2、中标、成交供应商享受规定的中小企业扶持政策的，《中小企业声明函》应当随中标、成交结果同时公告，接受社会监督。</w:t>
      </w:r>
      <w:r/>
    </w:p>
    <w:p>
      <w:pPr>
        <w:pStyle w:val="881"/>
        <w:ind w:firstLine="480"/>
        <w:spacing w:before="0" w:beforeAutospacing="0" w:after="0" w:afterAutospacing="0" w:line="440" w:lineRule="exact"/>
        <w:widowControl w:val="off"/>
        <w:rPr>
          <w:rFonts w:ascii="仿宋" w:hAnsi="仿宋" w:eastAsia="仿宋" w:cs="仿宋"/>
          <w:bCs/>
          <w:color w:val="auto"/>
          <w:highlight w:val="none"/>
        </w:rPr>
      </w:pPr>
      <w:r>
        <w:rPr>
          <w:rFonts w:hint="eastAsia" w:ascii="仿宋" w:hAnsi="仿宋" w:eastAsia="仿宋" w:cs="仿宋"/>
          <w:bCs/>
          <w:color w:val="auto"/>
          <w:highlight w:val="none"/>
        </w:rPr>
        <w:t xml:space="preserve">3、供应商按规定提供声明函内容不实的，属于提供虚假材料谋取中标、 成交， 依照《中华人民共和国政府采购法》 等国家有关规定追究相应责任。</w:t>
      </w:r>
      <w:r/>
    </w:p>
    <w:p>
      <w:pPr>
        <w:rPr>
          <w:rFonts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br w:type="page" w:clear="all"/>
      </w:r>
      <w:r/>
    </w:p>
    <w:p>
      <w:pPr>
        <w:spacing w:line="400" w:lineRule="exact"/>
        <w:rPr>
          <w:rFonts w:ascii="仿宋" w:hAnsi="仿宋" w:eastAsia="仿宋" w:cs="仿宋"/>
          <w:b/>
          <w:bCs/>
          <w:color w:val="auto"/>
          <w:szCs w:val="21"/>
          <w:highlight w:val="none"/>
          <w:lang w:val="zh-CN"/>
        </w:rPr>
      </w:pPr>
      <w:r>
        <w:rPr>
          <w:rFonts w:hint="eastAsia" w:ascii="仿宋" w:hAnsi="仿宋" w:eastAsia="仿宋" w:cs="仿宋"/>
          <w:bCs/>
          <w:color w:val="auto"/>
          <w:szCs w:val="21"/>
          <w:highlight w:val="none"/>
          <w:lang w:val="zh-CN"/>
        </w:rPr>
        <w:t xml:space="preserve">格式</w:t>
      </w:r>
      <w:r>
        <w:rPr>
          <w:rFonts w:hint="eastAsia" w:ascii="仿宋" w:hAnsi="仿宋" w:eastAsia="仿宋" w:cs="仿宋"/>
          <w:bCs/>
          <w:color w:val="auto"/>
          <w:szCs w:val="21"/>
          <w:highlight w:val="none"/>
        </w:rPr>
        <w:t xml:space="preserve">12</w:t>
      </w:r>
      <w:r>
        <w:rPr>
          <w:rFonts w:hint="eastAsia" w:ascii="仿宋" w:hAnsi="仿宋" w:eastAsia="仿宋" w:cs="仿宋"/>
          <w:bCs/>
          <w:color w:val="auto"/>
          <w:szCs w:val="21"/>
          <w:highlight w:val="none"/>
          <w:lang w:val="zh-CN"/>
        </w:rPr>
        <w:t xml:space="preserve">、</w:t>
      </w:r>
      <w:r>
        <w:rPr>
          <w:rFonts w:hint="eastAsia" w:ascii="仿宋" w:hAnsi="仿宋" w:eastAsia="仿宋" w:cs="仿宋"/>
          <w:b/>
          <w:bCs/>
          <w:color w:val="auto"/>
          <w:szCs w:val="21"/>
          <w:highlight w:val="none"/>
          <w:lang w:val="zh-CN"/>
        </w:rPr>
        <w:t xml:space="preserve">残疾人福利性单位声明函</w:t>
      </w:r>
      <w:r/>
    </w:p>
    <w:p>
      <w:pPr>
        <w:pStyle w:val="847"/>
        <w:ind w:firstLine="250"/>
        <w:rPr>
          <w:rFonts w:ascii="仿宋" w:hAnsi="仿宋" w:eastAsia="仿宋" w:cs="仿宋"/>
          <w:color w:val="auto"/>
          <w:highlight w:val="none"/>
        </w:rPr>
      </w:pPr>
      <w:r>
        <w:rPr>
          <w:rFonts w:ascii="仿宋" w:hAnsi="仿宋" w:eastAsia="仿宋" w:cs="仿宋"/>
          <w:color w:val="auto"/>
          <w:highlight w:val="none"/>
        </w:rPr>
      </w:r>
      <w:r/>
    </w:p>
    <w:p>
      <w:pPr>
        <w:pStyle w:val="1098"/>
        <w:jc w:val="center"/>
        <w:spacing w:line="42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残疾人福利性单位声明函</w:t>
      </w:r>
      <w:r/>
    </w:p>
    <w:p>
      <w:pPr>
        <w:ind w:firstLine="480"/>
        <w:spacing w:line="48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spacing w:line="48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8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8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企业名称（盖章）：</w:t>
      </w:r>
      <w:r/>
    </w:p>
    <w:p>
      <w:pPr>
        <w:spacing w:line="400" w:lineRule="exact"/>
        <w:rPr>
          <w:rFonts w:ascii="仿宋" w:hAnsi="仿宋" w:eastAsia="仿宋" w:cs="仿宋"/>
          <w:b/>
          <w:bCs/>
          <w:color w:val="auto"/>
          <w:spacing w:val="20"/>
          <w:sz w:val="24"/>
          <w:szCs w:val="24"/>
          <w:highlight w:val="none"/>
        </w:rPr>
      </w:pPr>
      <w:r>
        <w:rPr>
          <w:rFonts w:hint="eastAsia" w:ascii="仿宋" w:hAnsi="仿宋" w:eastAsia="仿宋" w:cs="仿宋"/>
          <w:color w:val="auto"/>
          <w:sz w:val="24"/>
          <w:szCs w:val="24"/>
          <w:highlight w:val="none"/>
        </w:rPr>
        <w:t xml:space="preserve">                                         日 期：</w:t>
      </w:r>
      <w:r/>
    </w:p>
    <w:p>
      <w:pPr>
        <w:jc w:val="center"/>
        <w:spacing w:line="400" w:lineRule="exact"/>
        <w:rPr>
          <w:rFonts w:ascii="仿宋" w:hAnsi="仿宋" w:eastAsia="仿宋" w:cs="仿宋"/>
          <w:b/>
          <w:bCs/>
          <w:color w:val="auto"/>
          <w:spacing w:val="20"/>
          <w:sz w:val="24"/>
          <w:szCs w:val="24"/>
          <w:highlight w:val="none"/>
        </w:rPr>
      </w:pPr>
      <w:r>
        <w:rPr>
          <w:rFonts w:ascii="仿宋" w:hAnsi="仿宋" w:eastAsia="仿宋" w:cs="仿宋"/>
          <w:b/>
          <w:bCs/>
          <w:color w:val="auto"/>
          <w:spacing w:val="20"/>
          <w:sz w:val="24"/>
          <w:szCs w:val="24"/>
          <w:highlight w:val="none"/>
        </w:rPr>
      </w:r>
      <w:r/>
    </w:p>
    <w:p>
      <w:pPr>
        <w:jc w:val="center"/>
        <w:spacing w:line="400" w:lineRule="exact"/>
        <w:rPr>
          <w:rFonts w:ascii="仿宋" w:hAnsi="仿宋" w:eastAsia="仿宋" w:cs="仿宋"/>
          <w:b/>
          <w:bCs/>
          <w:color w:val="auto"/>
          <w:spacing w:val="20"/>
          <w:sz w:val="30"/>
          <w:highlight w:val="none"/>
        </w:rPr>
      </w:pPr>
      <w:r>
        <w:rPr>
          <w:rFonts w:ascii="仿宋" w:hAnsi="仿宋" w:eastAsia="仿宋" w:cs="仿宋"/>
          <w:b/>
          <w:bCs/>
          <w:color w:val="auto"/>
          <w:spacing w:val="20"/>
          <w:sz w:val="30"/>
          <w:highlight w:val="none"/>
        </w:rPr>
      </w:r>
      <w:r/>
    </w:p>
    <w:p>
      <w:pPr>
        <w:pStyle w:val="847"/>
        <w:ind w:firstLine="250"/>
        <w:rPr>
          <w:rFonts w:ascii="仿宋" w:hAnsi="仿宋" w:eastAsia="仿宋" w:cs="仿宋"/>
          <w:color w:val="auto"/>
          <w:highlight w:val="none"/>
        </w:rPr>
      </w:pPr>
      <w:r>
        <w:rPr>
          <w:rFonts w:ascii="仿宋" w:hAnsi="仿宋" w:eastAsia="仿宋" w:cs="仿宋"/>
          <w:color w:val="auto"/>
          <w:highlight w:val="none"/>
        </w:rPr>
      </w:r>
      <w:r/>
    </w:p>
    <w:p>
      <w:pPr>
        <w:pStyle w:val="847"/>
        <w:ind w:firstLine="250"/>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0"/>
        <w:jc w:val="left"/>
        <w:widowControl w:val="off"/>
        <w:rPr>
          <w:rFonts w:hint="eastAsia" w:ascii="仿宋" w:hAnsi="仿宋" w:eastAsia="仿宋" w:cs="仿宋"/>
          <w:b/>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格式13</w:t>
      </w:r>
      <w:r>
        <w:rPr>
          <w:rFonts w:hint="eastAsia" w:ascii="仿宋" w:hAnsi="仿宋" w:eastAsia="仿宋" w:cs="仿宋"/>
          <w:b/>
          <w:color w:val="auto"/>
          <w:sz w:val="21"/>
          <w:szCs w:val="21"/>
          <w:highlight w:val="none"/>
          <w:lang w:val="en-US" w:eastAsia="zh-CN" w:bidi="ar-SA"/>
        </w:rPr>
        <w:t xml:space="preserve">、联合投标协议书（如属）</w:t>
      </w:r>
      <w:r/>
    </w:p>
    <w:p>
      <w:pPr>
        <w:pStyle w:val="1098"/>
        <w:jc w:val="center"/>
        <w:spacing w:line="360" w:lineRule="auto"/>
        <w:rPr>
          <w:rFonts w:hint="eastAsia" w:ascii="仿宋" w:hAnsi="仿宋" w:eastAsia="仿宋" w:cs="仿宋"/>
          <w:b/>
          <w:color w:val="auto"/>
          <w:sz w:val="30"/>
          <w:szCs w:val="30"/>
          <w:highlight w:val="none"/>
          <w:lang w:val="en-US" w:eastAsia="zh-CN" w:bidi="ar-SA"/>
        </w:rPr>
      </w:pPr>
      <w:r>
        <w:rPr>
          <w:rFonts w:hint="eastAsia" w:ascii="仿宋" w:hAnsi="仿宋" w:eastAsia="仿宋" w:cs="仿宋"/>
          <w:b/>
          <w:color w:val="auto"/>
          <w:sz w:val="30"/>
          <w:szCs w:val="30"/>
          <w:highlight w:val="none"/>
          <w:lang w:val="en-US" w:eastAsia="zh-CN" w:bidi="ar-SA"/>
        </w:rPr>
        <w:t xml:space="preserve">联合投标协议书</w:t>
      </w:r>
      <w:r/>
    </w:p>
    <w:p>
      <w:pPr>
        <w:ind w:firstLine="480"/>
        <w:keepLines w:val="0"/>
        <w:keepNext w:val="0"/>
        <w:pageBreakBefore w:val="0"/>
        <w:spacing w:line="360" w:lineRule="auto"/>
        <w:widowControl w:val="off"/>
        <w:tabs>
          <w:tab w:val="left" w:pos="3302" w:leader="none"/>
          <w:tab w:val="left" w:pos="5717"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（所有成员单位名称）</w:t>
      </w:r>
      <w:r>
        <w:rPr>
          <w:rFonts w:hint="eastAsia" w:ascii="仿宋" w:hAnsi="仿宋" w:eastAsia="仿宋" w:cs="仿宋"/>
          <w:color w:val="auto"/>
          <w:sz w:val="24"/>
          <w:szCs w:val="24"/>
          <w:highlight w:val="none"/>
        </w:rPr>
        <w:t xml:space="preserve">自愿组成联合体，共同参加</w:t>
      </w:r>
      <w:r>
        <w:rPr>
          <w:rFonts w:hint="eastAsia" w:ascii="仿宋" w:hAnsi="仿宋" w:eastAsia="仿宋" w:cs="仿宋"/>
          <w:color w:val="auto"/>
          <w:sz w:val="24"/>
          <w:szCs w:val="24"/>
          <w:highlight w:val="none"/>
          <w:lang w:val="en-US" w:eastAsia="zh-CN"/>
        </w:rPr>
        <w:t xml:space="preserve">苏州乐鑫诚项目管理有限公司</w:t>
      </w:r>
      <w:r>
        <w:rPr>
          <w:rFonts w:hint="eastAsia" w:ascii="仿宋" w:hAnsi="仿宋" w:eastAsia="仿宋" w:cs="仿宋"/>
          <w:color w:val="auto"/>
          <w:sz w:val="24"/>
          <w:szCs w:val="24"/>
          <w:highlight w:val="none"/>
        </w:rPr>
        <w:t xml:space="preserve">组织的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）投标。现就联合体投标事宜订立如下协议：</w:t>
      </w:r>
      <w:r/>
    </w:p>
    <w:p>
      <w:pPr>
        <w:ind w:firstLine="480"/>
        <w:keepLines w:val="0"/>
        <w:keepNext w:val="0"/>
        <w:pageBreakBefore w:val="0"/>
        <w:spacing w:line="360" w:lineRule="auto"/>
        <w:widowControl w:val="off"/>
        <w:tabs>
          <w:tab w:val="left" w:pos="498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（某成员单位名称）</w:t>
      </w:r>
      <w:r>
        <w:rPr>
          <w:rFonts w:hint="eastAsia" w:ascii="仿宋" w:hAnsi="仿宋" w:eastAsia="仿宋" w:cs="仿宋"/>
          <w:color w:val="auto"/>
          <w:sz w:val="24"/>
          <w:szCs w:val="24"/>
          <w:highlight w:val="none"/>
        </w:rPr>
        <w:t xml:space="preserve">为联合体牵头人。</w:t>
      </w:r>
      <w:r/>
    </w:p>
    <w:p>
      <w:pPr>
        <w:ind w:firstLine="480"/>
        <w:keepLines w:val="0"/>
        <w:keepNext w:val="0"/>
        <w:pageBreakBefore w:val="0"/>
        <w:spacing w:line="360" w:lineRule="auto"/>
        <w:widowControl w:val="off"/>
        <w:tabs>
          <w:tab w:val="left" w:pos="498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2、联合体牵头人合法代表联合体各成员负责本</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项目</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文件编制和合同谈判活动，代表联合体提交和接收相关的资料、信息及指示，并处理与之有关的一切事务，负责合同实施阶段的主办、组织和协调工作。</w:t>
      </w:r>
      <w:r/>
    </w:p>
    <w:p>
      <w:pPr>
        <w:ind w:firstLine="480"/>
        <w:keepLines w:val="0"/>
        <w:keepNext w:val="0"/>
        <w:pageBreakBefore w:val="0"/>
        <w:spacing w:line="360" w:lineRule="auto"/>
        <w:widowControl w:val="off"/>
        <w:tabs>
          <w:tab w:val="left" w:pos="498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3、联合体将严格按照</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文件的各项要求，</w:t>
      </w:r>
      <w:r>
        <w:rPr>
          <w:rFonts w:hint="eastAsia" w:ascii="仿宋" w:hAnsi="仿宋" w:eastAsia="仿宋" w:cs="仿宋"/>
          <w:color w:val="auto"/>
          <w:sz w:val="24"/>
          <w:szCs w:val="24"/>
          <w:highlight w:val="none"/>
          <w:lang w:val="en-US" w:eastAsia="zh-CN"/>
        </w:rPr>
        <w:t xml:space="preserve">提交投标</w:t>
      </w:r>
      <w:r>
        <w:rPr>
          <w:rFonts w:hint="eastAsia" w:ascii="仿宋" w:hAnsi="仿宋" w:eastAsia="仿宋" w:cs="仿宋"/>
          <w:color w:val="auto"/>
          <w:sz w:val="24"/>
          <w:szCs w:val="24"/>
          <w:highlight w:val="none"/>
        </w:rPr>
        <w:t xml:space="preserve">文件，履行合同，并对外承担连带责任。</w:t>
      </w:r>
      <w:r/>
    </w:p>
    <w:p>
      <w:pPr>
        <w:ind w:firstLine="480"/>
        <w:keepLines w:val="0"/>
        <w:keepNext w:val="0"/>
        <w:pageBreakBefore w:val="0"/>
        <w:spacing w:line="360" w:lineRule="auto"/>
        <w:widowControl w:val="off"/>
        <w:tabs>
          <w:tab w:val="left" w:pos="7558"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4、联合体各成员单位内部的职责分工如下：</w:t>
      </w:r>
      <w:r/>
    </w:p>
    <w:tbl>
      <w:tblPr>
        <w:tblStyle w:val="832"/>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0"/>
        <w:gridCol w:w="3530"/>
        <w:gridCol w:w="992"/>
        <w:gridCol w:w="993"/>
        <w:gridCol w:w="1318"/>
      </w:tblGrid>
      <w:tr>
        <w:trPr>
          <w:jc w:val="center"/>
          <w:trHeight w:val="567"/>
        </w:trPr>
        <w:tc>
          <w:tcPr>
            <w:tcW w:w="1680" w:type="dxa"/>
            <w:vAlign w:val="center"/>
            <w:textDirection w:val="lrTb"/>
            <w:noWrap w:val="false"/>
          </w:tcPr>
          <w:p>
            <w:pPr>
              <w:jc w:val="center"/>
              <w:spacing w:line="3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成员单位</w:t>
            </w:r>
            <w:r/>
          </w:p>
        </w:tc>
        <w:tc>
          <w:tcPr>
            <w:tcW w:w="3530" w:type="dxa"/>
            <w:vAlign w:val="center"/>
            <w:textDirection w:val="lrTb"/>
            <w:noWrap w:val="false"/>
          </w:tcPr>
          <w:p>
            <w:pPr>
              <w:jc w:val="left"/>
              <w:spacing w:line="32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承担的工作、相应的责任</w:t>
            </w:r>
            <w:r>
              <w:rPr>
                <w:rFonts w:hint="eastAsia" w:ascii="仿宋" w:hAnsi="仿宋" w:eastAsia="仿宋" w:cs="仿宋"/>
                <w:b/>
                <w:bCs/>
                <w:color w:val="auto"/>
                <w:sz w:val="24"/>
                <w:szCs w:val="24"/>
                <w:highlight w:val="none"/>
                <w:lang w:val="en-US" w:eastAsia="zh-CN"/>
              </w:rPr>
              <w:t xml:space="preserve">、资金所占比例</w:t>
            </w:r>
            <w:r/>
          </w:p>
        </w:tc>
        <w:tc>
          <w:tcPr>
            <w:tcW w:w="992" w:type="dxa"/>
            <w:vAlign w:val="center"/>
            <w:textDirection w:val="lrTb"/>
            <w:noWrap w:val="false"/>
          </w:tcPr>
          <w:p>
            <w:pPr>
              <w:jc w:val="center"/>
              <w:spacing w:line="3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数量</w:t>
            </w:r>
            <w:r/>
          </w:p>
        </w:tc>
        <w:tc>
          <w:tcPr>
            <w:tcW w:w="993" w:type="dxa"/>
            <w:vAlign w:val="center"/>
            <w:textDirection w:val="lrTb"/>
            <w:noWrap w:val="false"/>
          </w:tcPr>
          <w:p>
            <w:pPr>
              <w:jc w:val="center"/>
              <w:spacing w:line="3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单位</w:t>
            </w:r>
            <w:r/>
          </w:p>
        </w:tc>
        <w:tc>
          <w:tcPr>
            <w:tcW w:w="1318" w:type="dxa"/>
            <w:vAlign w:val="center"/>
            <w:textDirection w:val="lrTb"/>
            <w:noWrap w:val="false"/>
          </w:tcPr>
          <w:p>
            <w:pPr>
              <w:jc w:val="center"/>
              <w:spacing w:line="3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其他说明</w:t>
            </w:r>
            <w:r/>
          </w:p>
        </w:tc>
      </w:tr>
      <w:tr>
        <w:trPr>
          <w:jc w:val="center"/>
          <w:trHeight w:val="677"/>
        </w:trPr>
        <w:tc>
          <w:tcPr>
            <w:tcW w:w="1680"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牵头单位</w:t>
            </w:r>
            <w:r/>
          </w:p>
        </w:tc>
        <w:tc>
          <w:tcPr>
            <w:tcW w:w="3530"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3"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18"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680" w:type="dxa"/>
            <w:vAlign w:val="center"/>
            <w:vMerge w:val="restart"/>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成员</w:t>
            </w:r>
            <w:r/>
          </w:p>
        </w:tc>
        <w:tc>
          <w:tcPr>
            <w:tcW w:w="3530"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3"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18"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680" w:type="dxa"/>
            <w:vAlign w:val="center"/>
            <w:vMerge w:val="continue"/>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53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1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keepLines w:val="0"/>
        <w:keepNext w:val="0"/>
        <w:pageBreakBefore w:val="0"/>
        <w:spacing w:line="360" w:lineRule="auto"/>
        <w:widowControl w:val="off"/>
        <w:tabs>
          <w:tab w:val="left" w:pos="755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5、本协议书自签署之日起生效，合同履行完毕后自动失效。</w:t>
      </w:r>
      <w:r/>
    </w:p>
    <w:p>
      <w:pPr>
        <w:ind w:firstLine="480"/>
        <w:keepLines w:val="0"/>
        <w:keepNext w:val="0"/>
        <w:pageBreakBefore w:val="0"/>
        <w:spacing w:line="360" w:lineRule="auto"/>
        <w:widowControl w:val="off"/>
        <w:tabs>
          <w:tab w:val="left" w:pos="24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6、本协议提交采购人后，联合投标各方不得以任何形式对上述实质内容进行修改或撤销。</w:t>
      </w:r>
      <w:r/>
    </w:p>
    <w:p>
      <w:pPr>
        <w:ind w:firstLine="480"/>
        <w:keepLines w:val="0"/>
        <w:keepNext w:val="0"/>
        <w:pageBreakBefore w:val="0"/>
        <w:spacing w:line="360" w:lineRule="auto"/>
        <w:widowControl w:val="off"/>
        <w:tabs>
          <w:tab w:val="left" w:pos="24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本协议书一式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份，联合体成员各执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份。</w:t>
      </w:r>
      <w:r/>
    </w:p>
    <w:p>
      <w:pPr>
        <w:ind w:firstLine="480"/>
        <w:keepLines w:val="0"/>
        <w:keepNext w:val="0"/>
        <w:pageBreakBefore w:val="0"/>
        <w:spacing w:line="360" w:lineRule="auto"/>
        <w:widowControl w:val="off"/>
        <w:tabs>
          <w:tab w:val="left" w:pos="24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注：本协议书</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rPr>
        <w:t xml:space="preserve">由委托代理人签字的，应附法定代表人授权委托书。</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牵头人名称：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（盖单位公章）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（签字或盖章）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成员名称：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（盖单位公章）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（签字或盖章）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 </w:t>
      </w:r>
      <w:r/>
    </w:p>
    <w:p>
      <w:pPr>
        <w:ind w:firstLine="482"/>
        <w:jc w:val="right"/>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日 </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1218"/>
        <w:rPr>
          <w:rFonts w:ascii="仿宋" w:hAnsi="仿宋" w:eastAsia="仿宋" w:cs="仿宋"/>
          <w:color w:val="auto"/>
          <w:sz w:val="24"/>
          <w:szCs w:val="24"/>
          <w:highlight w:val="none"/>
        </w:rPr>
      </w:pPr>
      <w:r>
        <w:rPr>
          <w:rFonts w:hint="eastAsia" w:ascii="仿宋" w:hAnsi="仿宋" w:eastAsia="仿宋" w:cs="仿宋"/>
          <w:color w:val="auto"/>
          <w:highlight w:val="none"/>
        </w:rPr>
        <w:t xml:space="preserve">第五部分 评标方法与评标标准</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评标方法</w:t>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1、本次招标评标</w:t>
      </w:r>
      <w:r>
        <w:rPr>
          <w:rFonts w:hint="eastAsia" w:ascii="仿宋" w:hAnsi="仿宋" w:eastAsia="仿宋" w:cs="仿宋"/>
          <w:color w:val="auto"/>
          <w:sz w:val="24"/>
          <w:highlight w:val="none"/>
        </w:rPr>
        <w:t xml:space="preserve">采用</w:t>
      </w:r>
      <w:r>
        <w:rPr>
          <w:rFonts w:ascii="仿宋" w:hAnsi="仿宋" w:eastAsia="仿宋" w:cs="仿宋"/>
          <w:color w:val="auto"/>
          <w:sz w:val="24"/>
          <w:highlight w:val="none"/>
        </w:rPr>
        <w:t xml:space="preserve">综合评分法，即在满足招标文件实质性要求前提下，按照招标文件中规定的评分标准和各项因素进行综合评审，以评标总得分最高的投标人作为中标候选人。</w:t>
      </w:r>
      <w:r/>
    </w:p>
    <w:p>
      <w:pPr>
        <w:ind w:firstLine="482"/>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确定核心产品后，多家投标人提供的核心产品品牌、型号相同的，按以上规定处理。</w:t>
      </w:r>
      <w:r/>
    </w:p>
    <w:p>
      <w:pPr>
        <w:ind w:firstLine="482"/>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5、如出现评审得分最高的投标人有两个或两个以上的，以投标报价较低者优先作为该标段中标候选人，如果投标报价也相同的，则由评标委员会组织以抽签方式确定中标候选人。</w:t>
      </w:r>
      <w:r/>
    </w:p>
    <w:p>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评分标准</w:t>
      </w:r>
      <w:r/>
    </w:p>
    <w:p>
      <w:pPr>
        <w:ind w:firstLine="482"/>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（一）投标报价（30分）</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第一步：投标报价低于或等于财政预算最高限价（</w:t>
      </w:r>
      <w:r>
        <w:rPr>
          <w:rFonts w:hint="eastAsia" w:ascii="仿宋" w:hAnsi="仿宋" w:eastAsia="仿宋" w:cs="仿宋"/>
          <w:color w:val="auto"/>
          <w:sz w:val="24"/>
          <w:szCs w:val="24"/>
          <w:highlight w:val="none"/>
        </w:rPr>
        <w:t xml:space="preserve">187.23</w:t>
      </w:r>
      <w:r>
        <w:rPr>
          <w:rFonts w:ascii="仿宋" w:hAnsi="仿宋" w:eastAsia="仿宋" w:cs="仿宋"/>
          <w:color w:val="auto"/>
          <w:sz w:val="24"/>
          <w:szCs w:val="24"/>
          <w:highlight w:val="none"/>
        </w:rPr>
        <w:t xml:space="preserve">万元）为有效投标报价；投标报价高于最高限价，按无效投标处理。 </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第二步：所有通过资格审查、符合性审查的有效投标中，满足全部采购需求且总价最低的报价为评标基准价。 投标报价得分＝（评标基准价÷投标报价）×3</w:t>
      </w:r>
      <w:r>
        <w:rPr>
          <w:rFonts w:hint="eastAsia" w:ascii="仿宋" w:hAnsi="仿宋" w:eastAsia="仿宋" w:cs="仿宋"/>
          <w:color w:val="auto"/>
          <w:sz w:val="24"/>
          <w:szCs w:val="24"/>
          <w:highlight w:val="none"/>
        </w:rPr>
        <w:t xml:space="preserve">0</w:t>
      </w:r>
      <w:r>
        <w:rPr>
          <w:rFonts w:ascii="仿宋" w:hAnsi="仿宋" w:eastAsia="仿宋" w:cs="仿宋"/>
          <w:color w:val="auto"/>
          <w:sz w:val="24"/>
          <w:szCs w:val="24"/>
          <w:highlight w:val="none"/>
        </w:rPr>
        <w:t xml:space="preserve">％×100，计算结果四舍五入保留两位小数。 </w:t>
      </w:r>
      <w:r/>
    </w:p>
    <w:p>
      <w:pPr>
        <w:ind w:firstLine="48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异常低价核查:</w:t>
      </w:r>
      <w:r/>
    </w:p>
    <w:p>
      <w:pPr>
        <w:ind w:firstLine="482"/>
        <w:jc w:val="left"/>
        <w:spacing w:line="360" w:lineRule="auto"/>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bidi="ar"/>
        </w:rPr>
        <w:t xml:space="preserve">出现以下任一情形，投标单位需60分钟内提交全套成本测算、原厂供货证明：</w:t>
      </w:r>
      <w:r>
        <w:rPr>
          <w:rFonts w:hint="eastAsia" w:ascii="仿宋" w:hAnsi="仿宋" w:eastAsia="仿宋" w:cs="仿宋"/>
          <w:b/>
          <w:bCs/>
          <w:color w:val="auto"/>
          <w:sz w:val="24"/>
          <w:szCs w:val="24"/>
          <w:highlight w:val="none"/>
          <w:lang w:bidi="ar"/>
        </w:rPr>
        <w:t xml:space="preserve">①</w:t>
      </w:r>
      <w:r>
        <w:rPr>
          <w:rFonts w:hint="eastAsia" w:ascii="仿宋" w:hAnsi="仿宋" w:eastAsia="仿宋" w:cs="仿宋"/>
          <w:b/>
          <w:bCs/>
          <w:color w:val="auto"/>
          <w:sz w:val="24"/>
          <w:szCs w:val="24"/>
          <w:highlight w:val="none"/>
        </w:rPr>
        <w:t xml:space="preserve">投标报价&lt;全部通过符合性审查供应商投标报价平均值×</w:t>
      </w:r>
      <w:r>
        <w:rPr>
          <w:rFonts w:hint="eastAsia" w:ascii="仿宋" w:hAnsi="仿宋" w:eastAsia="仿宋" w:cs="仿宋"/>
          <w:b/>
          <w:color w:val="auto"/>
          <w:sz w:val="24"/>
          <w:szCs w:val="24"/>
          <w:highlight w:val="none"/>
          <w:lang w:val="en-US" w:eastAsia="zh-CN"/>
        </w:rPr>
        <w:t xml:space="preserve">65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bidi="ar"/>
        </w:rPr>
        <w:t xml:space="preserve">；②</w:t>
      </w:r>
      <w:r>
        <w:rPr>
          <w:rFonts w:hint="eastAsia" w:ascii="仿宋" w:hAnsi="仿宋" w:eastAsia="仿宋" w:cs="仿宋"/>
          <w:b/>
          <w:bCs/>
          <w:color w:val="auto"/>
          <w:sz w:val="24"/>
          <w:szCs w:val="24"/>
          <w:highlight w:val="none"/>
        </w:rPr>
        <w:t xml:space="preserve">投标报价&lt;通过符合性审查的次低报价供应商投标报价×</w:t>
      </w:r>
      <w:r>
        <w:rPr>
          <w:rFonts w:hint="eastAsia" w:ascii="仿宋" w:hAnsi="仿宋" w:eastAsia="仿宋" w:cs="仿宋"/>
          <w:b/>
          <w:color w:val="auto"/>
          <w:sz w:val="24"/>
          <w:szCs w:val="24"/>
          <w:highlight w:val="none"/>
          <w:lang w:val="en-US" w:eastAsia="zh-CN"/>
        </w:rPr>
        <w:t xml:space="preserve">65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bidi="ar"/>
        </w:rPr>
        <w:t xml:space="preserve">；③</w:t>
      </w:r>
      <w:r>
        <w:rPr>
          <w:rFonts w:hint="eastAsia" w:ascii="仿宋" w:hAnsi="仿宋" w:eastAsia="仿宋" w:cs="仿宋"/>
          <w:b/>
          <w:bCs/>
          <w:color w:val="auto"/>
          <w:sz w:val="24"/>
          <w:szCs w:val="24"/>
          <w:highlight w:val="none"/>
        </w:rPr>
        <w:t xml:space="preserve">投标报价&lt;最高限价×</w:t>
      </w:r>
      <w:r>
        <w:rPr>
          <w:rFonts w:hint="eastAsia" w:ascii="仿宋" w:hAnsi="仿宋" w:eastAsia="仿宋" w:cs="仿宋"/>
          <w:b/>
          <w:color w:val="auto"/>
          <w:sz w:val="24"/>
          <w:szCs w:val="24"/>
          <w:highlight w:val="none"/>
          <w:lang w:val="en-US" w:eastAsia="zh-CN"/>
        </w:rPr>
        <w:t xml:space="preserve">65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bidi="ar"/>
        </w:rPr>
        <w:t xml:space="preserve">；④</w:t>
      </w:r>
      <w:r>
        <w:rPr>
          <w:rFonts w:hint="eastAsia" w:ascii="仿宋" w:hAnsi="仿宋" w:eastAsia="仿宋" w:cs="仿宋"/>
          <w:b/>
          <w:bCs/>
          <w:color w:val="auto"/>
          <w:sz w:val="24"/>
          <w:szCs w:val="24"/>
          <w:highlight w:val="none"/>
        </w:rPr>
        <w:t xml:space="preserve">评审委员会基于专业判断，认为供应商报价过低，有可能影响产品质量或者不能诚信履约的其他情形</w:t>
      </w:r>
      <w:r>
        <w:rPr>
          <w:rFonts w:hint="eastAsia" w:ascii="仿宋" w:hAnsi="仿宋" w:eastAsia="仿宋" w:cs="仿宋"/>
          <w:b/>
          <w:bCs/>
          <w:color w:val="auto"/>
          <w:sz w:val="24"/>
          <w:szCs w:val="24"/>
          <w:highlight w:val="none"/>
          <w:lang w:bidi="ar"/>
        </w:rPr>
        <w:t xml:space="preserve">。</w:t>
      </w:r>
      <w:r/>
    </w:p>
    <w:p>
      <w:pPr>
        <w:numPr>
          <w:ilvl w:val="255"/>
          <w:numId w:val="0"/>
        </w:numPr>
        <w:ind w:firstLine="48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材料完整真实：正常按公式计算价格分；</w:t>
      </w:r>
      <w:r/>
    </w:p>
    <w:p>
      <w:pPr>
        <w:numPr>
          <w:ilvl w:val="255"/>
          <w:numId w:val="0"/>
        </w:numPr>
        <w:ind w:firstLine="48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无法佐证/佐证虚假：投标无效，不参与基准价计算。</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w:t>
      </w:r>
      <w:bookmarkStart w:id="20" w:name="OLE_LINK28"/>
      <w:r>
        <w:rPr>
          <w:rFonts w:hint="eastAsia" w:ascii="仿宋" w:hAnsi="仿宋" w:eastAsia="仿宋" w:cs="仿宋"/>
          <w:b/>
          <w:bCs/>
          <w:color w:val="auto"/>
          <w:sz w:val="24"/>
          <w:szCs w:val="24"/>
          <w:highlight w:val="none"/>
        </w:rPr>
        <w:t xml:space="preserve">投标产品的技术</w:t>
      </w:r>
      <w:bookmarkStart w:id="28" w:name="_GoBack"/>
      <w:r/>
      <w:bookmarkEnd w:id="28"/>
      <w:r>
        <w:rPr>
          <w:rFonts w:hint="eastAsia" w:ascii="仿宋" w:hAnsi="仿宋" w:eastAsia="仿宋" w:cs="仿宋"/>
          <w:b/>
          <w:bCs/>
          <w:color w:val="auto"/>
          <w:sz w:val="24"/>
          <w:szCs w:val="24"/>
          <w:highlight w:val="none"/>
        </w:rPr>
        <w:t xml:space="preserve">响应情况</w:t>
      </w:r>
      <w:bookmarkEnd w:id="20"/>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40</w:t>
      </w:r>
      <w:r>
        <w:rPr>
          <w:rFonts w:hint="eastAsia" w:ascii="仿宋" w:hAnsi="仿宋" w:eastAsia="仿宋" w:cs="仿宋"/>
          <w:b/>
          <w:bCs/>
          <w:color w:val="auto"/>
          <w:sz w:val="24"/>
          <w:szCs w:val="24"/>
          <w:highlight w:val="none"/>
        </w:rPr>
        <w:t xml:space="preserve">分）</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1.非智慧体育产品标“▲”项技术参数响应（</w:t>
      </w:r>
      <w:r>
        <w:rPr>
          <w:rFonts w:hint="eastAsia" w:ascii="仿宋" w:hAnsi="仿宋" w:eastAsia="仿宋" w:cs="仿宋"/>
          <w:b/>
          <w:color w:val="auto"/>
          <w:sz w:val="24"/>
          <w:szCs w:val="24"/>
          <w:highlight w:val="none"/>
          <w:lang w:val="en-US" w:eastAsia="zh-CN"/>
        </w:rPr>
        <w:t xml:space="preserve">12</w:t>
      </w:r>
      <w:r>
        <w:rPr>
          <w:rFonts w:hint="eastAsia" w:ascii="仿宋" w:hAnsi="仿宋" w:eastAsia="仿宋" w:cs="仿宋"/>
          <w:b/>
          <w:color w:val="auto"/>
          <w:sz w:val="24"/>
          <w:szCs w:val="24"/>
          <w:highlight w:val="none"/>
        </w:rPr>
        <w:t xml:space="preserve">分）</w:t>
      </w:r>
      <w:r/>
    </w:p>
    <w:p>
      <w:pPr>
        <w:ind w:firstLine="48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每满足一项▲得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分，最高</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分。需按照招标文件要求提供对应的佐证资料，否则不得分</w:t>
      </w:r>
      <w:r>
        <w:rPr>
          <w:rFonts w:hint="eastAsia" w:ascii="仿宋" w:hAnsi="仿宋" w:eastAsia="仿宋" w:cs="仿宋"/>
          <w:color w:val="auto"/>
          <w:sz w:val="24"/>
          <w:szCs w:val="24"/>
          <w:highlight w:val="none"/>
          <w:lang w:val="zh-CN"/>
        </w:rPr>
        <w:t xml:space="preserve">。</w:t>
      </w:r>
      <w:r/>
    </w:p>
    <w:tbl>
      <w:tblPr>
        <w:tblStyle w:val="887"/>
        <w:tblW w:w="10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72"/>
        <w:gridCol w:w="1126"/>
        <w:gridCol w:w="4667"/>
        <w:gridCol w:w="3620"/>
      </w:tblGrid>
      <w:tr>
        <w:trPr>
          <w:jc w:val="center"/>
          <w:trHeight w:val="510"/>
        </w:trPr>
        <w:tc>
          <w:tcPr>
            <w:shd w:val="clear" w:color="auto" w:fill="ffffff"/>
            <w:tcW w:w="672"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序号</w:t>
            </w:r>
            <w:r/>
          </w:p>
        </w:tc>
        <w:tc>
          <w:tcPr>
            <w:shd w:val="clear" w:color="auto" w:fill="ffffff"/>
            <w:tcW w:w="1126" w:type="dxa"/>
            <w:vAlign w:val="center"/>
            <w:textDirection w:val="lrTb"/>
            <w:noWrap w:val="false"/>
          </w:tcPr>
          <w:p>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产品</w:t>
            </w:r>
            <w:r/>
          </w:p>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名称</w:t>
            </w:r>
            <w:r/>
          </w:p>
        </w:tc>
        <w:tc>
          <w:tcPr>
            <w:shd w:val="clear" w:color="auto" w:fill="ffffff"/>
            <w:tcW w:w="4667"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评审指标要求</w:t>
            </w:r>
            <w:r/>
          </w:p>
        </w:tc>
        <w:tc>
          <w:tcPr>
            <w:shd w:val="clear" w:color="auto" w:fill="ffffff"/>
            <w:tcW w:w="3620" w:type="dxa"/>
            <w:vAlign w:val="center"/>
            <w:textDirection w:val="lrTb"/>
            <w:noWrap w:val="false"/>
          </w:tcPr>
          <w:p>
            <w:pPr>
              <w:jc w:val="center"/>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佐证</w:t>
            </w:r>
            <w:r>
              <w:rPr>
                <w:rFonts w:hint="eastAsia" w:ascii="仿宋" w:hAnsi="仿宋" w:eastAsia="仿宋" w:cs="仿宋"/>
                <w:color w:val="auto"/>
                <w:sz w:val="24"/>
                <w:szCs w:val="24"/>
                <w:highlight w:val="none"/>
              </w:rPr>
              <w:t xml:space="preserve">资料</w:t>
            </w:r>
            <w:r>
              <w:rPr>
                <w:rFonts w:hint="eastAsia" w:ascii="仿宋" w:hAnsi="仿宋" w:eastAsia="仿宋" w:cs="仿宋"/>
                <w:bCs/>
                <w:color w:val="auto"/>
                <w:szCs w:val="21"/>
                <w:highlight w:val="none"/>
                <w:lang w:val="en-US" w:eastAsia="zh-CN"/>
              </w:rPr>
              <w:t xml:space="preserve">要求</w:t>
            </w:r>
            <w:r/>
          </w:p>
        </w:tc>
      </w:tr>
      <w:tr>
        <w:trPr>
          <w:jc w:val="center"/>
          <w:trHeight w:val="510"/>
        </w:trPr>
        <w:tc>
          <w:tcPr>
            <w:shd w:val="clear" w:color="auto" w:fill="ffffff"/>
            <w:tcW w:w="672"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地埋篮球架</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通过GB/T 23176-2008《篮球架》全项检测</w:t>
            </w:r>
            <w:r>
              <w:rPr>
                <w:rFonts w:hint="eastAsia" w:ascii="仿宋" w:hAnsi="仿宋" w:eastAsia="仿宋" w:cs="仿宋"/>
                <w:bCs/>
                <w:color w:val="auto"/>
                <w:szCs w:val="21"/>
                <w:highlight w:val="none"/>
              </w:rPr>
              <w:t xml:space="preserve">，须体现伸臂尺寸。</w:t>
            </w:r>
            <w:r/>
          </w:p>
        </w:tc>
        <w:tc>
          <w:tcPr>
            <w:shd w:val="clear" w:color="auto" w:fill="ffffff"/>
            <w:tcW w:w="3620"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提供第三方检测机构出具的带有CMA标识的检测报告复印件加盖制造厂家公章,</w:t>
            </w:r>
            <w:r>
              <w:rPr>
                <w:rFonts w:hint="eastAsia" w:ascii="仿宋" w:hAnsi="仿宋" w:eastAsia="仿宋" w:cs="仿宋"/>
                <w:bCs/>
                <w:color w:val="auto"/>
                <w:szCs w:val="21"/>
                <w:highlight w:val="none"/>
              </w:rPr>
              <w:t xml:space="preserve"> </w:t>
            </w:r>
            <w:r>
              <w:rPr>
                <w:rFonts w:hint="eastAsia" w:ascii="仿宋" w:hAnsi="仿宋" w:eastAsia="仿宋" w:cs="仿宋"/>
                <w:bCs/>
                <w:color w:val="auto"/>
                <w:szCs w:val="21"/>
                <w:highlight w:val="none"/>
                <w:lang w:bidi="ar"/>
              </w:rPr>
              <w:t xml:space="preserve">检测报告须明确体现检测结论为合格（或符合、通过）。</w:t>
            </w:r>
            <w:r/>
          </w:p>
        </w:tc>
      </w:tr>
      <w:tr>
        <w:trPr>
          <w:jc w:val="center"/>
          <w:trHeight w:val="510"/>
        </w:trPr>
        <w:tc>
          <w:tcPr>
            <w:shd w:val="clear" w:color="auto" w:fill="ffffff"/>
            <w:tcW w:w="672"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2</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插地式排球柱</w:t>
            </w:r>
            <w:r/>
          </w:p>
        </w:tc>
        <w:tc>
          <w:tcPr>
            <w:shd w:val="clear" w:color="auto" w:fill="ffffff"/>
            <w:tcW w:w="4667" w:type="dxa"/>
            <w:vAlign w:val="center"/>
            <w:textDirection w:val="lrTb"/>
            <w:noWrap w:val="false"/>
          </w:tcPr>
          <w:p>
            <w:pPr>
              <w:jc w:val="left"/>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通过GB/T19851.13-2007</w:t>
            </w:r>
            <w:r>
              <w:rPr>
                <w:rFonts w:hint="eastAsia" w:ascii="仿宋" w:hAnsi="仿宋" w:eastAsia="仿宋" w:cs="仿宋"/>
                <w:bCs/>
                <w:color w:val="auto"/>
                <w:szCs w:val="21"/>
                <w:highlight w:val="none"/>
                <w:lang w:eastAsia="zh-CN"/>
              </w:rPr>
              <w:t xml:space="preserve">《中小学体育器材和场地第13部分:排球网柱、羽毛球网柱、网球网柱》</w:t>
            </w:r>
            <w:r>
              <w:rPr>
                <w:rFonts w:hint="eastAsia" w:ascii="仿宋" w:hAnsi="仿宋" w:eastAsia="仿宋" w:cs="仿宋"/>
                <w:bCs/>
                <w:color w:val="auto"/>
                <w:szCs w:val="21"/>
                <w:highlight w:val="none"/>
              </w:rPr>
              <w:t xml:space="preserve">全项检测</w:t>
            </w:r>
            <w:r/>
          </w:p>
        </w:tc>
        <w:tc>
          <w:tcPr>
            <w:shd w:val="clear" w:color="auto" w:fill="ffffff"/>
            <w:tcW w:w="3620"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提供第三方检测机构出具的带有CMA标识的检测报告复印件加盖制造厂家公章，</w:t>
            </w:r>
            <w:r>
              <w:rPr>
                <w:rFonts w:ascii="仿宋" w:hAnsi="仿宋" w:eastAsia="仿宋" w:cs="仿宋"/>
                <w:bCs/>
                <w:color w:val="auto"/>
                <w:szCs w:val="21"/>
                <w:highlight w:val="none"/>
                <w:lang w:bidi="ar"/>
              </w:rPr>
              <w:t xml:space="preserve">检测报告须明确体现检测结论为合格（或符合、通过）</w:t>
            </w:r>
            <w:r>
              <w:rPr>
                <w:rFonts w:hint="eastAsia" w:ascii="仿宋" w:hAnsi="仿宋" w:eastAsia="仿宋" w:cs="仿宋"/>
                <w:bCs/>
                <w:color w:val="auto"/>
                <w:szCs w:val="21"/>
                <w:highlight w:val="none"/>
                <w:lang w:bidi="ar"/>
              </w:rPr>
              <w:t xml:space="preserve">。</w:t>
            </w:r>
            <w:r/>
          </w:p>
        </w:tc>
      </w:tr>
      <w:tr>
        <w:trPr>
          <w:jc w:val="center"/>
          <w:trHeight w:val="510"/>
        </w:trPr>
        <w:tc>
          <w:tcPr>
            <w:shd w:val="clear" w:color="auto" w:fill="ffffff"/>
            <w:tcW w:w="672"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3</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高单杠</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通过GB/T 19851.2-2005</w:t>
            </w:r>
            <w:r>
              <w:rPr>
                <w:rFonts w:hint="eastAsia" w:ascii="仿宋" w:hAnsi="仿宋" w:eastAsia="仿宋" w:cs="仿宋"/>
                <w:bCs/>
                <w:color w:val="auto"/>
                <w:szCs w:val="21"/>
                <w:highlight w:val="none"/>
                <w:lang w:eastAsia="zh-CN"/>
              </w:rPr>
              <w:t xml:space="preserve">《中小学体育器材和场地第2部分：体操器材》</w:t>
            </w:r>
            <w:r>
              <w:rPr>
                <w:rFonts w:hint="eastAsia" w:ascii="仿宋" w:hAnsi="仿宋" w:eastAsia="仿宋" w:cs="仿宋"/>
                <w:bCs/>
                <w:color w:val="auto"/>
                <w:szCs w:val="21"/>
                <w:highlight w:val="none"/>
              </w:rPr>
              <w:t xml:space="preserve">全项检测</w:t>
            </w:r>
            <w:r/>
          </w:p>
        </w:tc>
        <w:tc>
          <w:tcPr>
            <w:shd w:val="clear" w:color="auto" w:fill="ffffff"/>
            <w:tcW w:w="3620"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提供第三方检测机构出具的带有CMA标识的检测报告复印件加盖制造厂家公章，</w:t>
            </w:r>
            <w:r>
              <w:rPr>
                <w:rFonts w:ascii="仿宋" w:hAnsi="仿宋" w:eastAsia="仿宋" w:cs="仿宋"/>
                <w:bCs/>
                <w:color w:val="auto"/>
                <w:szCs w:val="21"/>
                <w:highlight w:val="none"/>
                <w:lang w:bidi="ar"/>
              </w:rPr>
              <w:t xml:space="preserve">检测报告须明确体现检测结论为合格（或符合、通过）</w:t>
            </w:r>
            <w:r>
              <w:rPr>
                <w:rFonts w:hint="eastAsia" w:ascii="仿宋" w:hAnsi="仿宋" w:eastAsia="仿宋" w:cs="仿宋"/>
                <w:bCs/>
                <w:color w:val="auto"/>
                <w:szCs w:val="21"/>
                <w:highlight w:val="none"/>
                <w:lang w:bidi="ar"/>
              </w:rPr>
              <w:t xml:space="preserve">。</w:t>
            </w:r>
            <w:r/>
          </w:p>
        </w:tc>
      </w:tr>
      <w:tr>
        <w:trPr>
          <w:jc w:val="center"/>
          <w:trHeight w:val="510"/>
        </w:trPr>
        <w:tc>
          <w:tcPr>
            <w:shd w:val="clear" w:color="auto" w:fill="ffffff"/>
            <w:tcW w:w="672"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4</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单杠</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通过GB/T 19851.2-2005</w:t>
            </w:r>
            <w:r>
              <w:rPr>
                <w:rFonts w:hint="eastAsia" w:ascii="仿宋" w:hAnsi="仿宋" w:eastAsia="仿宋" w:cs="仿宋"/>
                <w:bCs/>
                <w:color w:val="auto"/>
                <w:szCs w:val="21"/>
                <w:highlight w:val="none"/>
                <w:lang w:eastAsia="zh-CN"/>
              </w:rPr>
              <w:t xml:space="preserve">《中小学体育器材和场地第2部分：体操器材》</w:t>
            </w:r>
            <w:r>
              <w:rPr>
                <w:rFonts w:hint="eastAsia" w:ascii="仿宋" w:hAnsi="仿宋" w:eastAsia="仿宋" w:cs="仿宋"/>
                <w:bCs/>
                <w:color w:val="auto"/>
                <w:szCs w:val="21"/>
                <w:highlight w:val="none"/>
              </w:rPr>
              <w:t xml:space="preserve">全项检测</w:t>
            </w:r>
            <w:r/>
          </w:p>
        </w:tc>
        <w:tc>
          <w:tcPr>
            <w:shd w:val="clear" w:color="auto" w:fill="ffffff"/>
            <w:tcW w:w="3620"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提供第三方检测机构出具的带有CMA标识的检测报告复印件加盖制造厂家公章，</w:t>
            </w:r>
            <w:r>
              <w:rPr>
                <w:rFonts w:ascii="仿宋" w:hAnsi="仿宋" w:eastAsia="仿宋" w:cs="仿宋"/>
                <w:bCs/>
                <w:color w:val="auto"/>
                <w:szCs w:val="21"/>
                <w:highlight w:val="none"/>
                <w:lang w:bidi="ar"/>
              </w:rPr>
              <w:t xml:space="preserve">检测报告须明确体现检测结论为合格（或符合、通过）</w:t>
            </w:r>
            <w:r>
              <w:rPr>
                <w:rFonts w:hint="eastAsia" w:ascii="仿宋" w:hAnsi="仿宋" w:eastAsia="仿宋" w:cs="仿宋"/>
                <w:bCs/>
                <w:color w:val="auto"/>
                <w:szCs w:val="21"/>
                <w:highlight w:val="none"/>
                <w:lang w:bidi="ar"/>
              </w:rPr>
              <w:t xml:space="preserve">。</w:t>
            </w:r>
            <w:r/>
          </w:p>
        </w:tc>
      </w:tr>
      <w:tr>
        <w:trPr>
          <w:jc w:val="center"/>
          <w:trHeight w:val="510"/>
        </w:trPr>
        <w:tc>
          <w:tcPr>
            <w:shd w:val="clear" w:color="auto" w:fill="ffffff"/>
            <w:tcW w:w="672"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5</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高双杠</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通过GB/T 19851.2-2005</w:t>
            </w:r>
            <w:r>
              <w:rPr>
                <w:rFonts w:hint="eastAsia" w:ascii="仿宋" w:hAnsi="仿宋" w:eastAsia="仿宋" w:cs="仿宋"/>
                <w:bCs/>
                <w:color w:val="auto"/>
                <w:szCs w:val="21"/>
                <w:highlight w:val="none"/>
                <w:lang w:eastAsia="zh-CN"/>
              </w:rPr>
              <w:t xml:space="preserve">《中小学体育器材和场地第2部分：体操器材》</w:t>
            </w:r>
            <w:r>
              <w:rPr>
                <w:rFonts w:hint="eastAsia" w:ascii="仿宋" w:hAnsi="仿宋" w:eastAsia="仿宋" w:cs="仿宋"/>
                <w:bCs/>
                <w:color w:val="auto"/>
                <w:szCs w:val="21"/>
                <w:highlight w:val="none"/>
              </w:rPr>
              <w:t xml:space="preserve">全项检测</w:t>
            </w:r>
            <w:r/>
          </w:p>
        </w:tc>
        <w:tc>
          <w:tcPr>
            <w:shd w:val="clear" w:color="auto" w:fill="ffffff"/>
            <w:tcW w:w="3620"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提供第三方检测机构出具的带有CMA标识的检测报告复印件加盖制造厂家公章，</w:t>
            </w:r>
            <w:r>
              <w:rPr>
                <w:rFonts w:ascii="仿宋" w:hAnsi="仿宋" w:eastAsia="仿宋" w:cs="仿宋"/>
                <w:bCs/>
                <w:color w:val="auto"/>
                <w:szCs w:val="21"/>
                <w:highlight w:val="none"/>
                <w:lang w:bidi="ar"/>
              </w:rPr>
              <w:t xml:space="preserve">检测报告须明确体现检测结论为合格（或符合、通过）</w:t>
            </w:r>
            <w:r>
              <w:rPr>
                <w:rFonts w:hint="eastAsia" w:ascii="仿宋" w:hAnsi="仿宋" w:eastAsia="仿宋" w:cs="仿宋"/>
                <w:bCs/>
                <w:color w:val="auto"/>
                <w:szCs w:val="21"/>
                <w:highlight w:val="none"/>
                <w:lang w:bidi="ar"/>
              </w:rPr>
              <w:t xml:space="preserve">。</w:t>
            </w:r>
            <w:r/>
          </w:p>
        </w:tc>
      </w:tr>
      <w:tr>
        <w:trPr>
          <w:jc w:val="center"/>
          <w:trHeight w:val="510"/>
        </w:trPr>
        <w:tc>
          <w:tcPr>
            <w:shd w:val="clear" w:color="auto" w:fill="ffffff"/>
            <w:tcW w:w="672"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6</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双杠</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通过GB/T 19851.2-2005</w:t>
            </w:r>
            <w:r>
              <w:rPr>
                <w:rFonts w:hint="eastAsia" w:ascii="仿宋" w:hAnsi="仿宋" w:eastAsia="仿宋" w:cs="仿宋"/>
                <w:bCs/>
                <w:color w:val="auto"/>
                <w:szCs w:val="21"/>
                <w:highlight w:val="none"/>
                <w:lang w:eastAsia="zh-CN"/>
              </w:rPr>
              <w:t xml:space="preserve">《中小学体育器材和场地第2部分：体操器材》</w:t>
            </w:r>
            <w:r>
              <w:rPr>
                <w:rFonts w:hint="eastAsia" w:ascii="仿宋" w:hAnsi="仿宋" w:eastAsia="仿宋" w:cs="仿宋"/>
                <w:bCs/>
                <w:color w:val="auto"/>
                <w:szCs w:val="21"/>
                <w:highlight w:val="none"/>
              </w:rPr>
              <w:t xml:space="preserve">全项检测</w:t>
            </w:r>
            <w:r/>
          </w:p>
        </w:tc>
        <w:tc>
          <w:tcPr>
            <w:shd w:val="clear" w:color="auto" w:fill="ffffff"/>
            <w:tcW w:w="3620"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提供第三方检测机构出具的带有CMA标识的检测报告复印件加盖制造厂家公章，</w:t>
            </w:r>
            <w:r>
              <w:rPr>
                <w:rFonts w:ascii="仿宋" w:hAnsi="仿宋" w:eastAsia="仿宋" w:cs="仿宋"/>
                <w:bCs/>
                <w:color w:val="auto"/>
                <w:szCs w:val="21"/>
                <w:highlight w:val="none"/>
                <w:lang w:bidi="ar"/>
              </w:rPr>
              <w:t xml:space="preserve">检测报告须明确体现检测结论为合格（或符合、通过）</w:t>
            </w:r>
            <w:r>
              <w:rPr>
                <w:rFonts w:hint="eastAsia" w:ascii="仿宋" w:hAnsi="仿宋" w:eastAsia="仿宋" w:cs="仿宋"/>
                <w:bCs/>
                <w:color w:val="auto"/>
                <w:szCs w:val="21"/>
                <w:highlight w:val="none"/>
                <w:lang w:bidi="ar"/>
              </w:rPr>
              <w:t xml:space="preserve">。</w:t>
            </w:r>
            <w:r/>
          </w:p>
        </w:tc>
      </w:tr>
      <w:tr>
        <w:trPr>
          <w:jc w:val="center"/>
          <w:trHeight w:val="510"/>
        </w:trPr>
        <w:tc>
          <w:tcPr>
            <w:shd w:val="clear" w:color="auto" w:fill="ffffff"/>
            <w:tcW w:w="672"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7</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11人制移动足球门</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通过GB/T 19851.15-2007</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中小学体育器材和场地第15部分</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足球门</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全项检测</w:t>
            </w:r>
            <w:r/>
          </w:p>
        </w:tc>
        <w:tc>
          <w:tcPr>
            <w:shd w:val="clear" w:color="auto" w:fill="ffffff"/>
            <w:tcW w:w="3620"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提供第三方检测机构出具的带有CMA标识的检测报告复印件加盖制造厂家公章，</w:t>
            </w:r>
            <w:r>
              <w:rPr>
                <w:rFonts w:ascii="仿宋" w:hAnsi="仿宋" w:eastAsia="仿宋" w:cs="仿宋"/>
                <w:bCs/>
                <w:color w:val="auto"/>
                <w:szCs w:val="21"/>
                <w:highlight w:val="none"/>
                <w:lang w:bidi="ar"/>
              </w:rPr>
              <w:t xml:space="preserve">检测报告须明确体现检测结论为合格（或符合、通过）</w:t>
            </w:r>
            <w:r>
              <w:rPr>
                <w:rFonts w:hint="eastAsia" w:ascii="仿宋" w:hAnsi="仿宋" w:eastAsia="仿宋" w:cs="仿宋"/>
                <w:bCs/>
                <w:color w:val="auto"/>
                <w:szCs w:val="21"/>
                <w:highlight w:val="none"/>
                <w:lang w:bidi="ar"/>
              </w:rPr>
              <w:t xml:space="preserve">。</w:t>
            </w:r>
            <w:r/>
          </w:p>
        </w:tc>
      </w:tr>
      <w:tr>
        <w:trPr>
          <w:jc w:val="center"/>
          <w:trHeight w:val="510"/>
        </w:trPr>
        <w:tc>
          <w:tcPr>
            <w:shd w:val="clear" w:color="auto" w:fill="ffffff"/>
            <w:tcW w:w="672"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8</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7人制移动足球门</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通过GB/T 19851.15-2007</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中小学体育器材和场地第15部分</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足球门</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全项检测</w:t>
            </w:r>
            <w:r/>
          </w:p>
        </w:tc>
        <w:tc>
          <w:tcPr>
            <w:shd w:val="clear" w:color="auto" w:fill="ffffff"/>
            <w:tcW w:w="3620"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提供第三方检测机构出具的带有CMA标识的检测报告复印件加盖制造厂家公章，</w:t>
            </w:r>
            <w:r>
              <w:rPr>
                <w:rFonts w:ascii="仿宋" w:hAnsi="仿宋" w:eastAsia="仿宋" w:cs="仿宋"/>
                <w:bCs/>
                <w:color w:val="auto"/>
                <w:szCs w:val="21"/>
                <w:highlight w:val="none"/>
                <w:lang w:bidi="ar"/>
              </w:rPr>
              <w:t xml:space="preserve">检测报告须明确体现检测结论为合格（或符合、通过）</w:t>
            </w:r>
            <w:r>
              <w:rPr>
                <w:rFonts w:hint="eastAsia" w:ascii="仿宋" w:hAnsi="仿宋" w:eastAsia="仿宋" w:cs="仿宋"/>
                <w:bCs/>
                <w:color w:val="auto"/>
                <w:szCs w:val="21"/>
                <w:highlight w:val="none"/>
                <w:lang w:bidi="ar"/>
              </w:rPr>
              <w:t xml:space="preserve">。</w:t>
            </w:r>
            <w:r/>
          </w:p>
        </w:tc>
      </w:tr>
      <w:tr>
        <w:trPr>
          <w:jc w:val="center"/>
          <w:trHeight w:val="510"/>
        </w:trPr>
        <w:tc>
          <w:tcPr>
            <w:shd w:val="clear" w:color="auto" w:fill="ffffff"/>
            <w:tcW w:w="672" w:type="dxa"/>
            <w:vAlign w:val="center"/>
            <w:textDirection w:val="lrTb"/>
            <w:noWrap w:val="false"/>
          </w:tcPr>
          <w:p>
            <w:pPr>
              <w:jc w:val="center"/>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lang w:val="en-US" w:eastAsia="zh-CN"/>
              </w:rPr>
              <w:t xml:space="preserve">9</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电动悬空篮架</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通过GB/T 23176-2008</w:t>
            </w:r>
            <w:r>
              <w:rPr>
                <w:rFonts w:hint="eastAsia" w:ascii="仿宋" w:hAnsi="仿宋" w:eastAsia="仿宋" w:cs="仿宋"/>
                <w:bCs/>
                <w:color w:val="auto"/>
                <w:szCs w:val="21"/>
                <w:highlight w:val="none"/>
                <w:lang w:bidi="ar"/>
              </w:rPr>
              <w:t xml:space="preserve">《篮球架》</w:t>
            </w:r>
            <w:r>
              <w:rPr>
                <w:rFonts w:hint="eastAsia" w:ascii="仿宋" w:hAnsi="仿宋" w:eastAsia="仿宋" w:cs="仿宋"/>
                <w:bCs/>
                <w:color w:val="auto"/>
                <w:szCs w:val="21"/>
                <w:highlight w:val="none"/>
              </w:rPr>
              <w:t xml:space="preserve">全项检测</w:t>
            </w:r>
            <w:r/>
          </w:p>
        </w:tc>
        <w:tc>
          <w:tcPr>
            <w:shd w:val="clear" w:color="auto" w:fill="ffffff"/>
            <w:tcW w:w="3620"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提供第三方检测机构出具的带有CMA标识的检测报告复印件加盖制造厂家公章，</w:t>
            </w:r>
            <w:r>
              <w:rPr>
                <w:rFonts w:ascii="仿宋" w:hAnsi="仿宋" w:eastAsia="仿宋" w:cs="仿宋"/>
                <w:bCs/>
                <w:color w:val="auto"/>
                <w:szCs w:val="21"/>
                <w:highlight w:val="none"/>
                <w:lang w:bidi="ar"/>
              </w:rPr>
              <w:t xml:space="preserve">检测报告须明确体现检测结论为合格（或符合、通过）</w:t>
            </w:r>
            <w:r>
              <w:rPr>
                <w:rFonts w:hint="eastAsia" w:ascii="仿宋" w:hAnsi="仿宋" w:eastAsia="仿宋" w:cs="仿宋"/>
                <w:bCs/>
                <w:color w:val="auto"/>
                <w:szCs w:val="21"/>
                <w:highlight w:val="none"/>
                <w:lang w:bidi="ar"/>
              </w:rPr>
              <w:t xml:space="preserve">。</w:t>
            </w:r>
            <w:r/>
          </w:p>
        </w:tc>
      </w:tr>
      <w:tr>
        <w:trPr>
          <w:jc w:val="center"/>
          <w:trHeight w:val="510"/>
        </w:trPr>
        <w:tc>
          <w:tcPr>
            <w:shd w:val="clear" w:color="auto" w:fill="ffffff"/>
            <w:tcW w:w="672" w:type="dxa"/>
            <w:vAlign w:val="center"/>
            <w:textDirection w:val="lrTb"/>
            <w:noWrap w:val="false"/>
          </w:tcPr>
          <w:p>
            <w:pPr>
              <w:jc w:val="center"/>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0</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训练乒乓球台</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通过GB/T 32597-2016</w:t>
            </w:r>
            <w:r>
              <w:rPr>
                <w:rFonts w:hint="eastAsia" w:ascii="仿宋" w:hAnsi="仿宋" w:eastAsia="仿宋" w:cs="仿宋"/>
                <w:bCs/>
                <w:color w:val="auto"/>
                <w:szCs w:val="21"/>
                <w:highlight w:val="none"/>
                <w:lang w:eastAsia="zh-CN"/>
              </w:rPr>
              <w:t xml:space="preserve">《乒乓球台的安全、性能要求和试验方法》</w:t>
            </w:r>
            <w:r>
              <w:rPr>
                <w:rFonts w:hint="eastAsia" w:ascii="仿宋" w:hAnsi="仿宋" w:eastAsia="仿宋" w:cs="仿宋"/>
                <w:bCs/>
                <w:color w:val="auto"/>
                <w:szCs w:val="21"/>
                <w:highlight w:val="none"/>
              </w:rPr>
              <w:t xml:space="preserve">全项检测</w:t>
            </w:r>
            <w:r/>
          </w:p>
        </w:tc>
        <w:tc>
          <w:tcPr>
            <w:shd w:val="clear" w:color="auto" w:fill="ffffff"/>
            <w:tcW w:w="3620"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提供第三方检测机构出具的带有</w:t>
            </w:r>
            <w:r>
              <w:rPr>
                <w:rFonts w:ascii="仿宋" w:hAnsi="仿宋" w:eastAsia="仿宋" w:cs="仿宋"/>
                <w:color w:val="auto"/>
                <w:szCs w:val="21"/>
                <w:highlight w:val="none"/>
                <w:lang w:bidi="ar"/>
              </w:rPr>
              <w:t xml:space="preserve">CMA标识的检测报告复印件加盖制造厂家公章检测报告须明确体现检测结论为合格（或符合、通过）</w:t>
            </w:r>
            <w:r>
              <w:rPr>
                <w:rFonts w:hint="eastAsia" w:ascii="仿宋" w:hAnsi="仿宋" w:eastAsia="仿宋" w:cs="仿宋"/>
                <w:color w:val="auto"/>
                <w:szCs w:val="21"/>
                <w:highlight w:val="none"/>
                <w:lang w:bidi="ar"/>
              </w:rPr>
              <w:t xml:space="preserve">。</w:t>
            </w:r>
            <w:r/>
          </w:p>
        </w:tc>
      </w:tr>
      <w:tr>
        <w:trPr>
          <w:jc w:val="center"/>
          <w:trHeight w:val="510"/>
        </w:trPr>
        <w:tc>
          <w:tcPr>
            <w:shd w:val="clear" w:color="auto" w:fill="ffffff"/>
            <w:tcW w:w="672" w:type="dxa"/>
            <w:vAlign w:val="center"/>
            <w:textDirection w:val="lrTb"/>
            <w:noWrap w:val="false"/>
          </w:tcPr>
          <w:p>
            <w:pPr>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11</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深蹲架</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表面处理：主架需采用优质的烤漆工艺，表面涂层依据GB/T 10125-2021《人造气氛腐蚀试验 盐雾实验》，检测室内器材表面涂层通过中性盐雾实验（≥1000h），检测结果需外观评级≥9级、保护评级≥9级</w:t>
            </w:r>
            <w:r/>
          </w:p>
        </w:tc>
        <w:tc>
          <w:tcPr>
            <w:shd w:val="clear" w:color="auto" w:fill="ffffff"/>
            <w:tcW w:w="3620"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提供满足本项技术性能指标要求的第三方检测机构出具的带有CMA标识的检测报告复印件加盖制造厂家公章</w:t>
            </w:r>
            <w:r>
              <w:rPr>
                <w:rFonts w:hint="eastAsia" w:ascii="仿宋" w:hAnsi="仿宋" w:eastAsia="仿宋" w:cs="仿宋"/>
                <w:color w:val="auto"/>
                <w:szCs w:val="21"/>
                <w:highlight w:val="none"/>
              </w:rPr>
              <w:t xml:space="preserve">。    </w:t>
            </w:r>
            <w:r/>
          </w:p>
        </w:tc>
      </w:tr>
      <w:tr>
        <w:trPr>
          <w:jc w:val="center"/>
          <w:trHeight w:val="510"/>
        </w:trPr>
        <w:tc>
          <w:tcPr>
            <w:shd w:val="clear" w:color="auto" w:fill="ffffff"/>
            <w:tcW w:w="672" w:type="dxa"/>
            <w:vAlign w:val="center"/>
            <w:textDirection w:val="lrTb"/>
            <w:noWrap w:val="false"/>
          </w:tcPr>
          <w:p>
            <w:pPr>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12</w:t>
            </w:r>
            <w:r/>
          </w:p>
        </w:tc>
        <w:tc>
          <w:tcPr>
            <w:shd w:val="clear" w:color="auto" w:fill="ffffff"/>
            <w:tcW w:w="1126" w:type="dxa"/>
            <w:vAlign w:val="center"/>
            <w:textDirection w:val="lrTb"/>
            <w:noWrap w:val="false"/>
          </w:tcPr>
          <w:p>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可调式双滑轮多功能训练机</w:t>
            </w:r>
            <w:r/>
          </w:p>
        </w:tc>
        <w:tc>
          <w:tcPr>
            <w:shd w:val="clear" w:color="auto" w:fill="ffffff"/>
            <w:tcW w:w="4667" w:type="dxa"/>
            <w:vAlign w:val="center"/>
            <w:textDirection w:val="lrTb"/>
            <w:noWrap w:val="false"/>
          </w:tcPr>
          <w:p>
            <w:pPr>
              <w:rPr>
                <w:rFonts w:ascii="仿宋" w:hAnsi="仿宋" w:eastAsia="仿宋" w:cs="仿宋"/>
                <w:bCs/>
                <w:color w:val="auto"/>
                <w:szCs w:val="21"/>
                <w:highlight w:val="none"/>
              </w:rPr>
            </w:pPr>
            <w:r>
              <w:rPr>
                <w:rFonts w:hint="eastAsia" w:ascii="仿宋" w:hAnsi="仿宋" w:eastAsia="仿宋" w:cs="仿宋"/>
                <w:color w:val="auto"/>
                <w:szCs w:val="21"/>
                <w:highlight w:val="none"/>
              </w:rPr>
              <w:t xml:space="preserve">阻力形式：配重铁；牵索形式：钢索，其中钢索依据GB/T8358-2023《钢丝绳 破断拉力测定方法》,检测结果钢索破断拉力≥9.5KN。</w:t>
            </w:r>
            <w:r/>
          </w:p>
        </w:tc>
        <w:tc>
          <w:tcPr>
            <w:shd w:val="clear" w:color="auto" w:fill="ffffff"/>
            <w:tcW w:w="3620"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提供满足本项技术性能指标要求的第三方检测机构出具的带有CMA标识的检测报告复印件加盖制造厂家公章</w:t>
            </w:r>
            <w:r>
              <w:rPr>
                <w:rFonts w:hint="eastAsia" w:ascii="仿宋" w:hAnsi="仿宋" w:eastAsia="仿宋" w:cs="仿宋"/>
                <w:color w:val="auto"/>
                <w:szCs w:val="21"/>
                <w:highlight w:val="none"/>
              </w:rPr>
              <w:t xml:space="preserve">。    </w:t>
            </w:r>
            <w:r/>
          </w:p>
        </w:tc>
      </w:tr>
    </w:tbl>
    <w:p>
      <w:pPr>
        <w:pStyle w:val="1218"/>
        <w:ind w:firstLine="0"/>
        <w:jc w:val="both"/>
        <w:rPr>
          <w:rFonts w:ascii="宋体" w:hAnsi="宋体"/>
          <w:b w:val="0"/>
          <w:color w:val="auto"/>
          <w:sz w:val="24"/>
          <w:szCs w:val="24"/>
          <w:highlight w:val="none"/>
        </w:rPr>
      </w:pPr>
      <w:r>
        <w:rPr>
          <w:rFonts w:ascii="宋体" w:hAnsi="宋体"/>
          <w:b w:val="0"/>
          <w:color w:val="auto"/>
          <w:sz w:val="24"/>
          <w:szCs w:val="24"/>
          <w:highlight w:val="none"/>
        </w:rPr>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、产品功能演示（</w:t>
      </w:r>
      <w:r>
        <w:rPr>
          <w:rFonts w:hint="eastAsia" w:ascii="仿宋" w:hAnsi="仿宋" w:eastAsia="仿宋" w:cs="仿宋"/>
          <w:b/>
          <w:color w:val="auto"/>
          <w:sz w:val="24"/>
          <w:szCs w:val="24"/>
          <w:highlight w:val="none"/>
          <w:lang w:val="en-US" w:eastAsia="zh-CN"/>
        </w:rPr>
        <w:t xml:space="preserve">16</w:t>
      </w:r>
      <w:r>
        <w:rPr>
          <w:rFonts w:hint="eastAsia" w:ascii="仿宋" w:hAnsi="仿宋" w:eastAsia="仿宋" w:cs="仿宋"/>
          <w:b/>
          <w:color w:val="auto"/>
          <w:sz w:val="24"/>
          <w:szCs w:val="24"/>
          <w:highlight w:val="none"/>
        </w:rPr>
        <w:t xml:space="preserve">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投标人提交演示视频（mp4/avi），单文件≤50M，总文件≤300M。每项</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分，最多</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（1）数字大脑：全校运动数据多维度分析（</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分）与综合展示（</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（2）身高体重一体机：人脸识别（</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分）→个人界面（</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分）→成绩报告（</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（3）肺活量一体机：人脸识别（</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分）→实时数值（</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分）→成绩记录（</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未上传或无法播放的</w:t>
      </w:r>
      <w:r>
        <w:rPr>
          <w:rFonts w:hint="eastAsia" w:ascii="仿宋" w:hAnsi="仿宋" w:eastAsia="仿宋" w:cs="仿宋"/>
          <w:color w:val="auto"/>
          <w:sz w:val="24"/>
          <w:szCs w:val="24"/>
          <w:highlight w:val="none"/>
          <w:lang w:val="en-US" w:eastAsia="zh-CN"/>
        </w:rPr>
        <w:t xml:space="preserve">对应</w:t>
      </w:r>
      <w:r>
        <w:rPr>
          <w:rFonts w:hint="eastAsia" w:ascii="仿宋" w:hAnsi="仿宋" w:eastAsia="仿宋" w:cs="仿宋"/>
          <w:color w:val="auto"/>
          <w:sz w:val="24"/>
          <w:szCs w:val="24"/>
          <w:highlight w:val="none"/>
        </w:rPr>
        <w:t xml:space="preserve">项不得分。</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、优质产品（1</w:t>
      </w: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分）</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羽毛球地胶</w:t>
      </w:r>
      <w:r>
        <w:rPr>
          <w:rFonts w:hint="eastAsia" w:ascii="仿宋" w:hAnsi="仿宋" w:eastAsia="仿宋" w:cs="仿宋"/>
          <w:b/>
          <w:color w:val="auto"/>
          <w:sz w:val="24"/>
          <w:szCs w:val="24"/>
          <w:highlight w:val="none"/>
        </w:rPr>
        <w:t xml:space="preserve">（8分）</w:t>
      </w:r>
      <w:r/>
    </w:p>
    <w:p>
      <w:pPr>
        <w:ind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①环境适应性</w:t>
      </w:r>
      <w:r>
        <w:rPr>
          <w:rFonts w:hint="eastAsia" w:ascii="仿宋" w:hAnsi="仿宋" w:eastAsia="仿宋" w:cs="仿宋"/>
          <w:color w:val="auto"/>
          <w:sz w:val="24"/>
          <w:szCs w:val="24"/>
          <w:highlight w:val="none"/>
        </w:rPr>
        <w:t xml:space="preserve">（4分）</w:t>
      </w:r>
      <w:r/>
    </w:p>
    <w:p>
      <w:pPr>
        <w:ind w:firstLine="482"/>
        <w:spacing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湿热-冻融-氙灯-雨水浸泡环境适应性循环测试时间≥3000h</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sz w:val="24"/>
          <w:szCs w:val="24"/>
          <w:highlight w:val="none"/>
        </w:rPr>
        <w:t xml:space="preserve">送样日期到签发日期</w:t>
      </w:r>
      <w:r>
        <w:rPr>
          <w:rFonts w:hint="eastAsia" w:ascii="仿宋" w:hAnsi="仿宋" w:eastAsia="仿宋" w:cs="仿宋"/>
          <w:b w:val="0"/>
          <w:bCs/>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，尺寸变化率≤0.4%，硬度70-90Shore A</w:t>
      </w:r>
      <w:r>
        <w:rPr>
          <w:rFonts w:hint="eastAsia" w:ascii="仿宋" w:hAnsi="仿宋" w:eastAsia="仿宋" w:cs="仿宋"/>
          <w:color w:val="auto"/>
          <w:sz w:val="24"/>
          <w:szCs w:val="24"/>
          <w:highlight w:val="none"/>
          <w:lang w:eastAsia="en-US"/>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en-US"/>
        </w:rPr>
        <w:t xml:space="preserve">分；</w:t>
      </w:r>
      <w:r>
        <w:rPr>
          <w:rFonts w:hint="eastAsia" w:ascii="仿宋" w:hAnsi="仿宋" w:eastAsia="仿宋" w:cs="仿宋"/>
          <w:b w:val="0"/>
          <w:bCs w:val="0"/>
          <w:color w:val="auto"/>
          <w:sz w:val="24"/>
          <w:szCs w:val="24"/>
          <w:highlight w:val="none"/>
          <w:lang w:val="en-US" w:eastAsia="zh-CN"/>
        </w:rPr>
        <w:t xml:space="preserve">检测</w:t>
      </w:r>
      <w:r>
        <w:rPr>
          <w:rFonts w:hint="eastAsia" w:ascii="仿宋" w:hAnsi="仿宋" w:eastAsia="仿宋" w:cs="仿宋"/>
          <w:b w:val="0"/>
          <w:bCs w:val="0"/>
          <w:color w:val="auto"/>
          <w:sz w:val="24"/>
          <w:szCs w:val="24"/>
          <w:highlight w:val="none"/>
        </w:rPr>
        <w:t xml:space="preserve">依据GB/T15905-1995《硫化橡胶湿热老化试验方法》、GB/T2423.22-2012《环境试验 第2部分：试验方法 试验N：温度变化》、GB/T16422.2-2022《塑料 实验室光源暴露试验方法 第2部分：氙弧灯》、GB/T11547-2008《塑料 耐液体化学试剂性能的测定》</w:t>
      </w:r>
      <w:r>
        <w:rPr>
          <w:rFonts w:hint="eastAsia" w:ascii="仿宋" w:hAnsi="仿宋" w:eastAsia="仿宋" w:cs="仿宋"/>
          <w:b w:val="0"/>
          <w:bCs w:val="0"/>
          <w:i w:val="0"/>
          <w:iCs w:val="0"/>
          <w:caps w:val="0"/>
          <w:color w:val="auto"/>
          <w:spacing w:val="0"/>
          <w:sz w:val="24"/>
          <w:szCs w:val="24"/>
          <w:highlight w:val="none"/>
          <w:shd w:val="clear" w:color="auto"/>
          <w:lang w:eastAsia="zh-CN"/>
        </w:rPr>
        <w:t xml:space="preserve">，报告结论须为合格，</w:t>
      </w:r>
      <w:r>
        <w:rPr>
          <w:rFonts w:hint="eastAsia" w:ascii="仿宋" w:hAnsi="仿宋" w:eastAsia="仿宋" w:cs="仿宋"/>
          <w:b w:val="0"/>
          <w:bCs/>
          <w:sz w:val="24"/>
          <w:szCs w:val="24"/>
          <w:highlight w:val="none"/>
          <w:lang w:val="en-US" w:eastAsia="zh-CN"/>
        </w:rPr>
        <w:t xml:space="preserve">且</w:t>
      </w:r>
      <w:r>
        <w:rPr>
          <w:rFonts w:hint="eastAsia" w:ascii="仿宋" w:hAnsi="仿宋" w:eastAsia="仿宋" w:cs="仿宋"/>
          <w:b w:val="0"/>
          <w:bCs/>
          <w:sz w:val="24"/>
          <w:szCs w:val="24"/>
          <w:highlight w:val="none"/>
        </w:rPr>
        <w:t xml:space="preserve">清晰体现送样日期、签发日期</w:t>
      </w:r>
      <w:r>
        <w:rPr>
          <w:rFonts w:hint="eastAsia" w:ascii="仿宋" w:hAnsi="仿宋" w:eastAsia="仿宋" w:cs="仿宋"/>
          <w:b w:val="0"/>
          <w:bCs w:val="0"/>
          <w:color w:val="auto"/>
          <w:sz w:val="24"/>
          <w:szCs w:val="24"/>
          <w:highlight w:val="none"/>
          <w:lang w:eastAsia="zh-CN"/>
        </w:rPr>
        <w:t xml:space="preserve">。</w:t>
      </w:r>
      <w:r/>
    </w:p>
    <w:p>
      <w:pPr>
        <w:ind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b w:val="0"/>
          <w:bCs w:val="0"/>
          <w:color w:val="auto"/>
          <w:sz w:val="24"/>
          <w:szCs w:val="24"/>
          <w:highlight w:val="none"/>
        </w:rPr>
        <w:t xml:space="preserve">耐湿热老化</w:t>
      </w:r>
      <w:r>
        <w:rPr>
          <w:rFonts w:hint="eastAsia" w:ascii="仿宋" w:hAnsi="仿宋" w:eastAsia="仿宋" w:cs="仿宋"/>
          <w:color w:val="auto"/>
          <w:sz w:val="24"/>
          <w:szCs w:val="24"/>
          <w:highlight w:val="none"/>
        </w:rPr>
        <w:t xml:space="preserve">（4分）</w:t>
      </w:r>
      <w:r/>
    </w:p>
    <w:p>
      <w:pPr>
        <w:ind w:firstLine="482"/>
        <w:spacing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耐湿热试验时间≥336h</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sz w:val="24"/>
          <w:szCs w:val="24"/>
          <w:highlight w:val="none"/>
        </w:rPr>
        <w:t xml:space="preserve">送样日期到签发日期</w:t>
      </w:r>
      <w:r>
        <w:rPr>
          <w:rFonts w:hint="eastAsia" w:ascii="仿宋" w:hAnsi="仿宋" w:eastAsia="仿宋" w:cs="仿宋"/>
          <w:b w:val="0"/>
          <w:bCs/>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，拉伸强度老化前后≥0.7MPa，拉断伸长率老化前后≥90%，老化前后保持率≥80%</w:t>
      </w:r>
      <w:r>
        <w:rPr>
          <w:rFonts w:hint="eastAsia" w:ascii="仿宋" w:hAnsi="仿宋" w:eastAsia="仿宋" w:cs="仿宋"/>
          <w:color w:val="auto"/>
          <w:sz w:val="24"/>
          <w:szCs w:val="24"/>
          <w:highlight w:val="none"/>
          <w:lang w:eastAsia="en-US"/>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en-US"/>
        </w:rPr>
        <w:t xml:space="preserve">分；</w:t>
      </w:r>
      <w:r>
        <w:rPr>
          <w:rFonts w:hint="eastAsia" w:ascii="仿宋" w:hAnsi="仿宋" w:eastAsia="仿宋" w:cs="仿宋"/>
          <w:b w:val="0"/>
          <w:bCs w:val="0"/>
          <w:color w:val="auto"/>
          <w:sz w:val="24"/>
          <w:szCs w:val="24"/>
          <w:highlight w:val="none"/>
          <w:lang w:val="en-US" w:eastAsia="zh-CN"/>
        </w:rPr>
        <w:t xml:space="preserve">检测</w:t>
      </w:r>
      <w:r>
        <w:rPr>
          <w:rFonts w:hint="eastAsia" w:ascii="仿宋" w:hAnsi="仿宋" w:eastAsia="仿宋" w:cs="仿宋"/>
          <w:b w:val="0"/>
          <w:bCs w:val="0"/>
          <w:color w:val="auto"/>
          <w:sz w:val="24"/>
          <w:szCs w:val="24"/>
          <w:highlight w:val="none"/>
        </w:rPr>
        <w:t xml:space="preserve">依据GB/T 15905-1995《硫化橡胶湿热老化试验方法》</w:t>
      </w:r>
      <w:r>
        <w:rPr>
          <w:rFonts w:hint="eastAsia" w:ascii="仿宋" w:hAnsi="仿宋" w:eastAsia="仿宋" w:cs="仿宋"/>
          <w:b w:val="0"/>
          <w:bCs w:val="0"/>
          <w:i w:val="0"/>
          <w:iCs w:val="0"/>
          <w:caps w:val="0"/>
          <w:color w:val="auto"/>
          <w:spacing w:val="0"/>
          <w:sz w:val="24"/>
          <w:szCs w:val="24"/>
          <w:highlight w:val="none"/>
          <w:shd w:val="clear" w:color="auto"/>
          <w:lang w:eastAsia="zh-CN"/>
        </w:rPr>
        <w:t xml:space="preserve">，报告结论须为合格，</w:t>
      </w:r>
      <w:r>
        <w:rPr>
          <w:rFonts w:hint="eastAsia" w:ascii="仿宋" w:hAnsi="仿宋" w:eastAsia="仿宋" w:cs="仿宋"/>
          <w:b w:val="0"/>
          <w:bCs/>
          <w:sz w:val="24"/>
          <w:szCs w:val="24"/>
          <w:highlight w:val="none"/>
          <w:lang w:val="en-US" w:eastAsia="zh-CN"/>
        </w:rPr>
        <w:t xml:space="preserve">且</w:t>
      </w:r>
      <w:r>
        <w:rPr>
          <w:rFonts w:hint="eastAsia" w:ascii="仿宋" w:hAnsi="仿宋" w:eastAsia="仿宋" w:cs="仿宋"/>
          <w:b w:val="0"/>
          <w:bCs/>
          <w:sz w:val="24"/>
          <w:szCs w:val="24"/>
          <w:highlight w:val="none"/>
        </w:rPr>
        <w:t xml:space="preserve">清晰体现送样日期、签发日期</w:t>
      </w:r>
      <w:r>
        <w:rPr>
          <w:rFonts w:hint="eastAsia" w:ascii="仿宋" w:hAnsi="仿宋" w:eastAsia="仿宋" w:cs="仿宋"/>
          <w:b w:val="0"/>
          <w:bCs w:val="0"/>
          <w:color w:val="auto"/>
          <w:sz w:val="24"/>
          <w:szCs w:val="24"/>
          <w:highlight w:val="none"/>
          <w:lang w:eastAsia="zh-CN"/>
        </w:rPr>
        <w:t xml:space="preserve">。</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（2）智慧体育系统（</w:t>
      </w:r>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rPr>
        <w:t xml:space="preserve">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信息系统安全等级保护（4分）：所投产品制造商具有公安机关备案的等级保护证明，三级及以上等保得4分，其他不得分。提供证明材料，否则不得分。</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（三）实施方案（</w:t>
      </w: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分）</w:t>
      </w:r>
      <w:r/>
    </w:p>
    <w:p>
      <w:pPr>
        <w:pStyle w:val="1218"/>
        <w:ind w:firstLine="480"/>
        <w:jc w:val="both"/>
        <w:spacing w:line="360" w:lineRule="auto"/>
        <w:rPr>
          <w:rFonts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整体供货组织、到货验收、成品保护方案：包含①全品类器材分区域仓储规划、②物流运输防护措施、③到校卸货流程、④数量外观初验、⑤破损退换应急机制、⑥成品保护方案（列明地胶、玻璃篮板、精密体测仪器、保健设备完工防护措施）等，贴合本项目室外/室内/健身/体测/保健多品类大批量供货需求，每满足一项得</w:t>
      </w:r>
      <w:r>
        <w:rPr>
          <w:rFonts w:hint="eastAsia" w:ascii="仿宋" w:hAnsi="仿宋" w:eastAsia="仿宋" w:cs="仿宋"/>
          <w:b w:val="0"/>
          <w:bCs/>
          <w:color w:val="auto"/>
          <w:sz w:val="24"/>
          <w:szCs w:val="24"/>
          <w:highlight w:val="none"/>
          <w:lang w:val="en-US" w:eastAsia="zh-CN"/>
        </w:rPr>
        <w:t xml:space="preserve">0.5</w:t>
      </w:r>
      <w:r>
        <w:rPr>
          <w:rFonts w:hint="eastAsia" w:ascii="仿宋" w:hAnsi="仿宋" w:eastAsia="仿宋" w:cs="仿宋"/>
          <w:b w:val="0"/>
          <w:bCs/>
          <w:color w:val="auto"/>
          <w:sz w:val="24"/>
          <w:szCs w:val="24"/>
          <w:highlight w:val="none"/>
        </w:rPr>
        <w:t xml:space="preserve">分，最高</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分。</w:t>
      </w:r>
      <w:r/>
    </w:p>
    <w:p>
      <w:pPr>
        <w:pStyle w:val="1218"/>
        <w:ind w:firstLine="480"/>
        <w:jc w:val="both"/>
        <w:spacing w:line="360" w:lineRule="auto"/>
        <w:rPr>
          <w:rFonts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室外预埋器材混凝土基础专项施工方案：针对预埋篮球架、单双杠、足球门等列明基坑尺寸、C20混凝土配比、钢筋预埋、养护周期、场地复原、安全围挡等施工细节；方案内容针对本项目且符合本项目实际需求得2分,内容不全不得分。</w:t>
      </w:r>
      <w:r/>
    </w:p>
    <w:p>
      <w:pPr>
        <w:pStyle w:val="1218"/>
        <w:ind w:firstLine="480"/>
        <w:jc w:val="both"/>
        <w:spacing w:line="360" w:lineRule="auto"/>
        <w:rPr>
          <w:rFonts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智慧体测设备部署实施方案：包括体测一体机、校园体育平台软硬件进场、点位布置、网络布线、人脸设备调试、多终端数据对接、校园系统联调完整流程，方案内容针对本项目且符合本项目实际需求得2分,内容不全不得分。</w:t>
      </w:r>
      <w:r/>
    </w:p>
    <w:p>
      <w:pPr>
        <w:pStyle w:val="1218"/>
        <w:ind w:firstLine="480"/>
        <w:jc w:val="both"/>
        <w:spacing w:line="360" w:lineRule="auto"/>
        <w:rPr>
          <w:rFonts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w:t>
      </w:r>
      <w:r>
        <w:rPr>
          <w:rFonts w:ascii="仿宋" w:hAnsi="仿宋" w:eastAsia="仿宋" w:cs="仿宋"/>
          <w:b w:val="0"/>
          <w:bCs/>
          <w:color w:val="auto"/>
          <w:sz w:val="24"/>
          <w:szCs w:val="24"/>
          <w:highlight w:val="none"/>
        </w:rPr>
        <w:t xml:space="preserve">PVC运动地胶铺设专项施工方案：地面基层处理、自流平施工、卷材拼接、高温焊缝、边角收边、完工清洁、短期防滑保护全套工序；方案内容针对本项目且符合本项目实际需求得</w:t>
      </w:r>
      <w:r>
        <w:rPr>
          <w:rFonts w:hint="eastAsia" w:ascii="仿宋" w:hAnsi="仿宋" w:eastAsia="仿宋" w:cs="仿宋"/>
          <w:b w:val="0"/>
          <w:bCs/>
          <w:color w:val="auto"/>
          <w:sz w:val="24"/>
          <w:szCs w:val="24"/>
          <w:highlight w:val="none"/>
          <w:lang w:val="en-US" w:eastAsia="zh-CN"/>
        </w:rPr>
        <w:t xml:space="preserve">2</w:t>
      </w:r>
      <w:r>
        <w:rPr>
          <w:rFonts w:ascii="仿宋" w:hAnsi="仿宋" w:eastAsia="仿宋" w:cs="仿宋"/>
          <w:b w:val="0"/>
          <w:bCs/>
          <w:color w:val="auto"/>
          <w:sz w:val="24"/>
          <w:szCs w:val="24"/>
          <w:highlight w:val="none"/>
        </w:rPr>
        <w:t xml:space="preserve">分,内容不全不得分。未区分乒乓球/羽毛球/体测不同地胶工况不得分。</w:t>
      </w:r>
      <w:r/>
    </w:p>
    <w:p>
      <w:pPr>
        <w:pStyle w:val="1218"/>
        <w:ind w:firstLine="480"/>
        <w:jc w:val="both"/>
        <w:spacing w:line="360" w:lineRule="auto"/>
        <w:rPr>
          <w:rFonts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5.验收方案：全品类分阶段验收包括划分室外器材、室内场馆、健身体操、智慧体测、卫生保健五大独立验收阶段，列明每阶段①</w:t>
      </w:r>
      <w:r>
        <w:rPr>
          <w:rFonts w:hint="eastAsia" w:ascii="仿宋" w:hAnsi="仿宋" w:eastAsia="仿宋" w:cs="仿宋"/>
          <w:b w:val="0"/>
          <w:bCs/>
          <w:color w:val="auto"/>
          <w:sz w:val="24"/>
          <w:szCs w:val="24"/>
          <w:highlight w:val="none"/>
          <w:lang w:val="en-US" w:eastAsia="zh-CN"/>
        </w:rPr>
        <w:t xml:space="preserve">验收流程、</w:t>
      </w:r>
      <w:r>
        <w:rPr>
          <w:rFonts w:hint="eastAsia" w:ascii="仿宋" w:hAnsi="仿宋" w:eastAsia="仿宋" w:cs="仿宋"/>
          <w:b w:val="0"/>
          <w:bCs/>
          <w:color w:val="auto"/>
          <w:sz w:val="24"/>
          <w:szCs w:val="24"/>
          <w:highlight w:val="none"/>
        </w:rPr>
        <w:t xml:space="preserve">②验收指标、③抽检比例、④不合格品处置流程；方案内容针对本项目且符合本项目实际需求的，每满足一项得</w:t>
      </w: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rPr>
        <w:t xml:space="preserve">分，最高</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分。无分阶段划分不得分。</w:t>
      </w:r>
      <w:r/>
    </w:p>
    <w:p>
      <w:pPr>
        <w:ind w:firstLine="480"/>
        <w:spacing w:line="360" w:lineRule="auto"/>
        <w:rPr>
          <w:rFonts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rPr>
        <w:t xml:space="preserve">6.分层级师生操作培训方案：区分体育教师、班主任、学生三层培训对象，分别制定①大型器材、②地胶、③体测系统、④保健设备实操课程，明确培训时长、考核标准，方案内容针对本项目且符合本项目实际需求的，每满足一项得</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分，最高</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分。内容不全或未区分培训对象不得分。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7.售后服务：包含①售后服务人员配备（提供姓名及相关工作经验证明）、②运动会/体育中考等重大活动配合工作、③器材场地保养方案、④故障响应及修复时间、⑤易损件配置、⑥常态化培训计划（</w:t>
      </w:r>
      <w:r>
        <w:rPr>
          <w:rFonts w:ascii="仿宋" w:hAnsi="仿宋" w:eastAsia="仿宋" w:cs="仿宋"/>
          <w:color w:val="auto"/>
          <w:sz w:val="24"/>
          <w:szCs w:val="24"/>
          <w:highlight w:val="none"/>
          <w:lang w:bidi="ar"/>
        </w:rPr>
        <w:t xml:space="preserve">年度免费复训、设备故障简易排查教学、器材日常保养教学、备品更换教学</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等，</w:t>
      </w:r>
      <w:r>
        <w:rPr>
          <w:rFonts w:hint="eastAsia" w:ascii="仿宋" w:hAnsi="仿宋" w:eastAsia="仿宋" w:cs="仿宋"/>
          <w:bCs/>
          <w:color w:val="auto"/>
          <w:sz w:val="24"/>
          <w:szCs w:val="24"/>
          <w:highlight w:val="none"/>
        </w:rPr>
        <w:t xml:space="preserve">方案内容针对本项目且符合本项目实际需求的，</w:t>
      </w:r>
      <w:r>
        <w:rPr>
          <w:rFonts w:hint="eastAsia" w:ascii="仿宋" w:hAnsi="仿宋" w:eastAsia="仿宋" w:cs="仿宋"/>
          <w:color w:val="auto"/>
          <w:sz w:val="24"/>
          <w:szCs w:val="24"/>
          <w:highlight w:val="none"/>
        </w:rPr>
        <w:t xml:space="preserve">每满足一项得0.5分，最高3分。</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（四）类似业绩（</w:t>
      </w:r>
      <w:r>
        <w:rPr>
          <w:rFonts w:hint="eastAsia" w:ascii="仿宋" w:hAnsi="仿宋" w:eastAsia="仿宋" w:cs="仿宋"/>
          <w:b/>
          <w:color w:val="auto"/>
          <w:sz w:val="24"/>
          <w:szCs w:val="24"/>
          <w:highlight w:val="none"/>
          <w:lang w:val="en-US" w:eastAsia="zh-CN"/>
        </w:rPr>
        <w:t xml:space="preserve">10</w:t>
      </w:r>
      <w:r>
        <w:rPr>
          <w:rFonts w:ascii="仿宋" w:hAnsi="仿宋" w:eastAsia="仿宋" w:cs="仿宋"/>
          <w:b/>
          <w:color w:val="auto"/>
          <w:sz w:val="24"/>
          <w:szCs w:val="24"/>
          <w:highlight w:val="none"/>
        </w:rPr>
        <w:t xml:space="preserve">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投标人自</w:t>
      </w:r>
      <w:r>
        <w:rPr>
          <w:rFonts w:ascii="仿宋" w:hAnsi="仿宋" w:eastAsia="仿宋" w:cs="仿宋"/>
          <w:color w:val="auto"/>
          <w:sz w:val="24"/>
          <w:szCs w:val="24"/>
          <w:highlight w:val="none"/>
        </w:rPr>
        <w:t xml:space="preserve">2023年7月1日起至今</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以合同签订时间为准）</w:t>
      </w:r>
      <w:r>
        <w:rPr>
          <w:rFonts w:ascii="仿宋" w:hAnsi="仿宋" w:eastAsia="仿宋" w:cs="仿宋"/>
          <w:color w:val="auto"/>
          <w:sz w:val="24"/>
          <w:szCs w:val="24"/>
          <w:highlight w:val="none"/>
        </w:rPr>
        <w:t xml:space="preserve">承担过</w:t>
      </w:r>
      <w:r>
        <w:rPr>
          <w:rFonts w:hint="eastAsia" w:ascii="仿宋" w:hAnsi="仿宋" w:eastAsia="仿宋" w:cs="仿宋"/>
          <w:color w:val="auto"/>
          <w:sz w:val="24"/>
          <w:szCs w:val="24"/>
          <w:highlight w:val="none"/>
          <w:lang w:val="en-US" w:eastAsia="zh-CN"/>
        </w:rPr>
        <w:t xml:space="preserve">学校类</w:t>
      </w:r>
      <w:r>
        <w:rPr>
          <w:rFonts w:hint="eastAsia" w:ascii="仿宋" w:hAnsi="仿宋" w:eastAsia="仿宋" w:cs="仿宋"/>
          <w:color w:val="auto"/>
          <w:sz w:val="24"/>
          <w:szCs w:val="24"/>
          <w:highlight w:val="none"/>
        </w:rPr>
        <w:t xml:space="preserve">体育器材采购项目的：</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1）</w:t>
      </w:r>
      <w:r>
        <w:rPr>
          <w:rFonts w:ascii="仿宋" w:hAnsi="仿宋" w:eastAsia="仿宋" w:cs="仿宋"/>
          <w:b/>
          <w:color w:val="auto"/>
          <w:sz w:val="24"/>
          <w:szCs w:val="24"/>
          <w:highlight w:val="none"/>
        </w:rPr>
        <w:t xml:space="preserve">项目品类完整性（3分）</w:t>
      </w:r>
      <w:r/>
    </w:p>
    <w:p>
      <w:pPr>
        <w:ind w:firstLine="480"/>
        <w:spacing w:line="360" w:lineRule="auto"/>
        <w:rPr>
          <w:rFonts w:hint="default"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同时满足以下两项，得3分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其他不得分。</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① 室外器材≥3种（篮球架/单杠双杠/足球门/排球柱）且合计≥5件；</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② 体测设备≥5种智能化设备。</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w:t>
      </w:r>
      <w:r>
        <w:rPr>
          <w:rFonts w:ascii="仿宋" w:hAnsi="仿宋" w:eastAsia="仿宋" w:cs="仿宋"/>
          <w:b/>
          <w:color w:val="auto"/>
          <w:sz w:val="24"/>
          <w:szCs w:val="24"/>
          <w:highlight w:val="none"/>
        </w:rPr>
        <w:t xml:space="preserve">智慧体测（3分）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以上计分合同包含≥8种智慧体测设备（须具备人脸识别自助测试、数据自动上报、个人成绩报告自动生成功能），得3分。</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w:t>
      </w:r>
      <w:r>
        <w:rPr>
          <w:rFonts w:ascii="仿宋" w:hAnsi="仿宋" w:eastAsia="仿宋" w:cs="仿宋"/>
          <w:b/>
          <w:color w:val="auto"/>
          <w:sz w:val="24"/>
          <w:szCs w:val="24"/>
          <w:highlight w:val="none"/>
        </w:rPr>
        <w:t xml:space="preserve">.卫生器材（</w:t>
      </w:r>
      <w:r>
        <w:rPr>
          <w:rFonts w:hint="eastAsia" w:ascii="仿宋" w:hAnsi="仿宋" w:eastAsia="仿宋" w:cs="仿宋"/>
          <w:b/>
          <w:color w:val="auto"/>
          <w:sz w:val="24"/>
          <w:szCs w:val="24"/>
          <w:highlight w:val="none"/>
          <w:lang w:val="en-US" w:eastAsia="zh-CN"/>
        </w:rPr>
        <w:t xml:space="preserve">4</w:t>
      </w:r>
      <w:r>
        <w:rPr>
          <w:rFonts w:ascii="仿宋" w:hAnsi="仿宋" w:eastAsia="仿宋" w:cs="仿宋"/>
          <w:b/>
          <w:color w:val="auto"/>
          <w:sz w:val="24"/>
          <w:szCs w:val="24"/>
          <w:highlight w:val="none"/>
        </w:rPr>
        <w:t xml:space="preserve">分）</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投标人自2023年7月1日起至今（以合同签订时间为准）</w:t>
      </w:r>
      <w:r>
        <w:rPr>
          <w:rFonts w:ascii="仿宋" w:hAnsi="仿宋" w:eastAsia="仿宋" w:cs="仿宋"/>
          <w:color w:val="auto"/>
          <w:sz w:val="24"/>
          <w:szCs w:val="24"/>
          <w:highlight w:val="none"/>
        </w:rPr>
        <w:t xml:space="preserve">承担</w:t>
      </w:r>
      <w:r>
        <w:rPr>
          <w:rFonts w:hint="eastAsia" w:ascii="仿宋" w:hAnsi="仿宋" w:eastAsia="仿宋" w:cs="仿宋"/>
          <w:color w:val="auto"/>
          <w:sz w:val="24"/>
          <w:szCs w:val="24"/>
          <w:highlight w:val="none"/>
          <w:lang w:val="en-US" w:eastAsia="zh-CN"/>
        </w:rPr>
        <w:t xml:space="preserve">过卫生器材/卫生保健室设备供货项目，合同清单涵盖以下品类：诊察类（体重秤/视力表灯箱/体温计等）、存储类（卫生药品收纳/卫生专用器材柜等）、急救类（急救箱/担架等）、器械用品类（</w:t>
      </w:r>
      <w:r>
        <w:rPr>
          <w:rFonts w:hint="eastAsia" w:ascii="仿宋" w:hAnsi="仿宋" w:eastAsia="仿宋" w:cs="仿宋"/>
          <w:color w:val="auto"/>
          <w:szCs w:val="21"/>
          <w:highlight w:val="none"/>
          <w:lang w:bidi="ar"/>
        </w:rPr>
        <w:t xml:space="preserve">外伤处理器械</w:t>
      </w:r>
      <w:r>
        <w:rPr>
          <w:rFonts w:hint="eastAsia" w:ascii="仿宋" w:hAnsi="仿宋" w:eastAsia="仿宋" w:cs="仿宋"/>
          <w:color w:val="auto"/>
          <w:sz w:val="24"/>
          <w:szCs w:val="24"/>
          <w:highlight w:val="none"/>
          <w:lang w:val="en-US" w:eastAsia="zh-CN"/>
        </w:rPr>
        <w:t xml:space="preserve">/器械台(车)等）、检查辅助类（听诊器/血压计等）、病房用品类（检查床/隔断等）。</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≥5类得4分，≥3类得2分，＜3类不得分。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注：以上业绩</w:t>
      </w:r>
      <w:r>
        <w:rPr>
          <w:rFonts w:hint="eastAsia" w:ascii="仿宋" w:hAnsi="仿宋" w:eastAsia="仿宋" w:cs="仿宋"/>
          <w:color w:val="auto"/>
          <w:sz w:val="24"/>
          <w:szCs w:val="24"/>
          <w:highlight w:val="none"/>
        </w:rPr>
        <w:t xml:space="preserve">提供同时提供合同复印件+验收报告/中标通知书/增值税发票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三选一）</w:t>
      </w:r>
      <w:r>
        <w:rPr>
          <w:rFonts w:hint="eastAsia" w:ascii="仿宋" w:hAnsi="仿宋" w:eastAsia="仿宋" w:cs="仿宋"/>
          <w:color w:val="auto"/>
          <w:sz w:val="24"/>
          <w:szCs w:val="24"/>
          <w:highlight w:val="none"/>
        </w:rPr>
        <w:t xml:space="preserve">，不提供不得分。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注：针对评分标准中评分的每一条，投标</w:t>
      </w:r>
      <w:r>
        <w:rPr>
          <w:rFonts w:hint="eastAsia" w:ascii="仿宋" w:hAnsi="仿宋" w:eastAsia="仿宋" w:cs="仿宋"/>
          <w:color w:val="auto"/>
          <w:sz w:val="24"/>
          <w:szCs w:val="24"/>
          <w:highlight w:val="none"/>
          <w:lang w:val="en-US" w:eastAsia="zh-CN"/>
        </w:rPr>
        <w:t xml:space="preserve">人</w:t>
      </w:r>
      <w:r>
        <w:rPr>
          <w:rFonts w:hint="eastAsia" w:ascii="仿宋" w:hAnsi="仿宋" w:eastAsia="仿宋" w:cs="仿宋"/>
          <w:color w:val="auto"/>
          <w:sz w:val="24"/>
          <w:szCs w:val="24"/>
          <w:highlight w:val="none"/>
        </w:rPr>
        <w:t xml:space="preserve">在投标文件中均应提供相关资料并做出相应说明供评标委员会评判，不提供相关资料的视为不具备该项得分的条件。</w:t>
      </w:r>
      <w:r/>
    </w:p>
    <w:p>
      <w:pPr>
        <w:pStyle w:val="1218"/>
        <w:ind w:firstLine="0"/>
        <w:rPr>
          <w:rFonts w:ascii="仿宋" w:hAnsi="仿宋" w:eastAsia="仿宋" w:cs="仿宋"/>
          <w:color w:val="auto"/>
          <w:highlight w:val="none"/>
        </w:rPr>
      </w:pPr>
      <w:r>
        <w:rPr>
          <w:rFonts w:ascii="宋体" w:hAnsi="宋体"/>
          <w:b w:val="0"/>
          <w:color w:val="auto"/>
          <w:sz w:val="24"/>
          <w:szCs w:val="24"/>
          <w:highlight w:val="none"/>
        </w:rPr>
        <w:br w:type="page" w:clear="all"/>
      </w:r>
      <w:r>
        <w:rPr>
          <w:rFonts w:hint="eastAsia" w:ascii="仿宋" w:hAnsi="仿宋" w:eastAsia="仿宋" w:cs="仿宋"/>
          <w:color w:val="auto"/>
          <w:highlight w:val="none"/>
        </w:rPr>
        <w:t xml:space="preserve">第六部分 </w:t>
      </w:r>
      <w:r>
        <w:rPr>
          <w:rFonts w:hint="eastAsia" w:ascii="仿宋" w:hAnsi="仿宋" w:eastAsia="仿宋" w:cs="仿宋"/>
          <w:bCs/>
          <w:color w:val="auto"/>
          <w:highlight w:val="none"/>
        </w:rPr>
        <w:t xml:space="preserve">合同主要条款</w:t>
      </w:r>
      <w:bookmarkEnd w:id="15"/>
      <w:r/>
      <w:bookmarkEnd w:id="16"/>
      <w:r/>
      <w:bookmarkEnd w:id="17"/>
      <w:r/>
      <w:bookmarkEnd w:id="18"/>
      <w:r/>
      <w:r/>
    </w:p>
    <w:p>
      <w:pPr>
        <w:pStyle w:val="846"/>
        <w:jc w:val="center"/>
        <w:rPr>
          <w:rFonts w:ascii="宋体" w:hAnsi="宋体" w:cs="宋体"/>
          <w:b/>
          <w:bCs/>
          <w:color w:val="auto"/>
          <w:spacing w:val="-20"/>
          <w:sz w:val="48"/>
          <w:szCs w:val="48"/>
          <w:highlight w:val="none"/>
        </w:rPr>
      </w:pPr>
      <w:r>
        <w:rPr>
          <w:rFonts w:ascii="Times New Roman" w:hAnsi="Times New Roman" w:eastAsia="Times New Roman"/>
          <w:color w:val="auto"/>
          <w:sz w:val="24"/>
          <w:highlight w:val="none"/>
        </w:rPr>
        <w:t xml:space="preserve"> </w:t>
      </w:r>
      <w:bookmarkStart w:id="21" w:name="_Toc3995"/>
      <w:r/>
      <w:bookmarkEnd w:id="21"/>
      <w:r/>
      <w:r/>
    </w:p>
    <w:p>
      <w:pPr>
        <w:pStyle w:val="1666"/>
        <w:jc w:val="center"/>
        <w:rPr>
          <w:rFonts w:ascii="宋体"/>
          <w:b/>
          <w:bCs/>
          <w:color w:val="auto"/>
          <w:spacing w:val="-20"/>
          <w:sz w:val="48"/>
          <w:szCs w:val="48"/>
          <w:highlight w:val="none"/>
        </w:rPr>
      </w:pPr>
      <w:r/>
      <w:bookmarkStart w:id="22" w:name="_Hlk493077268"/>
      <w:r/>
      <w:bookmarkStart w:id="23" w:name="OLE_LINK15"/>
      <w:r/>
      <w:r/>
    </w:p>
    <w:p>
      <w:pPr>
        <w:pStyle w:val="1666"/>
        <w:jc w:val="center"/>
        <w:rPr>
          <w:rFonts w:ascii="宋体"/>
          <w:b/>
          <w:bCs/>
          <w:color w:val="auto"/>
          <w:spacing w:val="-20"/>
          <w:sz w:val="48"/>
          <w:szCs w:val="48"/>
          <w:highlight w:val="none"/>
        </w:rPr>
      </w:pPr>
      <w:r>
        <w:rPr>
          <w:rFonts w:ascii="宋体"/>
          <w:b/>
          <w:bCs/>
          <w:color w:val="auto"/>
          <w:spacing w:val="-20"/>
          <w:sz w:val="48"/>
          <w:szCs w:val="48"/>
          <w:highlight w:val="none"/>
        </w:rPr>
      </w:r>
      <w:r/>
    </w:p>
    <w:p>
      <w:pPr>
        <w:pStyle w:val="1666"/>
        <w:jc w:val="center"/>
        <w:rPr>
          <w:rFonts w:ascii="宋体"/>
          <w:b/>
          <w:bCs/>
          <w:color w:val="auto"/>
          <w:spacing w:val="-20"/>
          <w:sz w:val="48"/>
          <w:szCs w:val="48"/>
          <w:highlight w:val="none"/>
        </w:rPr>
      </w:pPr>
      <w:r>
        <w:rPr>
          <w:rFonts w:ascii="宋体"/>
          <w:b/>
          <w:bCs/>
          <w:color w:val="auto"/>
          <w:spacing w:val="-20"/>
          <w:sz w:val="48"/>
          <w:szCs w:val="48"/>
          <w:highlight w:val="none"/>
        </w:rPr>
      </w:r>
      <w:r/>
    </w:p>
    <w:p>
      <w:pPr>
        <w:pStyle w:val="1666"/>
        <w:jc w:val="center"/>
        <w:rPr>
          <w:rFonts w:ascii="宋体"/>
          <w:b/>
          <w:bCs/>
          <w:color w:val="auto"/>
          <w:spacing w:val="-20"/>
          <w:sz w:val="48"/>
          <w:szCs w:val="48"/>
          <w:highlight w:val="none"/>
        </w:rPr>
      </w:pPr>
      <w:r>
        <w:rPr>
          <w:rFonts w:hint="eastAsia" w:ascii="宋体"/>
          <w:b/>
          <w:bCs/>
          <w:color w:val="auto"/>
          <w:spacing w:val="-20"/>
          <w:sz w:val="48"/>
          <w:szCs w:val="48"/>
          <w:highlight w:val="none"/>
        </w:rPr>
        <w:t xml:space="preserve">政府采购货物买卖合同</w:t>
      </w:r>
      <w:r/>
    </w:p>
    <w:p>
      <w:pPr>
        <w:pStyle w:val="1666"/>
        <w:jc w:val="center"/>
        <w:rPr>
          <w:rFonts w:ascii="宋体" w:eastAsia="宋体"/>
          <w:b/>
          <w:bCs/>
          <w:color w:val="auto"/>
          <w:spacing w:val="-20"/>
          <w:sz w:val="48"/>
          <w:szCs w:val="48"/>
          <w:highlight w:val="none"/>
        </w:rPr>
      </w:pPr>
      <w:r>
        <w:rPr>
          <w:rFonts w:hint="eastAsia" w:ascii="宋体"/>
          <w:b/>
          <w:bCs/>
          <w:color w:val="auto"/>
          <w:spacing w:val="-20"/>
          <w:sz w:val="48"/>
          <w:szCs w:val="48"/>
          <w:highlight w:val="none"/>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szCs w:val="24"/>
          <w:highlight w:val="none"/>
        </w:rPr>
      </w:pPr>
      <w:r>
        <w:rPr>
          <w:color w:val="auto"/>
          <w:szCs w:val="24"/>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headerReference w:type="default" r:id="rId10"/>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rFonts w:eastAsia="黑体"/>
          <w:color w:val="auto"/>
          <w:sz w:val="44"/>
          <w:szCs w:val="44"/>
          <w:highlight w:val="none"/>
        </w:rPr>
      </w:r>
      <w:r/>
    </w:p>
    <w:p>
      <w:pPr>
        <w:pStyle w:val="1667"/>
        <w:keepLines w:val="0"/>
        <w:keepNext w:val="0"/>
        <w:spacing w:line="400" w:lineRule="exact"/>
        <w:rPr>
          <w:rFonts w:ascii="黑体" w:hAnsi="华文中宋" w:eastAsia="黑体"/>
          <w:b w:val="0"/>
          <w:bCs w:val="0"/>
          <w:color w:val="auto"/>
          <w:sz w:val="28"/>
          <w:szCs w:val="28"/>
          <w:highlight w:val="none"/>
        </w:rPr>
      </w:pPr>
      <w:r/>
      <w:bookmarkStart w:id="24" w:name="_Toc22209"/>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24"/>
      <w:r/>
      <w:r/>
    </w:p>
    <w:p>
      <w:pPr>
        <w:pStyle w:val="1667"/>
        <w:keepLines w:val="0"/>
        <w:keepNext w:val="0"/>
        <w:spacing w:line="400" w:lineRule="exact"/>
        <w:rPr>
          <w:rFonts w:ascii="黑体" w:hAnsi="华文中宋" w:eastAsia="黑体"/>
          <w:b w:val="0"/>
          <w:bCs w:val="0"/>
          <w:color w:val="auto"/>
          <w:sz w:val="28"/>
          <w:szCs w:val="28"/>
          <w:highlight w:val="none"/>
        </w:rPr>
      </w:pPr>
      <w:r>
        <w:rPr>
          <w:rFonts w:ascii="黑体" w:hAnsi="华文中宋" w:eastAsia="黑体"/>
          <w:b w:val="0"/>
          <w:bCs w:val="0"/>
          <w:color w:val="auto"/>
          <w:sz w:val="28"/>
          <w:szCs w:val="28"/>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甲方（全称）：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（采购人、受采购人委托签订合同的单位或采购</w:t>
      </w:r>
      <w:r>
        <w:rPr>
          <w:rFonts w:hint="eastAsia" w:ascii="宋体" w:hAnsi="宋体" w:cs="宋体"/>
          <w:color w:val="auto"/>
          <w:szCs w:val="21"/>
          <w:highlight w:val="none"/>
        </w:rPr>
        <w:tab/>
      </w:r>
      <w:r>
        <w:rPr>
          <w:rFonts w:hint="eastAsia" w:ascii="宋体" w:hAnsi="宋体" w:cs="宋体"/>
          <w:color w:val="auto"/>
          <w:szCs w:val="21"/>
          <w:highlight w:val="none"/>
        </w:rPr>
        <w:t xml:space="preserve">                                   文件约定的合同甲方）</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乙方1（全称）：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乙方2（全称）：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（联合体成员供应商或其他合同主体）（如有）</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乙方3（全称）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（联合体成员供应商或其他合同主体）（如有）</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项目信息</w:t>
      </w:r>
      <w:r/>
    </w:p>
    <w:p>
      <w:pPr>
        <w:numPr>
          <w:ilvl w:val="0"/>
          <w:numId w:val="3"/>
        </w:num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采购项目名称：</w:t>
      </w:r>
      <w:r>
        <w:rPr>
          <w:rFonts w:hint="eastAsia" w:ascii="宋体" w:hAnsi="宋体" w:cs="宋体"/>
          <w:color w:val="auto"/>
          <w:szCs w:val="21"/>
          <w:highlight w:val="none"/>
          <w:u w:val="single"/>
        </w:rPr>
        <w:t xml:space="preserve">                                          </w:t>
      </w:r>
      <w:r/>
    </w:p>
    <w:p>
      <w:pPr>
        <w:spacing w:line="400" w:lineRule="exact"/>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         采购项目编号：</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（2）采购计划编号：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（3）项目内容：</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采购标的及数量（台/套</w:t>
      </w:r>
      <w:r>
        <w:rPr>
          <w:rFonts w:hint="eastAsia" w:ascii="宋体" w:hAnsi="宋体" w:cs="宋体"/>
          <w:color w:val="auto"/>
          <w:szCs w:val="21"/>
          <w:highlight w:val="none"/>
          <w:lang w:val="en"/>
        </w:rPr>
        <w:t xml:space="preserve">/个/架/组等</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lang w:val="en"/>
        </w:rPr>
      </w:pP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采购标的的技术要求、商务要求具体见附件。</w:t>
      </w:r>
      <w:r/>
    </w:p>
    <w:p>
      <w:pPr>
        <w:ind w:firstLine="94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①涉及信息类产品，请填写该产品关键部件的品牌、型号：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②涉及车辆采购，请填写是否属于新能源汽车：</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数量：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
        </w:rPr>
        <w:t xml:space="preserve">4</w:t>
      </w:r>
      <w:r>
        <w:rPr>
          <w:rFonts w:hint="eastAsia" w:ascii="宋体" w:hAnsi="宋体" w:cs="宋体"/>
          <w:color w:val="auto"/>
          <w:szCs w:val="21"/>
          <w:highlight w:val="none"/>
        </w:rPr>
        <w:t xml:space="preserve">）政府采购组织形式：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þ</w:t>
      </w:r>
      <w:r>
        <w:rPr>
          <w:rFonts w:hint="eastAsia" w:ascii="宋体" w:hAnsi="宋体" w:cs="宋体"/>
          <w:color w:val="auto"/>
          <w:szCs w:val="21"/>
          <w:highlight w:val="none"/>
        </w:rPr>
        <w:t xml:space="preserve">分散采购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
        </w:rPr>
        <w:t xml:space="preserve">5</w:t>
      </w:r>
      <w:r>
        <w:rPr>
          <w:rFonts w:hint="eastAsia" w:ascii="宋体" w:hAnsi="宋体" w:cs="宋体"/>
          <w:color w:val="auto"/>
          <w:szCs w:val="21"/>
          <w:highlight w:val="none"/>
        </w:rPr>
        <w:t xml:space="preserve">）政府采购方式：</w:t>
      </w:r>
      <w:r>
        <w:rPr>
          <w:rFonts w:ascii="Wingdings" w:hAnsi="Wingdings" w:eastAsia="Wingdings" w:cs="Wingdings"/>
          <w:color w:val="auto"/>
          <w:szCs w:val="21"/>
          <w:highlight w:val="none"/>
        </w:rPr>
        <w:t xml:space="preserve">þ</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询价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单一来源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框架协议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其他：</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ind w:firstLine="21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
        </w:rPr>
        <w:t xml:space="preserve">6</w:t>
      </w:r>
      <w:r>
        <w:rPr>
          <w:rFonts w:hint="eastAsia" w:ascii="宋体" w:hAnsi="宋体" w:cs="宋体"/>
          <w:color w:val="auto"/>
          <w:szCs w:val="21"/>
          <w:highlight w:val="none"/>
        </w:rPr>
        <w:t xml:space="preserve">）中标（成交）采购标的制造商是否为中小企业：</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spacing w:line="400" w:lineRule="exact"/>
        <w:rPr>
          <w:rFonts w:ascii="宋体" w:hAnsi="宋体" w:cs="宋体"/>
          <w:iCs/>
          <w:color w:val="auto"/>
          <w:szCs w:val="21"/>
          <w:highlight w:val="none"/>
        </w:rPr>
      </w:pPr>
      <w:r>
        <w:rPr>
          <w:rFonts w:hint="eastAsia" w:ascii="宋体" w:hAnsi="宋体" w:cs="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spacing w:line="400" w:lineRule="exact"/>
        <w:rPr>
          <w:rFonts w:ascii="宋体" w:hAnsi="宋体" w:cs="宋体"/>
          <w:iCs/>
          <w:color w:val="auto"/>
          <w:szCs w:val="21"/>
          <w:highlight w:val="none"/>
        </w:rPr>
      </w:pPr>
      <w:r>
        <w:rPr>
          <w:rFonts w:hint="eastAsia" w:ascii="宋体" w:hAnsi="宋体" w:cs="宋体"/>
          <w:color w:val="auto"/>
          <w:szCs w:val="21"/>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spacing w:line="400" w:lineRule="exact"/>
        <w:rPr>
          <w:rFonts w:ascii="宋体" w:hAnsi="宋体" w:cs="宋体"/>
          <w:iCs/>
          <w:color w:val="auto"/>
          <w:szCs w:val="21"/>
          <w:highlight w:val="none"/>
        </w:rPr>
      </w:pPr>
      <w:r>
        <w:rPr>
          <w:rFonts w:hint="eastAsia" w:ascii="宋体" w:hAnsi="宋体" w:cs="宋体"/>
          <w:color w:val="auto"/>
          <w:szCs w:val="21"/>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
        </w:rPr>
        <w:t xml:space="preserve">7</w:t>
      </w:r>
      <w:r>
        <w:rPr>
          <w:rFonts w:hint="eastAsia" w:ascii="宋体" w:hAnsi="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þ</w:t>
      </w:r>
      <w:r>
        <w:rPr>
          <w:rFonts w:hint="eastAsia" w:ascii="宋体" w:hAnsi="宋体" w:cs="宋体"/>
          <w:iCs/>
          <w:color w:val="auto"/>
          <w:szCs w:val="21"/>
          <w:highlight w:val="none"/>
        </w:rPr>
        <w:t xml:space="preserve">否</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分包主要内容：</w:t>
      </w:r>
      <w:r>
        <w:rPr>
          <w:rFonts w:hint="eastAsia" w:ascii="宋体" w:hAnsi="宋体" w:cs="宋体"/>
          <w:color w:val="auto"/>
          <w:szCs w:val="21"/>
          <w:highlight w:val="none"/>
          <w:u w:val="single"/>
        </w:rPr>
        <w:t xml:space="preserve">                                            </w:t>
      </w:r>
      <w:r/>
    </w:p>
    <w:p>
      <w:pPr>
        <w:ind w:firstLine="8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分包供应商/制造商名称（如供应商和制造商不同，请分别填写）：</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p>
    <w:p>
      <w:pPr>
        <w:ind w:firstLine="8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分包供应商/制造商类型（如果供应商和制造商不同，只填写制造商类型）：</w:t>
      </w:r>
      <w:r/>
    </w:p>
    <w:p>
      <w:pPr>
        <w:ind w:firstLine="840"/>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小微型企业  </w:t>
      </w:r>
      <w:r/>
    </w:p>
    <w:p>
      <w:pPr>
        <w:ind w:firstLine="840"/>
        <w:spacing w:line="400" w:lineRule="exact"/>
        <w:rPr>
          <w:rFonts w:ascii="宋体" w:hAnsi="宋体" w:cs="宋体"/>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其他</w:t>
      </w:r>
      <w:r/>
    </w:p>
    <w:p>
      <w:pPr>
        <w:spacing w:line="400" w:lineRule="exact"/>
        <w:rPr>
          <w:rFonts w:ascii="宋体" w:hAnsi="宋体" w:cs="宋体"/>
          <w:iCs/>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ind w:firstLine="420"/>
        <w:spacing w:line="400" w:lineRule="exact"/>
        <w:tabs>
          <w:tab w:val="left" w:pos="134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     外商投资企业类型：</w:t>
      </w:r>
      <w:r>
        <w:rPr>
          <w:rFonts w:ascii="Wingdings" w:hAnsi="Wingdings" w:eastAsia="Wingdings" w:cs="Wingdings"/>
          <w:iCs/>
          <w:color w:val="auto"/>
          <w:szCs w:val="21"/>
          <w:highlight w:val="none"/>
        </w:rPr>
        <w:t xml:space="preserve">¨</w:t>
      </w:r>
      <w:r>
        <w:rPr>
          <w:rFonts w:hint="eastAsia" w:ascii="宋体" w:hAnsi="宋体" w:cs="宋体"/>
          <w:color w:val="auto"/>
          <w:szCs w:val="21"/>
          <w:highlight w:val="none"/>
        </w:rPr>
        <w:t xml:space="preserve">全部由外国投资者投资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部分由外国投资者投资</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8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spacing w:line="400" w:lineRule="exact"/>
        <w:tabs>
          <w:tab w:val="left" w:pos="740" w:leader="none"/>
        </w:tabs>
        <w:rPr>
          <w:rFonts w:ascii="宋体" w:hAnsi="宋体" w:cs="宋体"/>
          <w:color w:val="auto"/>
          <w:szCs w:val="21"/>
          <w:highlight w:val="none"/>
        </w:rPr>
      </w:pPr>
      <w:r>
        <w:rPr>
          <w:rFonts w:hint="eastAsia" w:ascii="宋体" w:hAnsi="宋体" w:cs="宋体"/>
          <w:color w:val="auto"/>
          <w:szCs w:val="21"/>
          <w:highlight w:val="none"/>
        </w:rPr>
        <w:t xml:space="preserve">    （1</w:t>
      </w:r>
      <w:r>
        <w:rPr>
          <w:rFonts w:hint="eastAsia" w:ascii="宋体" w:hAnsi="宋体" w:cs="宋体"/>
          <w:color w:val="auto"/>
          <w:szCs w:val="21"/>
          <w:highlight w:val="none"/>
          <w:lang w:val="en"/>
        </w:rPr>
        <w:t xml:space="preserve">0</w:t>
      </w:r>
      <w:r>
        <w:rPr>
          <w:rFonts w:hint="eastAsia" w:ascii="宋体" w:hAnsi="宋体" w:cs="宋体"/>
          <w:color w:val="auto"/>
          <w:szCs w:val="21"/>
          <w:highlight w:val="none"/>
        </w:rPr>
        <w:t xml:space="preserve">）是否涉及节能产品：</w:t>
      </w:r>
      <w:r/>
    </w:p>
    <w:p>
      <w:pPr>
        <w:spacing w:line="400" w:lineRule="exact"/>
        <w:tabs>
          <w:tab w:val="left" w:pos="740" w:leader="none"/>
        </w:tabs>
        <w:rPr>
          <w:rFonts w:ascii="宋体" w:hAnsi="宋体" w:cs="宋体"/>
          <w:iCs/>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是，《节能产品政府采购品目清单》的底级品目名称：</w:t>
      </w:r>
      <w:r>
        <w:rPr>
          <w:rFonts w:hint="eastAsia" w:ascii="宋体" w:hAnsi="宋体" w:cs="宋体"/>
          <w:color w:val="auto"/>
          <w:szCs w:val="21"/>
          <w:highlight w:val="none"/>
          <w:u w:val="single"/>
        </w:rPr>
        <w:t xml:space="preserve">         </w:t>
      </w:r>
      <w:r>
        <w:rPr>
          <w:rFonts w:hint="eastAsia" w:ascii="宋体" w:hAnsi="宋体" w:cs="宋体"/>
          <w:iCs/>
          <w:color w:val="auto"/>
          <w:szCs w:val="21"/>
          <w:highlight w:val="none"/>
        </w:rPr>
        <w:t xml:space="preserve">     </w:t>
      </w:r>
      <w:r/>
    </w:p>
    <w:p>
      <w:pPr>
        <w:spacing w:line="400" w:lineRule="exact"/>
        <w:tabs>
          <w:tab w:val="left" w:pos="740" w:leader="none"/>
        </w:tabs>
        <w:rPr>
          <w:rFonts w:ascii="宋体" w:hAnsi="宋体" w:cs="宋体"/>
          <w:iCs/>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优先采购    </w:t>
      </w:r>
      <w:r/>
    </w:p>
    <w:p>
      <w:pPr>
        <w:spacing w:line="400" w:lineRule="exact"/>
        <w:tabs>
          <w:tab w:val="left" w:pos="740" w:leader="none"/>
        </w:tabs>
        <w:rPr>
          <w:rFonts w:ascii="宋体" w:hAnsi="宋体" w:cs="宋体"/>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spacing w:line="400" w:lineRule="exact"/>
        <w:tabs>
          <w:tab w:val="left" w:pos="740" w:leader="none"/>
        </w:tabs>
        <w:rPr>
          <w:rFonts w:ascii="宋体" w:hAnsi="宋体" w:cs="宋体"/>
          <w:color w:val="auto"/>
          <w:szCs w:val="21"/>
          <w:highlight w:val="none"/>
        </w:rPr>
      </w:pPr>
      <w:r>
        <w:rPr>
          <w:rFonts w:hint="eastAsia" w:ascii="宋体" w:hAnsi="宋体" w:cs="宋体"/>
          <w:color w:val="auto"/>
          <w:szCs w:val="21"/>
          <w:highlight w:val="none"/>
        </w:rPr>
        <w:t xml:space="preserve">          是否涉及环境标志产品：</w:t>
      </w:r>
      <w:r/>
    </w:p>
    <w:p>
      <w:pPr>
        <w:spacing w:line="400" w:lineRule="exact"/>
        <w:tabs>
          <w:tab w:val="left" w:pos="740" w:leader="none"/>
        </w:tabs>
        <w:rPr>
          <w:rFonts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是，《环境标志产品政府采购品目清单》的底级品目名称：</w:t>
      </w:r>
      <w:r>
        <w:rPr>
          <w:rFonts w:hint="eastAsia" w:ascii="宋体" w:hAnsi="宋体" w:cs="宋体"/>
          <w:color w:val="auto"/>
          <w:szCs w:val="21"/>
          <w:highlight w:val="none"/>
          <w:u w:val="single"/>
        </w:rPr>
        <w:t xml:space="preserve">         </w:t>
      </w:r>
      <w:r>
        <w:rPr>
          <w:rFonts w:hint="eastAsia" w:ascii="宋体" w:hAnsi="宋体" w:cs="宋体"/>
          <w:iCs/>
          <w:color w:val="auto"/>
          <w:szCs w:val="21"/>
          <w:highlight w:val="none"/>
        </w:rPr>
        <w:t xml:space="preserve"> </w:t>
      </w:r>
      <w:r/>
    </w:p>
    <w:p>
      <w:pPr>
        <w:spacing w:line="400" w:lineRule="exact"/>
        <w:tabs>
          <w:tab w:val="left" w:pos="740" w:leader="none"/>
        </w:tabs>
        <w:rPr>
          <w:rFonts w:ascii="宋体" w:hAnsi="宋体" w:cs="宋体"/>
          <w:iCs/>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优先采购    </w:t>
      </w:r>
      <w:r/>
    </w:p>
    <w:p>
      <w:pPr>
        <w:spacing w:line="400" w:lineRule="exact"/>
        <w:tabs>
          <w:tab w:val="left" w:pos="740" w:leader="none"/>
        </w:tabs>
        <w:rPr>
          <w:rFonts w:ascii="宋体" w:hAnsi="宋体" w:cs="宋体"/>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是否涉及绿色产品： </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是，绿色产品政府采购相关政策确定的底级品目名称：</w:t>
      </w:r>
      <w:r>
        <w:rPr>
          <w:rFonts w:hint="eastAsia" w:ascii="宋体" w:hAnsi="宋体" w:cs="宋体"/>
          <w:color w:val="auto"/>
          <w:szCs w:val="21"/>
          <w:highlight w:val="none"/>
          <w:u w:val="single"/>
        </w:rPr>
        <w:t xml:space="preserve">         </w:t>
      </w:r>
      <w:r/>
    </w:p>
    <w:p>
      <w:pPr>
        <w:spacing w:line="400" w:lineRule="exact"/>
        <w:tabs>
          <w:tab w:val="left" w:pos="740" w:leader="none"/>
        </w:tabs>
        <w:rPr>
          <w:rFonts w:ascii="宋体" w:hAnsi="宋体" w:cs="宋体"/>
          <w:iCs/>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优先采购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（1</w:t>
      </w:r>
      <w:r>
        <w:rPr>
          <w:rFonts w:hint="eastAsia" w:ascii="宋体" w:hAnsi="宋体" w:cs="宋体"/>
          <w:color w:val="auto"/>
          <w:szCs w:val="21"/>
          <w:highlight w:val="none"/>
          <w:lang w:val="en"/>
        </w:rPr>
        <w:t xml:space="preserve">1</w:t>
      </w:r>
      <w:r>
        <w:rPr>
          <w:rFonts w:hint="eastAsia" w:ascii="宋体" w:hAnsi="宋体" w:cs="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不涉及</w:t>
      </w:r>
      <w:r/>
    </w:p>
    <w:p>
      <w:pPr>
        <w:numPr>
          <w:ilvl w:val="0"/>
          <w:numId w:val="2"/>
        </w:num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合同金额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（1）合同金额小写：</w:t>
      </w:r>
      <w:r>
        <w:rPr>
          <w:rFonts w:hint="eastAsia" w:ascii="宋体" w:hAnsi="宋体" w:cs="宋体"/>
          <w:color w:val="auto"/>
          <w:szCs w:val="21"/>
          <w:highlight w:val="none"/>
          <w:u w:val="single"/>
        </w:rPr>
        <w:t xml:space="preserve">                           </w:t>
      </w:r>
      <w:r/>
    </w:p>
    <w:p>
      <w:pPr>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大写：</w:t>
      </w:r>
      <w:r>
        <w:rPr>
          <w:rFonts w:hint="eastAsia" w:ascii="宋体" w:hAnsi="宋体" w:cs="宋体"/>
          <w:color w:val="auto"/>
          <w:szCs w:val="21"/>
          <w:highlight w:val="none"/>
          <w:u w:val="singl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分包金额（如有）小写：</w:t>
      </w:r>
      <w:r>
        <w:rPr>
          <w:rFonts w:hint="eastAsia" w:ascii="宋体" w:hAnsi="宋体" w:cs="宋体"/>
          <w:color w:val="auto"/>
          <w:szCs w:val="21"/>
          <w:highlight w:val="none"/>
          <w:u w:val="single"/>
        </w:rPr>
        <w:t xml:space="preserve">                   </w:t>
      </w:r>
      <w:r/>
    </w:p>
    <w:p>
      <w:pPr>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大写：</w:t>
      </w:r>
      <w:r>
        <w:rPr>
          <w:rFonts w:hint="eastAsia" w:ascii="宋体" w:hAnsi="宋体" w:cs="宋体"/>
          <w:color w:val="auto"/>
          <w:szCs w:val="21"/>
          <w:highlight w:val="none"/>
          <w:u w:val="singl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（注：固定单价合同应填写单价和最高限价）</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（2）合同定价方式（采用组合定价方式的，可以勾选多项）：</w:t>
      </w:r>
      <w:r/>
    </w:p>
    <w:p>
      <w:pPr>
        <w:ind w:firstLine="420"/>
        <w:spacing w:line="400" w:lineRule="exact"/>
        <w:rPr>
          <w:rFonts w:ascii="宋体" w:hAnsi="宋体" w:cs="宋体"/>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þ</w:t>
      </w:r>
      <w:r>
        <w:rPr>
          <w:rFonts w:hint="eastAsia" w:ascii="宋体" w:hAnsi="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其他</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（3）付款方式（按项目实际勾选填写）：</w:t>
      </w:r>
      <w:r/>
    </w:p>
    <w:p>
      <w:pPr>
        <w:ind w:firstLine="630"/>
        <w:spacing w:line="400" w:lineRule="exact"/>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全额付款：</w:t>
      </w:r>
      <w:r>
        <w:rPr>
          <w:rFonts w:hint="eastAsia" w:ascii="宋体" w:hAnsi="宋体" w:cs="宋体"/>
          <w:color w:val="auto"/>
          <w:szCs w:val="21"/>
          <w:highlight w:val="none"/>
          <w:u w:val="single"/>
        </w:rPr>
        <w:t xml:space="preserve">     （应明确一次性支付合同款项的条件）                    </w:t>
      </w:r>
      <w:r/>
    </w:p>
    <w:p>
      <w:pPr>
        <w:ind w:firstLine="630"/>
        <w:spacing w:line="400" w:lineRule="exact"/>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分期付款：</w:t>
      </w:r>
      <w:r>
        <w:rPr>
          <w:rFonts w:hint="eastAsia" w:ascii="宋体" w:hAnsi="宋体" w:cs="宋体"/>
          <w:color w:val="auto"/>
          <w:szCs w:val="21"/>
          <w:highlight w:val="none"/>
          <w:u w:val="single"/>
        </w:rPr>
        <w:t xml:space="preserve">  （应明确分期支付合同款项的各期比例和支付条件，各期支付条件应与分期履约验收情况挂钩） </w:t>
      </w:r>
      <w:r>
        <w:rPr>
          <w:rFonts w:hint="eastAsia" w:ascii="宋体" w:hAnsi="宋体" w:cs="宋体"/>
          <w:color w:val="auto"/>
          <w:szCs w:val="21"/>
          <w:highlight w:val="none"/>
        </w:rPr>
        <w:t xml:space="preserve">，其中涉及预付款的：</w:t>
      </w:r>
      <w:r>
        <w:rPr>
          <w:rFonts w:hint="eastAsia" w:ascii="宋体" w:hAnsi="宋体" w:cs="宋体"/>
          <w:color w:val="auto"/>
          <w:szCs w:val="21"/>
          <w:highlight w:val="none"/>
          <w:u w:val="single"/>
        </w:rPr>
        <w:t xml:space="preserve"> （应明确预付款的支付比例和支付条件） </w:t>
      </w:r>
      <w:r/>
    </w:p>
    <w:p>
      <w:pPr>
        <w:ind w:firstLine="630"/>
        <w:spacing w:line="400" w:lineRule="exact"/>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成本补偿：</w:t>
      </w:r>
      <w:r>
        <w:rPr>
          <w:rFonts w:hint="eastAsia" w:ascii="宋体" w:hAnsi="宋体" w:cs="宋体"/>
          <w:color w:val="auto"/>
          <w:szCs w:val="21"/>
          <w:highlight w:val="none"/>
          <w:u w:val="single"/>
        </w:rPr>
        <w:t xml:space="preserve">      （应明确按照成本补偿方式的支付方式和支付条件）   </w:t>
      </w:r>
      <w:r/>
    </w:p>
    <w:p>
      <w:pPr>
        <w:ind w:firstLine="630"/>
        <w:spacing w:line="400" w:lineRule="exact"/>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绩效激励：</w:t>
      </w:r>
      <w:r>
        <w:rPr>
          <w:rFonts w:hint="eastAsia" w:ascii="宋体" w:hAnsi="宋体" w:cs="宋体"/>
          <w:color w:val="auto"/>
          <w:szCs w:val="21"/>
          <w:highlight w:val="none"/>
          <w:u w:val="single"/>
        </w:rPr>
        <w:t xml:space="preserve">      （应明确按照绩效激励方式的支付方式和支付条件）   </w:t>
      </w:r>
      <w:r/>
    </w:p>
    <w:p>
      <w:pPr>
        <w:numPr>
          <w:ilvl w:val="0"/>
          <w:numId w:val="2"/>
        </w:numPr>
        <w:ind w:firstLine="422"/>
        <w:spacing w:line="40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合同履行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1"/>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color w:val="auto"/>
          <w:szCs w:val="21"/>
          <w:highlight w:val="none"/>
        </w:rPr>
        <w:t xml:space="preserve">否</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  </w:t>
      </w:r>
      <w:r>
        <w:rPr>
          <w:rFonts w:hint="eastAsia" w:ascii="宋体" w:hAnsi="宋体" w:cs="宋体"/>
          <w:color w:val="auto"/>
          <w:szCs w:val="21"/>
          <w:highlight w:val="none"/>
        </w:rPr>
        <w:t xml:space="preserve">  收取履约保证金形式：</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收取履约保证金金额：</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2"/>
        </w:num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合同验收</w:t>
      </w:r>
      <w:r/>
    </w:p>
    <w:p>
      <w:pPr>
        <w:numPr>
          <w:ilvl w:val="0"/>
          <w:numId w:val="4"/>
        </w:num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验收组织方式：</w:t>
      </w:r>
      <w:r>
        <w:rPr>
          <w:rFonts w:ascii="Wingdings" w:hAnsi="Wingdings" w:eastAsia="Wingdings" w:cs="Wingdings"/>
          <w:iCs/>
          <w:color w:val="auto"/>
          <w:szCs w:val="21"/>
          <w:highlight w:val="none"/>
        </w:rPr>
        <w:t xml:space="preserve">¨</w:t>
      </w:r>
      <w:r>
        <w:rPr>
          <w:rFonts w:hint="eastAsia" w:ascii="宋体" w:hAnsi="宋体" w:cs="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委托第三方组织</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         验收主体：</w:t>
      </w:r>
      <w:r>
        <w:rPr>
          <w:rFonts w:hint="eastAsia" w:ascii="宋体" w:hAnsi="宋体" w:cs="宋体"/>
          <w:bCs/>
          <w:color w:val="auto"/>
          <w:szCs w:val="21"/>
          <w:highlight w:val="none"/>
          <w:u w:val="single"/>
        </w:rPr>
        <w:t xml:space="preserve">                  </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iCs/>
          <w:color w:val="auto"/>
          <w:szCs w:val="21"/>
          <w:highlight w:val="none"/>
        </w:rPr>
        <w:t xml:space="preserve">þ</w:t>
      </w:r>
      <w:r>
        <w:rPr>
          <w:rFonts w:hint="eastAsia" w:ascii="宋体" w:hAnsi="宋体" w:cs="宋体"/>
          <w:bCs/>
          <w:color w:val="auto"/>
          <w:szCs w:val="21"/>
          <w:highlight w:val="none"/>
        </w:rPr>
        <w:t xml:space="preserve">否</w:t>
      </w:r>
      <w:r/>
    </w:p>
    <w:p>
      <w:pPr>
        <w:ind w:firstLine="84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84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84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84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是，抽查比例：</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84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w:t>
      </w:r>
      <w:r>
        <w:rPr>
          <w:rFonts w:hint="eastAsia" w:ascii="宋体" w:hAnsi="宋体" w:cs="宋体"/>
          <w:bCs/>
          <w:color w:val="auto"/>
          <w:szCs w:val="21"/>
          <w:highlight w:val="none"/>
          <w:u w:val="single"/>
        </w:rPr>
        <w:t xml:space="preserve">（应明确对被破坏的检测产品的处理方式）</w:t>
      </w:r>
      <w:r/>
    </w:p>
    <w:p>
      <w:pPr>
        <w:ind w:firstLine="84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84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验收组织的其他事项：</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（2）履约验收时间：</w:t>
      </w:r>
      <w:r>
        <w:rPr>
          <w:rFonts w:hint="eastAsia" w:ascii="宋体" w:hAnsi="宋体" w:cs="宋体"/>
          <w:bCs/>
          <w:color w:val="auto"/>
          <w:szCs w:val="21"/>
          <w:highlight w:val="none"/>
          <w:u w:val="single"/>
        </w:rPr>
        <w:t xml:space="preserve">（计划于何时验收/供应商提出验收申请之日起   日内组织验收） </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一次性验收         </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分期/分项验收：</w:t>
      </w:r>
      <w:r>
        <w:rPr>
          <w:rFonts w:hint="eastAsia" w:ascii="宋体" w:hAnsi="宋体" w:cs="宋体"/>
          <w:bCs/>
          <w:color w:val="auto"/>
          <w:szCs w:val="21"/>
          <w:highlight w:val="none"/>
          <w:u w:val="single"/>
        </w:rPr>
        <w:t xml:space="preserve"> （应明确分期</w:t>
      </w:r>
      <w:r>
        <w:rPr>
          <w:rFonts w:hint="eastAsia" w:ascii="宋体" w:hAnsi="宋体" w:cs="宋体"/>
          <w:bCs/>
          <w:color w:val="auto"/>
          <w:szCs w:val="21"/>
          <w:highlight w:val="none"/>
          <w:u w:val="single"/>
          <w:lang w:val="en"/>
        </w:rPr>
        <w:t xml:space="preserve">/分项验收的工作安排</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（4）履约验收程序：</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（5）履约验收的内容：</w:t>
      </w:r>
      <w:r>
        <w:rPr>
          <w:rFonts w:hint="eastAsia" w:ascii="宋体" w:hAnsi="宋体" w:cs="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（6）履约验收标准：</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（7）是否以采购活动中供应商提供的样品作为参考：</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2"/>
        </w:num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组成合同的文件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（1）政府采购合同协议书及其变更、补充协议</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（2）政府采购合同专用条款</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（3）政府采购合同通用条款</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（4）中标（成交）通知书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（5）投标（响应）文件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（6）采购文件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（7）有关技术文件，图纸</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（8）国家法律、行政法规和规章制度规定或合同约定的作为合同组成部分的其他文件</w:t>
      </w:r>
      <w:r/>
    </w:p>
    <w:p>
      <w:pPr>
        <w:numPr>
          <w:ilvl w:val="0"/>
          <w:numId w:val="2"/>
        </w:num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合同生效</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本合同自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生效。</w:t>
      </w:r>
      <w:r/>
    </w:p>
    <w:p>
      <w:pPr>
        <w:numPr>
          <w:ilvl w:val="0"/>
          <w:numId w:val="2"/>
        </w:num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合同份数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本合同一式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份，甲方执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份，乙方执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份，均具有同等法律效力。</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合同订立时间：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合同订立地点：</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附件：具体标的及其技术要求和商务要求、联合协议、分包意向协议等。</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pStyle w:val="1667"/>
        <w:keepLines w:val="0"/>
        <w:keepNext w:val="0"/>
        <w:spacing w:line="400" w:lineRule="exact"/>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
        </w:rPr>
        <w:t xml:space="preserve">   </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ind w:firstLine="420"/>
        <w:rPr>
          <w:rFonts w:ascii="宋体" w:hAnsi="宋体" w:cs="宋体"/>
          <w:color w:val="auto"/>
          <w:szCs w:val="21"/>
          <w:highlight w:val="none"/>
        </w:rPr>
      </w:pPr>
      <w:r>
        <w:rPr>
          <w:rFonts w:ascii="宋体" w:hAnsi="宋体" w:cs="宋体"/>
          <w:color w:val="auto"/>
          <w:szCs w:val="21"/>
          <w:highlight w:val="none"/>
        </w:rPr>
      </w:r>
      <w:r/>
    </w:p>
    <w:tbl>
      <w:tblPr>
        <w:tblStyle w:val="83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704"/>
        <w:gridCol w:w="1267"/>
        <w:gridCol w:w="3413"/>
      </w:tblGrid>
      <w:tr>
        <w:trPr>
          <w:trHeight w:val="490"/>
        </w:trPr>
        <w:tc>
          <w:tcPr>
            <w:gridSpan w:val="2"/>
            <w:tcW w:w="4569"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甲方（采购人、受采购人委托签订合同的单位或采购文件约定的合同甲方）</w:t>
            </w:r>
            <w:r/>
          </w:p>
        </w:tc>
        <w:tc>
          <w:tcPr>
            <w:gridSpan w:val="2"/>
            <w:tcW w:w="4349"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乙方（供应商）</w:t>
            </w:r>
            <w:r/>
          </w:p>
        </w:tc>
      </w:tr>
      <w:tr>
        <w:trPr>
          <w:trHeight w:val="917"/>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单位名称（公章或合同章）</w:t>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单位名称（公章或合同章）</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1171"/>
        </w:trPr>
        <w:tc>
          <w:tcPr>
            <w:tcW w:w="1126" w:type="dxa"/>
            <w:vAlign w:val="center"/>
            <w:vMerge w:val="restart"/>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p>
          <w:p>
            <w:pPr>
              <w:ind w:firstLine="100"/>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或其委托代理人（签章）</w:t>
            </w:r>
            <w:r/>
          </w:p>
        </w:tc>
        <w:tc>
          <w:tcPr>
            <w:tcW w:w="1436" w:type="dxa"/>
            <w:vAlign w:val="center"/>
            <w:vMerge w:val="restart"/>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p>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或其委托代理人（签章）</w:t>
            </w:r>
            <w:r/>
          </w:p>
        </w:tc>
        <w:tc>
          <w:tcPr>
            <w:tcW w:w="1259"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r>
      <w:tr>
        <w:trPr>
          <w:trHeight w:val="483"/>
        </w:trPr>
        <w:tc>
          <w:tcPr>
            <w:tcW w:w="1126" w:type="dxa"/>
            <w:vAlign w:val="center"/>
            <w:vMerge w:val="continue"/>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436" w:type="dxa"/>
            <w:vAlign w:val="center"/>
            <w:vMerge w:val="continue"/>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拥有者性别</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住  所</w:t>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住  所</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联 系 人</w:t>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联 系 人</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通信地址</w:t>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通信地址</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邮政编码</w:t>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邮政编码</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电子邮箱</w:t>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电子邮箱</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开户名称</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开户银行</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436"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银行账号</w:t>
            </w:r>
            <w:r/>
          </w:p>
        </w:tc>
        <w:tc>
          <w:tcPr>
            <w:tcW w:w="1259" w:type="dxa"/>
            <w:vAlign w:val="center"/>
            <w:textDirection w:val="lrTb"/>
            <w:noWrap w:val="false"/>
          </w:tcPr>
          <w:p>
            <w:pPr>
              <w:jc w:val="center"/>
              <w:spacing w:line="300" w:lineRule="exact"/>
              <w:rPr>
                <w:rFonts w:ascii="宋体" w:hAnsi="宋体" w:cs="宋体"/>
                <w:color w:val="auto"/>
                <w:spacing w:val="20"/>
                <w:szCs w:val="21"/>
                <w:highlight w:val="none"/>
              </w:rPr>
            </w:pPr>
            <w:r>
              <w:rPr>
                <w:rFonts w:ascii="宋体" w:hAnsi="宋体" w:cs="宋体"/>
                <w:color w:val="auto"/>
                <w:spacing w:val="20"/>
                <w:szCs w:val="21"/>
                <w:highlight w:val="none"/>
              </w:rPr>
            </w:r>
            <w:r/>
          </w:p>
        </w:tc>
      </w:tr>
      <w:tr>
        <w:trPr>
          <w:trHeight w:val="586"/>
        </w:trPr>
        <w:tc>
          <w:tcPr>
            <w:gridSpan w:val="4"/>
            <w:tcW w:w="8918" w:type="dxa"/>
            <w:vAlign w:val="center"/>
            <w:textDirection w:val="lrTb"/>
            <w:noWrap w:val="false"/>
          </w:tcPr>
          <w:p>
            <w:pPr>
              <w:ind w:firstLine="645"/>
              <w:jc w:val="left"/>
              <w:spacing w:before="120"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注：涉及联合体或其他合同主体的信息应按上表格式加列。</w:t>
            </w:r>
            <w:r/>
          </w:p>
        </w:tc>
      </w:tr>
    </w:tbl>
    <w:p>
      <w:pPr>
        <w:pStyle w:val="1667"/>
        <w:keepLines w:val="0"/>
        <w:keepNext w:val="0"/>
        <w:spacing w:before="120"/>
        <w:rPr>
          <w:rFonts w:ascii="黑体" w:hAnsi="华文中宋" w:eastAsia="黑体"/>
          <w:b w:val="0"/>
          <w:bCs w:val="0"/>
          <w:color w:val="auto"/>
          <w:sz w:val="28"/>
          <w:szCs w:val="28"/>
          <w:highlight w:val="none"/>
        </w:rPr>
      </w:pPr>
      <w:r>
        <w:rPr>
          <w:rFonts w:hint="eastAsia" w:ascii="宋体" w:hAnsi="宋体" w:eastAsia="宋体" w:cs="宋体"/>
          <w:color w:val="auto"/>
          <w:sz w:val="21"/>
          <w:szCs w:val="21"/>
          <w:highlight w:val="none"/>
          <w:u w:val="single"/>
        </w:rPr>
        <w:br w:type="page" w:clear="all"/>
      </w:r>
      <w:bookmarkStart w:id="25" w:name="_Toc27624"/>
      <w:r>
        <w:rPr>
          <w:rFonts w:hint="eastAsia" w:ascii="黑体" w:hAnsi="华文中宋" w:eastAsia="黑体"/>
          <w:b w:val="0"/>
          <w:bCs w:val="0"/>
          <w:color w:val="auto"/>
          <w:sz w:val="28"/>
          <w:szCs w:val="28"/>
          <w:highlight w:val="none"/>
        </w:rPr>
        <w:t xml:space="preserve">第二节 政府采购合同通用条款</w:t>
      </w:r>
      <w:bookmarkEnd w:id="25"/>
      <w:r/>
      <w:r/>
    </w:p>
    <w:p>
      <w:pPr>
        <w:jc w:val="left"/>
        <w:spacing w:line="400" w:lineRule="exact"/>
        <w:tabs>
          <w:tab w:val="left" w:pos="8820" w:leader="none"/>
          <w:tab w:val="left" w:pos="9345" w:leader="none"/>
          <w:tab w:val="left" w:pos="9765" w:leader="none"/>
        </w:tabs>
        <w:rPr>
          <w:rFonts w:ascii="宋体" w:hAnsi="宋体" w:cs="宋体"/>
          <w:b/>
          <w:bCs/>
          <w:color w:val="auto"/>
          <w:szCs w:val="21"/>
          <w:highlight w:val="none"/>
        </w:rPr>
      </w:pPr>
      <w:r>
        <w:rPr>
          <w:rFonts w:hint="eastAsia" w:ascii="宋体" w:hAnsi="宋体" w:cs="宋体"/>
          <w:b/>
          <w:color w:val="auto"/>
          <w:szCs w:val="21"/>
          <w:highlight w:val="none"/>
        </w:rPr>
        <w:t xml:space="preserve">1. </w:t>
      </w:r>
      <w:r>
        <w:rPr>
          <w:rFonts w:hint="eastAsia" w:ascii="宋体" w:hAnsi="宋体" w:cs="宋体"/>
          <w:b/>
          <w:bCs/>
          <w:color w:val="auto"/>
          <w:szCs w:val="21"/>
          <w:highlight w:val="none"/>
        </w:rPr>
        <w:t xml:space="preserve">定义</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1.1合同当事人</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s="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1.2本合同下列术语应解释为：</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s="宋体"/>
          <w:color w:val="auto"/>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auto"/>
          <w:szCs w:val="21"/>
          <w:highlight w:val="none"/>
          <w:lang w:val="en"/>
        </w:rPr>
        <w:t xml:space="preserve">其他</w:t>
      </w:r>
      <w:r>
        <w:rPr>
          <w:rFonts w:hint="eastAsia" w:ascii="宋体" w:hAnsi="宋体" w:cs="宋体"/>
          <w:color w:val="auto"/>
          <w:szCs w:val="21"/>
          <w:highlight w:val="none"/>
        </w:rPr>
        <w:t xml:space="preserve">技术资料和材料等。</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（4）“相关服务”系指根据合同规定，乙方应提供的与货物有关的技术、管理和</w:t>
      </w:r>
      <w:r>
        <w:rPr>
          <w:rFonts w:hint="eastAsia" w:ascii="宋体" w:hAnsi="宋体" w:cs="宋体"/>
          <w:color w:val="auto"/>
          <w:szCs w:val="21"/>
          <w:highlight w:val="none"/>
          <w:lang w:val="en"/>
        </w:rPr>
        <w:t xml:space="preserve">其他</w:t>
      </w:r>
      <w:r>
        <w:rPr>
          <w:rFonts w:hint="eastAsia" w:ascii="宋体" w:hAnsi="宋体" w:cs="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Cs w:val="21"/>
          <w:highlight w:val="none"/>
          <w:lang w:val="en"/>
        </w:rPr>
        <w:t xml:space="preserve">其他</w:t>
      </w:r>
      <w:r>
        <w:rPr>
          <w:rFonts w:hint="eastAsia" w:ascii="宋体" w:hAnsi="宋体" w:cs="宋体"/>
          <w:color w:val="auto"/>
          <w:szCs w:val="21"/>
          <w:highlight w:val="none"/>
        </w:rPr>
        <w:t xml:space="preserve">义务。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（7）其他术语解释，见【</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w:t>
      </w:r>
      <w:r/>
    </w:p>
    <w:p>
      <w:pPr>
        <w:numPr>
          <w:ilvl w:val="0"/>
          <w:numId w:val="5"/>
        </w:numPr>
        <w:jc w:val="left"/>
        <w:spacing w:line="400" w:lineRule="exact"/>
        <w:rPr>
          <w:rFonts w:ascii="宋体" w:hAnsi="宋体" w:cs="宋体"/>
          <w:b/>
          <w:bCs/>
          <w:color w:val="auto"/>
          <w:szCs w:val="21"/>
          <w:highlight w:val="none"/>
        </w:rPr>
      </w:pPr>
      <w:r>
        <w:rPr>
          <w:rFonts w:hint="eastAsia" w:ascii="宋体" w:hAnsi="宋体" w:cs="宋体"/>
          <w:b/>
          <w:color w:val="auto"/>
          <w:szCs w:val="21"/>
          <w:highlight w:val="none"/>
        </w:rPr>
        <w:t xml:space="preserve">合同标的及金额</w:t>
      </w:r>
      <w:r/>
    </w:p>
    <w:p>
      <w:pPr>
        <w:ind w:firstLine="420"/>
        <w:jc w:val="left"/>
        <w:spacing w:line="400" w:lineRule="exact"/>
        <w:rPr>
          <w:rFonts w:ascii="宋体" w:hAnsi="宋体" w:cs="宋体"/>
          <w:b/>
          <w:bCs/>
          <w:i/>
          <w:iCs/>
          <w:color w:val="auto"/>
          <w:szCs w:val="21"/>
          <w:highlight w:val="none"/>
        </w:rPr>
      </w:pPr>
      <w:r>
        <w:rPr>
          <w:rFonts w:hint="eastAsia" w:ascii="宋体" w:hAnsi="宋体" w:cs="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auto"/>
          <w:szCs w:val="21"/>
          <w:highlight w:val="none"/>
          <w:lang w:val="en"/>
        </w:rPr>
        <w:t xml:space="preserve">其他</w:t>
      </w:r>
      <w:r>
        <w:rPr>
          <w:rFonts w:hint="eastAsia" w:ascii="宋体" w:hAnsi="宋体" w:cs="宋体"/>
          <w:color w:val="auto"/>
          <w:szCs w:val="21"/>
          <w:highlight w:val="none"/>
        </w:rPr>
        <w:t xml:space="preserve">任何费用。</w:t>
      </w:r>
      <w:r/>
    </w:p>
    <w:p>
      <w:pPr>
        <w:jc w:val="left"/>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3. 履行合同的时间、地点和方式</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 乙方应当在约定的时间、地点，按照约定方式履行合同。</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 甲方的权利和义务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 甲方有权要求乙方对缺陷部分予以修复，并按合同约定享有货物保修及其他合同约定的权利。</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 甲方应当按照合同约定及时对交付的货物进行验收，未在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约定的期限内对乙方履约提出任何异议或者向乙方作出任何说明的，视为验收通过。</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约定应由甲方承担的其他义务和责任。</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 乙方的权利和义务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 签署合同后，乙方应确定项目负责人（或项目联系人），负责与本合同有关的事务。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666"/>
        <w:ind w:firstLine="369"/>
        <w:spacing w:line="400" w:lineRule="exact"/>
        <w:rPr>
          <w:rFonts w:ascii="宋体" w:eastAsia="宋体"/>
          <w:color w:val="auto"/>
          <w:sz w:val="21"/>
          <w:szCs w:val="21"/>
          <w:highlight w:val="none"/>
        </w:rPr>
      </w:pPr>
      <w:r>
        <w:rPr>
          <w:rFonts w:hint="eastAsia" w:ascii="宋体" w:eastAsia="宋体"/>
          <w:color w:val="auto"/>
          <w:sz w:val="21"/>
          <w:szCs w:val="21"/>
          <w:highlight w:val="none"/>
        </w:rPr>
        <w:t xml:space="preserve">5.3乙方有权根据合同约定向甲方收取合同价款。</w:t>
      </w:r>
      <w:r/>
    </w:p>
    <w:p>
      <w:pPr>
        <w:pStyle w:val="1666"/>
        <w:ind w:firstLine="369"/>
        <w:spacing w:line="400" w:lineRule="exact"/>
        <w:rPr>
          <w:rFonts w:ascii="宋体" w:eastAsia="宋体"/>
          <w:color w:val="auto"/>
          <w:sz w:val="21"/>
          <w:szCs w:val="21"/>
          <w:highlight w:val="none"/>
        </w:rPr>
      </w:pPr>
      <w:r>
        <w:rPr>
          <w:rFonts w:hint="eastAsia" w:ascii="宋体" w:eastAsia="宋体"/>
          <w:color w:val="auto"/>
          <w:sz w:val="21"/>
          <w:szCs w:val="21"/>
          <w:highlight w:val="none"/>
        </w:rPr>
        <w:t xml:space="preserve">5.4国家法律法规规定及</w:t>
      </w:r>
      <w:r>
        <w:rPr>
          <w:rFonts w:hint="eastAsia" w:ascii="宋体" w:eastAsia="宋体"/>
          <w:b/>
          <w:bCs/>
          <w:color w:val="auto"/>
          <w:sz w:val="21"/>
          <w:szCs w:val="21"/>
          <w:highlight w:val="none"/>
        </w:rPr>
        <w:t xml:space="preserve">【政府采购合同专用条款】</w:t>
      </w:r>
      <w:r>
        <w:rPr>
          <w:rFonts w:hint="eastAsia" w:ascii="宋体" w:eastAsia="宋体"/>
          <w:color w:val="auto"/>
          <w:sz w:val="21"/>
          <w:szCs w:val="21"/>
          <w:highlight w:val="none"/>
        </w:rPr>
        <w:t xml:space="preserve">约定应由乙方承担的其他义务和责任。</w:t>
      </w:r>
      <w:r/>
    </w:p>
    <w:p>
      <w:pPr>
        <w:numPr>
          <w:ilvl w:val="0"/>
          <w:numId w:val="6"/>
        </w:num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合同履行</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约定顺序履行合同义务；如果没有先后顺序的，应当同时履行。</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7. 货物包装、运输、保险和交付要求</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7.1 本合同</w:t>
      </w:r>
      <w:r>
        <w:rPr>
          <w:rFonts w:hint="eastAsia" w:ascii="宋体" w:hAnsi="宋体" w:cs="宋体"/>
          <w:bCs/>
          <w:color w:val="auto"/>
          <w:szCs w:val="21"/>
          <w:highlight w:val="none"/>
        </w:rPr>
        <w:t xml:space="preserve">涉及商品包装、快递包装的，</w:t>
      </w:r>
      <w:r>
        <w:rPr>
          <w:rFonts w:hint="eastAsia" w:ascii="宋体" w:hAnsi="宋体" w:cs="宋体"/>
          <w:color w:val="auto"/>
          <w:szCs w:val="21"/>
          <w:highlight w:val="none"/>
        </w:rPr>
        <w:t xml:space="preserve">除</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另有约定外，</w:t>
      </w:r>
      <w:r>
        <w:rPr>
          <w:rFonts w:hint="eastAsia" w:ascii="宋体" w:hAnsi="宋体" w:cs="宋体"/>
          <w:color w:val="auto"/>
          <w:szCs w:val="21"/>
          <w:highlight w:val="none"/>
        </w:rPr>
        <w:t xml:space="preserve">包装应适应远距离运输、防潮、防震、防锈和防野蛮装卸等要求，确保货物安全无损地运抵</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约定的</w:t>
      </w:r>
      <w:r>
        <w:rPr>
          <w:rFonts w:hint="eastAsia" w:ascii="宋体" w:hAnsi="宋体" w:cs="宋体"/>
          <w:color w:val="auto"/>
          <w:szCs w:val="21"/>
          <w:highlight w:val="none"/>
        </w:rPr>
        <w:t xml:space="preserve">指定现场。</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7.2 除</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另有约定外，</w:t>
      </w:r>
      <w:r>
        <w:rPr>
          <w:rFonts w:hint="eastAsia" w:ascii="宋体" w:hAnsi="宋体" w:cs="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7.3 货物保险要求按</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规定执行</w:t>
      </w:r>
      <w:r>
        <w:rPr>
          <w:rFonts w:hint="eastAsia" w:ascii="宋体" w:hAnsi="宋体" w:cs="宋体"/>
          <w:color w:val="auto"/>
          <w:szCs w:val="21"/>
          <w:highlight w:val="none"/>
        </w:rPr>
        <w:t xml:space="preserve">。</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7.5 乙方在运输到达之前应提前通知甲方，并提示货物运输装卸的注意事项，甲方配合乙方做好货物的接收工作。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8. 质量标准和保证</w:t>
      </w:r>
      <w:r/>
    </w:p>
    <w:p>
      <w:pPr>
        <w:ind w:firstLine="420"/>
        <w:jc w:val="left"/>
        <w:spacing w:line="400" w:lineRule="exact"/>
        <w:rPr>
          <w:rFonts w:ascii="宋体" w:hAnsi="Courier New" w:eastAsia="楷体_GB2312" w:cs="宋体"/>
          <w:b/>
          <w:color w:val="auto"/>
          <w:sz w:val="26"/>
          <w:szCs w:val="24"/>
          <w:highlight w:val="none"/>
        </w:rPr>
      </w:pPr>
      <w:r>
        <w:rPr>
          <w:rFonts w:hint="eastAsia" w:ascii="宋体" w:hAnsi="Courier New" w:eastAsia="楷体_GB2312" w:cs="宋体"/>
          <w:color w:val="auto"/>
          <w:sz w:val="26"/>
          <w:szCs w:val="24"/>
          <w:highlight w:val="none"/>
        </w:rPr>
        <w:t xml:space="preserve">8.1 质量标准</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cs="宋体"/>
          <w:color w:val="auto"/>
          <w:szCs w:val="24"/>
          <w:highlight w:val="none"/>
        </w:rPr>
      </w:pPr>
      <w:r>
        <w:rPr>
          <w:rFonts w:hint="eastAsia" w:cs="宋体"/>
          <w:color w:val="auto"/>
          <w:szCs w:val="24"/>
          <w:highlight w:val="none"/>
        </w:rPr>
        <w:t xml:space="preserve">（2）采用中华人民共和国法定计量单位。</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（3）乙方所提供的货物应符合国家有关安全、环保、卫生的规定。</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8.2 保证</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（3）乙方收到通知后，应在</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9. 权利瑕疵担保</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 乙方保证对其出售的货物享有合法的权利。</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 乙方保证在交付的货物上不存在抵押权等担保物权。</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9.3 如甲方使用上述货物构成对第三人侵权的，则由乙方承担全部责任。</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10. 知识产权保护</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 乙方对其所销售的货物应当享有知识产权或经权利人合法授权，保证没有侵犯任何第三人的知识产权等权利。</w:t>
      </w:r>
      <w:bookmarkStart w:id="26" w:name="_Hlk163047038"/>
      <w:r>
        <w:rPr>
          <w:rFonts w:hint="eastAsia" w:ascii="宋体" w:hAnsi="宋体" w:cs="宋体"/>
          <w:color w:val="auto"/>
          <w:szCs w:val="21"/>
          <w:highlight w:val="none"/>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cs="宋体"/>
          <w:color w:val="auto"/>
          <w:szCs w:val="21"/>
          <w:highlight w:val="none"/>
        </w:rPr>
        <w:t xml:space="preserve">。</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11. 保密义务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中约定。</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12. 合同价款支付</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12.1 合同价款支付按照国库集中支付制度及财政管理相关规定执行。</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中约定。</w:t>
      </w:r>
      <w:r/>
    </w:p>
    <w:p>
      <w:pPr>
        <w:pStyle w:val="1666"/>
        <w:spacing w:line="400" w:lineRule="exact"/>
        <w:rPr>
          <w:rFonts w:ascii="宋体" w:eastAsia="宋体"/>
          <w:b/>
          <w:bCs/>
          <w:color w:val="auto"/>
          <w:sz w:val="21"/>
          <w:szCs w:val="21"/>
          <w:highlight w:val="none"/>
        </w:rPr>
      </w:pPr>
      <w:r>
        <w:rPr>
          <w:rFonts w:hint="eastAsia" w:ascii="宋体" w:eastAsia="宋体"/>
          <w:b/>
          <w:bCs/>
          <w:color w:val="auto"/>
          <w:sz w:val="21"/>
          <w:szCs w:val="21"/>
          <w:highlight w:val="none"/>
        </w:rPr>
        <w:t xml:space="preserve">13. 履约保证金</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13.1 乙方应当以支票、汇票、本票或者金融机构、担保机构出具的保函等非现金形式提交。</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13.2 如果乙方出现</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13.3 甲方在项目通过验收后按照</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规定的时间内将履约保证金退还乙方；逾期退还的，乙方可要求甲方支付违约金，违约金按照</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规定支付。</w:t>
      </w:r>
      <w:r/>
    </w:p>
    <w:p>
      <w:pPr>
        <w:jc w:val="left"/>
        <w:spacing w:line="400" w:lineRule="exact"/>
        <w:rPr>
          <w:rFonts w:ascii="宋体" w:hAnsi="宋体" w:cs="宋体"/>
          <w:b/>
          <w:color w:val="auto"/>
          <w:szCs w:val="21"/>
          <w:highlight w:val="none"/>
        </w:rPr>
      </w:pPr>
      <w:r>
        <w:rPr>
          <w:rFonts w:hint="eastAsia" w:ascii="宋体" w:hAnsi="宋体" w:cs="宋体"/>
          <w:b/>
          <w:bCs/>
          <w:color w:val="auto"/>
          <w:szCs w:val="21"/>
          <w:highlight w:val="none"/>
        </w:rPr>
        <w:t xml:space="preserve">14. </w:t>
      </w:r>
      <w:r>
        <w:rPr>
          <w:rFonts w:hint="eastAsia" w:ascii="宋体" w:hAnsi="宋体" w:cs="宋体"/>
          <w:b/>
          <w:color w:val="auto"/>
          <w:szCs w:val="21"/>
          <w:highlight w:val="none"/>
        </w:rPr>
        <w:t xml:space="preserve">售后服务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（1）货物的现场移动、安装、调试、启动监督及技术支持；</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（2）提供货物组装和维修所需的专用工具和辅助材料；</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（4）在制造商所在地或指定现场就货物的安装、启动、运营、维护、废弃处置等对甲方操作人员进行培训；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（5）依照法律、行政法规的规定或者按照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规定由乙方提供的其他服务。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14.2 乙方提供的售后服务的费用已包含在合同价款中，甲方不再另行支付。</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15. 违约责任</w:t>
      </w:r>
      <w:r/>
    </w:p>
    <w:p>
      <w:pPr>
        <w:ind w:firstLine="420"/>
        <w:jc w:val="left"/>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15.1质量瑕疵的违约责任</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乙方提供的产品不符合合同约定的质量标准或存在产品质量缺陷，甲方有权要求乙方根据</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要求</w:t>
      </w:r>
      <w:r>
        <w:rPr>
          <w:rFonts w:hint="eastAsia" w:ascii="宋体" w:hAnsi="宋体" w:cs="宋体"/>
          <w:color w:val="auto"/>
          <w:szCs w:val="21"/>
          <w:highlight w:val="none"/>
        </w:rPr>
        <w:t xml:space="preserve">及时修理、重作、更换；批量器材参数不达标按该品类合同价 10%-20% 支付违约金并承担由此给甲方造成的损失。</w:t>
      </w:r>
      <w:r/>
    </w:p>
    <w:p>
      <w:pPr>
        <w:ind w:firstLine="420"/>
        <w:jc w:val="left"/>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 迟延交货的违约责任</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15.3 迟延支付的违约责任</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甲方存在迟延支付乙方合同款项的，应当承担</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规定的逾期付款利息。</w:t>
      </w:r>
      <w:r/>
    </w:p>
    <w:p>
      <w:pPr>
        <w:ind w:firstLine="420"/>
        <w:jc w:val="left"/>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15.4其他违约责任根据项目实际需要按</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规定执行。</w:t>
      </w:r>
      <w:r/>
    </w:p>
    <w:p>
      <w:pPr>
        <w:numPr>
          <w:ilvl w:val="0"/>
          <w:numId w:val="7"/>
        </w:numPr>
        <w:jc w:val="left"/>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合同变更、中止与终止</w:t>
      </w:r>
      <w:r/>
    </w:p>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16.1合同的变更</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16.2合同的中止</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16.3合同的终止</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（2）乙方未按合同约定履行，构成根本性违约的，甲方有权终止合同，并追究乙方的违约责任。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16.4 涉及国家利益、社会公共利益的情形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17. 合同分包</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18. 不可抗力</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18.1 不可抗力是指合同双方不能预见、不能避免且不能克服的客观情况。</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19. 解决争议的方法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19.2 选择仲裁的，应在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中明确仲裁机构及仲裁地；通过诉讼方式解决的，可以在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s="宋体"/>
          <w:color w:val="auto"/>
          <w:szCs w:val="21"/>
          <w:highlight w:val="none"/>
        </w:rPr>
      </w:pPr>
      <w:r>
        <w:rPr>
          <w:rFonts w:hint="eastAsia" w:ascii="宋体" w:hAnsi="宋体" w:cs="宋体"/>
          <w:b/>
          <w:color w:val="auto"/>
          <w:szCs w:val="21"/>
          <w:highlight w:val="none"/>
        </w:rPr>
        <w:t xml:space="preserve">20. 政府采购政策</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20.1 </w:t>
      </w:r>
      <w:r>
        <w:rPr>
          <w:rFonts w:hint="eastAsia" w:ascii="宋体" w:hAnsi="宋体" w:cs="宋体"/>
          <w:color w:val="auto"/>
          <w:szCs w:val="21"/>
          <w:highlight w:val="none"/>
          <w:lang w:val="en-GB"/>
        </w:rPr>
        <w:t xml:space="preserve">本合同应当按照规定执行政府采购政策。</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20.2 本合同依法执行政府采购政策的方式和内容，属于合同履约验收的范围。甲乙双方</w:t>
      </w:r>
      <w:r>
        <w:rPr>
          <w:rFonts w:hint="eastAsia" w:ascii="宋体" w:hAnsi="宋体" w:cs="宋体"/>
          <w:color w:val="auto"/>
          <w:szCs w:val="21"/>
          <w:highlight w:val="none"/>
          <w:lang w:val="en-GB"/>
        </w:rPr>
        <w:t xml:space="preserve">未按规定要求执行政府采购政策造成损失的</w:t>
      </w:r>
      <w:r>
        <w:rPr>
          <w:rFonts w:hint="eastAsia" w:ascii="宋体" w:hAnsi="宋体" w:cs="宋体"/>
          <w:color w:val="auto"/>
          <w:szCs w:val="21"/>
          <w:highlight w:val="none"/>
        </w:rPr>
        <w:t xml:space="preserve">，有过错的一方应当承担赔偿责任，双方都有过错的，各自承担相应的责任。</w:t>
      </w:r>
      <w:r/>
    </w:p>
    <w:p>
      <w:pPr>
        <w:pStyle w:val="1666"/>
        <w:ind w:firstLine="420"/>
        <w:spacing w:line="400" w:lineRule="exact"/>
        <w:rPr>
          <w:rFonts w:ascii="宋体" w:eastAsia="宋体"/>
          <w:color w:val="auto"/>
          <w:sz w:val="21"/>
          <w:szCs w:val="21"/>
          <w:highlight w:val="none"/>
        </w:rPr>
      </w:pPr>
      <w:r>
        <w:rPr>
          <w:rFonts w:hint="eastAsia" w:ascii="宋体" w:eastAsia="宋体"/>
          <w:color w:val="auto"/>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21. 法律适用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21.1 本合同的订立、生效、解释、履行及与本合同有关的争议解决，均适用法律、行政法规。</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22. 通知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22.4通知以送达之日或通知书中规定的生效之日起生效，两者中以较迟之日为准。</w:t>
      </w:r>
      <w:r/>
    </w:p>
    <w:p>
      <w:pPr>
        <w:numPr>
          <w:ilvl w:val="0"/>
          <w:numId w:val="8"/>
        </w:num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合同未尽事项</w:t>
      </w:r>
      <w:r/>
    </w:p>
    <w:p>
      <w:pPr>
        <w:ind w:firstLine="420"/>
        <w:jc w:val="left"/>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23.1合同未尽事项见</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w:t>
      </w:r>
      <w:r/>
    </w:p>
    <w:p>
      <w:pPr>
        <w:ind w:firstLine="420"/>
        <w:jc w:val="left"/>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23.2 合同附件与合同正文具有同等的法律效力。</w:t>
      </w:r>
      <w:bookmarkEnd w:id="22"/>
      <w:r/>
      <w:bookmarkEnd w:id="23"/>
      <w:r/>
      <w:r/>
    </w:p>
    <w:p>
      <w:pPr>
        <w:rPr>
          <w:color w:val="auto"/>
          <w:highlight w:val="none"/>
        </w:rPr>
      </w:pPr>
      <w:r>
        <w:rPr>
          <w:rFonts w:hint="eastAsia"/>
          <w:color w:val="auto"/>
          <w:highlight w:val="none"/>
        </w:rPr>
        <w:br w:type="page" w:clear="all"/>
      </w:r>
      <w:r/>
    </w:p>
    <w:p>
      <w:pPr>
        <w:jc w:val="center"/>
        <w:spacing w:before="26"/>
        <w:rPr>
          <w:rFonts w:ascii="宋体" w:hAnsi="宋体" w:cs="宋体"/>
          <w:color w:val="auto"/>
          <w:sz w:val="28"/>
          <w:szCs w:val="28"/>
          <w:highlight w:val="none"/>
        </w:rPr>
        <w:outlineLvl w:val="1"/>
      </w:pPr>
      <w:r/>
      <w:bookmarkStart w:id="27" w:name="_Toc188363128"/>
      <w:r>
        <w:rPr>
          <w:rFonts w:hint="eastAsia" w:ascii="宋体" w:hAnsi="宋体" w:cs="宋体"/>
          <w:color w:val="auto"/>
          <w:sz w:val="28"/>
          <w:szCs w:val="28"/>
          <w:highlight w:val="none"/>
        </w:rPr>
        <w:t xml:space="preserve">第三节 政府采购合同专用条款</w:t>
      </w:r>
      <w:bookmarkEnd w:id="27"/>
      <w:r/>
      <w:r/>
    </w:p>
    <w:tbl>
      <w:tblPr>
        <w:tblStyle w:val="832"/>
        <w:tblW w:w="94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143"/>
        <w:gridCol w:w="5728"/>
      </w:tblGrid>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第1.2（6）项</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联合体具体要求</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604"/>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第1.2（7）项</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其他术语解释</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第4.4款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履约验收中甲方提出异议或作出说明的期限</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第4.6款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约定甲方承担的其他义务和责任</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2"/>
                <w:highlight w:val="none"/>
              </w:rPr>
            </w:pPr>
            <w:r>
              <w:rPr>
                <w:rFonts w:hint="eastAsia" w:ascii="宋体" w:hAnsi="宋体" w:cs="宋体"/>
                <w:color w:val="auto"/>
                <w:sz w:val="22"/>
                <w:szCs w:val="21"/>
                <w:highlight w:val="none"/>
              </w:rPr>
              <w:t xml:space="preserve">第5.4款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约定乙方承担的其他义务和责任</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第6.1款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履行合同义务的顺序</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667"/>
        </w:trPr>
        <w:tc>
          <w:tcPr>
            <w:tcW w:w="1607" w:type="dxa"/>
            <w:vAlign w:val="center"/>
            <w:vMerge w:val="restart"/>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第7.1款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包装特殊要求</w:t>
            </w:r>
            <w:r/>
          </w:p>
        </w:tc>
        <w:tc>
          <w:tcPr>
            <w:tcW w:w="5728"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67"/>
        </w:trPr>
        <w:tc>
          <w:tcPr>
            <w:tcW w:w="1607" w:type="dxa"/>
            <w:vAlign w:val="center"/>
            <w:vMerge w:val="continue"/>
            <w:textDirection w:val="lrTb"/>
            <w:noWrap w:val="false"/>
          </w:tcPr>
          <w:p>
            <w:pPr>
              <w:jc w:val="center"/>
              <w:rPr>
                <w:rFonts w:ascii="宋体" w:hAnsi="宋体" w:cs="宋体"/>
                <w:color w:val="auto"/>
                <w:sz w:val="22"/>
                <w:szCs w:val="21"/>
                <w:highlight w:val="none"/>
              </w:rPr>
            </w:pPr>
            <w:r>
              <w:rPr>
                <w:rFonts w:ascii="宋体" w:hAnsi="宋体" w:cs="宋体"/>
                <w:color w:val="auto"/>
                <w:sz w:val="22"/>
                <w:szCs w:val="21"/>
                <w:highlight w:val="none"/>
              </w:rPr>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指定现场</w:t>
            </w:r>
            <w:r/>
          </w:p>
        </w:tc>
        <w:tc>
          <w:tcPr>
            <w:tcW w:w="5728"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72"/>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第7.2款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运输特殊要求</w:t>
            </w:r>
            <w:r/>
          </w:p>
        </w:tc>
        <w:tc>
          <w:tcPr>
            <w:tcW w:w="5728"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67"/>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第7.3款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保险要求</w:t>
            </w:r>
            <w:r/>
          </w:p>
        </w:tc>
        <w:tc>
          <w:tcPr>
            <w:tcW w:w="5728"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第8.2（1）项</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质量保证期</w:t>
            </w:r>
            <w:r/>
          </w:p>
        </w:tc>
        <w:tc>
          <w:tcPr>
            <w:tcW w:w="5728"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第8.2（3）项</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货物质量缺陷</w:t>
            </w:r>
            <w:r/>
          </w:p>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响应时间</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spacing w:line="400" w:lineRule="exact"/>
              <w:rPr>
                <w:rFonts w:ascii="宋体" w:hAnsi="宋体" w:cs="宋体"/>
                <w:color w:val="auto"/>
                <w:sz w:val="22"/>
                <w:szCs w:val="21"/>
                <w:highlight w:val="none"/>
              </w:rPr>
            </w:pPr>
            <w:r>
              <w:rPr>
                <w:rFonts w:hint="eastAsia" w:ascii="宋体" w:hAnsi="宋体" w:cs="宋体"/>
                <w:color w:val="auto"/>
                <w:sz w:val="22"/>
                <w:szCs w:val="21"/>
                <w:highlight w:val="none"/>
              </w:rPr>
              <w:t xml:space="preserve">第11.1款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其他应当保密的信息</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第12.2款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合同价款支付时间</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第13.2款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履约保证金不予退还的情形</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第13.3款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履约保证金退还时间及逾期退还的违约金</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第14.1（3）项</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运行监督、维修期限</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第14.1（5）项</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货物回收的约定</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第14.1（6）项</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乙方提供的其他服务</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第15.1款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修理、重作、更换相关具体规定</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第15.2（2）项</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迟延交货赔偿费</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第15.3款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逾期付款利息</w:t>
            </w:r>
            <w:r/>
          </w:p>
        </w:tc>
        <w:tc>
          <w:tcPr>
            <w:tcW w:w="5728" w:type="dxa"/>
            <w:vAlign w:val="center"/>
            <w:textDirection w:val="lrTb"/>
            <w:noWrap w:val="false"/>
          </w:tcPr>
          <w:p>
            <w:pPr>
              <w:jc w:val="left"/>
              <w:rPr>
                <w:rFonts w:ascii="宋体" w:hAnsi="宋体" w:cs="宋体"/>
                <w:color w:val="auto"/>
                <w:sz w:val="22"/>
                <w:szCs w:val="21"/>
                <w:highlight w:val="none"/>
                <w:u w:val="single"/>
              </w:rPr>
            </w:pPr>
            <w:r>
              <w:rPr>
                <w:rFonts w:ascii="宋体" w:hAnsi="宋体" w:cs="宋体"/>
                <w:color w:val="auto"/>
                <w:sz w:val="22"/>
                <w:szCs w:val="21"/>
                <w:highlight w:val="none"/>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第15.4款</w:t>
            </w:r>
            <w:r/>
          </w:p>
        </w:tc>
        <w:tc>
          <w:tcPr>
            <w:tcBorders>
              <w:left w:val="single" w:color="auto" w:sz="2" w:space="0"/>
              <w:bottom w:val="single" w:color="auto" w:sz="2" w:space="0"/>
              <w:right w:val="single" w:color="auto" w:sz="2" w:space="0"/>
            </w:tcBorders>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其他违约责任</w:t>
            </w:r>
            <w:r/>
          </w:p>
        </w:tc>
        <w:tc>
          <w:tcPr>
            <w:tcBorders>
              <w:left w:val="single" w:color="auto" w:sz="2" w:space="0"/>
              <w:bottom w:val="single" w:color="auto" w:sz="2" w:space="0"/>
            </w:tcBorders>
            <w:tcW w:w="5728" w:type="dxa"/>
            <w:vAlign w:val="center"/>
            <w:textDirection w:val="lrTb"/>
            <w:noWrap w:val="false"/>
          </w:tcPr>
          <w:p>
            <w:pPr>
              <w:jc w:val="left"/>
              <w:rPr>
                <w:rFonts w:ascii="宋体" w:hAnsi="宋体" w:cs="宋体"/>
                <w:color w:val="auto"/>
                <w:sz w:val="22"/>
                <w:szCs w:val="21"/>
                <w:highlight w:val="none"/>
                <w:u w:val="single"/>
              </w:rPr>
            </w:pPr>
            <w:r>
              <w:rPr>
                <w:rFonts w:ascii="宋体" w:hAnsi="宋体" w:cs="宋体"/>
                <w:color w:val="auto"/>
                <w:sz w:val="22"/>
                <w:szCs w:val="21"/>
                <w:highlight w:val="none"/>
                <w:u w:val="single"/>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第19.2款</w:t>
            </w:r>
            <w:r/>
          </w:p>
        </w:tc>
        <w:tc>
          <w:tcPr>
            <w:tcBorders>
              <w:top w:val="single" w:color="auto" w:sz="2" w:space="0"/>
              <w:left w:val="single" w:color="auto" w:sz="2" w:space="0"/>
              <w:right w:val="single" w:color="auto" w:sz="2" w:space="0"/>
            </w:tcBorders>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解决争议的方法</w:t>
            </w:r>
            <w:r/>
          </w:p>
        </w:tc>
        <w:tc>
          <w:tcPr>
            <w:tcBorders>
              <w:top w:val="single" w:color="auto" w:sz="2" w:space="0"/>
              <w:left w:val="single" w:color="auto" w:sz="2" w:space="0"/>
            </w:tcBorders>
            <w:tcW w:w="5728" w:type="dxa"/>
            <w:vAlign w:val="center"/>
            <w:textDirection w:val="lrTb"/>
            <w:noWrap w:val="false"/>
          </w:tcPr>
          <w:p>
            <w:pPr>
              <w:jc w:val="left"/>
              <w:spacing w:line="400" w:lineRule="exact"/>
              <w:rPr>
                <w:rFonts w:ascii="宋体" w:hAnsi="宋体" w:cs="宋体"/>
                <w:iCs/>
                <w:color w:val="auto"/>
                <w:sz w:val="22"/>
                <w:szCs w:val="21"/>
                <w:highlight w:val="none"/>
              </w:rPr>
            </w:pPr>
            <w:r>
              <w:rPr>
                <w:rFonts w:hint="eastAsia" w:ascii="宋体" w:hAnsi="宋体" w:cs="宋体"/>
                <w:iCs/>
                <w:color w:val="auto"/>
                <w:sz w:val="22"/>
                <w:szCs w:val="21"/>
                <w:highlight w:val="none"/>
              </w:rPr>
              <w:t xml:space="preserve">因本合同及合同有关事项发生的争议，按下列第</w:t>
            </w:r>
            <w:r>
              <w:rPr>
                <w:rFonts w:hint="eastAsia" w:ascii="宋体" w:hAnsi="宋体" w:cs="宋体"/>
                <w:iCs/>
                <w:color w:val="auto"/>
                <w:sz w:val="22"/>
                <w:szCs w:val="21"/>
                <w:highlight w:val="none"/>
                <w:u w:val="single"/>
              </w:rPr>
              <w:t xml:space="preserve">   </w:t>
            </w:r>
            <w:r>
              <w:rPr>
                <w:rFonts w:hint="eastAsia" w:ascii="宋体" w:hAnsi="宋体" w:cs="宋体"/>
                <w:iCs/>
                <w:color w:val="auto"/>
                <w:sz w:val="22"/>
                <w:szCs w:val="21"/>
                <w:highlight w:val="none"/>
              </w:rPr>
              <w:t xml:space="preserve">种方式解决：</w:t>
            </w:r>
            <w:r/>
          </w:p>
          <w:p>
            <w:pPr>
              <w:jc w:val="left"/>
              <w:spacing w:line="400" w:lineRule="exact"/>
              <w:rPr>
                <w:rFonts w:ascii="宋体" w:hAnsi="宋体" w:cs="宋体"/>
                <w:iCs/>
                <w:color w:val="auto"/>
                <w:sz w:val="22"/>
                <w:szCs w:val="21"/>
                <w:highlight w:val="none"/>
              </w:rPr>
            </w:pPr>
            <w:r>
              <w:rPr>
                <w:rFonts w:hint="eastAsia" w:ascii="宋体" w:hAnsi="宋体" w:cs="宋体"/>
                <w:iCs/>
                <w:color w:val="auto"/>
                <w:sz w:val="22"/>
                <w:szCs w:val="21"/>
                <w:highlight w:val="none"/>
              </w:rPr>
              <w:t xml:space="preserve">（1）向</w:t>
            </w:r>
            <w:r>
              <w:rPr>
                <w:rFonts w:hint="eastAsia" w:ascii="宋体" w:hAnsi="宋体" w:cs="宋体"/>
                <w:iCs/>
                <w:color w:val="auto"/>
                <w:sz w:val="22"/>
                <w:szCs w:val="21"/>
                <w:highlight w:val="none"/>
                <w:u w:val="single"/>
              </w:rPr>
              <w:t xml:space="preserve">           </w:t>
            </w:r>
            <w:r>
              <w:rPr>
                <w:rFonts w:hint="eastAsia" w:ascii="宋体" w:hAnsi="宋体" w:cs="宋体"/>
                <w:iCs/>
                <w:color w:val="auto"/>
                <w:sz w:val="22"/>
                <w:szCs w:val="21"/>
                <w:highlight w:val="none"/>
              </w:rPr>
              <w:t xml:space="preserve">仲裁委员会申请仲裁，仲裁地点为</w:t>
            </w:r>
            <w:r>
              <w:rPr>
                <w:rFonts w:hint="eastAsia" w:ascii="宋体" w:hAnsi="宋体" w:cs="宋体"/>
                <w:iCs/>
                <w:color w:val="auto"/>
                <w:sz w:val="22"/>
                <w:szCs w:val="21"/>
                <w:highlight w:val="none"/>
                <w:u w:val="single"/>
              </w:rPr>
              <w:t xml:space="preserve">        </w:t>
            </w:r>
            <w:r>
              <w:rPr>
                <w:rFonts w:hint="eastAsia" w:ascii="宋体" w:hAnsi="宋体" w:cs="宋体"/>
                <w:iCs/>
                <w:color w:val="auto"/>
                <w:sz w:val="22"/>
                <w:szCs w:val="21"/>
                <w:highlight w:val="none"/>
              </w:rPr>
              <w:t xml:space="preserve">；</w:t>
            </w:r>
            <w:r/>
          </w:p>
          <w:p>
            <w:pPr>
              <w:jc w:val="left"/>
              <w:rPr>
                <w:rFonts w:ascii="宋体" w:hAnsi="宋体" w:cs="宋体"/>
                <w:color w:val="auto"/>
                <w:sz w:val="22"/>
                <w:szCs w:val="21"/>
                <w:highlight w:val="none"/>
                <w:u w:val="single"/>
              </w:rPr>
            </w:pPr>
            <w:r>
              <w:rPr>
                <w:rFonts w:hint="eastAsia" w:ascii="宋体" w:hAnsi="宋体" w:cs="宋体"/>
                <w:iCs/>
                <w:color w:val="auto"/>
                <w:sz w:val="22"/>
                <w:szCs w:val="21"/>
                <w:highlight w:val="none"/>
              </w:rPr>
              <w:t xml:space="preserve">（2）向</w:t>
            </w:r>
            <w:r>
              <w:rPr>
                <w:rFonts w:hint="eastAsia" w:ascii="宋体" w:hAnsi="宋体" w:cs="宋体"/>
                <w:iCs/>
                <w:color w:val="auto"/>
                <w:sz w:val="22"/>
                <w:szCs w:val="21"/>
                <w:highlight w:val="none"/>
                <w:u w:val="single"/>
              </w:rPr>
              <w:t xml:space="preserve">        </w:t>
            </w:r>
            <w:r>
              <w:rPr>
                <w:rFonts w:hint="eastAsia" w:ascii="宋体" w:hAnsi="宋体" w:cs="宋体"/>
                <w:iCs/>
                <w:color w:val="auto"/>
                <w:sz w:val="22"/>
                <w:szCs w:val="21"/>
                <w:highlight w:val="none"/>
              </w:rPr>
              <w:t xml:space="preserve">人民法院起诉。</w:t>
            </w:r>
            <w:r/>
          </w:p>
        </w:tc>
      </w:tr>
      <w:tr>
        <w:trPr>
          <w:jc w:val="center"/>
          <w:trHeight w:val="770"/>
        </w:trPr>
        <w:tc>
          <w:tcPr>
            <w:tcW w:w="160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第二节</w:t>
            </w:r>
            <w:r/>
          </w:p>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第23.1款</w:t>
            </w:r>
            <w:r/>
          </w:p>
        </w:tc>
        <w:tc>
          <w:tcPr>
            <w:tcW w:w="2143" w:type="dxa"/>
            <w:vAlign w:val="center"/>
            <w:textDirection w:val="lrTb"/>
            <w:noWrap w:val="false"/>
          </w:tcPr>
          <w:p>
            <w:pPr>
              <w:jc w:val="left"/>
              <w:rPr>
                <w:rFonts w:ascii="宋体" w:hAnsi="宋体" w:cs="宋体"/>
                <w:color w:val="auto"/>
                <w:sz w:val="22"/>
                <w:szCs w:val="21"/>
                <w:highlight w:val="none"/>
              </w:rPr>
            </w:pPr>
            <w:r>
              <w:rPr>
                <w:rFonts w:hint="eastAsia" w:ascii="宋体" w:hAnsi="宋体" w:cs="宋体"/>
                <w:bCs/>
                <w:color w:val="auto"/>
                <w:sz w:val="22"/>
                <w:szCs w:val="21"/>
                <w:highlight w:val="none"/>
              </w:rPr>
              <w:t xml:space="preserve">其他专用条款</w:t>
            </w:r>
            <w:r/>
          </w:p>
        </w:tc>
        <w:tc>
          <w:tcPr>
            <w:tcW w:w="5728" w:type="dxa"/>
            <w:vAlign w:val="center"/>
            <w:textDirection w:val="lrTb"/>
            <w:noWrap w:val="false"/>
          </w:tcPr>
          <w:p>
            <w:pPr>
              <w:jc w:val="left"/>
              <w:rPr>
                <w:rFonts w:ascii="宋体" w:hAnsi="宋体" w:cs="宋体"/>
                <w:color w:val="auto"/>
                <w:sz w:val="22"/>
                <w:szCs w:val="21"/>
                <w:highlight w:val="none"/>
              </w:rPr>
            </w:pPr>
            <w:r>
              <w:rPr>
                <w:rFonts w:ascii="宋体" w:hAnsi="宋体" w:cs="宋体"/>
                <w:color w:val="auto"/>
                <w:sz w:val="22"/>
                <w:szCs w:val="21"/>
                <w:highlight w:val="none"/>
              </w:rPr>
            </w:r>
            <w:r/>
          </w:p>
        </w:tc>
      </w:tr>
    </w:tbl>
    <w:p>
      <w:pPr>
        <w:jc w:val="left"/>
        <w:rPr>
          <w:rFonts w:ascii="宋体" w:hAnsi="宋体" w:cs="宋体"/>
          <w:color w:val="auto"/>
          <w:sz w:val="22"/>
          <w:szCs w:val="22"/>
          <w:highlight w:val="none"/>
        </w:rPr>
      </w:pPr>
      <w:r>
        <w:rPr>
          <w:rFonts w:ascii="宋体" w:hAnsi="宋体" w:cs="宋体"/>
          <w:color w:val="auto"/>
          <w:sz w:val="22"/>
          <w:szCs w:val="22"/>
          <w:highlight w:val="none"/>
        </w:rPr>
      </w:r>
      <w:r/>
    </w:p>
    <w:p>
      <w:pPr>
        <w:ind w:left="470" w:right="757"/>
        <w:jc w:val="center"/>
        <w:spacing w:line="242" w:lineRule="auto"/>
        <w:rPr>
          <w:rFonts w:ascii="宋体" w:hAnsi="宋体" w:cs="宋体"/>
          <w:color w:val="auto"/>
          <w:sz w:val="24"/>
          <w:szCs w:val="24"/>
          <w:highlight w:val="none"/>
        </w:rPr>
      </w:pPr>
      <w:r>
        <w:rPr>
          <w:rFonts w:ascii="宋体" w:hAnsi="宋体" w:cs="宋体"/>
          <w:color w:val="auto"/>
          <w:sz w:val="24"/>
          <w:szCs w:val="24"/>
          <w:highlight w:val="none"/>
        </w:rPr>
      </w:r>
      <w:r/>
    </w:p>
    <w:p>
      <w:pPr>
        <w:jc w:val="right"/>
        <w:rPr>
          <w:rFonts w:ascii="宋体" w:hAnsi="宋体" w:cs="宋体"/>
          <w:color w:val="auto"/>
          <w:highlight w:val="none"/>
        </w:rPr>
      </w:pPr>
      <w:r>
        <w:rPr>
          <w:rFonts w:hint="eastAsia" w:ascii="宋体" w:hAnsi="宋体" w:cs="宋体"/>
          <w:color w:val="auto"/>
          <w:highlight w:val="none"/>
        </w:rPr>
        <w:t xml:space="preserve">全文完</w:t>
      </w:r>
      <w:r/>
    </w:p>
    <w:sectPr>
      <w:headerReference w:type="default" r:id="rId11"/>
      <w:headerReference w:type="first" r:id="rId12"/>
      <w:footerReference w:type="default" r:id="rId16"/>
      <w:footerReference w:type="even" r:id="rId17"/>
      <w:footerReference w:type="first" r:id="rId18"/>
      <w:footnotePr/>
      <w:endnotePr/>
      <w:type w:val="nextPage"/>
      <w:pgSz w:w="11907" w:h="16839"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Time New Roman">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2</w:t>
                          </w:r>
                          <w:r>
                            <w:rPr>
                              <w:sz w:val="18"/>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2</w:t>
                    </w:r>
                    <w:r>
                      <w:rPr>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Style w:val="890"/>
      </w:rPr>
      <w:framePr w:wrap="around" w:vAnchor="text" w:hAnchor="margin" w:xAlign="right" w:y="1"/>
    </w:pPr>
    <w:r>
      <w:fldChar w:fldCharType="begin"/>
    </w:r>
    <w:r>
      <w:rPr>
        <w:rStyle w:val="890"/>
      </w:rPr>
      <w:instrText xml:space="preserve">PAGE  </w:instrText>
    </w:r>
    <w:r>
      <w:fldChar w:fldCharType="separate"/>
    </w:r>
    <w:r>
      <w:rPr>
        <w:rStyle w:val="890"/>
      </w:rPr>
      <w:t xml:space="preserve">16</w:t>
    </w:r>
    <w:r>
      <w:fldChar w:fldCharType="end"/>
    </w:r>
    <w:r/>
  </w:p>
  <w:p>
    <w:pPr>
      <w:pStyle w:val="86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olor w:val="808080"/>
        <w:spacing w:val="6"/>
      </w:rPr>
    </w:pPr>
    <w:r>
      <w:rPr>
        <w:rFonts w:ascii="宋体" w:hAnsi="宋体"/>
        <w:color w:val="808080"/>
        <w:spacing w:val="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8"/>
      <w:pBdr>
        <w:top w:val="none" w:color="auto" w:sz="0" w:space="1"/>
        <w:left w:val="none" w:color="auto" w:sz="0" w:space="4"/>
        <w:bottom w:val="none" w:color="000000" w:sz="0" w:space="1"/>
        <w:right w:val="none" w:color="auto" w:sz="0" w:space="4"/>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ascii="宋体" w:hAnsi="宋体"/>
        <w:color w:val="808080"/>
        <w:spacing w:val="6"/>
        <w:sz w:val="21"/>
      </w:rPr>
      <w:pBdr>
        <w:bottom w:val="none" w:color="auto" w:sz="0" w:space="0"/>
      </w:pBdr>
    </w:pPr>
    <w:r>
      <w:rPr>
        <w:rFonts w:ascii="宋体" w:hAnsi="宋体"/>
        <w:color w:val="808080"/>
        <w:spacing w:val="6"/>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645"/>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22">
    <w:name w:val="Heading 1"/>
    <w:basedOn w:val="821"/>
    <w:next w:val="821"/>
    <w:link w:val="1100"/>
    <w:uiPriority w:val="0"/>
    <w:qFormat/>
    <w:pPr>
      <w:jc w:val="center"/>
      <w:keepNext/>
      <w:tabs>
        <w:tab w:val="left" w:pos="200" w:leader="none"/>
      </w:tabs>
      <w:outlineLvl w:val="0"/>
    </w:pPr>
    <w:rPr>
      <w:rFonts w:ascii="宋体" w:hAnsi="宋体"/>
      <w:b/>
      <w:sz w:val="36"/>
    </w:rPr>
  </w:style>
  <w:style w:type="paragraph" w:styleId="823">
    <w:name w:val="Heading 2"/>
    <w:basedOn w:val="821"/>
    <w:next w:val="821"/>
    <w:link w:val="1152"/>
    <w:uiPriority w:val="0"/>
    <w:qFormat/>
    <w:pPr>
      <w:jc w:val="center"/>
      <w:keepNext/>
      <w:outlineLvl w:val="1"/>
    </w:pPr>
    <w:rPr>
      <w:rFonts w:ascii="宋体" w:hAnsi="宋体"/>
      <w:b/>
      <w:bCs/>
      <w:sz w:val="28"/>
      <w:szCs w:val="28"/>
    </w:rPr>
  </w:style>
  <w:style w:type="paragraph" w:styleId="824">
    <w:name w:val="Heading 3"/>
    <w:basedOn w:val="821"/>
    <w:next w:val="821"/>
    <w:link w:val="1145"/>
    <w:uiPriority w:val="0"/>
    <w:qFormat/>
    <w:pPr>
      <w:jc w:val="center"/>
      <w:keepNext/>
      <w:outlineLvl w:val="2"/>
    </w:pPr>
    <w:rPr>
      <w:rFonts w:ascii="宋体" w:hAnsi="宋体"/>
      <w:sz w:val="28"/>
    </w:rPr>
  </w:style>
  <w:style w:type="paragraph" w:styleId="825">
    <w:name w:val="Heading 4"/>
    <w:basedOn w:val="821"/>
    <w:next w:val="821"/>
    <w:link w:val="1132"/>
    <w:uiPriority w:val="0"/>
    <w:qFormat/>
    <w:pPr>
      <w:keepNext/>
      <w:outlineLvl w:val="3"/>
    </w:pPr>
    <w:rPr>
      <w:b/>
      <w:bCs/>
      <w:sz w:val="18"/>
    </w:rPr>
  </w:style>
  <w:style w:type="paragraph" w:styleId="826">
    <w:name w:val="Heading 5"/>
    <w:basedOn w:val="821"/>
    <w:next w:val="821"/>
    <w:link w:val="1147"/>
    <w:uiPriority w:val="0"/>
    <w:qFormat/>
    <w:pPr>
      <w:jc w:val="center"/>
      <w:keepNext/>
      <w:outlineLvl w:val="4"/>
    </w:pPr>
    <w:rPr>
      <w:b/>
      <w:bCs/>
      <w:sz w:val="18"/>
    </w:rPr>
  </w:style>
  <w:style w:type="paragraph" w:styleId="827">
    <w:name w:val="Heading 6"/>
    <w:basedOn w:val="821"/>
    <w:next w:val="821"/>
    <w:link w:val="1130"/>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828">
    <w:name w:val="Heading 7"/>
    <w:basedOn w:val="821"/>
    <w:next w:val="821"/>
    <w:link w:val="1094"/>
    <w:uiPriority w:val="0"/>
    <w:qFormat/>
    <w:pPr>
      <w:keepNext/>
      <w:outlineLvl w:val="6"/>
    </w:pPr>
    <w:rPr>
      <w:rFonts w:ascii="Arial" w:hAnsi="Arial"/>
      <w:b/>
      <w:bCs/>
      <w:sz w:val="16"/>
      <w:szCs w:val="16"/>
    </w:rPr>
  </w:style>
  <w:style w:type="paragraph" w:styleId="829">
    <w:name w:val="Heading 8"/>
    <w:basedOn w:val="821"/>
    <w:next w:val="821"/>
    <w:link w:val="1127"/>
    <w:uiPriority w:val="0"/>
    <w:qFormat/>
    <w:pPr>
      <w:keepNext/>
      <w:outlineLvl w:val="7"/>
    </w:pPr>
    <w:rPr>
      <w:b/>
      <w:bCs/>
      <w:sz w:val="24"/>
      <w:szCs w:val="24"/>
    </w:rPr>
  </w:style>
  <w:style w:type="paragraph" w:styleId="830">
    <w:name w:val="Heading 9"/>
    <w:basedOn w:val="821"/>
    <w:next w:val="821"/>
    <w:link w:val="1086"/>
    <w:uiPriority w:val="0"/>
    <w:qFormat/>
    <w:pPr>
      <w:jc w:val="center"/>
      <w:keepNext/>
      <w:outlineLvl w:val="8"/>
    </w:pPr>
    <w:rPr>
      <w:b/>
      <w:bCs/>
      <w:szCs w:val="24"/>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List 3"/>
    <w:basedOn w:val="821"/>
    <w:uiPriority w:val="0"/>
    <w:qFormat/>
    <w:pPr>
      <w:ind w:left="100" w:hanging="200"/>
    </w:pPr>
    <w:rPr>
      <w:rFonts w:eastAsia="楷体_GB2312"/>
      <w:sz w:val="26"/>
    </w:rPr>
  </w:style>
  <w:style w:type="paragraph" w:styleId="834">
    <w:name w:val="toc 7"/>
    <w:basedOn w:val="821"/>
    <w:next w:val="821"/>
    <w:uiPriority w:val="39"/>
    <w:qFormat/>
    <w:pPr>
      <w:ind w:left="1260"/>
      <w:jc w:val="left"/>
    </w:pPr>
    <w:rPr>
      <w:szCs w:val="21"/>
    </w:rPr>
  </w:style>
  <w:style w:type="paragraph" w:styleId="835">
    <w:name w:val="List Number 2"/>
    <w:basedOn w:val="821"/>
    <w:uiPriority w:val="0"/>
    <w:qFormat/>
    <w:pPr>
      <w:spacing w:line="312" w:lineRule="atLeast"/>
    </w:pPr>
    <w:rPr>
      <w:sz w:val="20"/>
    </w:rPr>
  </w:style>
  <w:style w:type="paragraph" w:styleId="836">
    <w:name w:val="Note Heading"/>
    <w:basedOn w:val="821"/>
    <w:next w:val="821"/>
    <w:link w:val="1088"/>
    <w:uiPriority w:val="0"/>
    <w:qFormat/>
    <w:pPr>
      <w:jc w:val="center"/>
      <w:spacing w:line="360" w:lineRule="auto"/>
    </w:pPr>
    <w:rPr>
      <w:sz w:val="24"/>
      <w:szCs w:val="24"/>
    </w:rPr>
  </w:style>
  <w:style w:type="paragraph" w:styleId="837">
    <w:name w:val="index 8"/>
    <w:basedOn w:val="821"/>
    <w:next w:val="821"/>
    <w:uiPriority w:val="0"/>
    <w:semiHidden/>
    <w:qFormat/>
    <w:pPr>
      <w:ind w:left="1400"/>
    </w:pPr>
  </w:style>
  <w:style w:type="paragraph" w:styleId="838">
    <w:name w:val="Normal Indent"/>
    <w:basedOn w:val="821"/>
    <w:next w:val="821"/>
    <w:link w:val="1105"/>
    <w:uiPriority w:val="0"/>
    <w:qFormat/>
    <w:pPr>
      <w:ind w:firstLine="420"/>
    </w:pPr>
  </w:style>
  <w:style w:type="paragraph" w:styleId="839">
    <w:name w:val="Caption"/>
    <w:basedOn w:val="821"/>
    <w:next w:val="821"/>
    <w:link w:val="1166"/>
    <w:uiPriority w:val="0"/>
    <w:qFormat/>
    <w:rPr>
      <w:rFonts w:ascii="Arial" w:hAnsi="Arial" w:eastAsia="黑体"/>
      <w:sz w:val="20"/>
    </w:rPr>
  </w:style>
  <w:style w:type="paragraph" w:styleId="840">
    <w:name w:val="index 5"/>
    <w:basedOn w:val="821"/>
    <w:next w:val="821"/>
    <w:uiPriority w:val="0"/>
    <w:semiHidden/>
    <w:qFormat/>
    <w:pPr>
      <w:ind w:left="800"/>
    </w:pPr>
  </w:style>
  <w:style w:type="paragraph" w:styleId="841">
    <w:name w:val="List Bullet"/>
    <w:basedOn w:val="821"/>
    <w:uiPriority w:val="0"/>
    <w:qFormat/>
    <w:pPr>
      <w:ind w:left="840" w:hanging="360"/>
      <w:jc w:val="left"/>
      <w:spacing w:line="360" w:lineRule="auto"/>
    </w:pPr>
    <w:rPr>
      <w:b/>
      <w:sz w:val="24"/>
      <w:szCs w:val="24"/>
    </w:rPr>
  </w:style>
  <w:style w:type="paragraph" w:styleId="842">
    <w:name w:val="Document Map"/>
    <w:basedOn w:val="821"/>
    <w:link w:val="1153"/>
    <w:uiPriority w:val="0"/>
    <w:qFormat/>
    <w:pPr>
      <w:shd w:val="clear" w:color="auto" w:fill="000080"/>
    </w:pPr>
  </w:style>
  <w:style w:type="paragraph" w:styleId="843">
    <w:name w:val="annotation text"/>
    <w:basedOn w:val="821"/>
    <w:link w:val="1123"/>
    <w:uiPriority w:val="99"/>
    <w:qFormat/>
    <w:pPr>
      <w:jc w:val="left"/>
    </w:pPr>
    <w:rPr>
      <w:rFonts w:ascii="Calibri" w:hAnsi="Calibri"/>
      <w:szCs w:val="22"/>
    </w:rPr>
  </w:style>
  <w:style w:type="paragraph" w:styleId="844">
    <w:name w:val="index 6"/>
    <w:basedOn w:val="821"/>
    <w:next w:val="821"/>
    <w:uiPriority w:val="0"/>
    <w:semiHidden/>
    <w:qFormat/>
    <w:pPr>
      <w:ind w:left="1000"/>
    </w:pPr>
  </w:style>
  <w:style w:type="paragraph" w:styleId="845">
    <w:name w:val="Body Text 3"/>
    <w:basedOn w:val="821"/>
    <w:link w:val="1163"/>
    <w:uiPriority w:val="99"/>
    <w:unhideWhenUsed/>
    <w:qFormat/>
    <w:pPr>
      <w:jc w:val="center"/>
    </w:pPr>
    <w:rPr>
      <w:rFonts w:ascii="宋体" w:hAnsi="宋体" w:eastAsia="楷体_GB2312"/>
      <w:sz w:val="26"/>
    </w:rPr>
  </w:style>
  <w:style w:type="paragraph" w:styleId="846">
    <w:name w:val="Body Text"/>
    <w:basedOn w:val="821"/>
    <w:next w:val="838"/>
    <w:link w:val="1133"/>
    <w:uiPriority w:val="0"/>
    <w:qFormat/>
    <w:rPr>
      <w:rFonts w:ascii="楷体_GB2312" w:hAnsi="Arial" w:eastAsia="楷体_GB2312"/>
      <w:sz w:val="28"/>
    </w:rPr>
  </w:style>
  <w:style w:type="paragraph" w:styleId="847">
    <w:name w:val="Body Text Indent"/>
    <w:basedOn w:val="821"/>
    <w:next w:val="821"/>
    <w:link w:val="1148"/>
    <w:uiPriority w:val="0"/>
    <w:qFormat/>
    <w:pPr>
      <w:ind w:firstLine="574"/>
      <w:spacing w:line="312" w:lineRule="atLeast"/>
    </w:pPr>
    <w:rPr>
      <w:rFonts w:ascii="宋体"/>
      <w:sz w:val="28"/>
    </w:rPr>
  </w:style>
  <w:style w:type="paragraph" w:styleId="848">
    <w:name w:val="List 2"/>
    <w:basedOn w:val="821"/>
    <w:uiPriority w:val="0"/>
    <w:qFormat/>
    <w:pPr>
      <w:ind w:left="100" w:hanging="200"/>
    </w:pPr>
    <w:rPr>
      <w:szCs w:val="24"/>
    </w:rPr>
  </w:style>
  <w:style w:type="paragraph" w:styleId="849">
    <w:name w:val="Block Text"/>
    <w:basedOn w:val="821"/>
    <w:uiPriority w:val="0"/>
    <w:qFormat/>
    <w:pPr>
      <w:ind w:left="1890" w:right="11" w:hanging="1409"/>
      <w:spacing w:before="89"/>
      <w:tabs>
        <w:tab w:val="left" w:pos="822" w:leader="none"/>
        <w:tab w:val="left" w:pos="2205" w:leader="none"/>
        <w:tab w:val="left" w:pos="9000" w:leader="none"/>
      </w:tabs>
    </w:pPr>
    <w:rPr>
      <w:sz w:val="24"/>
    </w:rPr>
  </w:style>
  <w:style w:type="paragraph" w:styleId="850">
    <w:name w:val="List Bullet 2"/>
    <w:basedOn w:val="821"/>
    <w:uiPriority w:val="0"/>
    <w:qFormat/>
    <w:pPr>
      <w:ind w:left="420" w:hanging="420"/>
      <w:spacing w:line="312" w:lineRule="atLeast"/>
      <w:tabs>
        <w:tab w:val="left" w:pos="420" w:leader="none"/>
      </w:tabs>
    </w:pPr>
    <w:rPr>
      <w:sz w:val="20"/>
    </w:rPr>
  </w:style>
  <w:style w:type="paragraph" w:styleId="851">
    <w:name w:val="index 4"/>
    <w:basedOn w:val="821"/>
    <w:next w:val="821"/>
    <w:uiPriority w:val="0"/>
    <w:semiHidden/>
    <w:qFormat/>
    <w:pPr>
      <w:ind w:left="600"/>
    </w:pPr>
  </w:style>
  <w:style w:type="paragraph" w:styleId="852">
    <w:name w:val="toc 5"/>
    <w:basedOn w:val="821"/>
    <w:next w:val="821"/>
    <w:uiPriority w:val="39"/>
    <w:qFormat/>
    <w:pPr>
      <w:ind w:left="840"/>
      <w:jc w:val="left"/>
    </w:pPr>
    <w:rPr>
      <w:szCs w:val="21"/>
    </w:rPr>
  </w:style>
  <w:style w:type="paragraph" w:styleId="853">
    <w:name w:val="toc 3"/>
    <w:basedOn w:val="821"/>
    <w:next w:val="821"/>
    <w:uiPriority w:val="0"/>
    <w:qFormat/>
    <w:pPr>
      <w:ind w:left="420"/>
      <w:jc w:val="left"/>
    </w:pPr>
    <w:rPr>
      <w:i/>
      <w:iCs/>
      <w:szCs w:val="24"/>
    </w:rPr>
  </w:style>
  <w:style w:type="paragraph" w:styleId="854">
    <w:name w:val="Plain Text"/>
    <w:basedOn w:val="821"/>
    <w:link w:val="1093"/>
    <w:uiPriority w:val="0"/>
    <w:qFormat/>
    <w:rPr>
      <w:rFonts w:ascii="宋体" w:hAnsi="Courier New"/>
    </w:rPr>
  </w:style>
  <w:style w:type="paragraph" w:styleId="855">
    <w:name w:val="toc 8"/>
    <w:basedOn w:val="821"/>
    <w:next w:val="821"/>
    <w:uiPriority w:val="39"/>
    <w:qFormat/>
    <w:pPr>
      <w:ind w:left="1470"/>
      <w:jc w:val="left"/>
    </w:pPr>
    <w:rPr>
      <w:szCs w:val="21"/>
    </w:rPr>
  </w:style>
  <w:style w:type="paragraph" w:styleId="856">
    <w:name w:val="index 3"/>
    <w:basedOn w:val="821"/>
    <w:next w:val="821"/>
    <w:uiPriority w:val="0"/>
    <w:semiHidden/>
    <w:qFormat/>
    <w:pPr>
      <w:ind w:left="400"/>
    </w:pPr>
  </w:style>
  <w:style w:type="paragraph" w:styleId="857">
    <w:name w:val="Date"/>
    <w:basedOn w:val="821"/>
    <w:next w:val="821"/>
    <w:link w:val="1156"/>
    <w:uiPriority w:val="0"/>
    <w:qFormat/>
    <w:pPr>
      <w:spacing w:line="312" w:lineRule="atLeast"/>
    </w:pPr>
    <w:rPr>
      <w:rFonts w:ascii="宋体"/>
      <w:sz w:val="28"/>
    </w:rPr>
  </w:style>
  <w:style w:type="paragraph" w:styleId="858">
    <w:name w:val="Body Text Indent 2"/>
    <w:basedOn w:val="821"/>
    <w:link w:val="1129"/>
    <w:uiPriority w:val="0"/>
    <w:qFormat/>
    <w:pPr>
      <w:ind w:left="1890" w:hanging="1409"/>
      <w:tabs>
        <w:tab w:val="left" w:pos="1785" w:leader="none"/>
        <w:tab w:val="left" w:pos="1887" w:leader="none"/>
        <w:tab w:val="left" w:pos="2112" w:leader="none"/>
        <w:tab w:val="left" w:pos="9000" w:leader="none"/>
      </w:tabs>
    </w:pPr>
    <w:rPr>
      <w:sz w:val="24"/>
    </w:rPr>
  </w:style>
  <w:style w:type="paragraph" w:styleId="859">
    <w:name w:val="endnote text"/>
    <w:basedOn w:val="821"/>
    <w:link w:val="1070"/>
    <w:uiPriority w:val="99"/>
    <w:semiHidden/>
    <w:unhideWhenUsed/>
    <w:qFormat/>
    <w:rPr>
      <w:sz w:val="20"/>
    </w:rPr>
  </w:style>
  <w:style w:type="paragraph" w:styleId="860">
    <w:name w:val="Balloon Text"/>
    <w:basedOn w:val="821"/>
    <w:link w:val="1090"/>
    <w:uiPriority w:val="0"/>
    <w:unhideWhenUsed/>
    <w:qFormat/>
    <w:rPr>
      <w:rFonts w:ascii="Calibri" w:hAnsi="Calibri"/>
      <w:sz w:val="18"/>
      <w:szCs w:val="18"/>
    </w:rPr>
  </w:style>
  <w:style w:type="paragraph" w:styleId="861">
    <w:name w:val="Footer"/>
    <w:basedOn w:val="821"/>
    <w:link w:val="1107"/>
    <w:uiPriority w:val="99"/>
    <w:qFormat/>
    <w:pPr>
      <w:jc w:val="left"/>
      <w:tabs>
        <w:tab w:val="center" w:pos="4153" w:leader="none"/>
        <w:tab w:val="right" w:pos="8306" w:leader="none"/>
      </w:tabs>
    </w:pPr>
    <w:rPr>
      <w:sz w:val="18"/>
    </w:rPr>
  </w:style>
  <w:style w:type="paragraph" w:styleId="862">
    <w:name w:val="envelope return"/>
    <w:basedOn w:val="821"/>
    <w:uiPriority w:val="0"/>
    <w:qFormat/>
    <w:rPr>
      <w:rFonts w:ascii="Arial" w:hAnsi="Arial" w:eastAsia="楷体_GB2312"/>
      <w:sz w:val="26"/>
    </w:rPr>
  </w:style>
  <w:style w:type="paragraph" w:styleId="863">
    <w:name w:val="Header"/>
    <w:basedOn w:val="821"/>
    <w:link w:val="1082"/>
    <w:uiPriority w:val="99"/>
    <w:qFormat/>
    <w:pPr>
      <w:jc w:val="center"/>
      <w:tabs>
        <w:tab w:val="center" w:pos="4153" w:leader="none"/>
        <w:tab w:val="right" w:pos="8306" w:leader="none"/>
      </w:tabs>
      <w:pBdr>
        <w:bottom w:val="single" w:color="auto" w:sz="6" w:space="1"/>
      </w:pBdr>
    </w:pPr>
    <w:rPr>
      <w:sz w:val="18"/>
    </w:rPr>
  </w:style>
  <w:style w:type="paragraph" w:styleId="864">
    <w:name w:val="Signature"/>
    <w:basedOn w:val="821"/>
    <w:link w:val="1073"/>
    <w:uiPriority w:val="0"/>
    <w:qFormat/>
    <w:pPr>
      <w:jc w:val="center"/>
      <w:spacing w:after="600" w:line="312" w:lineRule="atLeast"/>
    </w:pPr>
    <w:rPr>
      <w:rFonts w:eastAsia="仿宋_GB2312"/>
      <w:sz w:val="24"/>
    </w:rPr>
  </w:style>
  <w:style w:type="paragraph" w:styleId="865">
    <w:name w:val="toc 1"/>
    <w:basedOn w:val="821"/>
    <w:next w:val="821"/>
    <w:uiPriority w:val="39"/>
    <w:qFormat/>
    <w:pPr>
      <w:ind w:left="210"/>
      <w:spacing w:before="100" w:beforeAutospacing="1" w:after="100" w:afterAutospacing="1" w:line="360" w:lineRule="exact"/>
      <w:tabs>
        <w:tab w:val="right" w:pos="9450" w:leader="dot"/>
      </w:tabs>
    </w:pPr>
    <w:rPr>
      <w:b/>
      <w:bCs/>
      <w:caps/>
      <w:sz w:val="28"/>
      <w:szCs w:val="36"/>
    </w:rPr>
  </w:style>
  <w:style w:type="paragraph" w:styleId="866">
    <w:name w:val="toc 4"/>
    <w:basedOn w:val="821"/>
    <w:next w:val="821"/>
    <w:uiPriority w:val="0"/>
    <w:qFormat/>
    <w:pPr>
      <w:ind w:left="630"/>
      <w:jc w:val="left"/>
    </w:pPr>
    <w:rPr>
      <w:szCs w:val="21"/>
    </w:rPr>
  </w:style>
  <w:style w:type="paragraph" w:styleId="867">
    <w:name w:val="index heading"/>
    <w:basedOn w:val="821"/>
    <w:next w:val="868"/>
    <w:uiPriority w:val="0"/>
    <w:semiHidden/>
    <w:qFormat/>
  </w:style>
  <w:style w:type="paragraph" w:styleId="868">
    <w:name w:val="index 1"/>
    <w:basedOn w:val="821"/>
    <w:next w:val="821"/>
    <w:uiPriority w:val="0"/>
    <w:qFormat/>
  </w:style>
  <w:style w:type="paragraph" w:styleId="869">
    <w:name w:val="Subtitle"/>
    <w:basedOn w:val="821"/>
    <w:next w:val="821"/>
    <w:link w:val="1106"/>
    <w:uiPriority w:val="0"/>
    <w:qFormat/>
    <w:pPr>
      <w:jc w:val="center"/>
      <w:spacing w:before="240" w:after="60" w:line="312" w:lineRule="auto"/>
      <w:outlineLvl w:val="1"/>
    </w:pPr>
    <w:rPr>
      <w:rFonts w:ascii="Cambria" w:hAnsi="Cambria"/>
      <w:b/>
      <w:bCs/>
      <w:sz w:val="32"/>
      <w:szCs w:val="32"/>
    </w:rPr>
  </w:style>
  <w:style w:type="paragraph" w:styleId="870">
    <w:name w:val="List"/>
    <w:basedOn w:val="821"/>
    <w:uiPriority w:val="99"/>
    <w:qFormat/>
    <w:pPr>
      <w:ind w:left="200" w:hanging="200"/>
    </w:pPr>
    <w:rPr>
      <w:szCs w:val="24"/>
    </w:rPr>
  </w:style>
  <w:style w:type="paragraph" w:styleId="871">
    <w:name w:val="footnote text"/>
    <w:basedOn w:val="821"/>
    <w:link w:val="1069"/>
    <w:uiPriority w:val="99"/>
    <w:semiHidden/>
    <w:unhideWhenUsed/>
    <w:qFormat/>
    <w:pPr>
      <w:spacing w:after="40"/>
    </w:pPr>
    <w:rPr>
      <w:sz w:val="18"/>
    </w:rPr>
  </w:style>
  <w:style w:type="paragraph" w:styleId="872">
    <w:name w:val="toc 6"/>
    <w:basedOn w:val="821"/>
    <w:next w:val="821"/>
    <w:uiPriority w:val="39"/>
    <w:qFormat/>
    <w:pPr>
      <w:ind w:left="1050"/>
      <w:jc w:val="left"/>
    </w:pPr>
    <w:rPr>
      <w:szCs w:val="21"/>
    </w:rPr>
  </w:style>
  <w:style w:type="paragraph" w:styleId="873">
    <w:name w:val="Body Text Indent 3"/>
    <w:basedOn w:val="821"/>
    <w:link w:val="1083"/>
    <w:uiPriority w:val="0"/>
    <w:qFormat/>
    <w:pPr>
      <w:ind w:firstLine="555"/>
    </w:pPr>
    <w:rPr>
      <w:b/>
      <w:bCs/>
      <w:sz w:val="28"/>
      <w:u w:val="single"/>
    </w:rPr>
  </w:style>
  <w:style w:type="paragraph" w:styleId="874">
    <w:name w:val="index 7"/>
    <w:basedOn w:val="821"/>
    <w:next w:val="821"/>
    <w:uiPriority w:val="0"/>
    <w:semiHidden/>
    <w:qFormat/>
    <w:pPr>
      <w:ind w:left="1200"/>
    </w:pPr>
  </w:style>
  <w:style w:type="paragraph" w:styleId="875">
    <w:name w:val="index 9"/>
    <w:basedOn w:val="821"/>
    <w:next w:val="821"/>
    <w:uiPriority w:val="0"/>
    <w:semiHidden/>
    <w:qFormat/>
    <w:pPr>
      <w:ind w:left="1600"/>
    </w:pPr>
  </w:style>
  <w:style w:type="paragraph" w:styleId="876">
    <w:name w:val="table of figures"/>
    <w:basedOn w:val="821"/>
    <w:next w:val="821"/>
    <w:uiPriority w:val="0"/>
    <w:semiHidden/>
    <w:qFormat/>
    <w:pPr>
      <w:ind w:left="840" w:hanging="420"/>
    </w:pPr>
  </w:style>
  <w:style w:type="paragraph" w:styleId="877">
    <w:name w:val="toc 2"/>
    <w:basedOn w:val="821"/>
    <w:next w:val="821"/>
    <w:uiPriority w:val="39"/>
    <w:qFormat/>
    <w:pPr>
      <w:ind w:left="250"/>
      <w:jc w:val="left"/>
      <w:spacing w:line="400" w:lineRule="exact"/>
      <w:tabs>
        <w:tab w:val="right" w:pos="9450" w:leader="dot"/>
      </w:tabs>
    </w:pPr>
    <w:rPr>
      <w:bCs/>
      <w:smallCaps/>
      <w:sz w:val="24"/>
      <w:szCs w:val="24"/>
    </w:rPr>
  </w:style>
  <w:style w:type="paragraph" w:styleId="878">
    <w:name w:val="toc 9"/>
    <w:basedOn w:val="821"/>
    <w:next w:val="821"/>
    <w:uiPriority w:val="0"/>
    <w:qFormat/>
    <w:pPr>
      <w:ind w:left="1680"/>
      <w:jc w:val="left"/>
    </w:pPr>
    <w:rPr>
      <w:szCs w:val="21"/>
    </w:rPr>
  </w:style>
  <w:style w:type="paragraph" w:styleId="879">
    <w:name w:val="Body Text 2"/>
    <w:basedOn w:val="821"/>
    <w:link w:val="1159"/>
    <w:uiPriority w:val="99"/>
    <w:qFormat/>
    <w:pPr>
      <w:spacing w:after="120" w:line="480" w:lineRule="auto"/>
    </w:pPr>
  </w:style>
  <w:style w:type="paragraph" w:styleId="880">
    <w:name w:val="HTML Preformatted"/>
    <w:basedOn w:val="821"/>
    <w:link w:val="11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81">
    <w:name w:val="Normal (Web)"/>
    <w:basedOn w:val="821"/>
    <w:link w:val="1636"/>
    <w:uiPriority w:val="0"/>
    <w:unhideWhenUsed/>
    <w:qFormat/>
    <w:pPr>
      <w:jc w:val="left"/>
      <w:spacing w:before="100" w:beforeAutospacing="1" w:after="100" w:afterAutospacing="1"/>
      <w:widowControl/>
    </w:pPr>
    <w:rPr>
      <w:rFonts w:ascii="宋体" w:hAnsi="宋体" w:eastAsia="楷体_GB2312" w:cs="宋体"/>
      <w:sz w:val="24"/>
    </w:rPr>
  </w:style>
  <w:style w:type="paragraph" w:styleId="882">
    <w:name w:val="index 2"/>
    <w:basedOn w:val="821"/>
    <w:next w:val="821"/>
    <w:uiPriority w:val="0"/>
    <w:semiHidden/>
    <w:qFormat/>
    <w:pPr>
      <w:ind w:left="200"/>
    </w:pPr>
  </w:style>
  <w:style w:type="paragraph" w:styleId="883">
    <w:name w:val="Title"/>
    <w:basedOn w:val="821"/>
    <w:next w:val="821"/>
    <w:link w:val="1116"/>
    <w:uiPriority w:val="0"/>
    <w:qFormat/>
    <w:pPr>
      <w:jc w:val="center"/>
      <w:spacing w:before="240" w:after="60"/>
      <w:outlineLvl w:val="0"/>
    </w:pPr>
    <w:rPr>
      <w:rFonts w:ascii="Cambria" w:hAnsi="Cambria"/>
      <w:b/>
      <w:bCs/>
      <w:sz w:val="32"/>
      <w:szCs w:val="32"/>
    </w:rPr>
  </w:style>
  <w:style w:type="paragraph" w:styleId="884">
    <w:name w:val="annotation subject"/>
    <w:basedOn w:val="843"/>
    <w:next w:val="843"/>
    <w:link w:val="1141"/>
    <w:uiPriority w:val="99"/>
    <w:qFormat/>
    <w:rPr>
      <w:rFonts w:eastAsia="楷体_GB2312"/>
      <w:b/>
      <w:bCs/>
      <w:sz w:val="26"/>
    </w:rPr>
  </w:style>
  <w:style w:type="paragraph" w:styleId="885">
    <w:name w:val="Body Text First Indent"/>
    <w:basedOn w:val="821"/>
    <w:next w:val="821"/>
    <w:link w:val="1084"/>
    <w:uiPriority w:val="0"/>
    <w:qFormat/>
    <w:pPr>
      <w:ind w:firstLine="420"/>
      <w:spacing w:after="120"/>
    </w:pPr>
    <w:rPr>
      <w:rFonts w:ascii="Tahoma" w:hAnsi="Tahoma" w:eastAsia="Times New Roman"/>
      <w:szCs w:val="24"/>
    </w:rPr>
  </w:style>
  <w:style w:type="paragraph" w:styleId="886">
    <w:name w:val="Body Text First Indent 2"/>
    <w:basedOn w:val="847"/>
    <w:next w:val="821"/>
    <w:link w:val="1118"/>
    <w:uiPriority w:val="0"/>
    <w:qFormat/>
    <w:pPr>
      <w:ind w:left="420" w:firstLine="420"/>
      <w:spacing w:after="120" w:line="240" w:lineRule="auto"/>
    </w:pPr>
    <w:rPr>
      <w:rFonts w:ascii="Times New Roman"/>
      <w:sz w:val="21"/>
      <w:szCs w:val="24"/>
    </w:rPr>
  </w:style>
  <w:style w:type="table" w:styleId="887">
    <w:name w:val="Table Grid"/>
    <w:basedOn w:val="8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endnote reference"/>
    <w:basedOn w:val="831"/>
    <w:uiPriority w:val="99"/>
    <w:semiHidden/>
    <w:unhideWhenUsed/>
    <w:qFormat/>
    <w:rPr>
      <w:vertAlign w:val="superscript"/>
    </w:rPr>
  </w:style>
  <w:style w:type="character" w:styleId="890">
    <w:name w:val="page number"/>
    <w:basedOn w:val="831"/>
    <w:uiPriority w:val="0"/>
    <w:qFormat/>
  </w:style>
  <w:style w:type="character" w:styleId="891">
    <w:name w:val="FollowedHyperlink"/>
    <w:uiPriority w:val="99"/>
    <w:qFormat/>
    <w:rPr>
      <w:color w:val="333333"/>
      <w:u w:val="none"/>
    </w:rPr>
  </w:style>
  <w:style w:type="character" w:styleId="892">
    <w:name w:val="Emphasis"/>
    <w:uiPriority w:val="20"/>
    <w:qFormat/>
    <w:rPr>
      <w:i/>
      <w:iCs/>
    </w:rPr>
  </w:style>
  <w:style w:type="character" w:styleId="893">
    <w:name w:val="line number"/>
    <w:uiPriority w:val="0"/>
    <w:qFormat/>
    <w:rPr>
      <w:rFonts w:ascii="Tahoma" w:hAnsi="Tahoma" w:eastAsia="宋体"/>
      <w:sz w:val="24"/>
      <w:szCs w:val="24"/>
      <w:lang w:val="en-US" w:eastAsia="zh-CN" w:bidi="ar-SA"/>
    </w:rPr>
  </w:style>
  <w:style w:type="character" w:styleId="894">
    <w:name w:val="HTML Typewriter"/>
    <w:uiPriority w:val="0"/>
    <w:qFormat/>
    <w:rPr>
      <w:rFonts w:ascii="黑体" w:hAnsi="Courier New" w:eastAsia="黑体"/>
      <w:sz w:val="14"/>
    </w:rPr>
  </w:style>
  <w:style w:type="character" w:styleId="895">
    <w:name w:val="Hyperlink"/>
    <w:uiPriority w:val="99"/>
    <w:qFormat/>
    <w:rPr>
      <w:color w:val="333333"/>
      <w:u w:val="none"/>
    </w:rPr>
  </w:style>
  <w:style w:type="character" w:styleId="896">
    <w:name w:val="annotation reference"/>
    <w:uiPriority w:val="0"/>
    <w:qFormat/>
    <w:rPr>
      <w:sz w:val="21"/>
      <w:szCs w:val="21"/>
    </w:rPr>
  </w:style>
  <w:style w:type="character" w:styleId="897">
    <w:name w:val="footnote reference"/>
    <w:uiPriority w:val="0"/>
    <w:qFormat/>
    <w:rPr>
      <w:vertAlign w:val="superscript"/>
    </w:rPr>
  </w:style>
  <w:style w:type="table" w:styleId="898" w:customStyle="1">
    <w:name w:val="Plain Table 1"/>
    <w:basedOn w:val="8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2"/>
    <w:basedOn w:val="8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3"/>
    <w:basedOn w:val="83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Plain Table 4"/>
    <w:basedOn w:val="83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Plain Table 5"/>
    <w:basedOn w:val="8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1 Light"/>
    <w:basedOn w:val="8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83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3"/>
    <w:basedOn w:val="8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basedOn w:val="8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5 Dark"/>
    <w:basedOn w:val="8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6 Colorful"/>
    <w:basedOn w:val="83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7 Colorful"/>
    <w:basedOn w:val="83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1 Light"/>
    <w:basedOn w:val="8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2"/>
    <w:basedOn w:val="83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3"/>
    <w:basedOn w:val="8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w:basedOn w:val="8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5 Dark"/>
    <w:basedOn w:val="83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83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7 Colorful"/>
    <w:basedOn w:val="83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7" w:customStyle="1">
    <w:name w:val="TOC Heading"/>
    <w:uiPriority w:val="39"/>
    <w:unhideWhenUsed/>
    <w:qFormat/>
    <w:rPr>
      <w:rFonts w:hint="default" w:ascii="Times New Roman" w:hAnsi="Times New Roman" w:eastAsia="宋体" w:cs="Times New Roman"/>
    </w:rPr>
  </w:style>
  <w:style w:type="character" w:styleId="918" w:customStyle="1">
    <w:name w:val="Quote Char"/>
    <w:uiPriority w:val="29"/>
    <w:qFormat/>
    <w:rPr>
      <w:i/>
    </w:rPr>
  </w:style>
  <w:style w:type="character" w:styleId="919" w:customStyle="1">
    <w:name w:val="Intense Quote Char"/>
    <w:uiPriority w:val="30"/>
    <w:qFormat/>
    <w:rPr>
      <w:i/>
    </w:rPr>
  </w:style>
  <w:style w:type="table" w:styleId="920"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清单表 1 浅色1"/>
    <w:basedOn w:val="8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清单表 7 彩色1"/>
    <w:basedOn w:val="8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9" w:customStyle="1">
    <w:name w:val="Footnote Text Char"/>
    <w:uiPriority w:val="99"/>
    <w:qFormat/>
    <w:rPr>
      <w:sz w:val="18"/>
    </w:rPr>
  </w:style>
  <w:style w:type="character" w:styleId="940" w:customStyle="1">
    <w:name w:val="Endnote Text Char"/>
    <w:uiPriority w:val="99"/>
    <w:qFormat/>
    <w:rPr>
      <w:sz w:val="20"/>
    </w:rPr>
  </w:style>
  <w:style w:type="paragraph" w:styleId="941" w:customStyle="1">
    <w:name w:val="TOC 标题1"/>
    <w:uiPriority w:val="39"/>
    <w:unhideWhenUsed/>
    <w:qFormat/>
    <w:rPr>
      <w:rFonts w:hint="default" w:ascii="Times New Roman" w:hAnsi="Times New Roman" w:eastAsia="宋体" w:cs="Times New Roman"/>
      <w:lang w:val="en-US" w:eastAsia="zh-CN" w:bidi="ar-SA"/>
    </w:rPr>
  </w:style>
  <w:style w:type="paragraph" w:styleId="942" w:customStyle="1">
    <w:name w:val="正文文本1"/>
    <w:next w:val="943"/>
    <w:uiPriority w:val="99"/>
    <w:qFormat/>
    <w:pPr>
      <w:ind w:left="367"/>
      <w:spacing w:before="132"/>
      <w:widowControl w:val="off"/>
    </w:pPr>
    <w:rPr>
      <w:rFonts w:hint="default" w:ascii="宋体" w:hAnsi="Times New Roman" w:eastAsia="宋体" w:cs="Times New Roman"/>
      <w:szCs w:val="21"/>
      <w:lang w:val="en-US" w:eastAsia="zh-CN" w:bidi="ar-SA"/>
    </w:rPr>
  </w:style>
  <w:style w:type="paragraph" w:styleId="943" w:customStyle="1">
    <w:name w:val="正文缩进1"/>
    <w:next w:val="821"/>
    <w:uiPriority w:val="0"/>
    <w:qFormat/>
    <w:pPr>
      <w:ind w:firstLine="420"/>
      <w:widowControl w:val="off"/>
    </w:pPr>
    <w:rPr>
      <w:rFonts w:hint="default" w:ascii="Times New Roman" w:hAnsi="Times New Roman" w:eastAsia="楷体_GB2312" w:cs="Times New Roman"/>
      <w:sz w:val="21"/>
      <w:lang w:val="en-US" w:eastAsia="zh-CN" w:bidi="ar-SA"/>
    </w:rPr>
  </w:style>
  <w:style w:type="paragraph" w:styleId="944" w:customStyle="1">
    <w:name w:val="文档结构图1"/>
    <w:uiPriority w:val="0"/>
    <w:qFormat/>
    <w:pPr>
      <w:jc w:val="both"/>
      <w:shd w:val="clear" w:color="auto" w:fill="000080"/>
      <w:widowControl w:val="off"/>
    </w:pPr>
    <w:rPr>
      <w:rFonts w:hint="default" w:ascii="Times New Roman" w:hAnsi="Times New Roman" w:eastAsia="宋体" w:cs="Times New Roman"/>
      <w:sz w:val="21"/>
      <w:lang w:val="en-US" w:eastAsia="zh-CN" w:bidi="ar-SA"/>
    </w:rPr>
  </w:style>
  <w:style w:type="character" w:styleId="945" w:customStyle="1">
    <w:name w:val="Heading 1 Char"/>
    <w:basedOn w:val="831"/>
    <w:uiPriority w:val="9"/>
    <w:qFormat/>
    <w:rPr>
      <w:rFonts w:ascii="Arial" w:hAnsi="Arial" w:eastAsia="Arial" w:cs="Arial"/>
      <w:sz w:val="40"/>
      <w:szCs w:val="40"/>
    </w:rPr>
  </w:style>
  <w:style w:type="character" w:styleId="946" w:customStyle="1">
    <w:name w:val="Heading 2 Char"/>
    <w:basedOn w:val="831"/>
    <w:uiPriority w:val="9"/>
    <w:qFormat/>
    <w:rPr>
      <w:rFonts w:ascii="Arial" w:hAnsi="Arial" w:eastAsia="Arial" w:cs="Arial"/>
      <w:sz w:val="34"/>
    </w:rPr>
  </w:style>
  <w:style w:type="character" w:styleId="947" w:customStyle="1">
    <w:name w:val="Heading 3 Char"/>
    <w:basedOn w:val="831"/>
    <w:uiPriority w:val="9"/>
    <w:qFormat/>
    <w:rPr>
      <w:rFonts w:ascii="Arial" w:hAnsi="Arial" w:eastAsia="Arial" w:cs="Arial"/>
      <w:sz w:val="30"/>
      <w:szCs w:val="30"/>
    </w:rPr>
  </w:style>
  <w:style w:type="character" w:styleId="948" w:customStyle="1">
    <w:name w:val="Heading 4 Char"/>
    <w:basedOn w:val="831"/>
    <w:uiPriority w:val="9"/>
    <w:qFormat/>
    <w:rPr>
      <w:rFonts w:ascii="Arial" w:hAnsi="Arial" w:eastAsia="Arial" w:cs="Arial"/>
      <w:b/>
      <w:bCs/>
      <w:sz w:val="26"/>
      <w:szCs w:val="26"/>
    </w:rPr>
  </w:style>
  <w:style w:type="character" w:styleId="949" w:customStyle="1">
    <w:name w:val="Heading 5 Char"/>
    <w:basedOn w:val="831"/>
    <w:uiPriority w:val="9"/>
    <w:qFormat/>
    <w:rPr>
      <w:rFonts w:ascii="Arial" w:hAnsi="Arial" w:eastAsia="Arial" w:cs="Arial"/>
      <w:b/>
      <w:bCs/>
      <w:sz w:val="24"/>
      <w:szCs w:val="24"/>
    </w:rPr>
  </w:style>
  <w:style w:type="character" w:styleId="950" w:customStyle="1">
    <w:name w:val="Heading 6 Char"/>
    <w:basedOn w:val="831"/>
    <w:uiPriority w:val="9"/>
    <w:qFormat/>
    <w:rPr>
      <w:rFonts w:ascii="Arial" w:hAnsi="Arial" w:eastAsia="Arial" w:cs="Arial"/>
      <w:b/>
      <w:bCs/>
      <w:sz w:val="22"/>
      <w:szCs w:val="22"/>
    </w:rPr>
  </w:style>
  <w:style w:type="character" w:styleId="951" w:customStyle="1">
    <w:name w:val="Heading 7 Char"/>
    <w:basedOn w:val="831"/>
    <w:uiPriority w:val="9"/>
    <w:qFormat/>
    <w:rPr>
      <w:rFonts w:ascii="Arial" w:hAnsi="Arial" w:eastAsia="Arial" w:cs="Arial"/>
      <w:b/>
      <w:bCs/>
      <w:i/>
      <w:iCs/>
      <w:sz w:val="22"/>
      <w:szCs w:val="22"/>
    </w:rPr>
  </w:style>
  <w:style w:type="character" w:styleId="952" w:customStyle="1">
    <w:name w:val="Heading 8 Char"/>
    <w:basedOn w:val="831"/>
    <w:uiPriority w:val="9"/>
    <w:qFormat/>
    <w:rPr>
      <w:rFonts w:ascii="Arial" w:hAnsi="Arial" w:eastAsia="Arial" w:cs="Arial"/>
      <w:i/>
      <w:iCs/>
      <w:sz w:val="22"/>
      <w:szCs w:val="22"/>
    </w:rPr>
  </w:style>
  <w:style w:type="character" w:styleId="953" w:customStyle="1">
    <w:name w:val="Heading 9 Char"/>
    <w:basedOn w:val="831"/>
    <w:uiPriority w:val="9"/>
    <w:qFormat/>
    <w:rPr>
      <w:rFonts w:ascii="Arial" w:hAnsi="Arial" w:eastAsia="Arial" w:cs="Arial"/>
      <w:i/>
      <w:iCs/>
      <w:sz w:val="21"/>
      <w:szCs w:val="21"/>
    </w:rPr>
  </w:style>
  <w:style w:type="character" w:styleId="954" w:customStyle="1">
    <w:name w:val="Title Char"/>
    <w:basedOn w:val="831"/>
    <w:uiPriority w:val="10"/>
    <w:qFormat/>
    <w:rPr>
      <w:sz w:val="48"/>
      <w:szCs w:val="48"/>
    </w:rPr>
  </w:style>
  <w:style w:type="character" w:styleId="955" w:customStyle="1">
    <w:name w:val="Subtitle Char"/>
    <w:basedOn w:val="831"/>
    <w:uiPriority w:val="11"/>
    <w:qFormat/>
    <w:rPr>
      <w:sz w:val="24"/>
      <w:szCs w:val="24"/>
    </w:rPr>
  </w:style>
  <w:style w:type="paragraph" w:styleId="956">
    <w:name w:val="Quote"/>
    <w:basedOn w:val="821"/>
    <w:next w:val="821"/>
    <w:link w:val="957"/>
    <w:uiPriority w:val="29"/>
    <w:qFormat/>
    <w:pPr>
      <w:ind w:left="720" w:right="720"/>
    </w:pPr>
    <w:rPr>
      <w:i/>
    </w:rPr>
  </w:style>
  <w:style w:type="character" w:styleId="957" w:customStyle="1">
    <w:name w:val="引用 字符"/>
    <w:link w:val="956"/>
    <w:uiPriority w:val="29"/>
    <w:qFormat/>
    <w:rPr>
      <w:i/>
    </w:rPr>
  </w:style>
  <w:style w:type="paragraph" w:styleId="958">
    <w:name w:val="Intense Quote"/>
    <w:basedOn w:val="821"/>
    <w:next w:val="821"/>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明显引用 字符"/>
    <w:link w:val="958"/>
    <w:uiPriority w:val="30"/>
    <w:qFormat/>
    <w:rPr>
      <w:i/>
    </w:rPr>
  </w:style>
  <w:style w:type="character" w:styleId="960" w:customStyle="1">
    <w:name w:val="Header Char"/>
    <w:basedOn w:val="831"/>
    <w:uiPriority w:val="99"/>
    <w:qFormat/>
  </w:style>
  <w:style w:type="character" w:styleId="961" w:customStyle="1">
    <w:name w:val="Footer Char"/>
    <w:basedOn w:val="831"/>
    <w:uiPriority w:val="99"/>
    <w:qFormat/>
  </w:style>
  <w:style w:type="character" w:styleId="962" w:customStyle="1">
    <w:name w:val="Caption Char"/>
    <w:uiPriority w:val="99"/>
    <w:qFormat/>
  </w:style>
  <w:style w:type="table" w:styleId="963" w:customStyle="1">
    <w:name w:val="Table Grid Light"/>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4" w:customStyle="1">
    <w:name w:val="Grid Table 1 Light - Accent 1"/>
    <w:basedOn w:val="8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2"/>
    <w:basedOn w:val="8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3"/>
    <w:basedOn w:val="8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4"/>
    <w:basedOn w:val="8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5"/>
    <w:basedOn w:val="8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6"/>
    <w:basedOn w:val="8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0" w:customStyle="1">
    <w:name w:val="Grid Table 2 - Accent 1"/>
    <w:basedOn w:val="8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1" w:customStyle="1">
    <w:name w:val="Grid Table 2 - Accent 2"/>
    <w:basedOn w:val="8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2 - Accent 3"/>
    <w:basedOn w:val="8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2 - Accent 4"/>
    <w:basedOn w:val="8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2 - Accent 5"/>
    <w:basedOn w:val="8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Grid Table 2 - Accent 6"/>
    <w:basedOn w:val="8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Grid Table 3 - Accent 1"/>
    <w:basedOn w:val="8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2"/>
    <w:basedOn w:val="8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3"/>
    <w:basedOn w:val="8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4"/>
    <w:basedOn w:val="8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5"/>
    <w:basedOn w:val="8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6"/>
    <w:basedOn w:val="8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4 - Accent 1"/>
    <w:basedOn w:val="8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basedOn w:val="83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basedOn w:val="8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basedOn w:val="8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basedOn w:val="8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basedOn w:val="8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Grid Table 5 Dark- Accent 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Grid Table 6 Colorful - Accent 1"/>
    <w:basedOn w:val="83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5" w:customStyle="1">
    <w:name w:val="Grid Table 6 Colorful - Accent 2"/>
    <w:basedOn w:val="8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6" w:customStyle="1">
    <w:name w:val="Grid Table 6 Colorful - Accent 3"/>
    <w:basedOn w:val="8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7" w:customStyle="1">
    <w:name w:val="Grid Table 6 Colorful - Accent 4"/>
    <w:basedOn w:val="8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8" w:customStyle="1">
    <w:name w:val="Grid Table 6 Colorful - Accent 5"/>
    <w:basedOn w:val="83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6 Colorful - Accent 6"/>
    <w:basedOn w:val="83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7 Colorful - Accent 1"/>
    <w:basedOn w:val="83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1" w:customStyle="1">
    <w:name w:val="Grid Table 7 Colorful - Accent 2"/>
    <w:basedOn w:val="83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7 Colorful - Accent 3"/>
    <w:basedOn w:val="8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7 Colorful - Accent 4"/>
    <w:basedOn w:val="83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7 Colorful - Accent 5"/>
    <w:basedOn w:val="83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5" w:customStyle="1">
    <w:name w:val="Grid Table 7 Colorful - Accent 6"/>
    <w:basedOn w:val="83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6" w:customStyle="1">
    <w:name w:val="List Table 1 Light - Accent 1"/>
    <w:basedOn w:val="83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basedOn w:val="83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basedOn w:val="83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basedOn w:val="83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basedOn w:val="83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basedOn w:val="83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List Table 2 - Accent 1"/>
    <w:basedOn w:val="83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3" w:customStyle="1">
    <w:name w:val="List Table 2 - Accent 2"/>
    <w:basedOn w:val="83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4" w:customStyle="1">
    <w:name w:val="List Table 2 - Accent 3"/>
    <w:basedOn w:val="83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5" w:customStyle="1">
    <w:name w:val="List Table 2 - Accent 4"/>
    <w:basedOn w:val="83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6" w:customStyle="1">
    <w:name w:val="List Table 2 - Accent 5"/>
    <w:basedOn w:val="83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7" w:customStyle="1">
    <w:name w:val="List Table 2 - Accent 6"/>
    <w:basedOn w:val="83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8" w:customStyle="1">
    <w:name w:val="List Table 3 - Accent 1"/>
    <w:basedOn w:val="8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basedOn w:val="8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basedOn w:val="83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basedOn w:val="8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basedOn w:val="8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basedOn w:val="8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 Accent 1"/>
    <w:basedOn w:val="8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4 - Accent 2"/>
    <w:basedOn w:val="83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6" w:customStyle="1">
    <w:name w:val="List Table 4 - Accent 3"/>
    <w:basedOn w:val="8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7" w:customStyle="1">
    <w:name w:val="List Table 4 - Accent 4"/>
    <w:basedOn w:val="8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8" w:customStyle="1">
    <w:name w:val="List Table 4 - Accent 5"/>
    <w:basedOn w:val="8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9" w:customStyle="1">
    <w:name w:val="List Table 4 - Accent 6"/>
    <w:basedOn w:val="8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0" w:customStyle="1">
    <w:name w:val="List Table 5 Dark - Accent 1"/>
    <w:basedOn w:val="8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2"/>
    <w:basedOn w:val="83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3"/>
    <w:basedOn w:val="8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4"/>
    <w:basedOn w:val="8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5"/>
    <w:basedOn w:val="8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6"/>
    <w:basedOn w:val="8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6 Colorful - Accent 1"/>
    <w:basedOn w:val="83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basedOn w:val="83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basedOn w:val="83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basedOn w:val="83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basedOn w:val="83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basedOn w:val="83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List Table 7 Colorful - Accent 1"/>
    <w:basedOn w:val="83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7 Colorful - Accent 2"/>
    <w:basedOn w:val="83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4" w:customStyle="1">
    <w:name w:val="List Table 7 Colorful - Accent 3"/>
    <w:basedOn w:val="83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5" w:customStyle="1">
    <w:name w:val="List Table 7 Colorful - Accent 4"/>
    <w:basedOn w:val="83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List Table 7 Colorful - Accent 5"/>
    <w:basedOn w:val="83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7" w:customStyle="1">
    <w:name w:val="List Table 7 Colorful - Accent 6"/>
    <w:basedOn w:val="83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8" w:customStyle="1">
    <w:name w:val="Lined - Accent"/>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Lined - Accent 1"/>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Lined - Accent 2"/>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Lined - Accent 3"/>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Lined - Accent 4"/>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Lined - Accent 5"/>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Lined - Accent 6"/>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amp; Lined - Accent"/>
    <w:basedOn w:val="8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Bordered &amp; Lined - Accent 1"/>
    <w:basedOn w:val="83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Bordered &amp; Lined - Accent 2"/>
    <w:basedOn w:val="83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Bordered &amp; Lined - Accent 3"/>
    <w:basedOn w:val="83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Bordered &amp; Lined - Accent 4"/>
    <w:basedOn w:val="83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Bordered &amp; Lined - Accent 5"/>
    <w:basedOn w:val="83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Bordered &amp; Lined - Accent 6"/>
    <w:basedOn w:val="83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w:basedOn w:val="8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3" w:customStyle="1">
    <w:name w:val="Bordered - Accent 1"/>
    <w:basedOn w:val="8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4" w:customStyle="1">
    <w:name w:val="Bordered - Accent 2"/>
    <w:basedOn w:val="8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5" w:customStyle="1">
    <w:name w:val="Bordered - Accent 3"/>
    <w:basedOn w:val="8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6" w:customStyle="1">
    <w:name w:val="Bordered - Accent 4"/>
    <w:basedOn w:val="8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7" w:customStyle="1">
    <w:name w:val="Bordered - Accent 5"/>
    <w:basedOn w:val="8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8" w:customStyle="1">
    <w:name w:val="Bordered - Accent 6"/>
    <w:basedOn w:val="8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9" w:customStyle="1">
    <w:name w:val="脚注文本 字符"/>
    <w:link w:val="871"/>
    <w:uiPriority w:val="99"/>
    <w:qFormat/>
    <w:rPr>
      <w:sz w:val="18"/>
    </w:rPr>
  </w:style>
  <w:style w:type="character" w:styleId="1070" w:customStyle="1">
    <w:name w:val="尾注文本 字符"/>
    <w:link w:val="859"/>
    <w:uiPriority w:val="99"/>
    <w:qFormat/>
    <w:rPr>
      <w:sz w:val="20"/>
    </w:rPr>
  </w:style>
  <w:style w:type="paragraph" w:styleId="1071" w:customStyle="1">
    <w:name w:val="TOC 标题111"/>
    <w:uiPriority w:val="39"/>
    <w:unhideWhenUsed/>
    <w:qFormat/>
    <w:rPr>
      <w:rFonts w:hint="default" w:ascii="Times New Roman" w:hAnsi="Times New Roman" w:eastAsia="宋体" w:cs="Times New Roman"/>
      <w:lang w:val="en-US" w:eastAsia="zh-CN" w:bidi="ar-SA"/>
    </w:rPr>
  </w:style>
  <w:style w:type="paragraph" w:styleId="1072" w:customStyle="1">
    <w:name w:val="段"/>
    <w:next w:val="821"/>
    <w:uiPriority w:val="0"/>
    <w:qFormat/>
    <w:pPr>
      <w:ind w:firstLine="200"/>
      <w:jc w:val="both"/>
    </w:pPr>
    <w:rPr>
      <w:rFonts w:hint="default" w:ascii="宋体" w:hAnsi="Times New Roman" w:eastAsia="宋体" w:cs="Times New Roman"/>
      <w:sz w:val="21"/>
      <w:lang w:val="en-US" w:eastAsia="zh-CN" w:bidi="ar-SA"/>
    </w:rPr>
  </w:style>
  <w:style w:type="character" w:styleId="1073" w:customStyle="1">
    <w:name w:val="签名 字符"/>
    <w:link w:val="864"/>
    <w:uiPriority w:val="0"/>
    <w:qFormat/>
    <w:rPr>
      <w:rFonts w:eastAsia="仿宋_GB2312"/>
      <w:sz w:val="24"/>
    </w:rPr>
  </w:style>
  <w:style w:type="character" w:styleId="1074" w:customStyle="1">
    <w:name w:val="A8"/>
    <w:uiPriority w:val="0"/>
    <w:qFormat/>
    <w:rPr>
      <w:rFonts w:ascii="华文细黑." w:eastAsia="华文细黑." w:cs="华文细黑."/>
      <w:color w:val="000000"/>
      <w:sz w:val="14"/>
      <w:szCs w:val="14"/>
    </w:rPr>
  </w:style>
  <w:style w:type="character" w:styleId="1075" w:customStyle="1">
    <w:name w:val="标题 3 字符1"/>
    <w:uiPriority w:val="0"/>
    <w:qFormat/>
    <w:rPr>
      <w:rFonts w:ascii="宋体" w:hAnsi="宋体" w:eastAsia="宋体"/>
      <w:sz w:val="28"/>
      <w:lang w:val="en-US" w:eastAsia="zh-CN" w:bidi="ar-SA"/>
    </w:rPr>
  </w:style>
  <w:style w:type="character" w:styleId="1076" w:customStyle="1">
    <w:name w:val="正文缩进1 Char"/>
    <w:uiPriority w:val="0"/>
    <w:qFormat/>
    <w:rPr>
      <w:rFonts w:ascii="Times New Roman" w:hAnsi="Times New Roman" w:eastAsia="楷体_GB2312" w:cs="Times New Roman"/>
      <w:sz w:val="24"/>
      <w:szCs w:val="20"/>
    </w:rPr>
  </w:style>
  <w:style w:type="character" w:styleId="1077" w:customStyle="1">
    <w:name w:val="ih151"/>
    <w:uiPriority w:val="0"/>
    <w:qFormat/>
    <w:rPr>
      <w:color w:val="666666"/>
      <w:sz w:val="18"/>
      <w:szCs w:val="18"/>
      <w:u w:val="none"/>
    </w:rPr>
  </w:style>
  <w:style w:type="character" w:styleId="1078" w:customStyle="1">
    <w:name w:val="02 标题 Char"/>
    <w:link w:val="1079"/>
    <w:uiPriority w:val="0"/>
    <w:qFormat/>
    <w:rPr>
      <w:b/>
      <w:sz w:val="21"/>
      <w:szCs w:val="21"/>
    </w:rPr>
  </w:style>
  <w:style w:type="paragraph" w:styleId="1079" w:customStyle="1">
    <w:name w:val="02 标题"/>
    <w:basedOn w:val="821"/>
    <w:link w:val="1078"/>
    <w:uiPriority w:val="0"/>
    <w:qFormat/>
    <w:pPr>
      <w:keepNext/>
      <w:spacing w:line="360" w:lineRule="auto"/>
      <w:widowControl/>
      <w:outlineLvl w:val="0"/>
    </w:pPr>
    <w:rPr>
      <w:b/>
      <w:szCs w:val="21"/>
    </w:rPr>
  </w:style>
  <w:style w:type="character" w:styleId="1080" w:customStyle="1">
    <w:name w:val="3级方案标题 字符"/>
    <w:link w:val="1081"/>
    <w:uiPriority w:val="0"/>
    <w:qFormat/>
    <w:rPr>
      <w:rFonts w:ascii="宋体" w:hAnsi="宋体"/>
      <w:b/>
      <w:color w:val="000000"/>
      <w:sz w:val="32"/>
      <w:szCs w:val="32"/>
    </w:rPr>
  </w:style>
  <w:style w:type="paragraph" w:styleId="1081" w:customStyle="1">
    <w:name w:val="3级方案标题"/>
    <w:basedOn w:val="824"/>
    <w:link w:val="1080"/>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82" w:customStyle="1">
    <w:name w:val="页眉 字符2"/>
    <w:link w:val="863"/>
    <w:uiPriority w:val="99"/>
    <w:qFormat/>
    <w:rPr>
      <w:rFonts w:eastAsia="宋体"/>
      <w:sz w:val="18"/>
      <w:lang w:val="en-US" w:eastAsia="zh-CN" w:bidi="ar-SA"/>
    </w:rPr>
  </w:style>
  <w:style w:type="character" w:styleId="1083" w:customStyle="1">
    <w:name w:val="正文文本缩进 3 字符1"/>
    <w:link w:val="873"/>
    <w:uiPriority w:val="0"/>
    <w:qFormat/>
    <w:rPr>
      <w:b/>
      <w:bCs/>
      <w:sz w:val="28"/>
      <w:u w:val="single"/>
    </w:rPr>
  </w:style>
  <w:style w:type="character" w:styleId="1084" w:customStyle="1">
    <w:name w:val="正文文本首行缩进 字符"/>
    <w:basedOn w:val="1085"/>
    <w:link w:val="885"/>
    <w:uiPriority w:val="0"/>
    <w:qFormat/>
    <w:rPr>
      <w:rFonts w:ascii="Tahoma" w:hAnsi="Tahoma" w:eastAsia="Times New Roman"/>
      <w:sz w:val="21"/>
      <w:szCs w:val="24"/>
      <w:lang w:val="en-US" w:eastAsia="zh-CN" w:bidi="ar-SA"/>
    </w:rPr>
  </w:style>
  <w:style w:type="character" w:styleId="1085" w:customStyle="1">
    <w:name w:val="正文文本 字符"/>
    <w:uiPriority w:val="0"/>
    <w:qFormat/>
    <w:rPr>
      <w:rFonts w:ascii="Tahoma" w:hAnsi="Tahoma" w:eastAsia="Times New Roman"/>
      <w:sz w:val="21"/>
      <w:szCs w:val="24"/>
      <w:lang w:val="en-US" w:eastAsia="zh-CN" w:bidi="ar-SA"/>
    </w:rPr>
  </w:style>
  <w:style w:type="character" w:styleId="1086" w:customStyle="1">
    <w:name w:val="标题 9 字符1"/>
    <w:link w:val="830"/>
    <w:uiPriority w:val="0"/>
    <w:qFormat/>
    <w:rPr>
      <w:b/>
      <w:bCs/>
      <w:sz w:val="21"/>
      <w:szCs w:val="24"/>
    </w:rPr>
  </w:style>
  <w:style w:type="character" w:styleId="1087" w:customStyle="1">
    <w:name w:val="Char Char9"/>
    <w:uiPriority w:val="0"/>
    <w:qFormat/>
    <w:rPr>
      <w:sz w:val="18"/>
      <w:szCs w:val="18"/>
    </w:rPr>
  </w:style>
  <w:style w:type="character" w:styleId="1088" w:customStyle="1">
    <w:name w:val="注释标题 字符"/>
    <w:link w:val="836"/>
    <w:uiPriority w:val="0"/>
    <w:qFormat/>
    <w:rPr>
      <w:sz w:val="24"/>
      <w:szCs w:val="24"/>
    </w:rPr>
  </w:style>
  <w:style w:type="character" w:styleId="1089" w:customStyle="1">
    <w:name w:val="正文缩进 Char1"/>
    <w:uiPriority w:val="0"/>
    <w:qFormat/>
    <w:rPr>
      <w:rFonts w:eastAsia="楷体_GB2312"/>
      <w:sz w:val="24"/>
    </w:rPr>
  </w:style>
  <w:style w:type="character" w:styleId="1090" w:customStyle="1">
    <w:name w:val="批注框文本 字符1"/>
    <w:link w:val="860"/>
    <w:uiPriority w:val="0"/>
    <w:qFormat/>
    <w:rPr>
      <w:rFonts w:ascii="Calibri" w:hAnsi="Calibri" w:eastAsia="宋体"/>
      <w:sz w:val="18"/>
      <w:szCs w:val="18"/>
      <w:lang w:val="en-US" w:eastAsia="zh-CN" w:bidi="ar-SA"/>
    </w:rPr>
  </w:style>
  <w:style w:type="character" w:styleId="1091" w:customStyle="1">
    <w:name w:val="UH正文 Char"/>
    <w:link w:val="1092"/>
    <w:uiPriority w:val="0"/>
    <w:qFormat/>
    <w:rPr>
      <w:rFonts w:ascii="Arial" w:hAnsi="Arial"/>
      <w:sz w:val="24"/>
      <w:szCs w:val="21"/>
      <w:lang w:val="en-US" w:eastAsia="zh-CN" w:bidi="ar-SA"/>
    </w:rPr>
  </w:style>
  <w:style w:type="paragraph" w:styleId="1092" w:customStyle="1">
    <w:name w:val="UH正文"/>
    <w:link w:val="1091"/>
    <w:uiPriority w:val="0"/>
    <w:qFormat/>
    <w:pPr>
      <w:ind w:firstLine="200"/>
      <w:spacing w:line="360" w:lineRule="auto"/>
    </w:pPr>
    <w:rPr>
      <w:rFonts w:hint="default" w:ascii="Arial" w:hAnsi="Arial" w:eastAsia="宋体" w:cs="Times New Roman"/>
      <w:sz w:val="24"/>
      <w:szCs w:val="21"/>
      <w:lang w:val="en-US" w:eastAsia="zh-CN" w:bidi="ar-SA"/>
    </w:rPr>
  </w:style>
  <w:style w:type="character" w:styleId="1093" w:customStyle="1">
    <w:name w:val="纯文本 字符1"/>
    <w:link w:val="854"/>
    <w:uiPriority w:val="0"/>
    <w:qFormat/>
    <w:rPr>
      <w:rFonts w:ascii="宋体" w:hAnsi="Courier New" w:eastAsia="宋体"/>
      <w:sz w:val="21"/>
      <w:lang w:val="en-US" w:eastAsia="zh-CN" w:bidi="ar-SA"/>
    </w:rPr>
  </w:style>
  <w:style w:type="character" w:styleId="1094" w:customStyle="1">
    <w:name w:val="标题 7 字符1"/>
    <w:link w:val="828"/>
    <w:uiPriority w:val="0"/>
    <w:qFormat/>
    <w:rPr>
      <w:rFonts w:ascii="Arial" w:hAnsi="Arial" w:cs="Arial"/>
      <w:b/>
      <w:bCs/>
      <w:sz w:val="16"/>
      <w:szCs w:val="16"/>
    </w:rPr>
  </w:style>
  <w:style w:type="character" w:styleId="1095" w:customStyle="1">
    <w:name w:val="Andy_3级 Char"/>
    <w:link w:val="1096"/>
    <w:uiPriority w:val="0"/>
    <w:qFormat/>
    <w:rPr>
      <w:rFonts w:ascii="Calibri" w:hAnsi="Calibri"/>
      <w:sz w:val="24"/>
    </w:rPr>
  </w:style>
  <w:style w:type="paragraph" w:styleId="1096" w:customStyle="1">
    <w:name w:val="Andy_3级"/>
    <w:basedOn w:val="821"/>
    <w:link w:val="1095"/>
    <w:uiPriority w:val="0"/>
    <w:qFormat/>
    <w:pPr>
      <w:ind w:left="1260" w:hanging="420"/>
      <w:spacing w:line="360" w:lineRule="auto"/>
      <w:tabs>
        <w:tab w:val="left" w:pos="1260" w:leader="none"/>
      </w:tabs>
    </w:pPr>
    <w:rPr>
      <w:rFonts w:ascii="Calibri" w:hAnsi="Calibri"/>
      <w:sz w:val="24"/>
    </w:rPr>
  </w:style>
  <w:style w:type="character" w:styleId="1097" w:customStyle="1">
    <w:name w:val="Plain Text Char1"/>
    <w:link w:val="1098"/>
    <w:uiPriority w:val="0"/>
    <w:qFormat/>
    <w:rPr>
      <w:rFonts w:ascii="宋体" w:hAnsi="Courier New" w:eastAsia="楷体_GB2312"/>
      <w:sz w:val="26"/>
    </w:rPr>
  </w:style>
  <w:style w:type="paragraph" w:styleId="1098" w:customStyle="1">
    <w:name w:val="纯文本1"/>
    <w:basedOn w:val="821"/>
    <w:link w:val="1097"/>
    <w:uiPriority w:val="0"/>
    <w:qFormat/>
    <w:rPr>
      <w:rFonts w:ascii="宋体" w:hAnsi="Courier New" w:eastAsia="楷体_GB2312"/>
      <w:sz w:val="26"/>
    </w:rPr>
  </w:style>
  <w:style w:type="character" w:styleId="1099" w:customStyle="1">
    <w:name w:val="不明显参考1"/>
    <w:uiPriority w:val="0"/>
    <w:qFormat/>
    <w:rPr>
      <w:smallCaps/>
      <w:color w:val="c0504d"/>
      <w:u w:val="single"/>
    </w:rPr>
  </w:style>
  <w:style w:type="character" w:styleId="1100" w:customStyle="1">
    <w:name w:val="标题 1 字符1"/>
    <w:link w:val="822"/>
    <w:uiPriority w:val="0"/>
    <w:qFormat/>
    <w:rPr>
      <w:rFonts w:ascii="宋体" w:hAnsi="宋体"/>
      <w:b/>
      <w:sz w:val="36"/>
    </w:rPr>
  </w:style>
  <w:style w:type="character" w:styleId="1101" w:customStyle="1">
    <w:name w:val="样式6 Char"/>
    <w:link w:val="1102"/>
    <w:uiPriority w:val="0"/>
    <w:qFormat/>
    <w:rPr>
      <w:rFonts w:ascii="Arial" w:hAnsi="Arial"/>
      <w:b/>
      <w:bCs/>
      <w:sz w:val="28"/>
      <w:szCs w:val="32"/>
    </w:rPr>
  </w:style>
  <w:style w:type="paragraph" w:styleId="1102" w:customStyle="1">
    <w:name w:val="样式6"/>
    <w:basedOn w:val="823"/>
    <w:link w:val="1101"/>
    <w:uiPriority w:val="0"/>
    <w:qFormat/>
    <w:pPr>
      <w:jc w:val="both"/>
      <w:keepLines/>
    </w:pPr>
    <w:rPr>
      <w:rFonts w:ascii="Arial" w:hAnsi="Arial"/>
      <w:szCs w:val="32"/>
    </w:rPr>
  </w:style>
  <w:style w:type="character" w:styleId="1103" w:customStyle="1">
    <w:name w:val="*正文 Char"/>
    <w:link w:val="1104"/>
    <w:uiPriority w:val="0"/>
    <w:qFormat/>
    <w:rPr>
      <w:rFonts w:ascii="宋体" w:hAnsi="宋体" w:cs="MS Gothic"/>
      <w:sz w:val="24"/>
      <w:szCs w:val="21"/>
      <w:u w:val="none"/>
    </w:rPr>
  </w:style>
  <w:style w:type="paragraph" w:styleId="1104" w:customStyle="1">
    <w:name w:val="*正文"/>
    <w:basedOn w:val="821"/>
    <w:link w:val="1103"/>
    <w:uiPriority w:val="0"/>
    <w:qFormat/>
    <w:pPr>
      <w:ind w:firstLine="480"/>
      <w:spacing w:line="360" w:lineRule="auto"/>
    </w:pPr>
    <w:rPr>
      <w:rFonts w:ascii="宋体" w:hAnsi="宋体"/>
      <w:sz w:val="24"/>
      <w:szCs w:val="21"/>
    </w:rPr>
  </w:style>
  <w:style w:type="character" w:styleId="1105" w:customStyle="1">
    <w:name w:val="正文缩进 字符3"/>
    <w:link w:val="838"/>
    <w:uiPriority w:val="0"/>
    <w:qFormat/>
    <w:rPr>
      <w:sz w:val="21"/>
    </w:rPr>
  </w:style>
  <w:style w:type="character" w:styleId="1106" w:customStyle="1">
    <w:name w:val="副标题 字符"/>
    <w:link w:val="869"/>
    <w:uiPriority w:val="0"/>
    <w:qFormat/>
    <w:rPr>
      <w:rFonts w:ascii="Cambria" w:hAnsi="Cambria" w:eastAsia="宋体"/>
      <w:b/>
      <w:bCs/>
      <w:sz w:val="32"/>
      <w:szCs w:val="32"/>
      <w:lang w:val="en-US" w:eastAsia="zh-CN" w:bidi="ar-SA"/>
    </w:rPr>
  </w:style>
  <w:style w:type="character" w:styleId="1107" w:customStyle="1">
    <w:name w:val="页脚 字符2"/>
    <w:link w:val="861"/>
    <w:uiPriority w:val="99"/>
    <w:qFormat/>
    <w:rPr>
      <w:rFonts w:eastAsia="宋体"/>
      <w:sz w:val="18"/>
      <w:lang w:val="en-US" w:eastAsia="zh-CN" w:bidi="ar-SA"/>
    </w:rPr>
  </w:style>
  <w:style w:type="character" w:styleId="1108" w:customStyle="1">
    <w:name w:val="王兴华的论文正文 Char"/>
    <w:link w:val="1109"/>
    <w:uiPriority w:val="0"/>
    <w:qFormat/>
    <w:rPr>
      <w:rFonts w:eastAsia="宋体"/>
      <w:sz w:val="24"/>
      <w:szCs w:val="24"/>
      <w:lang w:val="en-US" w:eastAsia="zh-CN" w:bidi="ar-SA"/>
    </w:rPr>
  </w:style>
  <w:style w:type="paragraph" w:styleId="1109" w:customStyle="1">
    <w:name w:val="王兴华的论文正文"/>
    <w:basedOn w:val="838"/>
    <w:link w:val="1108"/>
    <w:uiPriority w:val="0"/>
    <w:qFormat/>
    <w:pPr>
      <w:ind w:firstLine="200"/>
      <w:spacing w:line="360" w:lineRule="auto"/>
    </w:pPr>
    <w:rPr>
      <w:sz w:val="24"/>
      <w:szCs w:val="24"/>
    </w:rPr>
  </w:style>
  <w:style w:type="character" w:styleId="1110" w:customStyle="1">
    <w:name w:val="页眉 字符"/>
    <w:uiPriority w:val="0"/>
    <w:qFormat/>
    <w:rPr>
      <w:rFonts w:eastAsia="宋体"/>
      <w:sz w:val="18"/>
      <w:lang w:val="en-US" w:eastAsia="zh-CN" w:bidi="ar-SA"/>
    </w:rPr>
  </w:style>
  <w:style w:type="character" w:styleId="1111" w:customStyle="1">
    <w:name w:val="HTML 预设格式 Char1"/>
    <w:uiPriority w:val="0"/>
    <w:qFormat/>
    <w:rPr>
      <w:rFonts w:ascii="Courier New" w:hAnsi="Courier New" w:eastAsia="楷体_GB2312" w:cs="Courier New"/>
    </w:rPr>
  </w:style>
  <w:style w:type="character" w:styleId="1112" w:customStyle="1">
    <w:name w:val="标题 5 字符"/>
    <w:uiPriority w:val="0"/>
    <w:qFormat/>
    <w:rPr>
      <w:rFonts w:eastAsia="宋体"/>
      <w:b/>
      <w:bCs/>
      <w:sz w:val="28"/>
      <w:szCs w:val="28"/>
      <w:lang w:val="en-US" w:eastAsia="zh-CN" w:bidi="ar-SA"/>
    </w:rPr>
  </w:style>
  <w:style w:type="character" w:styleId="1113" w:customStyle="1">
    <w:name w:val="正文首行缩进2字 Char"/>
    <w:link w:val="1114"/>
    <w:uiPriority w:val="0"/>
    <w:qFormat/>
    <w:rPr>
      <w:rFonts w:eastAsia="楷体_GB2312"/>
      <w:sz w:val="24"/>
      <w:szCs w:val="24"/>
    </w:rPr>
  </w:style>
  <w:style w:type="paragraph" w:styleId="1114" w:customStyle="1">
    <w:name w:val="正文首行缩进2字"/>
    <w:basedOn w:val="821"/>
    <w:link w:val="1113"/>
    <w:uiPriority w:val="0"/>
    <w:qFormat/>
    <w:pPr>
      <w:ind w:firstLine="540"/>
      <w:spacing w:line="288" w:lineRule="auto"/>
    </w:pPr>
    <w:rPr>
      <w:rFonts w:eastAsia="楷体_GB2312"/>
      <w:sz w:val="24"/>
      <w:szCs w:val="24"/>
    </w:rPr>
  </w:style>
  <w:style w:type="character" w:styleId="1115" w:customStyle="1">
    <w:name w:val="批注框文本 字符"/>
    <w:uiPriority w:val="0"/>
    <w:qFormat/>
    <w:rPr>
      <w:rFonts w:eastAsia="楷体_GB2312"/>
      <w:sz w:val="18"/>
      <w:szCs w:val="18"/>
      <w:lang w:bidi="ar-SA"/>
    </w:rPr>
  </w:style>
  <w:style w:type="character" w:styleId="1116" w:customStyle="1">
    <w:name w:val="标题 字符"/>
    <w:link w:val="883"/>
    <w:uiPriority w:val="0"/>
    <w:qFormat/>
    <w:rPr>
      <w:rFonts w:ascii="Cambria" w:hAnsi="Cambria" w:eastAsia="宋体"/>
      <w:b/>
      <w:bCs/>
      <w:sz w:val="32"/>
      <w:szCs w:val="32"/>
      <w:lang w:val="en-US" w:eastAsia="zh-CN" w:bidi="ar-SA"/>
    </w:rPr>
  </w:style>
  <w:style w:type="character" w:styleId="1117" w:customStyle="1">
    <w:name w:val="纯文本 Char"/>
    <w:uiPriority w:val="0"/>
    <w:qFormat/>
    <w:rPr>
      <w:rFonts w:ascii="宋体" w:hAnsi="Courier New" w:eastAsia="楷体_GB2312"/>
      <w:sz w:val="28"/>
      <w:lang w:val="en-US" w:eastAsia="zh-CN" w:bidi="ar-SA"/>
    </w:rPr>
  </w:style>
  <w:style w:type="character" w:styleId="1118" w:customStyle="1">
    <w:name w:val="正文文本首行缩进 2 字符"/>
    <w:link w:val="886"/>
    <w:uiPriority w:val="0"/>
    <w:qFormat/>
    <w:rPr>
      <w:sz w:val="21"/>
      <w:szCs w:val="24"/>
    </w:rPr>
  </w:style>
  <w:style w:type="character" w:styleId="1119" w:customStyle="1">
    <w:name w:val="表格正文 Char"/>
    <w:link w:val="1120"/>
    <w:uiPriority w:val="0"/>
    <w:qFormat/>
    <w:rPr>
      <w:rFonts w:ascii="等线" w:hAnsi="等线"/>
      <w:sz w:val="21"/>
      <w:szCs w:val="21"/>
    </w:rPr>
  </w:style>
  <w:style w:type="paragraph" w:styleId="1120" w:customStyle="1">
    <w:name w:val="表格正文"/>
    <w:basedOn w:val="821"/>
    <w:link w:val="1119"/>
    <w:uiPriority w:val="0"/>
    <w:qFormat/>
    <w:rPr>
      <w:rFonts w:ascii="等线" w:hAnsi="等线"/>
      <w:szCs w:val="21"/>
    </w:rPr>
  </w:style>
  <w:style w:type="character" w:styleId="1121" w:customStyle="1">
    <w:name w:val="HTML 预设格式 字符1"/>
    <w:link w:val="880"/>
    <w:uiPriority w:val="0"/>
    <w:qFormat/>
    <w:rPr>
      <w:rFonts w:ascii="黑体" w:hAnsi="Courier New" w:eastAsia="黑体" w:cs="Times New Roman"/>
      <w:szCs w:val="24"/>
    </w:rPr>
  </w:style>
  <w:style w:type="character" w:styleId="1122" w:customStyle="1">
    <w:name w:val="Char Char2"/>
    <w:uiPriority w:val="0"/>
    <w:qFormat/>
    <w:rPr>
      <w:rFonts w:ascii="宋体" w:hAnsi="宋体" w:eastAsia="楷体_GB2312"/>
      <w:sz w:val="24"/>
      <w:lang w:val="en-US" w:eastAsia="zh-CN" w:bidi="ar-SA"/>
    </w:rPr>
  </w:style>
  <w:style w:type="character" w:styleId="1123" w:customStyle="1">
    <w:name w:val="批注文字 字符1"/>
    <w:link w:val="843"/>
    <w:uiPriority w:val="99"/>
    <w:qFormat/>
    <w:rPr>
      <w:rFonts w:ascii="Calibri" w:hAnsi="Calibri"/>
      <w:sz w:val="21"/>
      <w:szCs w:val="22"/>
    </w:rPr>
  </w:style>
  <w:style w:type="character" w:styleId="1124" w:customStyle="1">
    <w:name w:val="正文2 字符"/>
    <w:link w:val="1125"/>
    <w:uiPriority w:val="0"/>
    <w:qFormat/>
    <w:rPr>
      <w:sz w:val="24"/>
      <w:szCs w:val="24"/>
    </w:rPr>
  </w:style>
  <w:style w:type="paragraph" w:styleId="1125" w:customStyle="1">
    <w:name w:val="正文2"/>
    <w:basedOn w:val="821"/>
    <w:link w:val="1124"/>
    <w:uiPriority w:val="0"/>
    <w:qFormat/>
    <w:pPr>
      <w:ind w:firstLine="420"/>
      <w:spacing w:line="360" w:lineRule="auto"/>
    </w:pPr>
    <w:rPr>
      <w:sz w:val="24"/>
      <w:szCs w:val="24"/>
    </w:rPr>
  </w:style>
  <w:style w:type="character" w:styleId="1126" w:customStyle="1">
    <w:name w:val="font31"/>
    <w:uiPriority w:val="0"/>
    <w:qFormat/>
    <w:rPr>
      <w:rFonts w:hint="eastAsia" w:ascii="黑体" w:eastAsia="黑体" w:cs="黑体"/>
      <w:color w:val="000000"/>
      <w:sz w:val="20"/>
      <w:szCs w:val="20"/>
      <w:u w:val="none"/>
    </w:rPr>
  </w:style>
  <w:style w:type="character" w:styleId="1127" w:customStyle="1">
    <w:name w:val="标题 8 字符1"/>
    <w:link w:val="829"/>
    <w:uiPriority w:val="0"/>
    <w:qFormat/>
    <w:rPr>
      <w:b/>
      <w:bCs/>
      <w:sz w:val="24"/>
      <w:szCs w:val="24"/>
    </w:rPr>
  </w:style>
  <w:style w:type="character" w:styleId="1128" w:customStyle="1">
    <w:name w:val="正文首行缩进 Char"/>
    <w:uiPriority w:val="0"/>
    <w:qFormat/>
    <w:rPr>
      <w:rFonts w:ascii="楷体_GB2312" w:hAnsi="Arial" w:eastAsia="楷体_GB2312"/>
      <w:sz w:val="21"/>
    </w:rPr>
  </w:style>
  <w:style w:type="character" w:styleId="1129" w:customStyle="1">
    <w:name w:val="正文文本缩进 2 字符"/>
    <w:link w:val="858"/>
    <w:uiPriority w:val="0"/>
    <w:qFormat/>
    <w:rPr>
      <w:sz w:val="24"/>
    </w:rPr>
  </w:style>
  <w:style w:type="character" w:styleId="1130" w:customStyle="1">
    <w:name w:val="标题 6 字符1"/>
    <w:link w:val="827"/>
    <w:uiPriority w:val="0"/>
    <w:qFormat/>
    <w:rPr>
      <w:rFonts w:ascii="Cambria" w:hAnsi="Cambria" w:eastAsia="黑体"/>
      <w:b/>
      <w:bCs/>
      <w:sz w:val="28"/>
      <w:szCs w:val="24"/>
    </w:rPr>
  </w:style>
  <w:style w:type="character" w:styleId="1131" w:customStyle="1">
    <w:name w:val="Char Char10"/>
    <w:uiPriority w:val="0"/>
    <w:qFormat/>
    <w:rPr>
      <w:rFonts w:ascii="Times New Roman" w:hAnsi="Times New Roman" w:eastAsia="宋体" w:cs="Times New Roman"/>
      <w:b/>
      <w:bCs/>
      <w:sz w:val="28"/>
      <w:szCs w:val="28"/>
    </w:rPr>
  </w:style>
  <w:style w:type="character" w:styleId="1132" w:customStyle="1">
    <w:name w:val="标题 4 字符1"/>
    <w:link w:val="825"/>
    <w:uiPriority w:val="0"/>
    <w:qFormat/>
    <w:rPr>
      <w:b/>
      <w:bCs/>
      <w:sz w:val="18"/>
    </w:rPr>
  </w:style>
  <w:style w:type="character" w:styleId="1133" w:customStyle="1">
    <w:name w:val="正文文本 字符1"/>
    <w:link w:val="846"/>
    <w:uiPriority w:val="0"/>
    <w:qFormat/>
    <w:rPr>
      <w:rFonts w:ascii="楷体_GB2312" w:hAnsi="Arial" w:eastAsia="楷体_GB2312"/>
      <w:sz w:val="28"/>
    </w:rPr>
  </w:style>
  <w:style w:type="character" w:styleId="1134" w:customStyle="1">
    <w:name w:val="标题 8 字符"/>
    <w:uiPriority w:val="0"/>
    <w:qFormat/>
    <w:rPr>
      <w:rFonts w:ascii="Arial" w:hAnsi="Arial" w:eastAsia="黑体"/>
      <w:sz w:val="24"/>
      <w:szCs w:val="24"/>
      <w:lang w:val="en-US" w:eastAsia="zh-CN" w:bidi="ar-SA"/>
    </w:rPr>
  </w:style>
  <w:style w:type="character" w:styleId="1135" w:customStyle="1">
    <w:name w:val="无间隔 Char"/>
    <w:link w:val="1136"/>
    <w:uiPriority w:val="1"/>
    <w:qFormat/>
    <w:rPr>
      <w:rFonts w:ascii="Calibri" w:hAnsi="Calibri"/>
      <w:sz w:val="22"/>
      <w:szCs w:val="22"/>
      <w:lang w:val="en-US" w:eastAsia="zh-CN" w:bidi="ar-SA"/>
    </w:rPr>
  </w:style>
  <w:style w:type="paragraph" w:styleId="1136" w:customStyle="1">
    <w:name w:val="无间隔1"/>
    <w:link w:val="1135"/>
    <w:uiPriority w:val="1"/>
    <w:qFormat/>
    <w:rPr>
      <w:rFonts w:hint="default" w:ascii="Calibri" w:hAnsi="Calibri" w:eastAsia="宋体" w:cs="Times New Roman"/>
      <w:sz w:val="22"/>
      <w:szCs w:val="22"/>
      <w:lang w:val="en-US" w:eastAsia="zh-CN" w:bidi="ar-SA"/>
    </w:rPr>
  </w:style>
  <w:style w:type="character" w:styleId="1137" w:customStyle="1">
    <w:name w:val="正文首行缩进 Char Char"/>
    <w:link w:val="1138"/>
    <w:uiPriority w:val="0"/>
    <w:qFormat/>
    <w:rPr>
      <w:szCs w:val="24"/>
    </w:rPr>
  </w:style>
  <w:style w:type="paragraph" w:styleId="1138" w:customStyle="1">
    <w:name w:val="正文首行缩进1"/>
    <w:basedOn w:val="846"/>
    <w:link w:val="1137"/>
    <w:uiPriority w:val="0"/>
    <w:qFormat/>
    <w:pPr>
      <w:ind w:firstLine="420"/>
      <w:spacing w:after="120"/>
      <w:widowControl/>
    </w:pPr>
    <w:rPr>
      <w:rFonts w:ascii="Times New Roman" w:hAnsi="Times New Roman" w:eastAsia="宋体"/>
      <w:sz w:val="20"/>
      <w:szCs w:val="24"/>
    </w:rPr>
  </w:style>
  <w:style w:type="character" w:styleId="1139" w:customStyle="1">
    <w:name w:val="font11"/>
    <w:basedOn w:val="831"/>
    <w:uiPriority w:val="0"/>
    <w:qFormat/>
    <w:rPr>
      <w:rFonts w:hint="eastAsia" w:ascii="宋体" w:hAnsi="宋体" w:eastAsia="宋体" w:cs="宋体"/>
      <w:color w:val="000000"/>
      <w:sz w:val="20"/>
      <w:szCs w:val="20"/>
      <w:u w:val="none"/>
    </w:rPr>
  </w:style>
  <w:style w:type="character" w:styleId="1140" w:customStyle="1">
    <w:name w:val="列出段落 Char1"/>
    <w:uiPriority w:val="34"/>
    <w:qFormat/>
    <w:rPr>
      <w:sz w:val="21"/>
      <w:szCs w:val="22"/>
    </w:rPr>
  </w:style>
  <w:style w:type="character" w:styleId="1141" w:customStyle="1">
    <w:name w:val="批注主题 字符1"/>
    <w:link w:val="884"/>
    <w:uiPriority w:val="99"/>
    <w:qFormat/>
    <w:rPr>
      <w:rFonts w:ascii="Calibri" w:hAnsi="Calibri" w:eastAsia="楷体_GB2312"/>
      <w:b/>
      <w:bCs/>
      <w:sz w:val="26"/>
      <w:szCs w:val="22"/>
    </w:rPr>
  </w:style>
  <w:style w:type="character" w:styleId="1142" w:customStyle="1">
    <w:name w:val="blue3"/>
    <w:uiPriority w:val="0"/>
    <w:qFormat/>
    <w:rPr>
      <w:color w:val="0000ff"/>
      <w:spacing w:val="270"/>
      <w:u w:val="none"/>
    </w:rPr>
  </w:style>
  <w:style w:type="character" w:styleId="1143" w:customStyle="1">
    <w:name w:val="列出段落 字符"/>
    <w:link w:val="1144"/>
    <w:uiPriority w:val="34"/>
    <w:qFormat/>
    <w:rPr>
      <w:sz w:val="21"/>
      <w:szCs w:val="24"/>
    </w:rPr>
  </w:style>
  <w:style w:type="paragraph" w:styleId="1144" w:customStyle="1">
    <w:name w:val="列出段落1"/>
    <w:basedOn w:val="821"/>
    <w:link w:val="1143"/>
    <w:uiPriority w:val="34"/>
    <w:qFormat/>
    <w:pPr>
      <w:ind w:firstLine="420"/>
    </w:pPr>
    <w:rPr>
      <w:szCs w:val="24"/>
    </w:rPr>
  </w:style>
  <w:style w:type="character" w:styleId="1145" w:customStyle="1">
    <w:name w:val="标题 3 字符2"/>
    <w:link w:val="824"/>
    <w:uiPriority w:val="0"/>
    <w:qFormat/>
    <w:rPr>
      <w:rFonts w:ascii="宋体" w:hAnsi="宋体" w:eastAsia="宋体"/>
      <w:sz w:val="28"/>
      <w:lang w:val="en-US" w:eastAsia="zh-CN" w:bidi="ar-SA"/>
    </w:rPr>
  </w:style>
  <w:style w:type="character" w:styleId="1146" w:customStyle="1">
    <w:name w:val="正文首行缩进 2 Char"/>
    <w:uiPriority w:val="0"/>
    <w:qFormat/>
    <w:rPr>
      <w:rFonts w:ascii="宋体" w:eastAsia="宋体"/>
      <w:sz w:val="21"/>
      <w:lang w:val="en-US" w:eastAsia="zh-CN" w:bidi="ar-SA"/>
    </w:rPr>
  </w:style>
  <w:style w:type="character" w:styleId="1147" w:customStyle="1">
    <w:name w:val="标题 5 字符1"/>
    <w:link w:val="826"/>
    <w:uiPriority w:val="0"/>
    <w:qFormat/>
    <w:rPr>
      <w:rFonts w:eastAsia="宋体"/>
      <w:b/>
      <w:bCs/>
      <w:sz w:val="18"/>
      <w:lang w:val="en-US" w:eastAsia="zh-CN" w:bidi="ar-SA"/>
    </w:rPr>
  </w:style>
  <w:style w:type="character" w:styleId="1148" w:customStyle="1">
    <w:name w:val="正文文本缩进 字符3"/>
    <w:link w:val="847"/>
    <w:uiPriority w:val="0"/>
    <w:qFormat/>
    <w:rPr>
      <w:rFonts w:ascii="宋体" w:eastAsia="宋体"/>
      <w:sz w:val="28"/>
      <w:lang w:val="en-US" w:eastAsia="zh-CN" w:bidi="ar-SA"/>
    </w:rPr>
  </w:style>
  <w:style w:type="character" w:styleId="1149" w:customStyle="1">
    <w:name w:val="ca-0"/>
    <w:uiPriority w:val="0"/>
    <w:qFormat/>
    <w:rPr>
      <w:rFonts w:ascii="Tahoma" w:hAnsi="Tahoma" w:eastAsia="宋体"/>
      <w:sz w:val="24"/>
      <w:szCs w:val="24"/>
      <w:lang w:val="en-US" w:eastAsia="zh-CN" w:bidi="ar-SA"/>
    </w:rPr>
  </w:style>
  <w:style w:type="character" w:styleId="1150" w:customStyle="1">
    <w:name w:val="font41"/>
    <w:uiPriority w:val="0"/>
    <w:qFormat/>
    <w:rPr>
      <w:rFonts w:hint="eastAsia" w:ascii="宋体" w:hAnsi="宋体" w:eastAsia="宋体" w:cs="宋体"/>
      <w:color w:val="000000"/>
      <w:sz w:val="20"/>
      <w:szCs w:val="20"/>
      <w:u w:val="none"/>
    </w:rPr>
  </w:style>
  <w:style w:type="character" w:styleId="1151" w:customStyle="1">
    <w:name w:val="apple-converted-space"/>
    <w:uiPriority w:val="0"/>
    <w:qFormat/>
  </w:style>
  <w:style w:type="character" w:styleId="1152" w:customStyle="1">
    <w:name w:val="标题 2 字符1"/>
    <w:link w:val="823"/>
    <w:uiPriority w:val="0"/>
    <w:qFormat/>
    <w:rPr>
      <w:rFonts w:ascii="宋体" w:hAnsi="宋体"/>
      <w:b/>
      <w:bCs/>
      <w:sz w:val="28"/>
      <w:szCs w:val="28"/>
    </w:rPr>
  </w:style>
  <w:style w:type="character" w:styleId="1153" w:customStyle="1">
    <w:name w:val="文档结构图 字符"/>
    <w:link w:val="842"/>
    <w:uiPriority w:val="99"/>
    <w:qFormat/>
    <w:rPr>
      <w:sz w:val="21"/>
      <w:shd w:val="clear" w:color="auto" w:fill="000080"/>
    </w:rPr>
  </w:style>
  <w:style w:type="character" w:styleId="1154" w:customStyle="1">
    <w:name w:val="日期 字符"/>
    <w:uiPriority w:val="0"/>
    <w:qFormat/>
    <w:rPr>
      <w:rFonts w:ascii="宋体" w:hAnsi="宋体" w:eastAsia="楷体_GB2312"/>
      <w:sz w:val="24"/>
      <w:szCs w:val="24"/>
      <w:lang w:val="en-US" w:eastAsia="zh-CN" w:bidi="ar-SA"/>
    </w:rPr>
  </w:style>
  <w:style w:type="character" w:styleId="1155" w:customStyle="1">
    <w:name w:val="不明显强调1"/>
    <w:uiPriority w:val="19"/>
    <w:qFormat/>
    <w:rPr>
      <w:i/>
      <w:iCs/>
      <w:color w:val="808080"/>
    </w:rPr>
  </w:style>
  <w:style w:type="character" w:styleId="1156" w:customStyle="1">
    <w:name w:val="日期 字符1"/>
    <w:link w:val="857"/>
    <w:uiPriority w:val="0"/>
    <w:qFormat/>
    <w:rPr>
      <w:rFonts w:ascii="宋体"/>
      <w:sz w:val="28"/>
    </w:rPr>
  </w:style>
  <w:style w:type="character" w:styleId="1157" w:customStyle="1">
    <w:name w:val="标题 7 字符"/>
    <w:uiPriority w:val="0"/>
    <w:qFormat/>
    <w:rPr>
      <w:rFonts w:ascii="宋体" w:hAnsi="Tahoma" w:eastAsia="仿宋_GB2312"/>
      <w:b/>
      <w:sz w:val="24"/>
      <w:szCs w:val="24"/>
      <w:lang w:val="en-US" w:eastAsia="zh-CN" w:bidi="ar-SA"/>
    </w:rPr>
  </w:style>
  <w:style w:type="character" w:styleId="1158" w:customStyle="1">
    <w:name w:val="style221"/>
    <w:uiPriority w:val="0"/>
    <w:qFormat/>
    <w:rPr>
      <w:b/>
      <w:bCs/>
      <w:color w:val="000099"/>
    </w:rPr>
  </w:style>
  <w:style w:type="character" w:styleId="1159" w:customStyle="1">
    <w:name w:val="正文文本 2 字符1"/>
    <w:link w:val="879"/>
    <w:uiPriority w:val="99"/>
    <w:qFormat/>
    <w:rPr>
      <w:sz w:val="21"/>
    </w:rPr>
  </w:style>
  <w:style w:type="character" w:styleId="1160" w:customStyle="1">
    <w:name w:val="_正文 Char"/>
    <w:link w:val="1161"/>
    <w:uiPriority w:val="0"/>
    <w:qFormat/>
    <w:rPr>
      <w:sz w:val="24"/>
      <w:szCs w:val="24"/>
    </w:rPr>
  </w:style>
  <w:style w:type="paragraph" w:styleId="1161" w:customStyle="1">
    <w:name w:val="_正文"/>
    <w:basedOn w:val="821"/>
    <w:link w:val="1160"/>
    <w:uiPriority w:val="0"/>
    <w:qFormat/>
    <w:pPr>
      <w:ind w:firstLine="200"/>
      <w:spacing w:line="360" w:lineRule="auto"/>
    </w:pPr>
    <w:rPr>
      <w:sz w:val="24"/>
      <w:szCs w:val="24"/>
    </w:rPr>
  </w:style>
  <w:style w:type="character" w:styleId="1162" w:customStyle="1">
    <w:name w:val="明显强调1"/>
    <w:uiPriority w:val="21"/>
    <w:qFormat/>
    <w:rPr>
      <w:b/>
      <w:bCs/>
      <w:i/>
      <w:iCs/>
      <w:color w:val="4f81bd"/>
    </w:rPr>
  </w:style>
  <w:style w:type="character" w:styleId="1163" w:customStyle="1">
    <w:name w:val="正文文本 3 字符"/>
    <w:link w:val="845"/>
    <w:uiPriority w:val="99"/>
    <w:qFormat/>
    <w:rPr>
      <w:rFonts w:ascii="宋体" w:hAnsi="宋体" w:eastAsia="楷体_GB2312"/>
      <w:sz w:val="26"/>
    </w:rPr>
  </w:style>
  <w:style w:type="character" w:styleId="1164" w:customStyle="1">
    <w:name w:val="正文缩进 字符"/>
    <w:uiPriority w:val="0"/>
    <w:qFormat/>
    <w:rPr>
      <w:rFonts w:eastAsia="楷体_GB2312"/>
      <w:sz w:val="24"/>
      <w:lang w:bidi="ar-SA"/>
    </w:rPr>
  </w:style>
  <w:style w:type="character" w:styleId="1165" w:customStyle="1">
    <w:name w:val="正文文本缩进 3 Char1"/>
    <w:uiPriority w:val="0"/>
    <w:qFormat/>
    <w:rPr>
      <w:rFonts w:hint="default" w:ascii="Calibri" w:hAnsi="Calibri" w:cs="Calibri"/>
      <w:sz w:val="16"/>
      <w:szCs w:val="16"/>
    </w:rPr>
  </w:style>
  <w:style w:type="character" w:styleId="1166" w:customStyle="1">
    <w:name w:val="题注 字符"/>
    <w:link w:val="839"/>
    <w:uiPriority w:val="0"/>
    <w:qFormat/>
    <w:rPr>
      <w:rFonts w:ascii="Arial" w:hAnsi="Arial" w:eastAsia="黑体"/>
    </w:rPr>
  </w:style>
  <w:style w:type="character" w:styleId="1167" w:customStyle="1">
    <w:name w:val="标题 3 字符"/>
    <w:uiPriority w:val="0"/>
    <w:qFormat/>
    <w:rPr>
      <w:rFonts w:eastAsia="宋体"/>
      <w:b/>
      <w:bCs/>
      <w:sz w:val="32"/>
      <w:szCs w:val="32"/>
      <w:lang w:val="en-US" w:eastAsia="zh-CN" w:bidi="ar-SA"/>
    </w:rPr>
  </w:style>
  <w:style w:type="character" w:styleId="1168" w:customStyle="1">
    <w:name w:val="批注框文本 Char1"/>
    <w:uiPriority w:val="0"/>
    <w:qFormat/>
    <w:rPr>
      <w:rFonts w:hint="default" w:ascii="Calibri" w:hAnsi="Calibri" w:cs="Calibri"/>
      <w:sz w:val="18"/>
      <w:szCs w:val="18"/>
    </w:rPr>
  </w:style>
  <w:style w:type="character" w:styleId="1169" w:customStyle="1">
    <w:name w:val="正文文本缩进 Char"/>
    <w:uiPriority w:val="99"/>
    <w:qFormat/>
    <w:rPr>
      <w:rFonts w:ascii="宋体" w:eastAsia="宋体"/>
      <w:sz w:val="28"/>
      <w:lang w:val="en-US" w:eastAsia="zh-CN" w:bidi="ar-SA"/>
    </w:rPr>
  </w:style>
  <w:style w:type="character" w:styleId="1170" w:customStyle="1">
    <w:name w:val="纯文本 字符"/>
    <w:uiPriority w:val="0"/>
    <w:qFormat/>
    <w:rPr>
      <w:rFonts w:ascii="宋体" w:hAnsi="Courier New" w:eastAsia="楷体_GB2312"/>
      <w:sz w:val="26"/>
      <w:lang w:bidi="ar-SA"/>
    </w:rPr>
  </w:style>
  <w:style w:type="character" w:styleId="1171" w:customStyle="1">
    <w:name w:val="文章正文 字符"/>
    <w:link w:val="1172"/>
    <w:uiPriority w:val="0"/>
    <w:qFormat/>
    <w:rPr>
      <w:sz w:val="24"/>
    </w:rPr>
  </w:style>
  <w:style w:type="paragraph" w:styleId="1172" w:customStyle="1">
    <w:name w:val="文章正文"/>
    <w:basedOn w:val="821"/>
    <w:link w:val="1171"/>
    <w:uiPriority w:val="0"/>
    <w:qFormat/>
    <w:pPr>
      <w:ind w:firstLine="560"/>
      <w:jc w:val="left"/>
      <w:spacing w:line="360" w:lineRule="auto"/>
      <w:widowControl/>
    </w:pPr>
    <w:rPr>
      <w:sz w:val="24"/>
    </w:rPr>
  </w:style>
  <w:style w:type="character" w:styleId="1173" w:customStyle="1">
    <w:name w:val="Andy_2级 Char"/>
    <w:link w:val="1174"/>
    <w:uiPriority w:val="0"/>
    <w:qFormat/>
    <w:rPr>
      <w:rFonts w:ascii="Calibri" w:hAnsi="Calibri"/>
      <w:sz w:val="24"/>
    </w:rPr>
  </w:style>
  <w:style w:type="paragraph" w:styleId="1174" w:customStyle="1">
    <w:name w:val="Andy_2级"/>
    <w:basedOn w:val="821"/>
    <w:link w:val="1173"/>
    <w:uiPriority w:val="0"/>
    <w:qFormat/>
    <w:pPr>
      <w:ind w:left="840" w:hanging="420"/>
      <w:spacing w:line="360" w:lineRule="auto"/>
      <w:tabs>
        <w:tab w:val="left" w:pos="840" w:leader="none"/>
      </w:tabs>
    </w:pPr>
    <w:rPr>
      <w:rFonts w:ascii="Calibri" w:hAnsi="Calibri"/>
      <w:sz w:val="24"/>
    </w:rPr>
  </w:style>
  <w:style w:type="character" w:styleId="1175" w:customStyle="1">
    <w:name w:val="方案正文 Char"/>
    <w:link w:val="1176"/>
    <w:uiPriority w:val="0"/>
    <w:qFormat/>
    <w:rPr>
      <w:sz w:val="24"/>
    </w:rPr>
  </w:style>
  <w:style w:type="paragraph" w:styleId="1176" w:customStyle="1">
    <w:name w:val="方案正文"/>
    <w:basedOn w:val="821"/>
    <w:link w:val="1175"/>
    <w:uiPriority w:val="0"/>
    <w:qFormat/>
    <w:pPr>
      <w:spacing w:line="440" w:lineRule="atLeast"/>
    </w:pPr>
    <w:rPr>
      <w:sz w:val="24"/>
    </w:rPr>
  </w:style>
  <w:style w:type="character" w:styleId="1177" w:customStyle="1">
    <w:name w:val="para1"/>
    <w:uiPriority w:val="0"/>
    <w:qFormat/>
    <w:rPr>
      <w:rFonts w:hint="default" w:ascii="Arial" w:hAnsi="Arial" w:cs="Arial"/>
      <w:sz w:val="18"/>
      <w:szCs w:val="18"/>
    </w:rPr>
  </w:style>
  <w:style w:type="character" w:styleId="1178" w:customStyle="1">
    <w:name w:val="03 正文 Char"/>
    <w:link w:val="1179"/>
    <w:uiPriority w:val="0"/>
    <w:qFormat/>
    <w:rPr>
      <w:sz w:val="21"/>
      <w:szCs w:val="22"/>
    </w:rPr>
  </w:style>
  <w:style w:type="paragraph" w:styleId="1179" w:customStyle="1">
    <w:name w:val="03 正文"/>
    <w:basedOn w:val="821"/>
    <w:link w:val="1178"/>
    <w:uiPriority w:val="0"/>
    <w:qFormat/>
    <w:pPr>
      <w:ind w:firstLine="420"/>
      <w:spacing w:line="500" w:lineRule="atLeast"/>
      <w:widowControl/>
    </w:pPr>
    <w:rPr>
      <w:szCs w:val="22"/>
    </w:rPr>
  </w:style>
  <w:style w:type="character" w:styleId="1180" w:customStyle="1">
    <w:name w:val="param-name"/>
    <w:uiPriority w:val="0"/>
    <w:qFormat/>
    <w:rPr>
      <w:rFonts w:ascii="Tahoma" w:hAnsi="Tahoma" w:eastAsia="宋体"/>
      <w:sz w:val="24"/>
      <w:szCs w:val="24"/>
      <w:lang w:val="en-US" w:eastAsia="zh-CN" w:bidi="ar-SA"/>
    </w:rPr>
  </w:style>
  <w:style w:type="character" w:styleId="1181" w:customStyle="1">
    <w:name w:val="apple-style-span"/>
    <w:uiPriority w:val="0"/>
    <w:qFormat/>
    <w:rPr>
      <w:rFonts w:ascii="Tahoma" w:hAnsi="Tahoma" w:eastAsia="宋体"/>
      <w:sz w:val="24"/>
      <w:szCs w:val="24"/>
      <w:lang w:val="en-US" w:eastAsia="zh-CN" w:bidi="ar-SA"/>
    </w:rPr>
  </w:style>
  <w:style w:type="character" w:styleId="1182" w:customStyle="1">
    <w:name w:val="列出段落 Char"/>
    <w:uiPriority w:val="34"/>
    <w:qFormat/>
    <w:rPr>
      <w:rFonts w:ascii="Calibri" w:hAnsi="Calibri"/>
      <w:sz w:val="24"/>
    </w:rPr>
  </w:style>
  <w:style w:type="character" w:styleId="1183" w:customStyle="1">
    <w:name w:val="Char Char8"/>
    <w:uiPriority w:val="0"/>
    <w:qFormat/>
    <w:rPr>
      <w:sz w:val="18"/>
      <w:szCs w:val="18"/>
    </w:rPr>
  </w:style>
  <w:style w:type="character" w:styleId="1184" w:customStyle="1">
    <w:name w:val="正文文本缩进 字符1"/>
    <w:uiPriority w:val="0"/>
    <w:qFormat/>
    <w:rPr>
      <w:rFonts w:ascii="宋体" w:eastAsia="宋体"/>
      <w:sz w:val="28"/>
      <w:lang w:val="en-US" w:eastAsia="zh-CN" w:bidi="ar-SA"/>
    </w:rPr>
  </w:style>
  <w:style w:type="character" w:styleId="1185" w:customStyle="1">
    <w:name w:val="HTML 预设格式 字符"/>
    <w:uiPriority w:val="0"/>
    <w:qFormat/>
    <w:rPr>
      <w:rFonts w:ascii="宋体" w:hAnsi="宋体" w:cs="宋体"/>
      <w:sz w:val="24"/>
      <w:szCs w:val="24"/>
    </w:rPr>
  </w:style>
  <w:style w:type="character" w:styleId="1186" w:customStyle="1">
    <w:name w:val="style141"/>
    <w:uiPriority w:val="0"/>
    <w:qFormat/>
    <w:rPr>
      <w:rFonts w:hint="eastAsia" w:ascii="宋体" w:hAnsi="宋体" w:eastAsia="宋体"/>
    </w:rPr>
  </w:style>
  <w:style w:type="character" w:styleId="1187" w:customStyle="1">
    <w:name w:val="_标题3 Char"/>
    <w:link w:val="1188"/>
    <w:uiPriority w:val="0"/>
    <w:qFormat/>
    <w:rPr>
      <w:rFonts w:ascii="Calibri" w:hAnsi="Calibri" w:eastAsia="宋体" w:cs="Times New Roman"/>
      <w:b/>
      <w:sz w:val="28"/>
      <w:szCs w:val="21"/>
    </w:rPr>
  </w:style>
  <w:style w:type="paragraph" w:styleId="1188" w:customStyle="1">
    <w:name w:val="_标题3"/>
    <w:basedOn w:val="821"/>
    <w:next w:val="821"/>
    <w:link w:val="1187"/>
    <w:uiPriority w:val="0"/>
    <w:qFormat/>
    <w:pPr>
      <w:jc w:val="left"/>
      <w:keepNext/>
      <w:spacing w:line="360" w:lineRule="auto"/>
      <w:outlineLvl w:val="2"/>
    </w:pPr>
    <w:rPr>
      <w:rFonts w:ascii="Calibri" w:hAnsi="Calibri"/>
      <w:b/>
      <w:sz w:val="28"/>
      <w:szCs w:val="21"/>
    </w:rPr>
  </w:style>
  <w:style w:type="character" w:styleId="1189" w:customStyle="1">
    <w:name w:val="列表段落 字符"/>
    <w:link w:val="1190"/>
    <w:uiPriority w:val="34"/>
    <w:qFormat/>
    <w:rPr>
      <w:rFonts w:ascii="Calibri" w:hAnsi="Calibri"/>
      <w:sz w:val="24"/>
    </w:rPr>
  </w:style>
  <w:style w:type="paragraph" w:styleId="1190">
    <w:name w:val="List Paragraph"/>
    <w:basedOn w:val="821"/>
    <w:link w:val="1189"/>
    <w:uiPriority w:val="34"/>
    <w:qFormat/>
    <w:pPr>
      <w:ind w:firstLine="420"/>
      <w:spacing w:line="360" w:lineRule="auto"/>
    </w:pPr>
    <w:rPr>
      <w:rFonts w:ascii="Calibri" w:hAnsi="Calibri"/>
      <w:sz w:val="24"/>
    </w:rPr>
  </w:style>
  <w:style w:type="character" w:styleId="1191" w:customStyle="1">
    <w:name w:val="para"/>
    <w:uiPriority w:val="0"/>
    <w:qFormat/>
    <w:rPr>
      <w:rFonts w:ascii="Tahoma" w:hAnsi="Tahoma" w:eastAsia="宋体"/>
      <w:sz w:val="24"/>
      <w:szCs w:val="24"/>
      <w:lang w:val="en-US" w:eastAsia="zh-CN" w:bidi="ar-SA"/>
    </w:rPr>
  </w:style>
  <w:style w:type="character" w:styleId="1192" w:customStyle="1">
    <w:name w:val="font21"/>
    <w:uiPriority w:val="0"/>
    <w:qFormat/>
    <w:rPr>
      <w:rFonts w:hint="eastAsia" w:ascii="宋体" w:hAnsi="宋体" w:eastAsia="宋体" w:cs="宋体"/>
      <w:color w:val="000000"/>
      <w:sz w:val="22"/>
      <w:szCs w:val="22"/>
      <w:u w:val="none"/>
    </w:rPr>
  </w:style>
  <w:style w:type="character" w:styleId="1193" w:customStyle="1">
    <w:name w:val="ca-1"/>
    <w:uiPriority w:val="0"/>
    <w:qFormat/>
    <w:rPr>
      <w:rFonts w:ascii="Tahoma" w:hAnsi="Tahoma" w:eastAsia="宋体"/>
      <w:sz w:val="24"/>
      <w:szCs w:val="24"/>
      <w:lang w:val="en-US" w:eastAsia="zh-CN" w:bidi="ar-SA"/>
    </w:rPr>
  </w:style>
  <w:style w:type="character" w:styleId="1194" w:customStyle="1">
    <w:name w:val="style21"/>
    <w:uiPriority w:val="0"/>
    <w:qFormat/>
    <w:rPr>
      <w:rFonts w:ascii="Tahoma" w:hAnsi="Tahoma" w:eastAsia="宋体"/>
      <w:color w:val="2e65b5"/>
      <w:sz w:val="24"/>
      <w:szCs w:val="24"/>
      <w:lang w:val="en-US" w:eastAsia="zh-CN" w:bidi="ar-SA"/>
    </w:rPr>
  </w:style>
  <w:style w:type="character" w:styleId="1195" w:customStyle="1">
    <w:name w:val="纯文本 Char Char Char Char Char Char Char Char Char Char"/>
    <w:uiPriority w:val="0"/>
    <w:qFormat/>
    <w:rPr>
      <w:rFonts w:ascii="宋体" w:hAnsi="Courier New" w:eastAsia="楷体_GB2312"/>
      <w:sz w:val="26"/>
      <w:lang w:val="en-US" w:eastAsia="zh-CN" w:bidi="ar-SA"/>
    </w:rPr>
  </w:style>
  <w:style w:type="character" w:styleId="1196" w:customStyle="1">
    <w:name w:val="无间隔 字符"/>
    <w:link w:val="1197"/>
    <w:uiPriority w:val="1"/>
    <w:qFormat/>
    <w:rPr>
      <w:sz w:val="24"/>
      <w:szCs w:val="24"/>
      <w:lang w:val="en-US" w:eastAsia="zh-CN" w:bidi="ar-SA"/>
    </w:rPr>
  </w:style>
  <w:style w:type="paragraph" w:styleId="1197">
    <w:name w:val="No Spacing"/>
    <w:link w:val="1196"/>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198" w:customStyle="1">
    <w:name w:val="09汇 表 Char"/>
    <w:link w:val="1199"/>
    <w:uiPriority w:val="0"/>
    <w:qFormat/>
    <w:rPr>
      <w:bCs/>
      <w:color w:val="000000"/>
      <w:sz w:val="22"/>
      <w:szCs w:val="24"/>
    </w:rPr>
  </w:style>
  <w:style w:type="paragraph" w:styleId="1199" w:customStyle="1">
    <w:name w:val="09汇 表"/>
    <w:basedOn w:val="821"/>
    <w:link w:val="1198"/>
    <w:uiPriority w:val="0"/>
    <w:qFormat/>
    <w:pPr>
      <w:jc w:val="center"/>
      <w:widowControl/>
    </w:pPr>
    <w:rPr>
      <w:bCs/>
      <w:color w:val="000000"/>
      <w:sz w:val="22"/>
      <w:szCs w:val="24"/>
    </w:rPr>
  </w:style>
  <w:style w:type="character" w:styleId="1200" w:customStyle="1">
    <w:name w:val="正文文本缩进 字符"/>
    <w:uiPriority w:val="0"/>
    <w:qFormat/>
    <w:rPr>
      <w:sz w:val="24"/>
      <w:lang w:bidi="ar-SA"/>
    </w:rPr>
  </w:style>
  <w:style w:type="character" w:styleId="1201" w:customStyle="1">
    <w:name w:val="表格 Char"/>
    <w:link w:val="1202"/>
    <w:uiPriority w:val="0"/>
    <w:qFormat/>
    <w:rPr>
      <w:rFonts w:ascii="等线" w:hAnsi="等线"/>
      <w:color w:val="000000"/>
      <w:szCs w:val="21"/>
      <w:lang w:val="en-US" w:eastAsia="zh-CN" w:bidi="ar-SA"/>
    </w:rPr>
  </w:style>
  <w:style w:type="paragraph" w:styleId="1202" w:customStyle="1">
    <w:name w:val="表格"/>
    <w:next w:val="821"/>
    <w:link w:val="1201"/>
    <w:uiPriority w:val="0"/>
    <w:qFormat/>
    <w:rPr>
      <w:rFonts w:hint="default" w:ascii="等线" w:hAnsi="等线" w:eastAsia="宋体" w:cs="Times New Roman"/>
      <w:color w:val="000000"/>
      <w:szCs w:val="21"/>
      <w:lang w:val="en-US" w:eastAsia="zh-CN" w:bidi="ar-SA"/>
    </w:rPr>
  </w:style>
  <w:style w:type="character" w:styleId="1203" w:customStyle="1">
    <w:name w:val="a"/>
    <w:uiPriority w:val="0"/>
    <w:qFormat/>
  </w:style>
  <w:style w:type="character" w:styleId="1204" w:customStyle="1">
    <w:name w:val="一. 字符"/>
    <w:link w:val="1205"/>
    <w:uiPriority w:val="0"/>
    <w:qFormat/>
    <w:rPr>
      <w:b/>
      <w:bCs/>
      <w:sz w:val="28"/>
      <w:szCs w:val="28"/>
    </w:rPr>
  </w:style>
  <w:style w:type="paragraph" w:styleId="1205" w:customStyle="1">
    <w:name w:val="一."/>
    <w:basedOn w:val="821"/>
    <w:link w:val="1204"/>
    <w:uiPriority w:val="0"/>
    <w:qFormat/>
    <w:pPr>
      <w:jc w:val="left"/>
      <w:spacing w:line="360" w:lineRule="auto"/>
    </w:pPr>
    <w:rPr>
      <w:b/>
      <w:bCs/>
      <w:sz w:val="28"/>
      <w:szCs w:val="28"/>
    </w:rPr>
  </w:style>
  <w:style w:type="character" w:styleId="1206" w:customStyle="1">
    <w:name w:val="纯文本 Char Char"/>
    <w:link w:val="1207"/>
    <w:uiPriority w:val="0"/>
    <w:qFormat/>
    <w:rPr>
      <w:rFonts w:ascii="宋体" w:hAnsi="Courier New" w:eastAsia="楷体_GB2312"/>
      <w:sz w:val="26"/>
      <w:szCs w:val="24"/>
    </w:rPr>
  </w:style>
  <w:style w:type="paragraph" w:styleId="1207" w:customStyle="1">
    <w:name w:val="纯文本11"/>
    <w:basedOn w:val="821"/>
    <w:link w:val="1206"/>
    <w:uiPriority w:val="0"/>
    <w:qFormat/>
    <w:pPr>
      <w:jc w:val="left"/>
      <w:widowControl/>
    </w:pPr>
    <w:rPr>
      <w:rFonts w:ascii="宋体" w:hAnsi="Courier New" w:eastAsia="楷体_GB2312"/>
      <w:sz w:val="26"/>
      <w:szCs w:val="24"/>
    </w:rPr>
  </w:style>
  <w:style w:type="character" w:styleId="1208" w:customStyle="1">
    <w:name w:val="_正文段落 Char"/>
    <w:link w:val="1209"/>
    <w:uiPriority w:val="0"/>
    <w:qFormat/>
    <w:rPr>
      <w:rFonts w:ascii="宋体" w:hAnsi="宋体"/>
      <w:sz w:val="24"/>
      <w:szCs w:val="24"/>
    </w:rPr>
  </w:style>
  <w:style w:type="paragraph" w:styleId="1209" w:customStyle="1">
    <w:name w:val="_正文段落"/>
    <w:basedOn w:val="821"/>
    <w:link w:val="1208"/>
    <w:uiPriority w:val="0"/>
    <w:qFormat/>
    <w:pPr>
      <w:ind w:firstLine="480"/>
      <w:jc w:val="left"/>
      <w:spacing w:line="360" w:lineRule="auto"/>
      <w:widowControl/>
    </w:pPr>
    <w:rPr>
      <w:rFonts w:ascii="宋体" w:hAnsi="宋体"/>
      <w:sz w:val="24"/>
      <w:szCs w:val="24"/>
    </w:rPr>
  </w:style>
  <w:style w:type="character" w:styleId="1210" w:customStyle="1">
    <w:name w:val="标题 1 字符"/>
    <w:uiPriority w:val="0"/>
    <w:qFormat/>
    <w:rPr>
      <w:rFonts w:eastAsia="楷体_GB2312"/>
      <w:b/>
      <w:sz w:val="44"/>
      <w:lang w:val="en-US" w:eastAsia="zh-CN" w:bidi="ar-SA"/>
    </w:rPr>
  </w:style>
  <w:style w:type="character" w:styleId="1211" w:customStyle="1">
    <w:name w:val="纯文本 Char1"/>
    <w:uiPriority w:val="0"/>
    <w:qFormat/>
    <w:rPr>
      <w:rFonts w:ascii="宋体" w:hAnsi="Courier New" w:eastAsia="宋体"/>
      <w:sz w:val="21"/>
      <w:lang w:val="en-US" w:eastAsia="zh-CN" w:bidi="ar-SA"/>
    </w:rPr>
  </w:style>
  <w:style w:type="character" w:styleId="1212" w:customStyle="1">
    <w:name w:val="wen Char1"/>
    <w:link w:val="1213"/>
    <w:uiPriority w:val="0"/>
    <w:qFormat/>
    <w:rPr>
      <w:rFonts w:ascii="微软雅黑" w:hAnsi="微软雅黑" w:eastAsia="微软雅黑"/>
      <w:sz w:val="21"/>
      <w:szCs w:val="24"/>
    </w:rPr>
  </w:style>
  <w:style w:type="paragraph" w:styleId="1213" w:customStyle="1">
    <w:name w:val="wen"/>
    <w:basedOn w:val="821"/>
    <w:link w:val="1212"/>
    <w:uiPriority w:val="0"/>
    <w:qFormat/>
    <w:pPr>
      <w:ind w:firstLine="425"/>
      <w:spacing w:line="269" w:lineRule="auto"/>
    </w:pPr>
    <w:rPr>
      <w:rFonts w:ascii="微软雅黑" w:hAnsi="微软雅黑" w:eastAsia="微软雅黑"/>
      <w:szCs w:val="24"/>
    </w:rPr>
  </w:style>
  <w:style w:type="character" w:styleId="1214" w:customStyle="1">
    <w:name w:val="style181"/>
    <w:uiPriority w:val="0"/>
    <w:qFormat/>
    <w:rPr>
      <w:sz w:val="18"/>
      <w:szCs w:val="18"/>
    </w:rPr>
  </w:style>
  <w:style w:type="character" w:styleId="1215" w:customStyle="1">
    <w:name w:val="style4 style24"/>
    <w:uiPriority w:val="0"/>
    <w:qFormat/>
    <w:rPr>
      <w:rFonts w:ascii="Tahoma" w:hAnsi="Tahoma" w:eastAsia="宋体"/>
      <w:sz w:val="24"/>
      <w:szCs w:val="24"/>
      <w:lang w:val="en-US" w:eastAsia="zh-CN" w:bidi="ar-SA"/>
    </w:rPr>
  </w:style>
  <w:style w:type="character" w:styleId="1216" w:customStyle="1">
    <w:name w:val="样式11"/>
    <w:uiPriority w:val="0"/>
    <w:qFormat/>
    <w:rPr>
      <w:b/>
    </w:rPr>
  </w:style>
  <w:style w:type="character" w:styleId="1217" w:customStyle="1">
    <w:name w:val="01 章标 Char"/>
    <w:link w:val="1218"/>
    <w:uiPriority w:val="0"/>
    <w:qFormat/>
    <w:rPr>
      <w:b/>
      <w:sz w:val="44"/>
      <w:szCs w:val="44"/>
    </w:rPr>
  </w:style>
  <w:style w:type="paragraph" w:styleId="1218" w:customStyle="1">
    <w:name w:val="01 章标"/>
    <w:basedOn w:val="821"/>
    <w:link w:val="1217"/>
    <w:uiPriority w:val="0"/>
    <w:qFormat/>
    <w:pPr>
      <w:ind w:firstLine="883"/>
      <w:jc w:val="center"/>
      <w:outlineLvl w:val="0"/>
    </w:pPr>
    <w:rPr>
      <w:b/>
      <w:sz w:val="44"/>
      <w:szCs w:val="44"/>
    </w:rPr>
  </w:style>
  <w:style w:type="character" w:styleId="1219" w:customStyle="1">
    <w:name w:val="文档结构图 Char1"/>
    <w:uiPriority w:val="0"/>
    <w:qFormat/>
    <w:rPr>
      <w:rFonts w:ascii="宋体"/>
      <w:sz w:val="18"/>
      <w:szCs w:val="18"/>
    </w:rPr>
  </w:style>
  <w:style w:type="character" w:styleId="1220" w:customStyle="1">
    <w:name w:val="日期 Char1"/>
    <w:uiPriority w:val="0"/>
    <w:qFormat/>
    <w:rPr>
      <w:rFonts w:eastAsia="楷体_GB2312"/>
      <w:sz w:val="28"/>
    </w:rPr>
  </w:style>
  <w:style w:type="character" w:styleId="1221" w:customStyle="1">
    <w:name w:val="标题 9 字符"/>
    <w:uiPriority w:val="0"/>
    <w:qFormat/>
    <w:rPr>
      <w:rFonts w:ascii="Arial" w:hAnsi="Arial" w:eastAsia="黑体"/>
      <w:sz w:val="28"/>
      <w:szCs w:val="24"/>
      <w:lang w:val="en-US" w:eastAsia="zh-CN" w:bidi="ar-SA"/>
    </w:rPr>
  </w:style>
  <w:style w:type="character" w:styleId="1222" w:customStyle="1">
    <w:name w:val="批注主题 字符"/>
    <w:uiPriority w:val="0"/>
    <w:qFormat/>
    <w:rPr>
      <w:rFonts w:ascii="Tahoma" w:hAnsi="Tahoma" w:eastAsia="宋体"/>
      <w:b/>
      <w:bCs/>
      <w:sz w:val="21"/>
      <w:szCs w:val="24"/>
      <w:lang w:val="en-US" w:eastAsia="zh-CN" w:bidi="ar-SA"/>
    </w:rPr>
  </w:style>
  <w:style w:type="character" w:styleId="1223" w:customStyle="1">
    <w:name w:val="页脚 Char1"/>
    <w:uiPriority w:val="99"/>
    <w:semiHidden/>
    <w:qFormat/>
    <w:rPr>
      <w:rFonts w:eastAsia="楷体_GB2312"/>
      <w:sz w:val="18"/>
      <w:szCs w:val="18"/>
    </w:rPr>
  </w:style>
  <w:style w:type="character" w:styleId="1224" w:customStyle="1">
    <w:name w:val="Andy_正文 Char"/>
    <w:link w:val="1225"/>
    <w:uiPriority w:val="0"/>
    <w:qFormat/>
    <w:rPr>
      <w:rFonts w:ascii="Calibri" w:hAnsi="Calibri"/>
      <w:sz w:val="24"/>
      <w:szCs w:val="24"/>
    </w:rPr>
  </w:style>
  <w:style w:type="paragraph" w:styleId="1225" w:customStyle="1">
    <w:name w:val="Andy_正文"/>
    <w:basedOn w:val="821"/>
    <w:link w:val="1224"/>
    <w:uiPriority w:val="0"/>
    <w:qFormat/>
    <w:pPr>
      <w:ind w:firstLine="480"/>
      <w:spacing w:line="360" w:lineRule="auto"/>
    </w:pPr>
    <w:rPr>
      <w:rFonts w:ascii="Calibri" w:hAnsi="Calibri"/>
      <w:sz w:val="24"/>
      <w:szCs w:val="24"/>
    </w:rPr>
  </w:style>
  <w:style w:type="character" w:styleId="1226" w:customStyle="1">
    <w:name w:val="Char Char1"/>
    <w:uiPriority w:val="0"/>
    <w:qFormat/>
    <w:rPr>
      <w:rFonts w:ascii="宋体" w:hAnsi="宋体" w:eastAsia="楷体_GB2312"/>
      <w:sz w:val="24"/>
      <w:lang w:val="en-US" w:eastAsia="zh-CN" w:bidi="ar-SA"/>
    </w:rPr>
  </w:style>
  <w:style w:type="character" w:styleId="1227" w:customStyle="1">
    <w:name w:val="正文 首行缩进:  2 字符 Char Char Char"/>
    <w:link w:val="1228"/>
    <w:uiPriority w:val="0"/>
    <w:qFormat/>
    <w:rPr>
      <w:sz w:val="21"/>
    </w:rPr>
  </w:style>
  <w:style w:type="paragraph" w:styleId="1228" w:customStyle="1">
    <w:name w:val="正文 首行缩进:  2 字符 Char"/>
    <w:basedOn w:val="821"/>
    <w:link w:val="1227"/>
    <w:uiPriority w:val="0"/>
    <w:qFormat/>
    <w:pPr>
      <w:ind w:firstLine="480"/>
      <w:jc w:val="left"/>
      <w:spacing w:line="360" w:lineRule="auto"/>
    </w:pPr>
  </w:style>
  <w:style w:type="character" w:styleId="1229" w:customStyle="1">
    <w:name w:val="Plain Text Char Char"/>
    <w:link w:val="1230"/>
    <w:uiPriority w:val="0"/>
    <w:qFormat/>
    <w:rPr>
      <w:rFonts w:ascii="宋体" w:hAnsi="Courier New" w:eastAsia="楷体_GB2312"/>
      <w:sz w:val="26"/>
    </w:rPr>
  </w:style>
  <w:style w:type="paragraph" w:styleId="1230" w:customStyle="1">
    <w:name w:val="纯文本2"/>
    <w:basedOn w:val="821"/>
    <w:link w:val="1229"/>
    <w:uiPriority w:val="0"/>
    <w:qFormat/>
    <w:rPr>
      <w:rFonts w:ascii="宋体" w:hAnsi="Courier New" w:eastAsia="楷体_GB2312"/>
      <w:sz w:val="26"/>
    </w:rPr>
  </w:style>
  <w:style w:type="character" w:styleId="1231" w:customStyle="1">
    <w:name w:val="font51"/>
    <w:uiPriority w:val="0"/>
    <w:qFormat/>
    <w:rPr>
      <w:rFonts w:hint="eastAsia" w:ascii="微软雅黑" w:hAnsi="微软雅黑" w:eastAsia="微软雅黑" w:cs="微软雅黑"/>
      <w:color w:val="000000"/>
      <w:sz w:val="24"/>
      <w:szCs w:val="24"/>
      <w:u w:val="none"/>
    </w:rPr>
  </w:style>
  <w:style w:type="character" w:styleId="1232" w:customStyle="1">
    <w:name w:val="正文缩进1 Char1"/>
    <w:uiPriority w:val="0"/>
    <w:qFormat/>
    <w:rPr>
      <w:rFonts w:eastAsia="楷体_GB2312"/>
      <w:sz w:val="24"/>
      <w:lang w:val="en-US" w:eastAsia="zh-CN" w:bidi="ar-SA"/>
    </w:rPr>
  </w:style>
  <w:style w:type="character" w:styleId="1233" w:customStyle="1">
    <w:name w:val="Plain Text Char"/>
    <w:link w:val="1234"/>
    <w:uiPriority w:val="0"/>
    <w:qFormat/>
    <w:rPr>
      <w:rFonts w:ascii="宋体" w:hAnsi="Courier New" w:eastAsia="楷体_GB2312"/>
      <w:sz w:val="26"/>
    </w:rPr>
  </w:style>
  <w:style w:type="paragraph" w:styleId="1234" w:customStyle="1">
    <w:name w:val="纯文本5"/>
    <w:basedOn w:val="821"/>
    <w:link w:val="1233"/>
    <w:uiPriority w:val="0"/>
    <w:qFormat/>
    <w:rPr>
      <w:rFonts w:ascii="宋体" w:hAnsi="Courier New" w:eastAsia="楷体_GB2312"/>
      <w:sz w:val="26"/>
    </w:rPr>
  </w:style>
  <w:style w:type="character" w:styleId="1235" w:customStyle="1">
    <w:name w:val="正文文本 2 字符"/>
    <w:uiPriority w:val="0"/>
    <w:qFormat/>
    <w:rPr>
      <w:rFonts w:ascii="Tahoma" w:hAnsi="Tahoma" w:eastAsia="宋体"/>
      <w:color w:val="000000"/>
      <w:sz w:val="24"/>
      <w:szCs w:val="24"/>
      <w:lang w:val="en-US" w:eastAsia="zh-CN" w:bidi="ar-SA"/>
    </w:rPr>
  </w:style>
  <w:style w:type="character" w:styleId="1236" w:customStyle="1">
    <w:name w:val="页脚 字符"/>
    <w:uiPriority w:val="99"/>
    <w:qFormat/>
    <w:rPr>
      <w:sz w:val="18"/>
      <w:lang w:bidi="ar-SA"/>
    </w:rPr>
  </w:style>
  <w:style w:type="character" w:styleId="1237" w:customStyle="1">
    <w:name w:val="批注文字 字符"/>
    <w:uiPriority w:val="0"/>
    <w:semiHidden/>
    <w:qFormat/>
    <w:rPr>
      <w:rFonts w:ascii="Tahoma" w:hAnsi="Tahoma" w:eastAsia="宋体"/>
      <w:sz w:val="21"/>
      <w:szCs w:val="24"/>
      <w:lang w:val="en-US" w:eastAsia="zh-CN" w:bidi="ar-SA"/>
    </w:rPr>
  </w:style>
  <w:style w:type="character" w:styleId="1238" w:customStyle="1">
    <w:name w:val="标题 4 字符"/>
    <w:uiPriority w:val="0"/>
    <w:qFormat/>
    <w:rPr>
      <w:rFonts w:ascii="Times New Roman" w:hAnsi="Times New Roman" w:eastAsia="宋体" w:cs="Times New Roman"/>
      <w:b/>
      <w:bCs/>
      <w:sz w:val="28"/>
      <w:szCs w:val="28"/>
    </w:rPr>
  </w:style>
  <w:style w:type="character" w:styleId="1239" w:customStyle="1">
    <w:name w:val="页脚 字符1"/>
    <w:uiPriority w:val="99"/>
    <w:qFormat/>
    <w:rPr>
      <w:sz w:val="18"/>
      <w:szCs w:val="18"/>
    </w:rPr>
  </w:style>
  <w:style w:type="character" w:styleId="1240" w:customStyle="1">
    <w:name w:val="HTML 预设格式 Char2"/>
    <w:uiPriority w:val="99"/>
    <w:semiHidden/>
    <w:qFormat/>
    <w:rPr>
      <w:rFonts w:ascii="Courier New" w:hAnsi="Courier New" w:eastAsia="楷体_GB2312" w:cs="Courier New"/>
    </w:rPr>
  </w:style>
  <w:style w:type="character" w:styleId="1241" w:customStyle="1">
    <w:name w:val="font61"/>
    <w:uiPriority w:val="0"/>
    <w:qFormat/>
    <w:rPr>
      <w:rFonts w:hint="eastAsia" w:ascii="宋体" w:hAnsi="宋体" w:eastAsia="宋体" w:cs="宋体"/>
      <w:color w:val="000000"/>
      <w:sz w:val="20"/>
      <w:szCs w:val="20"/>
      <w:u w:val="none"/>
    </w:rPr>
  </w:style>
  <w:style w:type="character" w:styleId="1242" w:customStyle="1">
    <w:name w:val="font01"/>
    <w:uiPriority w:val="0"/>
    <w:qFormat/>
    <w:rPr>
      <w:rFonts w:hint="eastAsia" w:ascii="宋体" w:hAnsi="宋体" w:eastAsia="宋体" w:cs="宋体"/>
      <w:color w:val="000000"/>
      <w:sz w:val="24"/>
      <w:szCs w:val="24"/>
      <w:u w:val="none"/>
    </w:rPr>
  </w:style>
  <w:style w:type="character" w:styleId="1243" w:customStyle="1">
    <w:name w:val="正文缩进 字符1"/>
    <w:uiPriority w:val="0"/>
    <w:qFormat/>
    <w:rPr>
      <w:sz w:val="21"/>
    </w:rPr>
  </w:style>
  <w:style w:type="character" w:styleId="1244" w:customStyle="1">
    <w:name w:val="标题 6 字符"/>
    <w:uiPriority w:val="0"/>
    <w:qFormat/>
    <w:rPr>
      <w:rFonts w:ascii="Arial" w:hAnsi="Arial" w:eastAsia="黑体"/>
      <w:b/>
      <w:bCs/>
      <w:sz w:val="24"/>
      <w:szCs w:val="24"/>
      <w:lang w:val="en-US" w:eastAsia="zh-CN" w:bidi="ar-SA"/>
    </w:rPr>
  </w:style>
  <w:style w:type="character" w:styleId="1245" w:customStyle="1">
    <w:name w:val="批注主题 Char1"/>
    <w:uiPriority w:val="99"/>
    <w:semiHidden/>
    <w:qFormat/>
    <w:rPr>
      <w:rFonts w:eastAsia="楷体_GB2312"/>
      <w:b/>
      <w:bCs/>
      <w:sz w:val="28"/>
    </w:rPr>
  </w:style>
  <w:style w:type="character" w:styleId="1246" w:customStyle="1">
    <w:name w:val="size31"/>
    <w:uiPriority w:val="0"/>
    <w:qFormat/>
    <w:rPr>
      <w:rFonts w:hint="default" w:ascii="Arial" w:hAnsi="Arial" w:eastAsia="宋体" w:cs="Arial"/>
      <w:b/>
      <w:bCs/>
      <w:color w:val="2d2d2d"/>
      <w:sz w:val="18"/>
      <w:szCs w:val="18"/>
      <w:lang w:val="en-US" w:eastAsia="en-US" w:bidi="ar-SA"/>
    </w:rPr>
  </w:style>
  <w:style w:type="character" w:styleId="1247" w:customStyle="1">
    <w:name w:val="标题 2 字符"/>
    <w:uiPriority w:val="0"/>
    <w:qFormat/>
    <w:rPr>
      <w:rFonts w:ascii="Arial" w:hAnsi="Arial"/>
      <w:b/>
      <w:bCs/>
      <w:sz w:val="28"/>
      <w:szCs w:val="32"/>
    </w:rPr>
  </w:style>
  <w:style w:type="character" w:styleId="1248" w:customStyle="1">
    <w:name w:val="正文缩进 字符2"/>
    <w:uiPriority w:val="0"/>
    <w:qFormat/>
    <w:rPr>
      <w:sz w:val="21"/>
    </w:rPr>
  </w:style>
  <w:style w:type="character" w:styleId="1249" w:customStyle="1">
    <w:name w:val="Char Char"/>
    <w:uiPriority w:val="0"/>
    <w:qFormat/>
    <w:rPr>
      <w:rFonts w:ascii="宋体" w:hAnsi="宋体" w:eastAsia="楷体_GB2312"/>
      <w:sz w:val="24"/>
      <w:lang w:val="en-US" w:eastAsia="zh-CN" w:bidi="ar-SA"/>
    </w:rPr>
  </w:style>
  <w:style w:type="character" w:styleId="1250" w:customStyle="1">
    <w:name w:val="Body Text Char"/>
    <w:uiPriority w:val="0"/>
    <w:qFormat/>
    <w:rPr>
      <w:rFonts w:ascii="楷体_GB2312" w:hAnsi="Arial" w:eastAsia="楷体_GB2312" w:cs="Times New Roman"/>
      <w:sz w:val="28"/>
      <w:szCs w:val="20"/>
    </w:rPr>
  </w:style>
  <w:style w:type="character" w:styleId="1251" w:customStyle="1">
    <w:name w:val="正文文本缩进 3 字符"/>
    <w:uiPriority w:val="0"/>
    <w:qFormat/>
    <w:rPr>
      <w:rFonts w:eastAsia="宋体"/>
      <w:sz w:val="16"/>
      <w:szCs w:val="16"/>
      <w:lang w:val="en-US" w:eastAsia="zh-CN" w:bidi="ar-SA"/>
    </w:rPr>
  </w:style>
  <w:style w:type="character" w:styleId="1252" w:customStyle="1">
    <w:name w:val="表格 Char Char"/>
    <w:uiPriority w:val="0"/>
    <w:qFormat/>
    <w:rPr>
      <w:rFonts w:ascii="仿宋_GB2312" w:hAnsi="宋体" w:eastAsia="仿宋_GB2312"/>
      <w:sz w:val="21"/>
      <w:szCs w:val="21"/>
    </w:rPr>
  </w:style>
  <w:style w:type="character" w:styleId="1253" w:customStyle="1">
    <w:name w:val="Char Char7"/>
    <w:uiPriority w:val="0"/>
    <w:qFormat/>
    <w:rPr>
      <w:rFonts w:ascii="Times New Roman" w:hAnsi="Times New Roman" w:eastAsia="宋体" w:cs="Times New Roman"/>
      <w:sz w:val="24"/>
      <w:szCs w:val="24"/>
    </w:rPr>
  </w:style>
  <w:style w:type="character" w:styleId="1254" w:customStyle="1">
    <w:name w:val="批注文字 Char1"/>
    <w:uiPriority w:val="99"/>
    <w:semiHidden/>
    <w:qFormat/>
    <w:rPr>
      <w:rFonts w:ascii="Times New Roman" w:hAnsi="Times New Roman" w:eastAsia="宋体" w:cs="Times New Roman"/>
      <w:szCs w:val="20"/>
    </w:rPr>
  </w:style>
  <w:style w:type="character" w:styleId="1255" w:customStyle="1">
    <w:name w:val="页眉 字符1"/>
    <w:uiPriority w:val="99"/>
    <w:qFormat/>
    <w:rPr>
      <w:sz w:val="18"/>
      <w:szCs w:val="18"/>
    </w:rPr>
  </w:style>
  <w:style w:type="character" w:styleId="1256" w:customStyle="1">
    <w:name w:val="List Paragraph Char"/>
    <w:uiPriority w:val="0"/>
    <w:qFormat/>
  </w:style>
  <w:style w:type="character" w:styleId="1257" w:customStyle="1">
    <w:name w:val="font122"/>
    <w:uiPriority w:val="0"/>
    <w:qFormat/>
    <w:rPr>
      <w:rFonts w:ascii="Calibri" w:hAnsi="Calibri" w:cs="Calibri"/>
      <w:color w:val="000000"/>
      <w:sz w:val="20"/>
      <w:szCs w:val="20"/>
      <w:u w:val="none"/>
    </w:rPr>
  </w:style>
  <w:style w:type="paragraph" w:styleId="1258" w:customStyle="1">
    <w:name w:val="xl23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9" w:customStyle="1">
    <w:name w:val="xl242"/>
    <w:basedOn w:val="82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260" w:customStyle="1">
    <w:name w:val="表格内文"/>
    <w:basedOn w:val="821"/>
    <w:uiPriority w:val="0"/>
    <w:qFormat/>
    <w:pPr>
      <w:spacing w:line="360" w:lineRule="auto"/>
    </w:pPr>
    <w:rPr>
      <w:rFonts w:ascii="宋体" w:hAnsi="宋体"/>
      <w:color w:val="000000"/>
      <w:sz w:val="20"/>
    </w:rPr>
  </w:style>
  <w:style w:type="paragraph" w:styleId="1261" w:customStyle="1">
    <w:name w:val="xl128"/>
    <w:basedOn w:val="8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62" w:customStyle="1">
    <w:name w:val="xl4131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3" w:customStyle="1">
    <w:name w:val="列出段落11"/>
    <w:basedOn w:val="821"/>
    <w:uiPriority w:val="34"/>
    <w:qFormat/>
    <w:pPr>
      <w:ind w:firstLine="420"/>
      <w:jc w:val="left"/>
      <w:spacing w:line="360" w:lineRule="atLeast"/>
    </w:pPr>
    <w:rPr>
      <w:rFonts w:ascii="Arial" w:hAnsi="Arial" w:cs="Arial"/>
      <w:sz w:val="24"/>
    </w:rPr>
  </w:style>
  <w:style w:type="paragraph" w:styleId="1264" w:customStyle="1">
    <w:name w:val="xl24253"/>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265" w:customStyle="1">
    <w:name w:val="+正文"/>
    <w:basedOn w:val="821"/>
    <w:uiPriority w:val="0"/>
    <w:qFormat/>
    <w:pPr>
      <w:ind w:firstLine="200"/>
      <w:spacing w:line="360" w:lineRule="auto"/>
    </w:pPr>
    <w:rPr>
      <w:sz w:val="24"/>
      <w:szCs w:val="28"/>
    </w:rPr>
  </w:style>
  <w:style w:type="paragraph" w:styleId="1266" w:customStyle="1">
    <w:name w:val="xl24270"/>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67" w:customStyle="1">
    <w:name w:val="xl6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8" w:customStyle="1">
    <w:name w:val="No Spacing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69" w:customStyle="1">
    <w:name w:val="xl102"/>
    <w:basedOn w:val="821"/>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70" w:customStyle="1">
    <w:name w:val="xl25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1" w:customStyle="1">
    <w:name w:val="l18"/>
    <w:basedOn w:val="821"/>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72" w:customStyle="1">
    <w:name w:val="reader-word-layer"/>
    <w:basedOn w:val="821"/>
    <w:uiPriority w:val="0"/>
    <w:qFormat/>
    <w:pPr>
      <w:jc w:val="left"/>
      <w:spacing w:before="100" w:beforeAutospacing="1" w:after="100" w:afterAutospacing="1"/>
      <w:widowControl/>
    </w:pPr>
    <w:rPr>
      <w:rFonts w:ascii="宋体" w:hAnsi="宋体" w:cs="宋体"/>
      <w:sz w:val="24"/>
      <w:szCs w:val="24"/>
    </w:rPr>
  </w:style>
  <w:style w:type="paragraph" w:styleId="1273" w:customStyle="1">
    <w:name w:val="Char2"/>
    <w:basedOn w:val="821"/>
    <w:uiPriority w:val="0"/>
    <w:qFormat/>
    <w:pPr>
      <w:ind w:left="432" w:hanging="432"/>
    </w:pPr>
    <w:rPr>
      <w:sz w:val="24"/>
      <w:szCs w:val="24"/>
    </w:rPr>
  </w:style>
  <w:style w:type="paragraph" w:styleId="1274" w:customStyle="1">
    <w:name w:val="Char Char Char Char"/>
    <w:basedOn w:val="821"/>
    <w:uiPriority w:val="0"/>
    <w:qFormat/>
    <w:pPr>
      <w:spacing w:line="360" w:lineRule="atLeast"/>
    </w:pPr>
    <w:rPr>
      <w:sz w:val="20"/>
    </w:rPr>
  </w:style>
  <w:style w:type="paragraph" w:styleId="1275" w:customStyle="1">
    <w:name w:val="xl130"/>
    <w:basedOn w:val="8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76" w:customStyle="1">
    <w:name w:val="xl4131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41295"/>
    <w:basedOn w:val="821"/>
    <w:uiPriority w:val="0"/>
    <w:qFormat/>
    <w:pPr>
      <w:jc w:val="left"/>
      <w:spacing w:before="100" w:beforeAutospacing="1" w:after="100" w:afterAutospacing="1"/>
      <w:widowControl/>
    </w:pPr>
    <w:rPr>
      <w:rFonts w:ascii="宋体" w:hAnsi="宋体" w:cs="宋体"/>
      <w:b/>
      <w:bCs/>
      <w:sz w:val="24"/>
      <w:szCs w:val="24"/>
    </w:rPr>
  </w:style>
  <w:style w:type="paragraph" w:styleId="1278" w:customStyle="1">
    <w:name w:val="p15"/>
    <w:basedOn w:val="821"/>
    <w:uiPriority w:val="0"/>
    <w:qFormat/>
    <w:pPr>
      <w:ind w:firstLine="420"/>
      <w:widowControl/>
    </w:pPr>
    <w:rPr>
      <w:rFonts w:ascii="Calibri" w:hAnsi="Calibri" w:cs="宋体"/>
      <w:sz w:val="20"/>
      <w:szCs w:val="21"/>
    </w:rPr>
  </w:style>
  <w:style w:type="paragraph" w:styleId="1279" w:customStyle="1">
    <w:name w:val="xl2423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xl2424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1" w:customStyle="1">
    <w:name w:val="纯文本4"/>
    <w:basedOn w:val="821"/>
    <w:uiPriority w:val="0"/>
    <w:qFormat/>
    <w:rPr>
      <w:rFonts w:ascii="宋体" w:hAnsi="Courier New" w:eastAsia="楷体_GB2312"/>
      <w:sz w:val="26"/>
    </w:rPr>
  </w:style>
  <w:style w:type="paragraph" w:styleId="1282" w:customStyle="1">
    <w:name w:val="Char Char Char Char Char Char Char Char Char1 Char"/>
    <w:basedOn w:val="842"/>
    <w:uiPriority w:val="0"/>
    <w:qFormat/>
    <w:pPr>
      <w:spacing w:line="360" w:lineRule="auto"/>
    </w:pPr>
    <w:rPr>
      <w:rFonts w:ascii="Tahoma" w:hAnsi="Tahoma"/>
      <w:sz w:val="24"/>
      <w:szCs w:val="24"/>
    </w:rPr>
  </w:style>
  <w:style w:type="paragraph" w:styleId="1283" w:customStyle="1">
    <w:name w:val="xl24243"/>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84" w:customStyle="1">
    <w:name w:val="Char Char Char Char Char Char Char Char Char Char"/>
    <w:basedOn w:val="821"/>
    <w:uiPriority w:val="0"/>
    <w:qFormat/>
    <w:pPr>
      <w:ind w:left="360" w:hanging="360"/>
      <w:tabs>
        <w:tab w:val="left" w:pos="360" w:leader="none"/>
      </w:tabs>
    </w:pPr>
    <w:rPr>
      <w:sz w:val="24"/>
      <w:szCs w:val="24"/>
    </w:rPr>
  </w:style>
  <w:style w:type="paragraph" w:styleId="1285" w:customStyle="1">
    <w:name w:val="msolistparagraph"/>
    <w:basedOn w:val="821"/>
    <w:uiPriority w:val="0"/>
    <w:qFormat/>
    <w:pPr>
      <w:ind w:firstLine="420"/>
    </w:pPr>
    <w:rPr>
      <w:rFonts w:ascii="Calibri" w:hAnsi="Calibri"/>
      <w:szCs w:val="22"/>
    </w:rPr>
  </w:style>
  <w:style w:type="paragraph" w:styleId="1286" w:customStyle="1">
    <w:name w:val="xl41328"/>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87" w:customStyle="1">
    <w:name w:val="xl24244"/>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88" w:customStyle="1">
    <w:name w:val="xl26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9" w:customStyle="1">
    <w:name w:val="xl4133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0" w:customStyle="1">
    <w:name w:val="Plain Text1"/>
    <w:basedOn w:val="821"/>
    <w:uiPriority w:val="0"/>
    <w:qFormat/>
    <w:rPr>
      <w:rFonts w:ascii="宋体" w:hAnsi="Courier New" w:eastAsia="楷体_GB2312"/>
      <w:sz w:val="28"/>
    </w:rPr>
  </w:style>
  <w:style w:type="paragraph" w:styleId="1291" w:customStyle="1">
    <w:name w:val="font5"/>
    <w:basedOn w:val="821"/>
    <w:uiPriority w:val="0"/>
    <w:qFormat/>
    <w:pPr>
      <w:jc w:val="left"/>
      <w:spacing w:before="100" w:beforeAutospacing="1" w:after="100" w:afterAutospacing="1"/>
      <w:widowControl/>
    </w:pPr>
    <w:rPr>
      <w:rFonts w:ascii="宋体" w:hAnsi="宋体" w:cs="宋体"/>
      <w:sz w:val="18"/>
      <w:szCs w:val="18"/>
    </w:rPr>
  </w:style>
  <w:style w:type="paragraph" w:styleId="1292" w:customStyle="1">
    <w:name w:val="列出段落2"/>
    <w:basedOn w:val="821"/>
    <w:uiPriority w:val="34"/>
    <w:qFormat/>
    <w:pPr>
      <w:ind w:firstLine="420"/>
    </w:pPr>
    <w:rPr>
      <w:rFonts w:ascii="Calibri" w:hAnsi="Calibri"/>
      <w:sz w:val="28"/>
      <w:szCs w:val="22"/>
    </w:rPr>
  </w:style>
  <w:style w:type="paragraph" w:styleId="1293" w:customStyle="1">
    <w:name w:val="Char Char Char Char Char Char Char Char Char Char Char Char Char Char Char Char"/>
    <w:basedOn w:val="821"/>
    <w:uiPriority w:val="0"/>
    <w:qFormat/>
    <w:pPr>
      <w:tabs>
        <w:tab w:val="left" w:pos="360" w:leader="none"/>
      </w:tabs>
    </w:pPr>
    <w:rPr>
      <w:sz w:val="24"/>
      <w:szCs w:val="24"/>
    </w:rPr>
  </w:style>
  <w:style w:type="paragraph" w:styleId="1294" w:customStyle="1">
    <w:name w:val="xl100"/>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95"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296" w:customStyle="1">
    <w:name w:val="Char1 Char Char Char"/>
    <w:basedOn w:val="821"/>
    <w:uiPriority w:val="0"/>
    <w:qFormat/>
    <w:rPr>
      <w:rFonts w:ascii="Tahoma" w:hAnsi="Tahoma"/>
      <w:sz w:val="24"/>
    </w:rPr>
  </w:style>
  <w:style w:type="paragraph" w:styleId="1297" w:customStyle="1">
    <w:name w:val="xl6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8"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lang w:val="en-US" w:eastAsia="zh-CN" w:bidi="ar-SA"/>
    </w:rPr>
  </w:style>
  <w:style w:type="paragraph" w:styleId="1299" w:customStyle="1">
    <w:name w:val="xl214"/>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0" w:customStyle="1">
    <w:name w:val="wfxRecipient"/>
    <w:basedOn w:val="821"/>
    <w:uiPriority w:val="0"/>
    <w:qFormat/>
    <w:pPr>
      <w:jc w:val="left"/>
      <w:widowControl/>
    </w:pPr>
    <w:rPr>
      <w:sz w:val="20"/>
      <w:lang w:eastAsia="en-US"/>
    </w:rPr>
  </w:style>
  <w:style w:type="paragraph" w:styleId="1301" w:customStyle="1">
    <w:name w:val="xl24236"/>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02" w:customStyle="1">
    <w:name w:val="pa-14"/>
    <w:basedOn w:val="821"/>
    <w:uiPriority w:val="0"/>
    <w:qFormat/>
    <w:pPr>
      <w:jc w:val="left"/>
      <w:spacing w:before="100" w:beforeAutospacing="1" w:after="100" w:afterAutospacing="1"/>
      <w:widowControl/>
    </w:pPr>
    <w:rPr>
      <w:rFonts w:ascii="宋体" w:hAnsi="宋体" w:cs="宋体"/>
      <w:sz w:val="24"/>
      <w:szCs w:val="24"/>
    </w:rPr>
  </w:style>
  <w:style w:type="paragraph" w:styleId="1303" w:customStyle="1">
    <w:name w:val="xl24227"/>
    <w:basedOn w:val="821"/>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4" w:customStyle="1">
    <w:name w:val="xl115"/>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05" w:customStyle="1">
    <w:name w:val="xl270"/>
    <w:basedOn w:val="821"/>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306" w:customStyle="1">
    <w:name w:val="xl117"/>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07" w:customStyle="1">
    <w:name w:val="Char Char Char Char Char Char Char Char Char1 Char1"/>
    <w:basedOn w:val="842"/>
    <w:uiPriority w:val="0"/>
    <w:qFormat/>
    <w:pPr>
      <w:spacing w:line="360" w:lineRule="auto"/>
    </w:pPr>
    <w:rPr>
      <w:rFonts w:ascii="Tahoma" w:hAnsi="Tahoma"/>
      <w:sz w:val="24"/>
      <w:szCs w:val="24"/>
    </w:rPr>
  </w:style>
  <w:style w:type="paragraph" w:styleId="1308" w:customStyle="1">
    <w:name w:val="List Paragraph1"/>
    <w:basedOn w:val="821"/>
    <w:uiPriority w:val="0"/>
    <w:qFormat/>
    <w:pPr>
      <w:ind w:firstLine="420"/>
    </w:pPr>
    <w:rPr>
      <w:rFonts w:hint="eastAsia" w:eastAsia="楷体_GB2312"/>
      <w:sz w:val="26"/>
    </w:rPr>
  </w:style>
  <w:style w:type="paragraph" w:styleId="1309" w:customStyle="1">
    <w:name w:val="xl274"/>
    <w:basedOn w:val="8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310"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311" w:customStyle="1">
    <w:name w:val="xl8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2" w:customStyle="1">
    <w:name w:val="xl41299"/>
    <w:basedOn w:val="821"/>
    <w:uiPriority w:val="0"/>
    <w:qFormat/>
    <w:pPr>
      <w:jc w:val="left"/>
      <w:spacing w:before="100" w:beforeAutospacing="1" w:after="100" w:afterAutospacing="1"/>
      <w:widowControl/>
    </w:pPr>
    <w:rPr>
      <w:rFonts w:ascii="宋体" w:hAnsi="宋体" w:cs="宋体"/>
      <w:b/>
      <w:bCs/>
      <w:sz w:val="24"/>
      <w:szCs w:val="24"/>
    </w:rPr>
  </w:style>
  <w:style w:type="paragraph" w:styleId="1313" w:customStyle="1">
    <w:name w:val="xl114"/>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14" w:customStyle="1">
    <w:name w:val="xl8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5" w:customStyle="1">
    <w:name w:val="标书标准正文"/>
    <w:basedOn w:val="821"/>
    <w:uiPriority w:val="0"/>
    <w:qFormat/>
    <w:pPr>
      <w:ind w:firstLine="540"/>
      <w:spacing w:line="360" w:lineRule="auto"/>
    </w:pPr>
    <w:rPr>
      <w:sz w:val="24"/>
      <w:szCs w:val="24"/>
    </w:rPr>
  </w:style>
  <w:style w:type="paragraph" w:styleId="1316" w:customStyle="1">
    <w:name w:val="xl282"/>
    <w:basedOn w:val="821"/>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317" w:customStyle="1">
    <w:name w:val="xl77"/>
    <w:basedOn w:val="821"/>
    <w:uiPriority w:val="0"/>
    <w:qFormat/>
    <w:pPr>
      <w:jc w:val="left"/>
      <w:spacing w:before="100" w:beforeAutospacing="1" w:after="100" w:afterAutospacing="1"/>
      <w:widowControl/>
    </w:pPr>
    <w:rPr>
      <w:rFonts w:ascii="宋体" w:hAnsi="宋体" w:cs="宋体"/>
      <w:b/>
      <w:bCs/>
      <w:sz w:val="24"/>
      <w:szCs w:val="24"/>
    </w:rPr>
  </w:style>
  <w:style w:type="paragraph" w:styleId="1318" w:customStyle="1">
    <w:name w:val="列表段落1"/>
    <w:basedOn w:val="821"/>
    <w:uiPriority w:val="34"/>
    <w:qFormat/>
    <w:pPr>
      <w:ind w:firstLine="420"/>
    </w:pPr>
    <w:rPr>
      <w:szCs w:val="24"/>
    </w:rPr>
  </w:style>
  <w:style w:type="paragraph" w:styleId="1319" w:customStyle="1">
    <w:name w:val="xl4131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0" w:customStyle="1">
    <w:name w:val="xl24"/>
    <w:basedOn w:val="821"/>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321" w:customStyle="1">
    <w:name w:val="xl4130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2" w:customStyle="1">
    <w:name w:val="xl125"/>
    <w:basedOn w:val="821"/>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23" w:customStyle="1">
    <w:name w:val="xl4133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4" w:customStyle="1">
    <w:name w:val="Char Char1 Char Char Char Char Char Char Char Char"/>
    <w:basedOn w:val="821"/>
    <w:uiPriority w:val="0"/>
    <w:qFormat/>
    <w:pPr>
      <w:jc w:val="left"/>
      <w:spacing w:after="160" w:line="240" w:lineRule="exact"/>
      <w:widowControl/>
    </w:pPr>
    <w:rPr>
      <w:rFonts w:ascii="Verdana" w:hAnsi="Verdana"/>
      <w:sz w:val="20"/>
      <w:lang w:eastAsia="en-US"/>
    </w:rPr>
  </w:style>
  <w:style w:type="paragraph" w:styleId="1325" w:customStyle="1">
    <w:name w:val="Char Char Char1 Char Char Char Char"/>
    <w:basedOn w:val="821"/>
    <w:uiPriority w:val="0"/>
    <w:qFormat/>
    <w:pPr>
      <w:jc w:val="left"/>
      <w:spacing w:after="160" w:line="240" w:lineRule="exact"/>
      <w:widowControl/>
    </w:pPr>
    <w:rPr>
      <w:sz w:val="24"/>
      <w:szCs w:val="24"/>
    </w:rPr>
  </w:style>
  <w:style w:type="paragraph" w:styleId="1326" w:customStyle="1">
    <w:name w:val="xl134"/>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27" w:customStyle="1">
    <w:name w:val="xl228"/>
    <w:basedOn w:val="821"/>
    <w:uiPriority w:val="0"/>
    <w:qFormat/>
    <w:pPr>
      <w:jc w:val="left"/>
      <w:spacing w:before="100" w:beforeAutospacing="1" w:after="100" w:afterAutospacing="1"/>
      <w:widowControl/>
    </w:pPr>
    <w:rPr>
      <w:rFonts w:ascii="宋体" w:hAnsi="宋体" w:cs="宋体"/>
      <w:sz w:val="24"/>
      <w:szCs w:val="24"/>
    </w:rPr>
  </w:style>
  <w:style w:type="paragraph" w:styleId="1328" w:customStyle="1">
    <w:name w:val="xl24259"/>
    <w:basedOn w:val="821"/>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329" w:customStyle="1">
    <w:name w:val="Javis"/>
    <w:basedOn w:val="821"/>
    <w:uiPriority w:val="0"/>
    <w:qFormat/>
    <w:pPr>
      <w:ind w:right="210"/>
      <w:spacing w:line="360" w:lineRule="auto"/>
    </w:pPr>
    <w:rPr>
      <w:rFonts w:cs="宋体"/>
      <w:sz w:val="24"/>
    </w:rPr>
  </w:style>
  <w:style w:type="paragraph" w:styleId="1330" w:customStyle="1">
    <w:name w:val="xl124"/>
    <w:basedOn w:val="821"/>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31" w:customStyle="1">
    <w:name w:val="text12"/>
    <w:basedOn w:val="821"/>
    <w:uiPriority w:val="0"/>
    <w:qFormat/>
    <w:pPr>
      <w:ind w:firstLine="480"/>
      <w:jc w:val="left"/>
      <w:spacing w:before="100" w:beforeAutospacing="1" w:after="100" w:afterAutospacing="1"/>
      <w:widowControl/>
    </w:pPr>
    <w:rPr>
      <w:rFonts w:ascii="Arial Unicode MS" w:hAnsi="Arial Unicode MS"/>
      <w:sz w:val="24"/>
      <w:szCs w:val="24"/>
    </w:rPr>
  </w:style>
  <w:style w:type="paragraph" w:styleId="1332" w:customStyle="1">
    <w:name w:val="xl84"/>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33" w:customStyle="1">
    <w:name w:val="pic-info"/>
    <w:basedOn w:val="821"/>
    <w:uiPriority w:val="0"/>
    <w:qFormat/>
    <w:pPr>
      <w:jc w:val="left"/>
      <w:spacing w:before="100" w:beforeAutospacing="1" w:after="100" w:afterAutospacing="1"/>
      <w:widowControl/>
    </w:pPr>
    <w:rPr>
      <w:rFonts w:ascii="宋体" w:hAnsi="宋体" w:cs="宋体"/>
      <w:sz w:val="24"/>
      <w:szCs w:val="24"/>
    </w:rPr>
  </w:style>
  <w:style w:type="paragraph" w:styleId="1334" w:customStyle="1">
    <w:name w:val="xl119"/>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35" w:customStyle="1">
    <w:name w:val="xl22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6" w:customStyle="1">
    <w:name w:val="xl41309"/>
    <w:basedOn w:val="821"/>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37" w:customStyle="1">
    <w:name w:val="xl24238"/>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38" w:customStyle="1">
    <w:name w:val="xl24248"/>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39" w:customStyle="1">
    <w:name w:val="xl8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0" w:customStyle="1">
    <w:name w:val="正文符号1"/>
    <w:basedOn w:val="1114"/>
    <w:uiPriority w:val="0"/>
    <w:qFormat/>
    <w:pPr>
      <w:ind w:left="975" w:hanging="340"/>
      <w:tabs>
        <w:tab w:val="left" w:pos="840" w:leader="none"/>
        <w:tab w:val="left" w:pos="975" w:leader="none"/>
        <w:tab w:val="left" w:pos="1080" w:leader="none"/>
      </w:tabs>
    </w:pPr>
  </w:style>
  <w:style w:type="paragraph" w:styleId="1341" w:customStyle="1">
    <w:name w:val="xl2425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342" w:customStyle="1">
    <w:name w:val="xl9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3" w:customStyle="1">
    <w:name w:val="xl2427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4" w:customStyle="1">
    <w:name w:val="xl22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5" w:customStyle="1">
    <w:name w:val="xl24269"/>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46" w:customStyle="1">
    <w:name w:val="样式4"/>
    <w:basedOn w:val="883"/>
    <w:uiPriority w:val="0"/>
    <w:qFormat/>
    <w:pPr>
      <w:spacing w:line="480" w:lineRule="auto"/>
      <w:tabs>
        <w:tab w:val="right" w:pos="8494" w:leader="dot"/>
      </w:tabs>
    </w:pPr>
    <w:rPr>
      <w:rFonts w:ascii="Arial" w:hAnsi="Arial" w:eastAsia="黑体" w:cs="Arial"/>
      <w:b w:val="0"/>
      <w:bCs w:val="0"/>
    </w:rPr>
  </w:style>
  <w:style w:type="paragraph" w:styleId="1347" w:customStyle="1">
    <w:name w:val="Char2 Char Char Char Char Char Char Char Char Char"/>
    <w:basedOn w:val="821"/>
    <w:uiPriority w:val="0"/>
    <w:qFormat/>
    <w:pPr>
      <w:ind w:firstLine="200"/>
      <w:spacing w:line="360" w:lineRule="auto"/>
    </w:pPr>
    <w:rPr>
      <w:rFonts w:eastAsia="楷体_GB2312"/>
      <w:sz w:val="28"/>
    </w:rPr>
  </w:style>
  <w:style w:type="paragraph" w:styleId="1348" w:customStyle="1">
    <w:name w:val="xl26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9" w:customStyle="1">
    <w:name w:val="xl109"/>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50" w:customStyle="1">
    <w:name w:val="xl129"/>
    <w:basedOn w:val="82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51" w:customStyle="1">
    <w:name w:val="xl24249"/>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2" w:customStyle="1">
    <w:name w:val="font8"/>
    <w:basedOn w:val="821"/>
    <w:uiPriority w:val="0"/>
    <w:qFormat/>
    <w:pPr>
      <w:jc w:val="left"/>
      <w:spacing w:before="100" w:beforeAutospacing="1" w:after="100" w:afterAutospacing="1"/>
      <w:widowControl/>
    </w:pPr>
    <w:rPr>
      <w:sz w:val="22"/>
      <w:szCs w:val="22"/>
    </w:rPr>
  </w:style>
  <w:style w:type="paragraph" w:styleId="1353" w:customStyle="1">
    <w:name w:val="xl24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4" w:customStyle="1">
    <w:name w:val="xl222"/>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5" w:customStyle="1">
    <w:name w:val="Definition List"/>
    <w:basedOn w:val="821"/>
    <w:next w:val="821"/>
    <w:uiPriority w:val="0"/>
    <w:qFormat/>
    <w:pPr>
      <w:ind w:left="360"/>
      <w:jc w:val="left"/>
    </w:pPr>
    <w:rPr>
      <w:sz w:val="24"/>
    </w:rPr>
  </w:style>
  <w:style w:type="paragraph" w:styleId="1356" w:customStyle="1">
    <w:name w:val="Char Char3"/>
    <w:basedOn w:val="821"/>
    <w:uiPriority w:val="0"/>
    <w:qFormat/>
    <w:rPr>
      <w:rFonts w:ascii="Tahoma" w:hAnsi="Tahoma"/>
      <w:sz w:val="24"/>
    </w:rPr>
  </w:style>
  <w:style w:type="paragraph" w:styleId="1357" w:customStyle="1">
    <w:name w:val="xl23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8" w:customStyle="1">
    <w:name w:val="xl94"/>
    <w:basedOn w:val="821"/>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59" w:customStyle="1">
    <w:name w:val="Char1"/>
    <w:basedOn w:val="842"/>
    <w:uiPriority w:val="0"/>
    <w:qFormat/>
    <w:pPr>
      <w:ind w:left="357"/>
      <w:jc w:val="left"/>
      <w:spacing w:line="436" w:lineRule="exact"/>
      <w:outlineLvl w:val="3"/>
    </w:pPr>
    <w:rPr>
      <w:rFonts w:ascii="Tahoma" w:hAnsi="Tahoma"/>
      <w:b/>
      <w:sz w:val="24"/>
      <w:szCs w:val="24"/>
    </w:rPr>
  </w:style>
  <w:style w:type="paragraph" w:styleId="1360" w:customStyle="1">
    <w:name w:val="xl91"/>
    <w:basedOn w:val="821"/>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61" w:customStyle="1">
    <w:name w:val="xl244"/>
    <w:basedOn w:val="8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362" w:customStyle="1">
    <w:name w:val="xl4131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63" w:customStyle="1">
    <w:name w:val="纯文本3"/>
    <w:basedOn w:val="821"/>
    <w:uiPriority w:val="0"/>
    <w:qFormat/>
    <w:rPr>
      <w:rFonts w:ascii="宋体" w:hAnsi="Courier New" w:eastAsia="楷体_GB2312"/>
      <w:sz w:val="26"/>
    </w:rPr>
  </w:style>
  <w:style w:type="paragraph" w:styleId="1364" w:customStyle="1">
    <w:name w:val="xl122"/>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65" w:customStyle="1">
    <w:name w:val="xl73"/>
    <w:basedOn w:val="821"/>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66" w:customStyle="1">
    <w:name w:val="Char Char Char Char Char Char1 Char"/>
    <w:basedOn w:val="821"/>
    <w:uiPriority w:val="0"/>
    <w:qFormat/>
    <w:rPr>
      <w:rFonts w:ascii="Tahoma" w:hAnsi="Tahoma"/>
      <w:sz w:val="24"/>
    </w:rPr>
  </w:style>
  <w:style w:type="paragraph" w:styleId="1367" w:customStyle="1">
    <w:name w:val="xl71"/>
    <w:basedOn w:val="821"/>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68" w:customStyle="1">
    <w:name w:val="表头"/>
    <w:basedOn w:val="839"/>
    <w:uiPriority w:val="0"/>
    <w:qFormat/>
    <w:pPr>
      <w:jc w:val="center"/>
      <w:keepLines/>
      <w:keepNext/>
      <w:spacing w:before="120" w:after="120" w:line="300" w:lineRule="auto"/>
      <w:widowControl/>
    </w:pPr>
    <w:rPr>
      <w:sz w:val="21"/>
    </w:rPr>
  </w:style>
  <w:style w:type="paragraph" w:styleId="1369" w:customStyle="1">
    <w:name w:val="xl7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0" w:customStyle="1">
    <w:name w:val="xl41327"/>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71" w:customStyle="1">
    <w:name w:val="a1"/>
    <w:basedOn w:val="821"/>
    <w:uiPriority w:val="0"/>
    <w:qFormat/>
    <w:pPr>
      <w:jc w:val="left"/>
      <w:spacing w:before="100" w:beforeAutospacing="1" w:after="100" w:afterAutospacing="1"/>
      <w:widowControl/>
    </w:pPr>
    <w:rPr>
      <w:rFonts w:ascii="宋体" w:hAnsi="宋体" w:cs="宋体"/>
      <w:sz w:val="24"/>
      <w:szCs w:val="24"/>
    </w:rPr>
  </w:style>
  <w:style w:type="paragraph" w:styleId="1372" w:customStyle="1">
    <w:name w:val="xl23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3" w:customStyle="1">
    <w:name w:val="xl255"/>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74" w:customStyle="1">
    <w:name w:val="列出段落3"/>
    <w:basedOn w:val="821"/>
    <w:uiPriority w:val="99"/>
    <w:qFormat/>
    <w:pPr>
      <w:ind w:firstLine="420"/>
    </w:pPr>
    <w:rPr>
      <w:szCs w:val="24"/>
    </w:rPr>
  </w:style>
  <w:style w:type="paragraph" w:styleId="1375" w:customStyle="1">
    <w:name w:val="表格形式1"/>
    <w:basedOn w:val="821"/>
    <w:uiPriority w:val="0"/>
    <w:qFormat/>
    <w:pPr>
      <w:jc w:val="left"/>
      <w:spacing w:line="360" w:lineRule="atLeast"/>
    </w:pPr>
    <w:rPr>
      <w:rFonts w:ascii="宋体" w:eastAsia="仿宋_GB2312"/>
      <w:sz w:val="24"/>
      <w:szCs w:val="24"/>
    </w:rPr>
  </w:style>
  <w:style w:type="paragraph" w:styleId="1376" w:customStyle="1">
    <w:name w:val="xl280"/>
    <w:basedOn w:val="8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77" w:customStyle="1">
    <w:name w:val="xl24242"/>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78" w:customStyle="1">
    <w:name w:val="xl41332"/>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379" w:customStyle="1">
    <w:name w:val="xl121"/>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80" w:customStyle="1">
    <w:name w:val="IBM 正文"/>
    <w:basedOn w:val="821"/>
    <w:uiPriority w:val="0"/>
    <w:qFormat/>
    <w:pPr>
      <w:spacing w:line="400" w:lineRule="exact"/>
    </w:pPr>
    <w:rPr>
      <w:spacing w:val="20"/>
      <w:sz w:val="24"/>
    </w:rPr>
  </w:style>
  <w:style w:type="paragraph" w:styleId="1381" w:customStyle="1">
    <w:name w:val="xl4132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2" w:customStyle="1">
    <w:name w:val="xl26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3" w:customStyle="1">
    <w:name w:val="xl22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4" w:customStyle="1">
    <w:name w:val="xl41307"/>
    <w:basedOn w:val="821"/>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85" w:customStyle="1">
    <w:name w:val="表格文本"/>
    <w:uiPriority w:val="0"/>
    <w:qFormat/>
    <w:pPr>
      <w:tabs>
        <w:tab w:val="decimal" w:pos="0" w:leader="none"/>
      </w:tabs>
    </w:pPr>
    <w:rPr>
      <w:rFonts w:hint="default" w:ascii="Arial" w:hAnsi="Arial" w:eastAsia="宋体" w:cs="Times New Roman"/>
      <w:sz w:val="21"/>
      <w:szCs w:val="21"/>
      <w:lang w:val="en-US" w:eastAsia="zh-CN" w:bidi="ar-SA"/>
    </w:rPr>
  </w:style>
  <w:style w:type="paragraph" w:styleId="1386" w:customStyle="1">
    <w:name w:val="xl41302"/>
    <w:basedOn w:val="821"/>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7" w:customStyle="1">
    <w:name w:val="absatz4"/>
    <w:basedOn w:val="821"/>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88" w:customStyle="1">
    <w:name w:val="Char Char Char Char Char Char Char"/>
    <w:basedOn w:val="821"/>
    <w:uiPriority w:val="0"/>
    <w:qFormat/>
    <w:rPr>
      <w:rFonts w:ascii="仿宋_GB2312" w:eastAsia="仿宋_GB2312"/>
      <w:b/>
      <w:sz w:val="32"/>
      <w:szCs w:val="32"/>
    </w:rPr>
  </w:style>
  <w:style w:type="paragraph" w:styleId="1389" w:customStyle="1">
    <w:name w:val="_Style 101"/>
    <w:basedOn w:val="821"/>
    <w:next w:val="1190"/>
    <w:uiPriority w:val="34"/>
    <w:qFormat/>
    <w:pPr>
      <w:ind w:firstLine="420"/>
      <w:spacing w:line="360" w:lineRule="auto"/>
    </w:pPr>
    <w:rPr>
      <w:rFonts w:ascii="Calibri" w:hAnsi="Calibri"/>
      <w:lang w:val="zh-CN"/>
    </w:rPr>
  </w:style>
  <w:style w:type="paragraph" w:styleId="1390" w:customStyle="1">
    <w:name w:val="小四 段落 宋体 Char Char"/>
    <w:basedOn w:val="821"/>
    <w:uiPriority w:val="0"/>
    <w:qFormat/>
    <w:pPr>
      <w:ind w:firstLine="480"/>
      <w:spacing w:line="360" w:lineRule="auto"/>
    </w:pPr>
    <w:rPr>
      <w:rFonts w:ascii="宋体" w:hAnsi="宋体"/>
      <w:sz w:val="24"/>
      <w:szCs w:val="24"/>
    </w:rPr>
  </w:style>
  <w:style w:type="paragraph" w:styleId="1391" w:customStyle="1">
    <w:name w:val="5级方案标题"/>
    <w:basedOn w:val="825"/>
    <w:uiPriority w:val="0"/>
    <w:qFormat/>
    <w:pPr>
      <w:keepLines/>
      <w:spacing w:line="377" w:lineRule="auto"/>
      <w:outlineLvl w:val="4"/>
    </w:pPr>
    <w:rPr>
      <w:rFonts w:ascii="宋体" w:hAnsi="宋体"/>
      <w:sz w:val="24"/>
      <w:szCs w:val="28"/>
      <w:lang w:val="zh-CN"/>
    </w:rPr>
  </w:style>
  <w:style w:type="paragraph" w:styleId="1392" w:customStyle="1">
    <w:name w:val="xl216"/>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93" w:customStyle="1">
    <w:name w:val="xl108"/>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94" w:customStyle="1">
    <w:name w:val="xl2423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5" w:customStyle="1">
    <w:name w:val="xl24261"/>
    <w:basedOn w:val="821"/>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96" w:customStyle="1">
    <w:name w:val="xl24256"/>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97" w:customStyle="1">
    <w:name w:val="xl24268"/>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98" w:customStyle="1">
    <w:name w:val="xl120"/>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99" w:customStyle="1">
    <w:name w:val="_Style 4"/>
    <w:basedOn w:val="821"/>
    <w:uiPriority w:val="34"/>
    <w:qFormat/>
    <w:pPr>
      <w:ind w:firstLine="420"/>
    </w:pPr>
    <w:rPr>
      <w:rFonts w:ascii="Calibri" w:hAnsi="Calibri"/>
      <w:szCs w:val="22"/>
    </w:rPr>
  </w:style>
  <w:style w:type="paragraph" w:styleId="1400" w:customStyle="1">
    <w:name w:val="xl4132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1" w:customStyle="1">
    <w:name w:val="xl271"/>
    <w:basedOn w:val="821"/>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402" w:customStyle="1">
    <w:name w:val="xl101"/>
    <w:basedOn w:val="821"/>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03" w:customStyle="1">
    <w:name w:val="xl23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4" w:customStyle="1">
    <w:name w:val="font10"/>
    <w:basedOn w:val="821"/>
    <w:uiPriority w:val="0"/>
    <w:qFormat/>
    <w:pPr>
      <w:jc w:val="left"/>
      <w:spacing w:before="100" w:beforeAutospacing="1" w:after="100" w:afterAutospacing="1"/>
      <w:widowControl/>
    </w:pPr>
    <w:rPr>
      <w:rFonts w:ascii="宋体" w:hAnsi="宋体" w:cs="宋体"/>
      <w:sz w:val="18"/>
      <w:szCs w:val="18"/>
    </w:rPr>
  </w:style>
  <w:style w:type="paragraph" w:styleId="1405" w:customStyle="1">
    <w:name w:val="xl279"/>
    <w:basedOn w:val="8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406" w:customStyle="1">
    <w:name w:val="xl7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7" w:customStyle="1">
    <w:name w:val="xl118"/>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08" w:customStyle="1">
    <w:name w:val="xl2422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9" w:customStyle="1">
    <w:name w:val="正文 A"/>
    <w:next w:val="1072"/>
    <w:uiPriority w:val="0"/>
    <w:qFormat/>
    <w:pPr>
      <w:jc w:val="both"/>
      <w:widowControl w:val="off"/>
    </w:pPr>
    <w:rPr>
      <w:rFonts w:hint="default" w:ascii="Times New Roman" w:hAnsi="Arial Unicode MS" w:eastAsia="Arial Unicode MS" w:cs="Arial Unicode MS"/>
      <w:color w:val="000000"/>
      <w:sz w:val="21"/>
      <w:szCs w:val="21"/>
      <w:lang w:val="en-US" w:eastAsia="zh-CN" w:bidi="ar-SA"/>
    </w:rPr>
  </w:style>
  <w:style w:type="paragraph" w:styleId="1410" w:customStyle="1">
    <w:name w:val="xl69"/>
    <w:basedOn w:val="8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1" w:customStyle="1">
    <w:name w:val="xl132"/>
    <w:basedOn w:val="8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12" w:customStyle="1">
    <w:name w:val="xl41333"/>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413" w:customStyle="1">
    <w:name w:val="xl24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4"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15" w:customStyle="1">
    <w:name w:val="正文文本 21"/>
    <w:basedOn w:val="821"/>
    <w:uiPriority w:val="0"/>
    <w:qFormat/>
    <w:pPr>
      <w:ind w:left="720" w:hanging="720"/>
      <w:widowControl/>
    </w:pPr>
    <w:rPr>
      <w:sz w:val="24"/>
      <w:lang w:val="en-GB"/>
    </w:rPr>
  </w:style>
  <w:style w:type="paragraph" w:styleId="1416" w:customStyle="1">
    <w:name w:val="普通正文"/>
    <w:basedOn w:val="821"/>
    <w:uiPriority w:val="0"/>
    <w:qFormat/>
    <w:pPr>
      <w:ind w:firstLine="425"/>
      <w:jc w:val="left"/>
    </w:pPr>
    <w:rPr>
      <w:rFonts w:ascii="宋体" w:hAnsi="宋体"/>
      <w:color w:val="000000"/>
      <w:sz w:val="24"/>
    </w:rPr>
  </w:style>
  <w:style w:type="paragraph" w:styleId="1417" w:customStyle="1">
    <w:name w:val="xl22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8" w:customStyle="1">
    <w:name w:val="2级方案标题"/>
    <w:basedOn w:val="823"/>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419" w:customStyle="1">
    <w:name w:val="xl2423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0" w:customStyle="1">
    <w:name w:val="正文alt+z"/>
    <w:basedOn w:val="821"/>
    <w:uiPriority w:val="0"/>
    <w:qFormat/>
    <w:pPr>
      <w:ind w:firstLine="200"/>
      <w:spacing w:line="360" w:lineRule="auto"/>
    </w:pPr>
    <w:rPr>
      <w:rFonts w:ascii="Time New Roman" w:hAnsi="Time New Roman"/>
      <w:sz w:val="24"/>
      <w:szCs w:val="24"/>
    </w:rPr>
  </w:style>
  <w:style w:type="paragraph" w:styleId="1421" w:customStyle="1">
    <w:name w:val="正文－恩普"/>
    <w:basedOn w:val="838"/>
    <w:uiPriority w:val="0"/>
    <w:qFormat/>
    <w:pPr>
      <w:ind w:firstLine="200"/>
      <w:spacing w:line="360" w:lineRule="auto"/>
    </w:pPr>
    <w:rPr>
      <w:rFonts w:eastAsia="楷体_GB2312"/>
      <w:sz w:val="24"/>
    </w:rPr>
  </w:style>
  <w:style w:type="paragraph" w:styleId="1422" w:customStyle="1">
    <w:name w:val="Char Char Char Char Char Char Char Char Char"/>
    <w:basedOn w:val="821"/>
    <w:uiPriority w:val="0"/>
    <w:qFormat/>
    <w:pPr>
      <w:jc w:val="left"/>
      <w:spacing w:after="160" w:line="240" w:lineRule="exact"/>
      <w:widowControl/>
    </w:pPr>
    <w:rPr>
      <w:sz w:val="24"/>
      <w:szCs w:val="24"/>
    </w:rPr>
  </w:style>
  <w:style w:type="paragraph" w:styleId="1423" w:customStyle="1">
    <w:name w:val="font6"/>
    <w:basedOn w:val="821"/>
    <w:uiPriority w:val="0"/>
    <w:qFormat/>
    <w:pPr>
      <w:jc w:val="left"/>
      <w:spacing w:before="100" w:beforeAutospacing="1" w:after="100" w:afterAutospacing="1"/>
      <w:widowControl/>
    </w:pPr>
    <w:rPr>
      <w:rFonts w:ascii="宋体" w:hAnsi="宋体" w:cs="宋体"/>
      <w:sz w:val="18"/>
      <w:szCs w:val="18"/>
    </w:rPr>
  </w:style>
  <w:style w:type="paragraph" w:styleId="1424" w:customStyle="1">
    <w:name w:val="xl9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25" w:customStyle="1">
    <w:name w:val="xl2422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6" w:customStyle="1">
    <w:name w:val="xl116"/>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27" w:customStyle="1">
    <w:name w:val="xl2423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8" w:customStyle="1">
    <w:name w:val="xl10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29" w:customStyle="1">
    <w:name w:val="xl21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0" w:customStyle="1">
    <w:name w:val="正式行文"/>
    <w:basedOn w:val="821"/>
    <w:uiPriority w:val="0"/>
    <w:qFormat/>
    <w:pPr>
      <w:ind w:firstLine="200"/>
      <w:spacing w:line="360" w:lineRule="auto"/>
    </w:pPr>
    <w:rPr>
      <w:sz w:val="24"/>
      <w:szCs w:val="24"/>
    </w:rPr>
  </w:style>
  <w:style w:type="paragraph" w:styleId="1431" w:customStyle="1">
    <w:name w:val="xl24239"/>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32" w:customStyle="1">
    <w:name w:val="xl8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33" w:customStyle="1">
    <w:name w:val="xl112"/>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34" w:customStyle="1">
    <w:name w:val="Char Char11"/>
    <w:basedOn w:val="821"/>
    <w:uiPriority w:val="0"/>
    <w:qFormat/>
    <w:pPr>
      <w:jc w:val="left"/>
      <w:spacing w:after="160" w:line="240" w:lineRule="exact"/>
      <w:widowControl/>
    </w:pPr>
    <w:rPr>
      <w:rFonts w:ascii="Verdana" w:hAnsi="Verdana"/>
      <w:sz w:val="20"/>
      <w:lang w:eastAsia="en-US"/>
    </w:rPr>
  </w:style>
  <w:style w:type="paragraph" w:styleId="1435" w:customStyle="1">
    <w:name w:val="xl217"/>
    <w:basedOn w:val="821"/>
    <w:uiPriority w:val="0"/>
    <w:qFormat/>
    <w:pPr>
      <w:jc w:val="center"/>
      <w:spacing w:before="100" w:beforeAutospacing="1" w:after="100" w:afterAutospacing="1"/>
      <w:widowControl/>
    </w:pPr>
    <w:rPr>
      <w:rFonts w:ascii="宋体" w:hAnsi="宋体" w:cs="宋体"/>
      <w:sz w:val="24"/>
      <w:szCs w:val="24"/>
    </w:rPr>
  </w:style>
  <w:style w:type="paragraph" w:styleId="1436" w:customStyle="1">
    <w:name w:val="xl8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7" w:customStyle="1">
    <w:name w:val="xl24255"/>
    <w:basedOn w:val="82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438" w:customStyle="1">
    <w:name w:val="Char Char1 Char Char Char Char Char Char Char"/>
    <w:basedOn w:val="821"/>
    <w:uiPriority w:val="0"/>
    <w:qFormat/>
    <w:rPr>
      <w:rFonts w:eastAsia="楷体_GB2312"/>
      <w:sz w:val="26"/>
    </w:rPr>
  </w:style>
  <w:style w:type="paragraph" w:styleId="1439" w:customStyle="1">
    <w:name w:val="xl131"/>
    <w:basedOn w:val="82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440" w:customStyle="1">
    <w:name w:val="Definition Term"/>
    <w:basedOn w:val="821"/>
    <w:next w:val="821"/>
    <w:uiPriority w:val="0"/>
    <w:qFormat/>
    <w:pPr>
      <w:jc w:val="left"/>
    </w:pPr>
    <w:rPr>
      <w:sz w:val="24"/>
    </w:rPr>
  </w:style>
  <w:style w:type="paragraph" w:styleId="1441" w:customStyle="1">
    <w:name w:val="xl9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42" w:customStyle="1">
    <w:name w:val="分发表内容"/>
    <w:basedOn w:val="821"/>
    <w:uiPriority w:val="0"/>
    <w:qFormat/>
    <w:pPr>
      <w:jc w:val="center"/>
      <w:spacing w:before="120" w:after="120"/>
    </w:pPr>
    <w:rPr>
      <w:rFonts w:ascii="昆仑仿宋" w:eastAsia="昆仑仿宋"/>
      <w:sz w:val="20"/>
    </w:rPr>
  </w:style>
  <w:style w:type="paragraph" w:styleId="1443" w:customStyle="1">
    <w:name w:val="List Paragraph2"/>
    <w:basedOn w:val="821"/>
    <w:uiPriority w:val="34"/>
    <w:qFormat/>
    <w:pPr>
      <w:ind w:firstLine="420"/>
      <w:spacing w:line="360" w:lineRule="auto"/>
    </w:pPr>
    <w:rPr>
      <w:rFonts w:ascii="Calibri" w:hAnsi="Calibri"/>
      <w:sz w:val="24"/>
    </w:rPr>
  </w:style>
  <w:style w:type="paragraph" w:styleId="1444" w:customStyle="1">
    <w:name w:val="xl24240"/>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45" w:customStyle="1">
    <w:name w:val="普通(Web)9"/>
    <w:basedOn w:val="821"/>
    <w:uiPriority w:val="0"/>
    <w:qFormat/>
    <w:pPr>
      <w:jc w:val="left"/>
      <w:spacing w:before="100" w:beforeAutospacing="1" w:after="100" w:afterAutospacing="1"/>
      <w:widowControl/>
    </w:pPr>
    <w:rPr>
      <w:rFonts w:ascii="宋体" w:hAnsi="宋体" w:cs="宋体"/>
      <w:sz w:val="20"/>
      <w:szCs w:val="21"/>
    </w:rPr>
  </w:style>
  <w:style w:type="paragraph" w:styleId="1446" w:customStyle="1">
    <w:name w:val="Default Paragraph Font Para Char"/>
    <w:basedOn w:val="821"/>
    <w:uiPriority w:val="0"/>
    <w:qFormat/>
    <w:pPr>
      <w:jc w:val="left"/>
      <w:spacing w:after="160" w:line="240" w:lineRule="exact"/>
      <w:widowControl/>
    </w:pPr>
  </w:style>
  <w:style w:type="paragraph" w:styleId="1447" w:customStyle="1">
    <w:name w:val="1级方案标题"/>
    <w:basedOn w:val="821"/>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48" w:customStyle="1">
    <w:name w:val="_Style 447"/>
    <w:uiPriority w:val="99"/>
    <w:unhideWhenUsed/>
    <w:qFormat/>
    <w:rPr>
      <w:rFonts w:hint="default" w:ascii="Times New Roman" w:hAnsi="Times New Roman" w:eastAsia="宋体" w:cs="Times New Roman"/>
      <w:sz w:val="21"/>
      <w:lang w:val="en-US" w:eastAsia="zh-CN" w:bidi="ar-SA"/>
    </w:rPr>
  </w:style>
  <w:style w:type="paragraph" w:styleId="1449" w:customStyle="1">
    <w:name w:val="p17"/>
    <w:basedOn w:val="821"/>
    <w:uiPriority w:val="0"/>
    <w:qFormat/>
    <w:pPr>
      <w:widowControl/>
    </w:pPr>
    <w:rPr>
      <w:szCs w:val="21"/>
    </w:rPr>
  </w:style>
  <w:style w:type="paragraph" w:styleId="1450" w:customStyle="1">
    <w:name w:val="xl4130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1" w:customStyle="1">
    <w:name w:val="xl2423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52" w:customStyle="1">
    <w:name w:val="xl4132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3" w:customStyle="1">
    <w:name w:val="xl23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54" w:customStyle="1">
    <w:name w:val="xl110"/>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55" w:customStyle="1">
    <w:name w:val="正文标准"/>
    <w:basedOn w:val="821"/>
    <w:uiPriority w:val="0"/>
    <w:qFormat/>
    <w:pPr>
      <w:ind w:firstLine="200"/>
      <w:spacing w:line="360" w:lineRule="auto"/>
    </w:pPr>
    <w:rPr>
      <w:rFonts w:eastAsia="MS Gothic"/>
      <w:sz w:val="24"/>
      <w:szCs w:val="21"/>
    </w:rPr>
  </w:style>
  <w:style w:type="paragraph" w:styleId="1456" w:customStyle="1">
    <w:name w:val="xl11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57" w:customStyle="1">
    <w:name w:val="xl24257"/>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58" w:customStyle="1">
    <w:name w:val="剑鱼三"/>
    <w:basedOn w:val="821"/>
    <w:next w:val="821"/>
    <w:uiPriority w:val="0"/>
    <w:qFormat/>
    <w:pPr>
      <w:ind w:left="840" w:hanging="420"/>
    </w:pPr>
    <w:rPr>
      <w:rFonts w:ascii="Arial" w:hAnsi="Arial"/>
      <w:b/>
      <w:sz w:val="20"/>
      <w:szCs w:val="21"/>
    </w:rPr>
  </w:style>
  <w:style w:type="paragraph" w:styleId="1459" w:customStyle="1">
    <w:name w:val="xl41316"/>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0" w:customStyle="1">
    <w:name w:val="xl24246"/>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61" w:customStyle="1">
    <w:name w:val="style23"/>
    <w:basedOn w:val="82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62" w:customStyle="1">
    <w:name w:val="Char"/>
    <w:basedOn w:val="821"/>
    <w:uiPriority w:val="0"/>
    <w:qFormat/>
    <w:pPr>
      <w:ind w:left="480" w:hanging="480"/>
      <w:tabs>
        <w:tab w:val="left" w:pos="480" w:leader="none"/>
      </w:tabs>
    </w:pPr>
    <w:rPr>
      <w:sz w:val="24"/>
      <w:szCs w:val="24"/>
    </w:rPr>
  </w:style>
  <w:style w:type="paragraph" w:styleId="1463" w:customStyle="1">
    <w:name w:val="xl272"/>
    <w:basedOn w:val="821"/>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464" w:customStyle="1">
    <w:name w:val="xl9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65" w:customStyle="1">
    <w:name w:val="xl6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6" w:customStyle="1">
    <w:name w:val="默认段落字体 Para Char Char Char Char Char Char Char"/>
    <w:basedOn w:val="842"/>
    <w:uiPriority w:val="0"/>
    <w:qFormat/>
    <w:pPr>
      <w:ind w:left="357"/>
      <w:jc w:val="left"/>
      <w:spacing w:line="436" w:lineRule="exact"/>
      <w:outlineLvl w:val="3"/>
    </w:pPr>
    <w:rPr>
      <w:rFonts w:ascii="Tahoma" w:hAnsi="Tahoma"/>
      <w:b/>
      <w:sz w:val="24"/>
      <w:szCs w:val="24"/>
    </w:rPr>
  </w:style>
  <w:style w:type="paragraph" w:styleId="1467" w:customStyle="1">
    <w:name w:val="Char Char Char Char Char Char Char Char Char Char1"/>
    <w:basedOn w:val="842"/>
    <w:uiPriority w:val="0"/>
    <w:qFormat/>
    <w:rPr>
      <w:rFonts w:ascii="Tahoma" w:hAnsi="Tahoma" w:cs="Tahoma"/>
      <w:sz w:val="24"/>
      <w:szCs w:val="24"/>
    </w:rPr>
  </w:style>
  <w:style w:type="paragraph" w:styleId="1468" w:customStyle="1">
    <w:name w:val="xl85"/>
    <w:basedOn w:val="821"/>
    <w:uiPriority w:val="0"/>
    <w:qFormat/>
    <w:pPr>
      <w:jc w:val="left"/>
      <w:spacing w:before="100" w:beforeAutospacing="1" w:after="100" w:afterAutospacing="1"/>
      <w:widowControl/>
    </w:pPr>
    <w:rPr>
      <w:rFonts w:ascii="宋体" w:hAnsi="宋体" w:cs="宋体"/>
      <w:sz w:val="24"/>
      <w:szCs w:val="24"/>
    </w:rPr>
  </w:style>
  <w:style w:type="paragraph" w:styleId="1469" w:customStyle="1">
    <w:name w:val="Char Char Char"/>
    <w:basedOn w:val="821"/>
    <w:uiPriority w:val="0"/>
    <w:qFormat/>
    <w:pPr>
      <w:ind w:left="375" w:hanging="375"/>
      <w:tabs>
        <w:tab w:val="left" w:pos="1545" w:leader="none"/>
      </w:tabs>
    </w:pPr>
  </w:style>
  <w:style w:type="paragraph" w:styleId="1470" w:customStyle="1">
    <w:name w:val="xl281"/>
    <w:basedOn w:val="82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71" w:customStyle="1">
    <w:name w:val="_Style 30"/>
    <w:basedOn w:val="821"/>
    <w:next w:val="854"/>
    <w:uiPriority w:val="0"/>
    <w:qFormat/>
    <w:rPr>
      <w:rFonts w:ascii="宋体" w:hAnsi="Courier New"/>
    </w:rPr>
  </w:style>
  <w:style w:type="paragraph" w:styleId="1472" w:customStyle="1">
    <w:name w:val="xl4133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3" w:customStyle="1">
    <w:name w:val="xl4129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74" w:customStyle="1">
    <w:name w:val="xl265"/>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5" w:customStyle="1">
    <w:name w:val="xl41325"/>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76" w:customStyle="1">
    <w:name w:val="xl41310"/>
    <w:basedOn w:val="8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77" w:customStyle="1">
    <w:name w:val="xl24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8" w:customStyle="1">
    <w:name w:val="xl74"/>
    <w:basedOn w:val="821"/>
    <w:uiPriority w:val="0"/>
    <w:qFormat/>
    <w:pPr>
      <w:jc w:val="left"/>
      <w:spacing w:before="100" w:beforeAutospacing="1" w:after="100" w:afterAutospacing="1"/>
      <w:widowControl/>
    </w:pPr>
    <w:rPr>
      <w:rFonts w:ascii="宋体" w:hAnsi="宋体" w:cs="宋体"/>
      <w:sz w:val="24"/>
      <w:szCs w:val="24"/>
    </w:rPr>
  </w:style>
  <w:style w:type="paragraph" w:styleId="1479" w:customStyle="1">
    <w:name w:val="xl133"/>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80" w:customStyle="1">
    <w:name w:val="修订1"/>
    <w:uiPriority w:val="0"/>
    <w:semiHidden/>
    <w:qFormat/>
    <w:rPr>
      <w:rFonts w:hint="default" w:ascii="Times New Roman" w:hAnsi="Times New Roman" w:eastAsia="楷体_GB2312" w:cs="Times New Roman"/>
      <w:sz w:val="28"/>
      <w:lang w:val="en-US" w:eastAsia="zh-CN" w:bidi="ar-SA"/>
    </w:rPr>
  </w:style>
  <w:style w:type="paragraph" w:styleId="1481" w:customStyle="1">
    <w:name w:val="xl25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82" w:customStyle="1">
    <w:name w:val="xl127"/>
    <w:basedOn w:val="821"/>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83" w:customStyle="1">
    <w:name w:val="p0"/>
    <w:basedOn w:val="821"/>
    <w:uiPriority w:val="0"/>
    <w:qFormat/>
    <w:pPr>
      <w:widowControl/>
    </w:pPr>
    <w:rPr>
      <w:spacing w:val="16"/>
    </w:rPr>
  </w:style>
  <w:style w:type="paragraph" w:styleId="1484" w:customStyle="1">
    <w:name w:val="xl275"/>
    <w:basedOn w:val="821"/>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85" w:customStyle="1">
    <w:name w:val="xl41337"/>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86" w:customStyle="1">
    <w:name w:val="xl10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87" w:customStyle="1">
    <w:name w:val="文档正文"/>
    <w:basedOn w:val="821"/>
    <w:uiPriority w:val="0"/>
    <w:qFormat/>
    <w:pPr>
      <w:ind w:firstLine="567"/>
      <w:spacing w:line="500" w:lineRule="exact"/>
    </w:pPr>
    <w:rPr>
      <w:rFonts w:ascii="仿宋_GB2312" w:eastAsia="仿宋_GB2312"/>
      <w:sz w:val="28"/>
    </w:rPr>
  </w:style>
  <w:style w:type="paragraph" w:styleId="1488" w:customStyle="1">
    <w:name w:val="Char11"/>
    <w:basedOn w:val="842"/>
    <w:uiPriority w:val="0"/>
    <w:qFormat/>
    <w:pPr>
      <w:ind w:left="357"/>
      <w:jc w:val="left"/>
      <w:spacing w:line="436" w:lineRule="exact"/>
      <w:outlineLvl w:val="3"/>
    </w:pPr>
    <w:rPr>
      <w:rFonts w:ascii="Tahoma" w:hAnsi="Tahoma"/>
      <w:b/>
      <w:sz w:val="24"/>
      <w:szCs w:val="24"/>
    </w:rPr>
  </w:style>
  <w:style w:type="paragraph" w:styleId="1489" w:customStyle="1">
    <w:name w:val="xl10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90" w:customStyle="1">
    <w:name w:val="此正文"/>
    <w:basedOn w:val="821"/>
    <w:uiPriority w:val="0"/>
    <w:qFormat/>
    <w:pPr>
      <w:ind w:firstLine="200"/>
      <w:spacing w:line="360" w:lineRule="auto"/>
    </w:pPr>
    <w:rPr>
      <w:sz w:val="24"/>
      <w:szCs w:val="24"/>
    </w:rPr>
  </w:style>
  <w:style w:type="paragraph" w:styleId="1491" w:customStyle="1">
    <w:name w:val="xl24251"/>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92" w:customStyle="1">
    <w:name w:val="xl25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93" w:customStyle="1">
    <w:name w:val="xl24264"/>
    <w:basedOn w:val="82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94" w:customStyle="1">
    <w:name w:val="style1"/>
    <w:basedOn w:val="821"/>
    <w:uiPriority w:val="0"/>
    <w:qFormat/>
    <w:pPr>
      <w:jc w:val="left"/>
      <w:spacing w:before="100" w:beforeAutospacing="1" w:after="100" w:afterAutospacing="1"/>
      <w:widowControl/>
    </w:pPr>
    <w:rPr>
      <w:rFonts w:ascii="宋体" w:hAnsi="宋体" w:cs="宋体"/>
      <w:sz w:val="24"/>
      <w:szCs w:val="24"/>
    </w:rPr>
  </w:style>
  <w:style w:type="paragraph" w:styleId="1495" w:customStyle="1">
    <w:name w:val="xl23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6" w:customStyle="1">
    <w:name w:val="正文文本缩进 21"/>
    <w:basedOn w:val="821"/>
    <w:uiPriority w:val="0"/>
    <w:qFormat/>
    <w:pPr>
      <w:ind w:left="-61" w:firstLine="458"/>
      <w:spacing w:line="360" w:lineRule="auto"/>
    </w:pPr>
    <w:rPr>
      <w:rFonts w:ascii="宋体" w:hAnsi="宋体"/>
      <w:sz w:val="20"/>
    </w:rPr>
  </w:style>
  <w:style w:type="paragraph" w:styleId="1497" w:customStyle="1">
    <w:name w:val="font9"/>
    <w:basedOn w:val="821"/>
    <w:uiPriority w:val="0"/>
    <w:qFormat/>
    <w:pPr>
      <w:jc w:val="left"/>
      <w:spacing w:before="100" w:beforeAutospacing="1" w:after="100" w:afterAutospacing="1"/>
      <w:widowControl/>
    </w:pPr>
    <w:rPr>
      <w:rFonts w:ascii="宋体" w:hAnsi="宋体" w:cs="宋体"/>
      <w:sz w:val="22"/>
      <w:szCs w:val="22"/>
    </w:rPr>
  </w:style>
  <w:style w:type="paragraph" w:styleId="1498" w:customStyle="1">
    <w:name w:val="多级符号2"/>
    <w:basedOn w:val="821"/>
    <w:uiPriority w:val="0"/>
    <w:qFormat/>
    <w:pPr>
      <w:ind w:left="420" w:hanging="420"/>
      <w:jc w:val="left"/>
      <w:spacing w:line="360" w:lineRule="auto"/>
    </w:pPr>
    <w:rPr>
      <w:rFonts w:eastAsia="仿宋_GB2312"/>
      <w:sz w:val="24"/>
      <w:szCs w:val="24"/>
    </w:rPr>
  </w:style>
  <w:style w:type="paragraph" w:styleId="1499" w:customStyle="1">
    <w:name w:val="xl126"/>
    <w:basedOn w:val="821"/>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500" w:customStyle="1">
    <w:name w:val="font7"/>
    <w:basedOn w:val="821"/>
    <w:uiPriority w:val="0"/>
    <w:qFormat/>
    <w:pPr>
      <w:jc w:val="left"/>
      <w:spacing w:before="100" w:beforeAutospacing="1" w:after="100" w:afterAutospacing="1"/>
      <w:widowControl/>
    </w:pPr>
    <w:rPr>
      <w:sz w:val="20"/>
    </w:rPr>
  </w:style>
  <w:style w:type="paragraph" w:styleId="1501" w:customStyle="1">
    <w:name w:val="xl4131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2" w:customStyle="1">
    <w:name w:val="xl24250"/>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03" w:customStyle="1">
    <w:name w:val="style2"/>
    <w:basedOn w:val="821"/>
    <w:uiPriority w:val="0"/>
    <w:qFormat/>
    <w:pPr>
      <w:jc w:val="left"/>
      <w:spacing w:before="100" w:beforeAutospacing="1" w:after="100" w:afterAutospacing="1"/>
      <w:widowControl/>
    </w:pPr>
    <w:rPr>
      <w:rFonts w:hint="eastAsia" w:ascii="宋体" w:hAnsi="宋体" w:cs="Arial Unicode MS"/>
      <w:sz w:val="18"/>
      <w:szCs w:val="18"/>
    </w:rPr>
  </w:style>
  <w:style w:type="paragraph" w:styleId="1504" w:customStyle="1">
    <w:name w:val="_Style 7"/>
    <w:basedOn w:val="821"/>
    <w:next w:val="821"/>
    <w:uiPriority w:val="0"/>
    <w:qFormat/>
    <w:pPr>
      <w:ind w:left="420" w:firstLine="420"/>
      <w:jc w:val="left"/>
      <w:spacing w:line="240" w:lineRule="atLeast"/>
    </w:pPr>
    <w:rPr>
      <w:sz w:val="20"/>
      <w:szCs w:val="21"/>
    </w:rPr>
  </w:style>
  <w:style w:type="paragraph" w:styleId="1505" w:customStyle="1">
    <w:name w:val="xl72"/>
    <w:basedOn w:val="821"/>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506" w:customStyle="1">
    <w:name w:val="xl86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7" w:customStyle="1">
    <w:name w:val="纯文本111"/>
    <w:basedOn w:val="821"/>
    <w:uiPriority w:val="0"/>
    <w:qFormat/>
    <w:rPr>
      <w:rFonts w:hint="eastAsia" w:ascii="宋体" w:hAnsi="Courier New" w:eastAsia="楷体_GB2312"/>
      <w:sz w:val="28"/>
    </w:rPr>
  </w:style>
  <w:style w:type="paragraph" w:styleId="1508" w:customStyle="1">
    <w:name w:val="xl8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9" w:customStyle="1">
    <w:name w:val="xl10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510" w:customStyle="1">
    <w:name w:val="Char Char Char Char Char Char Char Char Char Char Char Char Char Char Char Char1"/>
    <w:basedOn w:val="821"/>
    <w:uiPriority w:val="0"/>
    <w:qFormat/>
    <w:rPr>
      <w:rFonts w:ascii="Tahoma" w:hAnsi="Tahoma"/>
      <w:sz w:val="24"/>
      <w:szCs w:val="24"/>
    </w:rPr>
  </w:style>
  <w:style w:type="paragraph" w:styleId="1511" w:customStyle="1">
    <w:name w:val="4级方案标题"/>
    <w:basedOn w:val="821"/>
    <w:uiPriority w:val="0"/>
    <w:qFormat/>
    <w:pPr>
      <w:spacing w:before="100" w:beforeAutospacing="1" w:after="100" w:afterAutospacing="1" w:line="360" w:lineRule="auto"/>
      <w:outlineLvl w:val="3"/>
    </w:pPr>
    <w:rPr>
      <w:rFonts w:ascii="等线" w:hAnsi="等线"/>
      <w:b/>
      <w:sz w:val="24"/>
      <w:szCs w:val="28"/>
    </w:rPr>
  </w:style>
  <w:style w:type="paragraph" w:styleId="1512" w:customStyle="1">
    <w:name w:val="xl24245"/>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513" w:customStyle="1">
    <w:name w:val="xl123"/>
    <w:basedOn w:val="82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514" w:customStyle="1">
    <w:name w:val="TOC 标题11"/>
    <w:basedOn w:val="822"/>
    <w:next w:val="821"/>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515" w:customStyle="1">
    <w:name w:val="xl268"/>
    <w:basedOn w:val="8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516" w:customStyle="1">
    <w:name w:val="xl24237"/>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517" w:customStyle="1">
    <w:name w:val="列表内容"/>
    <w:basedOn w:val="821"/>
    <w:next w:val="821"/>
    <w:uiPriority w:val="0"/>
    <w:qFormat/>
    <w:pPr>
      <w:ind w:left="840" w:hanging="420"/>
      <w:jc w:val="left"/>
      <w:widowControl/>
      <w:tabs>
        <w:tab w:val="left" w:pos="840" w:leader="none"/>
      </w:tabs>
    </w:pPr>
    <w:rPr>
      <w:sz w:val="18"/>
      <w:szCs w:val="24"/>
    </w:rPr>
  </w:style>
  <w:style w:type="paragraph" w:styleId="1518" w:customStyle="1">
    <w:name w:val="xl22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9" w:customStyle="1">
    <w:name w:val="xl273"/>
    <w:basedOn w:val="8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520" w:customStyle="1">
    <w:name w:val="xl4132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1" w:customStyle="1">
    <w:name w:val="xl41330"/>
    <w:basedOn w:val="821"/>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2" w:customStyle="1">
    <w:name w:val="xl276"/>
    <w:basedOn w:val="821"/>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523" w:customStyle="1">
    <w:name w:val="标题3"/>
    <w:basedOn w:val="824"/>
    <w:uiPriority w:val="0"/>
    <w:qFormat/>
    <w:pPr>
      <w:jc w:val="both"/>
      <w:keepNext w:val="0"/>
      <w:spacing w:line="360" w:lineRule="auto"/>
    </w:pPr>
    <w:rPr>
      <w:rFonts w:ascii="Times New Roman" w:hAnsi="Times New Roman" w:eastAsia="仿宋_GB2312"/>
      <w:b/>
      <w:bCs/>
      <w:sz w:val="30"/>
      <w:szCs w:val="32"/>
    </w:rPr>
  </w:style>
  <w:style w:type="paragraph" w:styleId="1524" w:customStyle="1">
    <w:name w:val="xl95"/>
    <w:basedOn w:val="821"/>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525" w:customStyle="1">
    <w:name w:val="样式 正文缩进 + 首行缩进:  2 字符"/>
    <w:basedOn w:val="838"/>
    <w:uiPriority w:val="0"/>
    <w:qFormat/>
    <w:pPr>
      <w:ind w:firstLine="200"/>
      <w:jc w:val="left"/>
      <w:spacing w:line="360" w:lineRule="auto"/>
    </w:pPr>
    <w:rPr>
      <w:rFonts w:ascii="Calibri" w:hAnsi="Calibri" w:eastAsia="楷体_GB2312"/>
      <w:sz w:val="24"/>
      <w:szCs w:val="22"/>
    </w:rPr>
  </w:style>
  <w:style w:type="paragraph" w:styleId="1526" w:customStyle="1">
    <w:name w:val="xl22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7" w:customStyle="1">
    <w:name w:val="xl9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8" w:customStyle="1">
    <w:name w:val="xl251"/>
    <w:basedOn w:val="8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529" w:customStyle="1">
    <w:name w:val="样式2"/>
    <w:basedOn w:val="822"/>
    <w:uiPriority w:val="0"/>
    <w:qFormat/>
    <w:pPr>
      <w:jc w:val="both"/>
      <w:keepLines/>
      <w:spacing w:before="340" w:after="330" w:line="578" w:lineRule="atLeast"/>
      <w:tabs>
        <w:tab w:val="clear" w:pos="200" w:leader="none"/>
      </w:tabs>
    </w:pPr>
    <w:rPr>
      <w:bCs/>
      <w:sz w:val="44"/>
      <w:szCs w:val="44"/>
    </w:rPr>
  </w:style>
  <w:style w:type="paragraph" w:styleId="1530" w:customStyle="1">
    <w:name w:val="xl24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1" w:customStyle="1">
    <w:name w:val="xl26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32" w:customStyle="1">
    <w:name w:val="xl7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33" w:customStyle="1">
    <w:name w:val="Pa3"/>
    <w:basedOn w:val="821"/>
    <w:next w:val="821"/>
    <w:uiPriority w:val="0"/>
    <w:qFormat/>
    <w:pPr>
      <w:jc w:val="left"/>
      <w:spacing w:line="181" w:lineRule="atLeast"/>
    </w:pPr>
    <w:rPr>
      <w:rFonts w:ascii="微软雅黑." w:eastAsia="微软雅黑."/>
      <w:sz w:val="24"/>
      <w:szCs w:val="24"/>
    </w:rPr>
  </w:style>
  <w:style w:type="paragraph" w:styleId="1534" w:customStyle="1">
    <w:name w:val="xl97"/>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535" w:customStyle="1">
    <w:name w:val="xl24241"/>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36" w:customStyle="1">
    <w:name w:val="xl4129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37" w:customStyle="1">
    <w:name w:val="样式5"/>
    <w:basedOn w:val="883"/>
    <w:uiPriority w:val="0"/>
    <w:qFormat/>
    <w:rPr>
      <w:rFonts w:ascii="Arial" w:hAnsi="Arial" w:cs="Arial"/>
    </w:rPr>
  </w:style>
  <w:style w:type="paragraph" w:styleId="1538" w:customStyle="1">
    <w:name w:val="Char3"/>
    <w:basedOn w:val="821"/>
    <w:uiPriority w:val="0"/>
    <w:qFormat/>
    <w:rPr>
      <w:rFonts w:ascii="Tahoma" w:hAnsi="Tahoma"/>
      <w:sz w:val="24"/>
    </w:rPr>
  </w:style>
  <w:style w:type="paragraph" w:styleId="1539" w:customStyle="1">
    <w:name w:val="xl111"/>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540" w:customStyle="1">
    <w:name w:val="xl269"/>
    <w:basedOn w:val="821"/>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41" w:customStyle="1">
    <w:name w:val="xl22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2" w:customStyle="1">
    <w:name w:val="xl41335"/>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43" w:customStyle="1">
    <w:name w:val="xl6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44" w:customStyle="1">
    <w:name w:val="Plain Text2"/>
    <w:basedOn w:val="821"/>
    <w:uiPriority w:val="0"/>
    <w:qFormat/>
    <w:rPr>
      <w:rFonts w:ascii="宋体" w:hAnsi="Courier New" w:eastAsia="楷体_GB2312"/>
      <w:sz w:val="28"/>
    </w:rPr>
  </w:style>
  <w:style w:type="paragraph" w:styleId="1545" w:customStyle="1">
    <w:name w:val="段落正文 Char Char"/>
    <w:basedOn w:val="821"/>
    <w:uiPriority w:val="0"/>
    <w:qFormat/>
    <w:pPr>
      <w:ind w:firstLine="461"/>
      <w:spacing w:line="360" w:lineRule="auto"/>
    </w:pPr>
    <w:rPr>
      <w:rFonts w:ascii="宋体" w:hAnsi="宋体"/>
      <w:sz w:val="24"/>
      <w:szCs w:val="24"/>
    </w:rPr>
  </w:style>
  <w:style w:type="paragraph" w:styleId="1546" w:customStyle="1">
    <w:name w:val="南通方案正文"/>
    <w:basedOn w:val="821"/>
    <w:uiPriority w:val="0"/>
    <w:qFormat/>
    <w:pPr>
      <w:ind w:firstLine="480"/>
      <w:spacing w:line="360" w:lineRule="auto"/>
    </w:pPr>
    <w:rPr>
      <w:sz w:val="24"/>
    </w:rPr>
  </w:style>
  <w:style w:type="paragraph" w:styleId="1547" w:customStyle="1">
    <w:name w:val="xl135"/>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48" w:customStyle="1">
    <w:name w:val="Pa1"/>
    <w:basedOn w:val="821"/>
    <w:next w:val="821"/>
    <w:uiPriority w:val="0"/>
    <w:qFormat/>
    <w:pPr>
      <w:jc w:val="left"/>
      <w:spacing w:line="241" w:lineRule="atLeast"/>
    </w:pPr>
    <w:rPr>
      <w:rFonts w:ascii="华文细黑" w:eastAsia="华文细黑"/>
      <w:sz w:val="24"/>
      <w:szCs w:val="24"/>
    </w:rPr>
  </w:style>
  <w:style w:type="paragraph" w:styleId="1549" w:customStyle="1">
    <w:name w:val="xl2422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0" w:customStyle="1">
    <w:name w:val="xl23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1" w:customStyle="1">
    <w:name w:val="Char Char Char Char Char Char Char Char1 Char Char Char Char"/>
    <w:basedOn w:val="842"/>
    <w:uiPriority w:val="0"/>
    <w:qFormat/>
    <w:pPr>
      <w:spacing w:line="360" w:lineRule="auto"/>
    </w:pPr>
    <w:rPr>
      <w:rFonts w:eastAsia="楷体_GB2312"/>
      <w:sz w:val="28"/>
    </w:rPr>
  </w:style>
  <w:style w:type="paragraph" w:styleId="1552" w:customStyle="1">
    <w:name w:val="xl24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3" w:customStyle="1">
    <w:name w:val="xl24267"/>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554" w:customStyle="1">
    <w:name w:val="xl23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55" w:customStyle="1">
    <w:name w:val="xl27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556" w:customStyle="1">
    <w:name w:val="正文序号 3"/>
    <w:basedOn w:val="821"/>
    <w:uiPriority w:val="0"/>
    <w:qFormat/>
    <w:pPr>
      <w:ind w:left="1259" w:hanging="420"/>
      <w:spacing w:before="60"/>
      <w:tabs>
        <w:tab w:val="left" w:pos="1259" w:leader="none"/>
      </w:tabs>
    </w:pPr>
    <w:rPr>
      <w:szCs w:val="24"/>
    </w:rPr>
  </w:style>
  <w:style w:type="paragraph" w:styleId="1557" w:customStyle="1">
    <w:name w:val="xl41329"/>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58" w:customStyle="1">
    <w:name w:val="xl21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9" w:customStyle="1">
    <w:name w:val="xl24258"/>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60" w:customStyle="1">
    <w:name w:val="xl21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1" w:customStyle="1">
    <w:name w:val="xl75"/>
    <w:basedOn w:val="821"/>
    <w:uiPriority w:val="0"/>
    <w:qFormat/>
    <w:pPr>
      <w:jc w:val="left"/>
      <w:spacing w:before="100" w:beforeAutospacing="1" w:after="100" w:afterAutospacing="1"/>
      <w:widowControl/>
    </w:pPr>
    <w:rPr>
      <w:rFonts w:ascii="宋体" w:hAnsi="宋体" w:cs="宋体"/>
      <w:sz w:val="24"/>
      <w:szCs w:val="24"/>
    </w:rPr>
  </w:style>
  <w:style w:type="paragraph" w:styleId="1562" w:customStyle="1">
    <w:name w:val="msonormal"/>
    <w:basedOn w:val="821"/>
    <w:uiPriority w:val="0"/>
    <w:qFormat/>
    <w:pPr>
      <w:jc w:val="left"/>
      <w:spacing w:before="100" w:beforeAutospacing="1" w:after="100" w:afterAutospacing="1"/>
      <w:widowControl/>
    </w:pPr>
    <w:rPr>
      <w:rFonts w:ascii="宋体" w:hAnsi="宋体" w:cs="宋体"/>
      <w:sz w:val="24"/>
      <w:szCs w:val="24"/>
    </w:rPr>
  </w:style>
  <w:style w:type="paragraph" w:styleId="1563" w:customStyle="1">
    <w:name w:val="xl41298"/>
    <w:basedOn w:val="821"/>
    <w:uiPriority w:val="0"/>
    <w:qFormat/>
    <w:pPr>
      <w:jc w:val="left"/>
      <w:spacing w:before="100" w:beforeAutospacing="1" w:after="100" w:afterAutospacing="1"/>
      <w:widowControl/>
    </w:pPr>
    <w:rPr>
      <w:rFonts w:ascii="宋体" w:hAnsi="宋体" w:cs="宋体"/>
      <w:b/>
      <w:bCs/>
      <w:sz w:val="24"/>
      <w:szCs w:val="24"/>
    </w:rPr>
  </w:style>
  <w:style w:type="paragraph" w:styleId="1564" w:customStyle="1">
    <w:name w:val="Char Char2 Char Char"/>
    <w:basedOn w:val="821"/>
    <w:uiPriority w:val="0"/>
    <w:qFormat/>
    <w:rPr>
      <w:rFonts w:ascii="Tahoma" w:hAnsi="Tahoma"/>
      <w:sz w:val="24"/>
    </w:rPr>
  </w:style>
  <w:style w:type="paragraph" w:styleId="1565" w:customStyle="1">
    <w:name w:val="xl4132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6" w:customStyle="1">
    <w:name w:val="默认段落字体 Para Char Char Char Char"/>
    <w:basedOn w:val="821"/>
    <w:uiPriority w:val="0"/>
    <w:qFormat/>
    <w:rPr>
      <w:sz w:val="20"/>
      <w:szCs w:val="24"/>
    </w:rPr>
  </w:style>
  <w:style w:type="paragraph" w:styleId="1567" w:customStyle="1">
    <w:name w:val="xl41301"/>
    <w:basedOn w:val="821"/>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68" w:customStyle="1">
    <w:name w:val="纯文本21"/>
    <w:basedOn w:val="821"/>
    <w:uiPriority w:val="0"/>
    <w:qFormat/>
    <w:rPr>
      <w:rFonts w:ascii="宋体" w:hAnsi="Courier New" w:eastAsia="楷体_GB2312"/>
      <w:sz w:val="26"/>
    </w:rPr>
  </w:style>
  <w:style w:type="paragraph" w:styleId="1569" w:customStyle="1">
    <w:name w:val="Bullet"/>
    <w:basedOn w:val="821"/>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70" w:customStyle="1">
    <w:name w:val="xl8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71" w:customStyle="1">
    <w:name w:val="Char Char1 Char"/>
    <w:basedOn w:val="842"/>
    <w:uiPriority w:val="0"/>
    <w:qFormat/>
    <w:pPr>
      <w:spacing w:line="360" w:lineRule="auto"/>
    </w:pPr>
    <w:rPr>
      <w:rFonts w:ascii="Tahoma" w:hAnsi="Tahoma"/>
      <w:sz w:val="24"/>
      <w:szCs w:val="24"/>
    </w:rPr>
  </w:style>
  <w:style w:type="paragraph" w:styleId="1572" w:customStyle="1">
    <w:name w:val="xl41294"/>
    <w:basedOn w:val="821"/>
    <w:uiPriority w:val="0"/>
    <w:qFormat/>
    <w:pPr>
      <w:jc w:val="left"/>
      <w:spacing w:before="100" w:beforeAutospacing="1" w:after="100" w:afterAutospacing="1"/>
      <w:widowControl/>
    </w:pPr>
    <w:rPr>
      <w:rFonts w:ascii="宋体" w:hAnsi="宋体" w:cs="宋体"/>
      <w:b/>
      <w:bCs/>
      <w:sz w:val="24"/>
      <w:szCs w:val="24"/>
    </w:rPr>
  </w:style>
  <w:style w:type="paragraph" w:styleId="1573" w:customStyle="1">
    <w:name w:val="xl24226"/>
    <w:basedOn w:val="821"/>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74" w:customStyle="1">
    <w:name w:val="Char Char1 Char Char Char Char Char Char Char1"/>
    <w:basedOn w:val="821"/>
    <w:uiPriority w:val="0"/>
    <w:qFormat/>
    <w:rPr>
      <w:rFonts w:ascii="Tahoma" w:hAnsi="Tahoma"/>
      <w:sz w:val="24"/>
    </w:rPr>
  </w:style>
  <w:style w:type="paragraph" w:styleId="1575" w:customStyle="1">
    <w:name w:val="xl26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76" w:customStyle="1">
    <w:name w:val="xl4131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7" w:customStyle="1">
    <w:name w:val="xl24262"/>
    <w:basedOn w:val="821"/>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578" w:customStyle="1">
    <w:name w:val="xl218"/>
    <w:basedOn w:val="821"/>
    <w:uiPriority w:val="0"/>
    <w:qFormat/>
    <w:pPr>
      <w:jc w:val="left"/>
      <w:spacing w:before="100" w:beforeAutospacing="1" w:after="100" w:afterAutospacing="1"/>
      <w:widowControl/>
    </w:pPr>
    <w:rPr>
      <w:rFonts w:ascii="宋体" w:hAnsi="宋体" w:cs="宋体"/>
      <w:sz w:val="24"/>
      <w:szCs w:val="24"/>
    </w:rPr>
  </w:style>
  <w:style w:type="paragraph" w:styleId="1579" w:customStyle="1">
    <w:name w:val="xl106"/>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580" w:customStyle="1">
    <w:name w:val="xl2425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81" w:customStyle="1">
    <w:name w:val="xl22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2" w:customStyle="1">
    <w:name w:val="xl24266"/>
    <w:basedOn w:val="82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83" w:customStyle="1">
    <w:name w:val="xl24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4" w:customStyle="1">
    <w:name w:val="xl23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5" w:customStyle="1">
    <w:name w:val="reader-word-layer reader-word-s7-11"/>
    <w:basedOn w:val="821"/>
    <w:uiPriority w:val="0"/>
    <w:qFormat/>
    <w:pPr>
      <w:jc w:val="left"/>
      <w:spacing w:before="100" w:beforeAutospacing="1" w:after="100" w:afterAutospacing="1"/>
      <w:widowControl/>
    </w:pPr>
    <w:rPr>
      <w:rFonts w:ascii="宋体" w:hAnsi="宋体" w:cs="宋体"/>
      <w:sz w:val="24"/>
      <w:szCs w:val="24"/>
    </w:rPr>
  </w:style>
  <w:style w:type="paragraph" w:styleId="1586" w:customStyle="1">
    <w:name w:val="xl4131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7" w:customStyle="1">
    <w:name w:val="xl41300"/>
    <w:basedOn w:val="821"/>
    <w:uiPriority w:val="0"/>
    <w:qFormat/>
    <w:pPr>
      <w:jc w:val="center"/>
      <w:spacing w:before="100" w:beforeAutospacing="1" w:after="100" w:afterAutospacing="1"/>
      <w:widowControl/>
    </w:pPr>
    <w:rPr>
      <w:rFonts w:ascii="宋体" w:hAnsi="宋体" w:cs="宋体"/>
      <w:sz w:val="24"/>
      <w:szCs w:val="24"/>
    </w:rPr>
  </w:style>
  <w:style w:type="paragraph" w:styleId="1588" w:customStyle="1">
    <w:name w:val="Char Char Char1"/>
    <w:basedOn w:val="821"/>
    <w:uiPriority w:val="0"/>
    <w:qFormat/>
    <w:pPr>
      <w:ind w:left="375" w:hanging="375"/>
      <w:tabs>
        <w:tab w:val="left" w:pos="375" w:leader="none"/>
        <w:tab w:val="left" w:pos="1545" w:leader="none"/>
      </w:tabs>
    </w:pPr>
  </w:style>
  <w:style w:type="paragraph" w:styleId="1589" w:customStyle="1">
    <w:name w:val="Pa8"/>
    <w:basedOn w:val="821"/>
    <w:next w:val="821"/>
    <w:uiPriority w:val="0"/>
    <w:qFormat/>
    <w:pPr>
      <w:jc w:val="left"/>
      <w:spacing w:line="481" w:lineRule="atLeast"/>
    </w:pPr>
    <w:rPr>
      <w:rFonts w:ascii="微软雅黑." w:eastAsia="微软雅黑."/>
      <w:sz w:val="24"/>
      <w:szCs w:val="24"/>
    </w:rPr>
  </w:style>
  <w:style w:type="paragraph" w:styleId="1590" w:customStyle="1">
    <w:name w:val="Char Char Char Char1"/>
    <w:basedOn w:val="842"/>
    <w:uiPriority w:val="0"/>
    <w:qFormat/>
    <w:pPr>
      <w:spacing w:line="360" w:lineRule="auto"/>
    </w:pPr>
    <w:rPr>
      <w:rFonts w:ascii="Tahoma" w:hAnsi="Tahoma"/>
      <w:sz w:val="24"/>
      <w:szCs w:val="24"/>
    </w:rPr>
  </w:style>
  <w:style w:type="paragraph" w:styleId="1591" w:customStyle="1">
    <w:name w:val="xl8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92" w:customStyle="1">
    <w:name w:val="_Style 12"/>
    <w:basedOn w:val="842"/>
    <w:uiPriority w:val="0"/>
    <w:qFormat/>
    <w:pPr>
      <w:jc w:val="left"/>
      <w:spacing w:line="360" w:lineRule="auto"/>
      <w:widowControl/>
    </w:pPr>
    <w:rPr>
      <w:sz w:val="24"/>
      <w:szCs w:val="24"/>
    </w:rPr>
  </w:style>
  <w:style w:type="paragraph" w:styleId="1593" w:customStyle="1">
    <w:name w:val="xl258"/>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4" w:customStyle="1">
    <w:name w:val="xl41336"/>
    <w:basedOn w:val="821"/>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95" w:customStyle="1">
    <w:name w:val="xl24263"/>
    <w:basedOn w:val="82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96" w:customStyle="1">
    <w:name w:val="xl41334"/>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97" w:customStyle="1">
    <w:name w:val="xl2423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8" w:customStyle="1">
    <w:name w:val="Table Text"/>
    <w:basedOn w:val="821"/>
    <w:uiPriority w:val="0"/>
    <w:qFormat/>
    <w:pPr>
      <w:jc w:val="left"/>
      <w:widowControl/>
      <w:tabs>
        <w:tab w:val="decimal" w:pos="0" w:leader="none"/>
      </w:tabs>
    </w:pPr>
    <w:rPr>
      <w:rFonts w:eastAsia="Times New Roman"/>
      <w:sz w:val="20"/>
      <w:lang w:eastAsia="en-US"/>
    </w:rPr>
  </w:style>
  <w:style w:type="paragraph" w:styleId="1599" w:customStyle="1">
    <w:name w:val="xl41308"/>
    <w:basedOn w:val="8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600" w:customStyle="1">
    <w:name w:val="xl4130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01" w:customStyle="1">
    <w:name w:val="xl41296"/>
    <w:basedOn w:val="821"/>
    <w:uiPriority w:val="0"/>
    <w:qFormat/>
    <w:pPr>
      <w:jc w:val="center"/>
      <w:spacing w:before="100" w:beforeAutospacing="1" w:after="100" w:afterAutospacing="1"/>
      <w:widowControl/>
    </w:pPr>
    <w:rPr>
      <w:rFonts w:ascii="宋体" w:hAnsi="宋体" w:cs="宋体"/>
      <w:sz w:val="24"/>
      <w:szCs w:val="24"/>
    </w:rPr>
  </w:style>
  <w:style w:type="paragraph" w:styleId="1602" w:customStyle="1">
    <w:name w:val="xl25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03" w:customStyle="1">
    <w:name w:val="正文序号 1"/>
    <w:basedOn w:val="821"/>
    <w:uiPriority w:val="0"/>
    <w:qFormat/>
    <w:pPr>
      <w:ind w:left="839" w:hanging="419"/>
      <w:spacing w:before="60"/>
      <w:tabs>
        <w:tab w:val="left" w:pos="839" w:leader="none"/>
      </w:tabs>
    </w:pPr>
    <w:rPr>
      <w:szCs w:val="24"/>
    </w:rPr>
  </w:style>
  <w:style w:type="paragraph" w:styleId="1604" w:customStyle="1">
    <w:name w:val="xl23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5" w:customStyle="1">
    <w:name w:val="xl70"/>
    <w:basedOn w:val="8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06" w:customStyle="1">
    <w:name w:val="样式 样式 标题 2 + (中文) 宋体 小四 非加粗 段前: 0 磅 段后: 0 磅 行距: 单倍行距 + 行距: 固定值 2..."/>
    <w:basedOn w:val="821"/>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607" w:customStyle="1">
    <w:name w:val="样式 表格正文 + 两端对齐"/>
    <w:basedOn w:val="821"/>
    <w:uiPriority w:val="0"/>
    <w:qFormat/>
    <w:pPr>
      <w:spacing w:line="300" w:lineRule="auto"/>
    </w:pPr>
    <w:rPr>
      <w:sz w:val="24"/>
    </w:rPr>
  </w:style>
  <w:style w:type="paragraph" w:styleId="1608" w:customStyle="1">
    <w:name w:val="xl25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9" w:customStyle="1">
    <w:name w:val="样式 标题 3 + 小四 非加粗 段前: 0 磅 段后: 0 磅 行距: 单倍行距"/>
    <w:basedOn w:val="824"/>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610" w:customStyle="1">
    <w:name w:val="_Style 610"/>
    <w:basedOn w:val="822"/>
    <w:next w:val="821"/>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611" w:customStyle="1">
    <w:name w:val="xl24260"/>
    <w:basedOn w:val="82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612" w:customStyle="1">
    <w:name w:val="xl41314"/>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613" w:customStyle="1">
    <w:name w:val="Andy_一级"/>
    <w:basedOn w:val="1190"/>
    <w:uiPriority w:val="0"/>
    <w:qFormat/>
    <w:pPr>
      <w:ind w:left="360" w:hanging="360"/>
      <w:keepNext/>
      <w:tabs>
        <w:tab w:val="left" w:pos="360" w:leader="none"/>
      </w:tabs>
    </w:pPr>
    <w:rPr>
      <w:rFonts w:ascii="Times New Roman" w:hAnsi="Times New Roman"/>
      <w:b/>
      <w:szCs w:val="22"/>
    </w:rPr>
  </w:style>
  <w:style w:type="paragraph" w:styleId="1614" w:customStyle="1">
    <w:name w:val="xl25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15" w:customStyle="1">
    <w:name w:val="正文序号 2"/>
    <w:basedOn w:val="821"/>
    <w:uiPriority w:val="0"/>
    <w:qFormat/>
    <w:pPr>
      <w:ind w:left="1049" w:hanging="420"/>
      <w:spacing w:before="60"/>
      <w:tabs>
        <w:tab w:val="left" w:pos="1049" w:leader="none"/>
      </w:tabs>
    </w:pPr>
    <w:rPr>
      <w:szCs w:val="24"/>
    </w:rPr>
  </w:style>
  <w:style w:type="paragraph" w:styleId="1616" w:customStyle="1">
    <w:name w:val="xl24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17" w:customStyle="1">
    <w:name w:val="xl250"/>
    <w:basedOn w:val="8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18" w:customStyle="1">
    <w:name w:val="xl4132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19" w:customStyle="1">
    <w:name w:val="xl6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20" w:customStyle="1">
    <w:name w:val="样式1"/>
    <w:basedOn w:val="821"/>
    <w:uiPriority w:val="0"/>
    <w:qFormat/>
    <w:pPr>
      <w:ind w:left="709" w:hanging="709"/>
      <w:tabs>
        <w:tab w:val="left" w:pos="709" w:leader="none"/>
      </w:tabs>
    </w:pPr>
    <w:rPr>
      <w:rFonts w:ascii="宋体" w:hAnsi="宋体"/>
      <w:szCs w:val="21"/>
    </w:rPr>
  </w:style>
  <w:style w:type="paragraph" w:styleId="1621" w:customStyle="1">
    <w:name w:val="xl24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22" w:customStyle="1">
    <w:name w:val="xl9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623" w:customStyle="1">
    <w:name w:val="xl2426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624" w:customStyle="1">
    <w:name w:val="正文首行缩进两字符"/>
    <w:basedOn w:val="821"/>
    <w:uiPriority w:val="0"/>
    <w:qFormat/>
    <w:pPr>
      <w:ind w:firstLine="200"/>
      <w:spacing w:line="360" w:lineRule="auto"/>
    </w:pPr>
    <w:rPr>
      <w:szCs w:val="24"/>
    </w:rPr>
  </w:style>
  <w:style w:type="paragraph" w:styleId="1625" w:customStyle="1">
    <w:name w:val="xl2427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26" w:customStyle="1">
    <w:name w:val="正文 New New New New"/>
    <w:uiPriority w:val="0"/>
    <w:qFormat/>
    <w:pPr>
      <w:jc w:val="both"/>
      <w:widowControl w:val="off"/>
    </w:pPr>
    <w:rPr>
      <w:rFonts w:hint="default" w:ascii="Times New Roman" w:hAnsi="Times New Roman" w:eastAsia="Arial Unicode MS" w:cs="Arial Unicode MS"/>
      <w:color w:val="000000"/>
      <w:lang w:val="en-US" w:eastAsia="zh-CN" w:bidi="ar-SA"/>
    </w:rPr>
  </w:style>
  <w:style w:type="paragraph" w:styleId="1627" w:customStyle="1">
    <w:name w:val="缩正文"/>
    <w:basedOn w:val="886"/>
    <w:uiPriority w:val="0"/>
    <w:qFormat/>
    <w:pPr>
      <w:ind w:left="2268" w:firstLine="0"/>
    </w:pPr>
    <w:rPr>
      <w:szCs w:val="20"/>
    </w:rPr>
  </w:style>
  <w:style w:type="paragraph" w:styleId="1628" w:customStyle="1">
    <w:name w:val="xl26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29" w:customStyle="1">
    <w:name w:val="tabletext"/>
    <w:basedOn w:val="821"/>
    <w:uiPriority w:val="0"/>
    <w:qFormat/>
    <w:pPr>
      <w:jc w:val="left"/>
      <w:spacing w:before="100" w:beforeAutospacing="1" w:after="100" w:afterAutospacing="1"/>
      <w:widowControl/>
    </w:pPr>
    <w:rPr>
      <w:rFonts w:ascii="宋体" w:hAnsi="宋体" w:cs="宋体"/>
      <w:sz w:val="24"/>
      <w:szCs w:val="24"/>
    </w:rPr>
  </w:style>
  <w:style w:type="paragraph" w:styleId="1630" w:customStyle="1">
    <w:name w:val="xl277"/>
    <w:basedOn w:val="821"/>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631" w:customStyle="1">
    <w:name w:val="xl26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32" w:customStyle="1">
    <w:name w:val="xl4130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633" w:customStyle="1">
    <w:name w:val="正文文本缩进 字符2"/>
    <w:uiPriority w:val="0"/>
    <w:qFormat/>
    <w:rPr>
      <w:rFonts w:ascii="宋体" w:eastAsia="宋体"/>
      <w:sz w:val="28"/>
      <w:lang w:val="en-US" w:eastAsia="zh-CN" w:bidi="ar-SA"/>
    </w:rPr>
  </w:style>
  <w:style w:type="character" w:styleId="1634" w:customStyle="1">
    <w:name w:val="正文缩进 Char2"/>
    <w:uiPriority w:val="0"/>
    <w:qFormat/>
    <w:rPr>
      <w:sz w:val="21"/>
    </w:rPr>
  </w:style>
  <w:style w:type="paragraph" w:styleId="1635" w:customStyle="1">
    <w:name w:val="修订2"/>
    <w:hidden/>
    <w:uiPriority w:val="99"/>
    <w:semiHidden/>
    <w:qFormat/>
    <w:rPr>
      <w:rFonts w:hint="default" w:ascii="Times New Roman" w:hAnsi="Times New Roman" w:eastAsia="宋体" w:cs="Times New Roman"/>
      <w:sz w:val="21"/>
      <w:lang w:val="en-US" w:eastAsia="zh-CN" w:bidi="ar-SA"/>
    </w:rPr>
  </w:style>
  <w:style w:type="character" w:styleId="1636" w:customStyle="1">
    <w:name w:val="普通(网站) 字符"/>
    <w:link w:val="881"/>
    <w:uiPriority w:val="99"/>
    <w:qFormat/>
    <w:rPr>
      <w:rFonts w:ascii="宋体" w:hAnsi="宋体" w:eastAsia="楷体_GB2312" w:cs="宋体"/>
      <w:sz w:val="24"/>
    </w:rPr>
  </w:style>
  <w:style w:type="character" w:styleId="1637" w:customStyle="1">
    <w:name w:val="4级 Char"/>
    <w:link w:val="1638"/>
    <w:uiPriority w:val="0"/>
    <w:qFormat/>
    <w:rPr>
      <w:rFonts w:ascii="Cambria" w:hAnsi="Cambria" w:eastAsia="黑体"/>
      <w:b/>
      <w:caps/>
      <w:spacing w:val="10"/>
      <w:sz w:val="30"/>
      <w:szCs w:val="22"/>
      <w:lang w:eastAsia="en-US" w:bidi="en-US"/>
    </w:rPr>
  </w:style>
  <w:style w:type="paragraph" w:styleId="1638" w:customStyle="1">
    <w:name w:val="4级"/>
    <w:basedOn w:val="825"/>
    <w:next w:val="821"/>
    <w:link w:val="1637"/>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639" w:customStyle="1">
    <w:name w:val="首行缩进"/>
    <w:basedOn w:val="821"/>
    <w:uiPriority w:val="0"/>
    <w:qFormat/>
    <w:pPr>
      <w:ind w:firstLine="480"/>
    </w:pPr>
    <w:rPr>
      <w:lang w:val="zh-CN"/>
    </w:rPr>
  </w:style>
  <w:style w:type="character" w:styleId="1640" w:customStyle="1">
    <w:name w:val="font71"/>
    <w:basedOn w:val="831"/>
    <w:uiPriority w:val="0"/>
    <w:qFormat/>
    <w:rPr>
      <w:rFonts w:hint="eastAsia" w:ascii="宋体" w:hAnsi="宋体" w:eastAsia="宋体" w:cs="宋体"/>
      <w:b/>
      <w:bCs/>
      <w:color w:val="000000"/>
      <w:sz w:val="20"/>
      <w:szCs w:val="20"/>
      <w:u w:val="none"/>
    </w:rPr>
  </w:style>
  <w:style w:type="paragraph" w:styleId="1641"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642" w:customStyle="1">
    <w:name w:val="修订3"/>
    <w:hidden/>
    <w:uiPriority w:val="99"/>
    <w:semiHidden/>
    <w:qFormat/>
    <w:rPr>
      <w:rFonts w:hint="default" w:ascii="Times New Roman" w:hAnsi="Times New Roman" w:eastAsia="宋体" w:cs="Times New Roman"/>
      <w:sz w:val="21"/>
      <w:lang w:val="en-US" w:eastAsia="zh-CN" w:bidi="ar-SA"/>
    </w:rPr>
  </w:style>
  <w:style w:type="paragraph" w:styleId="1643" w:customStyle="1">
    <w:name w:val="纯文本10"/>
    <w:basedOn w:val="821"/>
    <w:uiPriority w:val="0"/>
    <w:qFormat/>
    <w:rPr>
      <w:rFonts w:ascii="宋体" w:hAnsi="Courier New" w:eastAsia="楷体_GB2312"/>
      <w:sz w:val="28"/>
      <w:lang w:val="zh-CN"/>
    </w:rPr>
  </w:style>
  <w:style w:type="paragraph" w:styleId="1644" w:customStyle="1">
    <w:name w:val="Body text|2"/>
    <w:basedOn w:val="821"/>
    <w:uiPriority w:val="0"/>
    <w:qFormat/>
    <w:pPr>
      <w:ind w:firstLine="400"/>
      <w:spacing w:line="480" w:lineRule="auto"/>
    </w:pPr>
    <w:rPr>
      <w:rFonts w:ascii="宋体" w:hAnsi="宋体" w:cs="宋体"/>
      <w:sz w:val="22"/>
      <w:szCs w:val="22"/>
      <w:lang w:val="zh-TW" w:eastAsia="zh-TW" w:bidi="zh-TW"/>
    </w:rPr>
  </w:style>
  <w:style w:type="paragraph" w:styleId="1645" w:customStyle="1">
    <w:name w:val="Char12"/>
    <w:basedOn w:val="821"/>
    <w:uiPriority w:val="0"/>
    <w:qFormat/>
    <w:pPr>
      <w:numPr>
        <w:ilvl w:val="1"/>
        <w:numId w:val="1"/>
      </w:numPr>
      <w:ind w:left="0"/>
      <w:jc w:val="left"/>
    </w:pPr>
    <w:rPr>
      <w:rFonts w:ascii="仿宋_GB2312" w:eastAsia="仿宋_GB2312"/>
      <w:b/>
      <w:sz w:val="32"/>
      <w:szCs w:val="32"/>
    </w:rPr>
  </w:style>
  <w:style w:type="paragraph" w:styleId="1646" w:customStyle="1">
    <w:name w:val="正文空2格  1."/>
    <w:basedOn w:val="821"/>
    <w:uiPriority w:val="0"/>
    <w:qFormat/>
    <w:pPr>
      <w:ind w:firstLine="480"/>
      <w:spacing w:line="360" w:lineRule="auto"/>
    </w:pPr>
    <w:rPr>
      <w:rFonts w:hint="eastAsia" w:ascii="宋体" w:eastAsia="仿宋"/>
      <w:sz w:val="28"/>
    </w:rPr>
  </w:style>
  <w:style w:type="paragraph" w:styleId="1647" w:customStyle="1">
    <w:name w:val="纯文本6"/>
    <w:basedOn w:val="821"/>
    <w:uiPriority w:val="0"/>
    <w:qFormat/>
    <w:rPr>
      <w:rFonts w:hAnsi="Courier New" w:eastAsia="楷体_GB2312"/>
      <w:sz w:val="26"/>
    </w:rPr>
  </w:style>
  <w:style w:type="character" w:styleId="1648" w:customStyle="1">
    <w:name w:val="NormalCharacter"/>
    <w:uiPriority w:val="0"/>
    <w:qFormat/>
  </w:style>
  <w:style w:type="paragraph" w:styleId="1649" w:customStyle="1">
    <w:name w:val="标题 11"/>
    <w:basedOn w:val="821"/>
    <w:next w:val="821"/>
    <w:uiPriority w:val="0"/>
    <w:qFormat/>
    <w:pPr>
      <w:keepLines/>
      <w:keepNext/>
      <w:spacing w:before="340" w:after="330" w:line="578" w:lineRule="auto"/>
      <w:outlineLvl w:val="0"/>
    </w:pPr>
    <w:rPr>
      <w:b/>
      <w:bCs/>
      <w:sz w:val="44"/>
      <w:szCs w:val="44"/>
    </w:rPr>
  </w:style>
  <w:style w:type="paragraph" w:styleId="1650" w:customStyle="1">
    <w:name w:val="正文文本缩进1"/>
    <w:basedOn w:val="821"/>
    <w:uiPriority w:val="0"/>
    <w:qFormat/>
    <w:pPr>
      <w:ind w:firstLine="425"/>
      <w:spacing w:line="360" w:lineRule="auto"/>
    </w:pPr>
    <w:rPr>
      <w:sz w:val="24"/>
    </w:rPr>
  </w:style>
  <w:style w:type="paragraph" w:styleId="1651" w:customStyle="1">
    <w:name w:val="列出段落111"/>
    <w:basedOn w:val="821"/>
    <w:uiPriority w:val="0"/>
    <w:qFormat/>
    <w:pPr>
      <w:ind w:firstLine="420"/>
      <w:spacing w:line="360" w:lineRule="auto"/>
    </w:pPr>
    <w:rPr>
      <w:rFonts w:ascii="Calibri" w:hAnsi="Calibri"/>
      <w:szCs w:val="22"/>
    </w:rPr>
  </w:style>
  <w:style w:type="paragraph" w:styleId="16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653" w:customStyle="1">
    <w:name w:val="正文文本，"/>
    <w:basedOn w:val="821"/>
    <w:uiPriority w:val="0"/>
    <w:qFormat/>
    <w:pPr>
      <w:ind w:firstLine="480"/>
      <w:spacing w:line="360" w:lineRule="auto"/>
    </w:pPr>
    <w:rPr>
      <w:rFonts w:ascii="华文中宋" w:hAnsi="华文中宋" w:eastAsia="华文中宋" w:cs="宋体"/>
      <w:sz w:val="24"/>
      <w:szCs w:val="24"/>
    </w:rPr>
  </w:style>
  <w:style w:type="table" w:styleId="1654" w:customStyle="1">
    <w:name w:val="Table Normal1"/>
    <w:uiPriority w:val="0"/>
    <w:qFormat/>
    <w:tblPr>
      <w:tblCellMar>
        <w:left w:w="0" w:type="dxa"/>
        <w:top w:w="0" w:type="dxa"/>
        <w:right w:w="0" w:type="dxa"/>
        <w:bottom w:w="0" w:type="dxa"/>
      </w:tblCellMar>
    </w:tblPr>
  </w:style>
  <w:style w:type="table" w:styleId="1655" w:customStyle="1">
    <w:name w:val="Table Normal"/>
    <w:uiPriority w:val="0"/>
    <w:unhideWhenUsed/>
    <w:qFormat/>
    <w:pPr>
      <w:widowControl w:val="off"/>
    </w:pPr>
    <w:rPr>
      <w:rFonts w:ascii="Arial" w:hAnsi="Arial"/>
      <w:sz w:val="22"/>
      <w:szCs w:val="22"/>
      <w:lang w:eastAsia="en-US"/>
    </w:rPr>
    <w:tblPr>
      <w:tblCellMar>
        <w:left w:w="0" w:type="dxa"/>
        <w:top w:w="0" w:type="dxa"/>
        <w:right w:w="0" w:type="dxa"/>
        <w:bottom w:w="0" w:type="dxa"/>
      </w:tblCellMar>
    </w:tblPr>
  </w:style>
  <w:style w:type="character" w:styleId="1656" w:customStyle="1">
    <w:name w:val="18"/>
    <w:basedOn w:val="831"/>
    <w:uiPriority w:val="0"/>
    <w:qFormat/>
    <w:rPr>
      <w:rFonts w:hint="default" w:ascii="Calibri" w:hAnsi="Calibri" w:eastAsia="宋体" w:cs="Times New Roman"/>
      <w:sz w:val="21"/>
      <w:szCs w:val="21"/>
    </w:rPr>
  </w:style>
  <w:style w:type="character" w:styleId="1657" w:customStyle="1">
    <w:name w:val="10"/>
    <w:basedOn w:val="831"/>
    <w:uiPriority w:val="0"/>
    <w:qFormat/>
    <w:rPr>
      <w:rFonts w:hint="default" w:ascii="Times New Roman" w:hAnsi="Times New Roman" w:cs="Times New Roman"/>
    </w:rPr>
  </w:style>
  <w:style w:type="character" w:styleId="1658" w:customStyle="1">
    <w:name w:val="15"/>
    <w:basedOn w:val="831"/>
    <w:uiPriority w:val="0"/>
    <w:qFormat/>
    <w:rPr>
      <w:rFonts w:hint="default" w:ascii="Symbol" w:hAnsi="Symbol" w:cs="Symbol"/>
      <w:color w:val="000000"/>
      <w:sz w:val="20"/>
      <w:szCs w:val="20"/>
    </w:rPr>
  </w:style>
  <w:style w:type="character" w:styleId="1659" w:customStyle="1">
    <w:name w:val="17"/>
    <w:basedOn w:val="831"/>
    <w:uiPriority w:val="0"/>
    <w:qFormat/>
    <w:rPr>
      <w:rFonts w:hint="eastAsia" w:ascii="宋体" w:hAnsi="宋体" w:eastAsia="宋体" w:cs="宋体"/>
      <w:color w:val="000000"/>
      <w:sz w:val="20"/>
      <w:szCs w:val="20"/>
    </w:rPr>
  </w:style>
  <w:style w:type="character" w:styleId="1660" w:customStyle="1">
    <w:name w:val="16"/>
    <w:basedOn w:val="831"/>
    <w:uiPriority w:val="0"/>
    <w:qFormat/>
    <w:rPr>
      <w:rFonts w:hint="default" w:ascii="Times New Roman" w:hAnsi="Times New Roman" w:cs="Times New Roman"/>
    </w:rPr>
  </w:style>
  <w:style w:type="character" w:styleId="1661" w:customStyle="1">
    <w:name w:val="19"/>
    <w:basedOn w:val="831"/>
    <w:uiPriority w:val="0"/>
    <w:qFormat/>
    <w:rPr>
      <w:rFonts w:hint="default" w:ascii="Times New Roman" w:hAnsi="Times New Roman" w:cs="Times New Roman"/>
      <w:color w:val="000000"/>
      <w:sz w:val="20"/>
      <w:szCs w:val="20"/>
    </w:rPr>
  </w:style>
  <w:style w:type="character" w:styleId="1662" w:customStyle="1">
    <w:name w:val="20"/>
    <w:basedOn w:val="831"/>
    <w:uiPriority w:val="0"/>
    <w:qFormat/>
    <w:rPr>
      <w:rFonts w:hint="eastAsia" w:ascii="宋体" w:hAnsi="宋体" w:eastAsia="宋体" w:cs="宋体"/>
      <w:color w:val="000000"/>
      <w:sz w:val="22"/>
      <w:szCs w:val="22"/>
    </w:rPr>
  </w:style>
  <w:style w:type="paragraph" w:styleId="1663" w:customStyle="1">
    <w:name w:val="页脚1"/>
    <w:uiPriority w:val="99"/>
    <w:qFormat/>
    <w:pPr>
      <w:widowControl w:val="off"/>
      <w:tabs>
        <w:tab w:val="center" w:pos="4153" w:leader="none"/>
        <w:tab w:val="right" w:pos="8306" w:leader="none"/>
      </w:tabs>
    </w:pPr>
    <w:rPr>
      <w:rFonts w:hint="default" w:ascii="Times New Roman" w:hAnsi="Times New Roman" w:eastAsia="宋体" w:cs="Times New Roman"/>
      <w:sz w:val="18"/>
      <w:lang w:val="en-US" w:eastAsia="zh-CN" w:bidi="ar-SA"/>
    </w:rPr>
  </w:style>
  <w:style w:type="table" w:styleId="1664" w:customStyle="1">
    <w:name w:val="网格型1"/>
    <w:uiPriority w:val="39"/>
    <w:qFormat/>
    <w:tblPr>
      <w:tblCellMar>
        <w:left w:w="0" w:type="dxa"/>
        <w:top w:w="0" w:type="dxa"/>
        <w:right w:w="0" w:type="dxa"/>
        <w:bottom w:w="0" w:type="dxa"/>
      </w:tblCellMar>
    </w:tblPr>
  </w:style>
  <w:style w:type="table" w:styleId="1665" w:customStyle="1">
    <w:name w:val="普通表格1"/>
    <w:uiPriority w:val="99"/>
    <w:unhideWhenUsed/>
    <w:qFormat/>
    <w:tblPr>
      <w:tblCellMar>
        <w:left w:w="0" w:type="dxa"/>
        <w:top w:w="0" w:type="dxa"/>
        <w:right w:w="0" w:type="dxa"/>
        <w:bottom w:w="0" w:type="dxa"/>
      </w:tblCellMar>
    </w:tblPr>
  </w:style>
  <w:style w:type="paragraph" w:styleId="1666" w:customStyle="1">
    <w:name w:val="正文文本11"/>
    <w:next w:val="821"/>
    <w:uiPriority w:val="0"/>
    <w:qFormat/>
    <w:pPr>
      <w:jc w:val="both"/>
      <w:widowControl w:val="off"/>
    </w:pPr>
    <w:rPr>
      <w:rFonts w:hint="default" w:ascii="楷体_GB2312" w:hAnsi="宋体" w:eastAsia="楷体_GB2312" w:cs="宋体"/>
      <w:sz w:val="28"/>
      <w:szCs w:val="28"/>
      <w:lang w:val="en-US" w:eastAsia="zh-CN" w:bidi="ar-SA"/>
    </w:rPr>
  </w:style>
  <w:style w:type="paragraph" w:styleId="1667" w:customStyle="1">
    <w:name w:val="标题 21"/>
    <w:next w:val="8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paragraph" w:styleId="1668" w:customStyle="1">
    <w:name w:val="页眉11"/>
    <w:uiPriority w:val="99"/>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character" w:styleId="1669" w:customStyle="1">
    <w:name w:val="font12"/>
    <w:basedOn w:val="831"/>
    <w:uiPriority w:val="0"/>
    <w:qFormat/>
    <w:rPr>
      <w:rFonts w:hint="default" w:ascii="等线" w:hAnsi="等线" w:eastAsia="等线" w:cs="等线"/>
      <w:color w:val="000000"/>
      <w:sz w:val="18"/>
      <w:szCs w:val="18"/>
      <w:u w:val="none"/>
    </w:rPr>
  </w:style>
  <w:style w:type="paragraph" w:styleId="1670" w:customStyle="1">
    <w:name w:val="Revision"/>
    <w:hidden/>
    <w:uiPriority w:val="99"/>
    <w:unhideWhenUsed/>
    <w:qFormat/>
    <w:rPr>
      <w:rFonts w:hint="default" w:ascii="Times New Roman" w:hAnsi="Times New Roman" w:eastAsia="宋体" w:cs="Times New Roman"/>
      <w:sz w:val="21"/>
      <w:lang w:val="en-US" w:eastAsia="zh-CN" w:bidi="ar-SA"/>
    </w:rPr>
  </w:style>
  <w:style w:type="numbering" w:styleId="27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484cb8e9-2ffe-49a7-9a71-a5c5c5e7a220</errorID>
      <errorWord>,</errorWord>
      <group>L1_Format</group>
      <groupName>格式问题</groupName>
      <ability>L2_HalfPunc_CN</ability>
      <abilityName>全半角问题</abilityName>
      <candidateList>
        <item>，</item>
      </candidateList>
      <explain>文本全半角错误。</explain>
      <paraID>720BA2F6</paraID>
      <start>80</start>
      <end>81</end>
      <status>unmodified</status>
      <modifiedWord/>
      <trackRevisions>false</trackRevisions>
    </reviewItem>
    <reviewItem>
      <errorID>f3ecb95f-ed8a-4f4e-ad1e-7f3b9900d85c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2043E1E7</paraID>
      <start>0</start>
      <end>2</end>
      <status>unmodified</status>
      <modifiedWord/>
      <trackRevisions>false</trackRevisions>
    </reviewItem>
    <reviewItem>
      <errorID>85172aac-1c56-4667-8eeb-9c12073518e1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6C272CFC</paraID>
      <start>13</start>
      <end>17</end>
      <status>ignored</status>
      <modifiedWord/>
      <trackRevisions>false</trackRevisions>
    </reviewItem>
    <reviewItem>
      <errorID>913945a6-2810-4d1a-b805-666ed152f08f</errorID>
      <errorWord>（</errorWord>
      <group>L1_Punc</group>
      <groupName>标点问题</groupName>
      <ability>L2_Punc_CN</ability>
      <abilityName>标点符号问题</abilityName>
      <candidateList/>
      <explain>同一形式括号套用。</explain>
      <paraID> 10B7D97</paraID>
      <start>104</start>
      <end>105</end>
      <status>unmodified</status>
      <modifiedWord/>
      <trackRevisions>false</trackRevisions>
    </reviewItem>
    <reviewItem>
      <errorID>352b1777-4429-4ff2-b329-4a3708eea25f</errorID>
      <errorWord>）</errorWord>
      <group>L1_Punc</group>
      <groupName>标点问题</groupName>
      <ability>L2_Punc_CN</ability>
      <abilityName>标点符号问题</abilityName>
      <candidateList/>
      <explain>同一形式括号套用。</explain>
      <paraID> 10B7D97</paraID>
      <start>109</start>
      <end>110</end>
      <status>unmodified</status>
      <modifiedWord/>
      <trackRevisions>false</trackRevisions>
    </reviewItem>
    <reviewItem>
      <errorID>420bc186-48d6-4d52-b668-406f4639e41e</errorID>
      <errorWord>&lt;</errorWord>
      <group>L1_Format</group>
      <groupName>格式问题</groupName>
      <ability>L2_HalfPunc_CN</ability>
      <abilityName>全半角问题</abilityName>
      <candidateList>
        <item>〈</item>
      </candidateList>
      <explain>文本全半角错误。</explain>
      <paraID>7DB4C6AA</paraID>
      <start>54</start>
      <end>55</end>
      <status>unmodified</status>
      <modifiedWord/>
      <trackRevisions>false</trackRevisions>
    </reviewItem>
    <reviewItem>
      <errorID>74fe6613-8b38-46ea-8dcf-f82545b2c514</errorID>
      <errorWord>&lt;</errorWord>
      <group>L1_Format</group>
      <groupName>格式问题</groupName>
      <ability>L2_HalfPunc_CN</ability>
      <abilityName>全半角问题</abilityName>
      <candidateList>
        <item>〈</item>
      </candidateList>
      <explain>文本全半角错误。</explain>
      <paraID>4DBFC098</paraID>
      <start>54</start>
      <end>55</end>
      <status>unmodified</status>
      <modifiedWord/>
      <trackRevisions>false</trackRevisions>
    </reviewItem>
    <reviewItem>
      <errorID>457f6319-bed1-40b2-8c94-8c185cb34ded</errorID>
      <errorWord>&lt;</errorWord>
      <group>L1_Format</group>
      <groupName>格式问题</groupName>
      <ability>L2_HalfPunc_CN</ability>
      <abilityName>全半角问题</abilityName>
      <candidateList>
        <item>〈</item>
      </candidateList>
      <explain>文本全半角错误。</explain>
      <paraID>55788D04</paraID>
      <start>39</start>
      <end>40</end>
      <status>unmodified</status>
      <modifiedWord/>
      <trackRevisions>false</trackRevisions>
    </reviewItem>
    <reviewItem>
      <errorID>5698938b-16d4-43df-bfbb-5b6ae8517c92</errorID>
      <errorWord>，</errorWord>
      <group>L1_Word</group>
      <groupName>字词问题</groupName>
      <ability>L2_Typo</ability>
      <abilityName>字词错误</abilityName>
      <candidateList>
        <item>，并</item>
      </candidateList>
      <explain/>
      <paraID>62A072FC</paraID>
      <start>74</start>
      <end>75</end>
      <status>unmodified</status>
      <modifiedWord/>
      <trackRevisions>false</trackRevisions>
    </reviewItem>
    <reviewItem>
      <errorID>ff5829bb-7645-4ad3-b2a7-ee2928c7d1eb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6CEB32CD</paraID>
      <start>74</start>
      <end>77</end>
      <status>unmodified</status>
      <modifiedWord/>
      <trackRevisions>false</trackRevisions>
    </reviewItem>
    <reviewItem>
      <errorID>16ade43a-8dec-4d37-b577-f6dc40ded5a1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49B1B000</paraID>
      <start>13</start>
      <end>14</end>
      <status>unmodified</status>
      <modifiedWord/>
      <trackRevisions>false</trackRevisions>
    </reviewItem>
    <reviewItem>
      <errorID>804ac3da-9bcc-4dd8-a35f-b8cd58204239</errorID>
      <errorWord>编制</errorWord>
      <group>L1_Word</group>
      <groupName>字词问题</groupName>
      <ability>L2_Typo</ability>
      <abilityName>字词错误</abilityName>
      <candidateList>
        <item>编织</item>
      </candidateList>
      <explain>〈动〉把细长的东西互相交错或钩连而组织起来：～毛衣◇根据民间传说～成一篇美丽的童话。</explain>
      <paraID>49B1B000</paraID>
      <start>47</start>
      <end>49</end>
      <status>modified</status>
      <modifiedWord>编织</modifiedWord>
      <trackRevisions>false</trackRevisions>
    </reviewItem>
    <reviewItem>
      <errorID>8bd6f0f4-41d8-4d07-a7a5-4f12fb1a6d75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20A4FBCD</paraID>
      <start>33</start>
      <end>34</end>
      <status>ignored</status>
      <modifiedWord/>
      <trackRevisions>false</trackRevisions>
    </reviewItem>
    <reviewItem>
      <errorID>b0d9fa48-0e93-4976-bc60-c40caae3b459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553ED1D</paraID>
      <start>33</start>
      <end>34</end>
      <status>ignored</status>
      <modifiedWord/>
      <trackRevisions>false</trackRevisions>
    </reviewItem>
    <reviewItem>
      <errorID>9feb19a3-dc1e-406a-8dcb-31cae9d8499e</errorID>
      <errorWord>,</errorWord>
      <group>L1_Format</group>
      <groupName>格式问题</groupName>
      <ability>L2_HalfPunc_CN</ability>
      <abilityName>全半角问题</abilityName>
      <candidateList>
        <item>，</item>
      </candidateList>
      <explain>文本全半角错误。</explain>
      <paraID>6BE7D09A</paraID>
      <start>49</start>
      <end>50</end>
      <status>unmodified</status>
      <modifiedWord/>
      <trackRevisions>false</trackRevisions>
    </reviewItem>
    <reviewItem>
      <errorID>4106e5a8-09c2-43c7-940f-6737e031d6cf</errorID>
      <errorWord>长</errorWord>
      <group>L1_Word</group>
      <groupName>字词问题</groupName>
      <ability>L2_Typo</ability>
      <abilityName>字词错误</abilityName>
      <candidateList>
        <item>长度</item>
      </candidateList>
      <explain/>
      <paraID>6BE7D09A</paraID>
      <start>50</start>
      <end>52</end>
      <status>modified</status>
      <modifiedWord>长度</modifiedWord>
      <trackRevisions>false</trackRevisions>
    </reviewItem>
    <reviewItem>
      <errorID>088bca3e-d4ec-4757-a74f-24abee1c2ebb</errorID>
      <errorWord>,</errorWord>
      <group>L1_Format</group>
      <groupName>格式问题</groupName>
      <ability>L2_HalfPunc_CN</ability>
      <abilityName>全半角问题</abilityName>
      <candidateList>
        <item>，</item>
      </candidateList>
      <explain>文本全半角错误。</explain>
      <paraID>5C42796C</paraID>
      <start>49</start>
      <end>50</end>
      <status>unmodified</status>
      <modifiedWord/>
      <trackRevisions>false</trackRevisions>
    </reviewItem>
    <reviewItem>
      <errorID>7918bf23-642c-491b-be01-a0561f097b41</errorID>
      <errorWord>长</errorWord>
      <group>L1_Word</group>
      <groupName>字词问题</groupName>
      <ability>L2_Typo</ability>
      <abilityName>字词错误</abilityName>
      <candidateList>
        <item>长度</item>
      </candidateList>
      <explain/>
      <paraID>5C42796C</paraID>
      <start>50</start>
      <end>52</end>
      <status>modified</status>
      <modifiedWord>长度</modifiedWord>
      <trackRevisions>false</trackRevisions>
    </reviewItem>
    <reviewItem>
      <errorID>64687683-0445-4cdf-aa3a-673c8f103099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19249908</paraID>
      <start>9</start>
      <end>10</end>
      <status>ignored</status>
      <modifiedWord/>
      <trackRevisions>false</trackRevisions>
    </reviewItem>
    <reviewItem>
      <errorID>3264ee91-be29-4b56-bdd9-c136f542f5ea</errorID>
      <errorWord>精心</errorWord>
      <group>L1_Word</group>
      <groupName>字词问题</groupName>
      <ability>L2_Typo</ability>
      <abilityName>字词错误</abilityName>
      <candidateList>
        <item>精细</item>
      </candidateList>
      <explain>存在发音相近字词的误用。</explain>
      <paraID>2CD5CB44</paraID>
      <start>21</start>
      <end>23</end>
      <status>modified</status>
      <modifiedWord>精细</modifiedWord>
      <trackRevisions>false</trackRevisions>
    </reviewItem>
    <reviewItem>
      <errorID>d650496f-7b26-4c4f-ab82-537ba5167073</errorID>
      <errorWord>:</errorWord>
      <group>L1_Format</group>
      <groupName>格式问题</groupName>
      <ability>L2_HalfPunc_CN</ability>
      <abilityName>全半角问题</abilityName>
      <candidateList>
        <item>：</item>
      </candidateList>
      <explain>文本全半角错误。</explain>
      <paraID>36F86430</paraID>
      <start>4</start>
      <end>5</end>
      <status>unmodified</status>
      <modifiedWord/>
      <trackRevisions>false</trackRevisions>
    </reviewItem>
    <reviewItem>
      <errorID>3027c027-8eb3-4c70-9981-67a245070284</errorID>
      <errorWord>:</errorWord>
      <group>L1_Format</group>
      <groupName>格式问题</groupName>
      <ability>L2_HalfPunc_CN</ability>
      <abilityName>全半角问题</abilityName>
      <candidateList>
        <item>：</item>
      </candidateList>
      <explain>文本全半角错误。</explain>
      <paraID>13DEE446</paraID>
      <start>2</start>
      <end>3</end>
      <status>unmodified</status>
      <modifiedWord/>
      <trackRevisions>false</trackRevisions>
    </reviewItem>
    <reviewItem>
      <errorID>2243f596-4025-45d5-82f1-67f7a4eb9a8e</errorID>
      <errorWord>:</errorWord>
      <group>L1_Format</group>
      <groupName>格式问题</groupName>
      <ability>L2_HalfPunc_CN</ability>
      <abilityName>全半角问题</abilityName>
      <candidateList>
        <item>：</item>
      </candidateList>
      <explain>文本全半角错误。</explain>
      <paraID> C7928DA</paraID>
      <start>2</start>
      <end>3</end>
      <status>unmodified</status>
      <modifiedWord/>
      <trackRevisions>false</trackRevisions>
    </reviewItem>
    <reviewItem>
      <errorID>30a20c23-da8f-471e-8de9-b33d27c2a0f5</errorID>
      <errorWord>:</errorWord>
      <group>L1_Format</group>
      <groupName>格式问题</groupName>
      <ability>L2_HalfPunc_CN</ability>
      <abilityName>全半角问题</abilityName>
      <candidateList>
        <item>：</item>
      </candidateList>
      <explain>文本全半角错误。</explain>
      <paraID>26E9AF8D</paraID>
      <start>2</start>
      <end>3</end>
      <status>unmodified</status>
      <modifiedWord/>
      <trackRevisions>false</trackRevisions>
    </reviewItem>
    <reviewItem>
      <errorID>9ff73439-e18a-47b0-b3e6-81418388a505</errorID>
      <errorWord>:</errorWord>
      <group>L1_Format</group>
      <groupName>格式问题</groupName>
      <ability>L2_HalfPunc_CN</ability>
      <abilityName>全半角问题</abilityName>
      <candidateList>
        <item>：</item>
      </candidateList>
      <explain>文本全半角错误。</explain>
      <paraID> DC4281C</paraID>
      <start>3</start>
      <end>4</end>
      <status>unmodified</status>
      <modifiedWord/>
      <trackRevisions>false</trackRevisions>
    </reviewItem>
    <reviewItem>
      <errorID>548ddf83-dceb-45d4-9610-84d90eee46de</errorID>
      <errorWord>:</errorWord>
      <group>L1_Format</group>
      <groupName>格式问题</groupName>
      <ability>L2_HalfPunc_CN</ability>
      <abilityName>全半角问题</abilityName>
      <candidateList>
        <item>：</item>
      </candidateList>
      <explain>文本全半角错误。</explain>
      <paraID>488F2F44</paraID>
      <start>4</start>
      <end>5</end>
      <status>unmodified</status>
      <modifiedWord/>
      <trackRevisions>false</trackRevisions>
    </reviewItem>
    <reviewItem>
      <errorID>fdb2ca0c-a6a2-4f3e-94f7-3a90e2d43f71</errorID>
      <errorWord>:</errorWord>
      <group>L1_Format</group>
      <groupName>格式问题</groupName>
      <ability>L2_HalfPunc_CN</ability>
      <abilityName>全半角问题</abilityName>
      <candidateList>
        <item>：</item>
      </candidateList>
      <explain>文本全半角错误。</explain>
      <paraID>3A35C4BD</paraID>
      <start>6</start>
      <end>7</end>
      <status>unmodified</status>
      <modifiedWord/>
      <trackRevisions>false</trackRevisions>
    </reviewItem>
    <reviewItem>
      <errorID>2a1efd34-065b-48e1-adfa-5d7abccb58fe</errorID>
      <errorWord>:</errorWord>
      <group>L1_Format</group>
      <groupName>格式问题</groupName>
      <ability>L2_HalfPunc_CN</ability>
      <abilityName>全半角问题</abilityName>
      <candidateList>
        <item>：</item>
      </candidateList>
      <explain>文本全半角错误。</explain>
      <paraID>39DA583F</paraID>
      <start>4</start>
      <end>5</end>
      <status>unmodified</status>
      <modifiedWord/>
      <trackRevisions>false</trackRevisions>
    </reviewItem>
    <reviewItem>
      <errorID>268884a8-a250-46e9-aadf-4772f78d6a56</errorID>
      <errorWord>:</errorWord>
      <group>L1_Format</group>
      <groupName>格式问题</groupName>
      <ability>L2_HalfPunc_CN</ability>
      <abilityName>全半角问题</abilityName>
      <candidateList>
        <item>：</item>
      </candidateList>
      <explain>文本全半角错误。</explain>
      <paraID>7894AA1E</paraID>
      <start>2</start>
      <end>3</end>
      <status>unmodified</status>
      <modifiedWord/>
      <trackRevisions>false</trackRevisions>
    </reviewItem>
    <reviewItem>
      <errorID>51abab08-0b28-4bfd-839a-a3138aa359d1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7894AA1E</paraID>
      <start>6</start>
      <end>7</end>
      <status>ignored</status>
      <modifiedWord/>
      <trackRevisions>false</trackRevisions>
    </reviewItem>
    <reviewItem>
      <errorID>db9aa586-c09f-496d-b594-c7065f247956</errorID>
      <errorWord>:</errorWord>
      <group>L1_Format</group>
      <groupName>格式问题</groupName>
      <ability>L2_HalfPunc_CN</ability>
      <abilityName>全半角问题</abilityName>
      <candidateList>
        <item>：</item>
      </candidateList>
      <explain>文本全半角错误。</explain>
      <paraID>4FBCE067</paraID>
      <start>5</start>
      <end>6</end>
      <status>unmodified</status>
      <modifiedWord/>
      <trackRevisions>false</trackRevisions>
    </reviewItem>
    <reviewItem>
      <errorID>27415490-ce06-4cbb-8dac-38aed040ddd4</errorID>
      <errorWord>:</errorWord>
      <group>L1_Format</group>
      <groupName>格式问题</groupName>
      <ability>L2_HalfPunc_CN</ability>
      <abilityName>全半角问题</abilityName>
      <candidateList>
        <item>：</item>
      </candidateList>
      <explain>文本全半角错误。</explain>
      <paraID>1A7313B1</paraID>
      <start>5</start>
      <end>6</end>
      <status>unmodified</status>
      <modifiedWord/>
      <trackRevisions>false</trackRevisions>
    </reviewItem>
    <reviewItem>
      <errorID>51a046c3-6deb-4ae7-b140-7c70da70b2f2</errorID>
      <errorWord>:</errorWord>
      <group>L1_Format</group>
      <groupName>格式问题</groupName>
      <ability>L2_HalfPunc_CN</ability>
      <abilityName>全半角问题</abilityName>
      <candidateList>
        <item>：</item>
      </candidateList>
      <explain>文本全半角错误。</explain>
      <paraID>6BE94EAF</paraID>
      <start>5</start>
      <end>6</end>
      <status>unmodified</status>
      <modifiedWord/>
      <trackRevisions>false</trackRevisions>
    </reviewItem>
    <reviewItem>
      <errorID>4ed5105c-b2ef-4d9c-b2e0-49feadb7e6d6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164BBFF8</paraID>
      <start>0</start>
      <end>2</end>
      <status>unmodified</status>
      <modifiedWord/>
      <trackRevisions>false</trackRevisions>
    </reviewItem>
    <reviewItem>
      <errorID>33af2808-8a4e-489f-a75b-e2bdf986bbfe</errorID>
      <errorWord>勾</errorWord>
      <group>L1_Word</group>
      <groupName>字词问题</groupName>
      <ability>L2_Typo</ability>
      <abilityName>字词错误</abilityName>
      <candidateList>
        <item>钩</item>
      </candidateList>
      <explain>存在发音相同字词的误用。</explain>
      <paraID>164BBFF8</paraID>
      <start>96</start>
      <end>97</end>
      <status>modified</status>
      <modifiedWord>钩</modifiedWord>
      <trackRevisions>false</trackRevisions>
    </reviewItem>
    <reviewItem>
      <errorID>ee813fce-b1e8-4dd3-b0d9-9de8c8637ef4</errorID>
      <errorWord>危害到</errorWord>
      <group>L1_Word</group>
      <groupName>字词问题</groupName>
      <ability>L2_Typo</ability>
      <abilityName>字词错误</abilityName>
      <candidateList>
        <item>危害</item>
      </candidateList>
      <explain/>
      <paraID>164BBFF8</paraID>
      <start>169</start>
      <end>171</end>
      <status>modified</status>
      <modifiedWord>危害</modifiedWord>
      <trackRevisions>false</trackRevisions>
    </reviewItem>
    <reviewItem>
      <errorID>b93e5e5a-c341-4362-b465-0599c27a427f</errorID>
      <errorWord>桡度</errorWord>
      <group>L1_Word</group>
      <groupName>字词问题</groupName>
      <ability>L2_Typo</ability>
      <abilityName>字词错误</abilityName>
      <candidateList>
        <item>挠度</item>
      </candidateList>
      <explain>存在字形相近字词的误用。</explain>
      <paraID>2C53A359</paraID>
      <start>100</start>
      <end>102</end>
      <status>modified</status>
      <modifiedWord>挠度</modifiedWord>
      <trackRevisions>false</trackRevisions>
    </reviewItem>
    <reviewItem>
      <errorID>8b547858-289b-4dba-a0f6-035b21ace40b</errorID>
      <errorWord>光滑凭证</errorWord>
      <group>L1_Word</group>
      <groupName>字词问题</groupName>
      <ability>L2_Typo</ability>
      <abilityName>字词错误</abilityName>
      <candidateList>
        <item>光滑平整</item>
      </candidateList>
      <explain/>
      <paraID>2C53A359</paraID>
      <start>120</start>
      <end>124</end>
      <status>modified</status>
      <modifiedWord>光滑平整</modifiedWord>
      <trackRevisions>false</trackRevisions>
    </reviewItem>
    <reviewItem>
      <errorID>2fadc5d0-24a3-49ad-a3e7-3b8a637ee68b</errorID>
      <errorWord>(</errorWord>
      <group>L1_Format</group>
      <groupName>格式问题</groupName>
      <ability>L2_HalfPunc_CN</ability>
      <abilityName>全半角问题</abilityName>
      <candidateList>
        <item>（</item>
      </candidateList>
      <explain>文本全半角错误。</explain>
      <paraID>5B69302F</paraID>
      <start>2</start>
      <end>3</end>
      <status>unmodified</status>
      <modifiedWord/>
      <trackRevisions>false</trackRevisions>
    </reviewItem>
    <reviewItem>
      <errorID>04cae376-784a-4f6a-8610-6c28baa4e6c5</errorID>
      <errorWord>)</errorWord>
      <group>L1_Format</group>
      <groupName>格式问题</groupName>
      <ability>L2_HalfPunc_CN</ability>
      <abilityName>全半角问题</abilityName>
      <candidateList>
        <item>）</item>
      </candidateList>
      <explain>文本全半角错误。</explain>
      <paraID>5B69302F</paraID>
      <start>6</start>
      <end>7</end>
      <status>unmodified</status>
      <modifiedWord/>
      <trackRevisions>false</trackRevisions>
    </reviewItem>
    <reviewItem>
      <errorID>3eaaafab-8ffa-4866-8566-90f898085ed3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4979287C</paraID>
      <start>0</start>
      <end>2</end>
      <status>unmodified</status>
      <modifiedWord/>
      <trackRevisions>false</trackRevisions>
    </reviewItem>
    <reviewItem>
      <errorID>af6fb684-61fe-4d28-a374-218b25c1bcf7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1380C097</paraID>
      <start>130</start>
      <end>131</end>
      <status>unmodified</status>
      <modifiedWord/>
      <trackRevisions>false</trackRevisions>
    </reviewItem>
    <reviewItem>
      <errorID>9509955e-7341-4437-9b0e-6a0d183d269a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1380C097</paraID>
      <start>145</start>
      <end>146</end>
      <status>unmodified</status>
      <modifiedWord/>
      <trackRevisions>false</trackRevisions>
    </reviewItem>
    <reviewItem>
      <errorID>60f6a0f4-d3d8-4dc6-af31-f863611abea4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4F165</paraID>
      <start>0</start>
      <end>2</end>
      <status>unmodified</status>
      <modifiedWord/>
      <trackRevisions>false</trackRevisions>
    </reviewItem>
    <reviewItem>
      <errorID>151992c1-62ef-4e8f-b51b-51d11ae4df85</errorID>
      <errorWord>和在一起</errorWord>
      <group>L1_Word</group>
      <groupName>字词问题</groupName>
      <ability>L2_Typo</ability>
      <abilityName>字词错误</abilityName>
      <candidateList>
        <item>合在一起</item>
      </candidateList>
      <explain/>
      <paraID>   4F165</paraID>
      <start>149</start>
      <end>153</end>
      <status>modified</status>
      <modifiedWord>合在一起</modifiedWord>
      <trackRevisions>false</trackRevisions>
    </reviewItem>
    <reviewItem>
      <errorID>0702d281-37c5-455d-ad34-de2456afb675</errorID>
      <errorWord>"</errorWord>
      <group>L1_Format</group>
      <groupName>格式问题</groupName>
      <ability>L2_HalfPunc_CN</ability>
      <abilityName>全半角问题</abilityName>
      <candidateList/>
      <explain>文本全半角错误。</explain>
      <paraID>52392135</paraID>
      <start>41</start>
      <end>42</end>
      <status>unmodified</status>
      <modifiedWord/>
      <trackRevisions>false</trackRevisions>
    </reviewItem>
    <reviewItem>
      <errorID>22412db5-195c-47f4-b904-4f274fb2df8b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5883F5D0</paraID>
      <start>5</start>
      <end>6</end>
      <status>ignored</status>
      <modifiedWord/>
      <trackRevisions>false</trackRevisions>
    </reviewItem>
    <reviewItem>
      <errorID>26d3f4ff-f4df-4191-adf5-ee9ca885ed91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78D4B8CE</paraID>
      <start>0</start>
      <end>2</end>
      <status>unmodified</status>
      <modifiedWord/>
      <trackRevisions>false</trackRevisions>
    </reviewItem>
    <reviewItem>
      <errorID>87df52e0-19a0-404c-920e-2e2eb2a8113e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440867C7</paraID>
      <start>0</start>
      <end>2</end>
      <status>unmodified</status>
      <modifiedWord/>
      <trackRevisions>false</trackRevisions>
    </reviewItem>
    <reviewItem>
      <errorID>da265a30-a087-4dfd-8837-4ca2995c46ce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4A44C8FA</paraID>
      <start>0</start>
      <end>2</end>
      <status>unmodified</status>
      <modifiedWord/>
      <trackRevisions>false</trackRevisions>
    </reviewItem>
    <reviewItem>
      <errorID>32e97a8a-ee0c-4181-b5b9-a2cb7636173e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7756C61F</paraID>
      <start>0</start>
      <end>2</end>
      <status>unmodified</status>
      <modifiedWord/>
      <trackRevisions>false</trackRevisions>
    </reviewItem>
    <reviewItem>
      <errorID>dbe65e07-514f-4798-879a-ad0ebc064c58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223CC19B</paraID>
      <start>0</start>
      <end>2</end>
      <status>unmodified</status>
      <modifiedWord/>
      <trackRevisions>false</trackRevisions>
    </reviewItem>
    <reviewItem>
      <errorID>99cf2b47-c7aa-4e29-b325-060893d862af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50975745</paraID>
      <start>0</start>
      <end>2</end>
      <status>unmodified</status>
      <modifiedWord/>
      <trackRevisions>false</trackRevisions>
    </reviewItem>
    <reviewItem>
      <errorID>aae821f6-3350-4c95-86ff-02c2d5ee5394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7E805F9</paraID>
      <start>0</start>
      <end>2</end>
      <status>unmodified</status>
      <modifiedWord/>
      <trackRevisions>false</trackRevisions>
    </reviewItem>
    <reviewItem>
      <errorID>4e9c4c86-5faa-4fb4-acc1-593ef5f73117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24096CBA</paraID>
      <start>0</start>
      <end>2</end>
      <status>unmodified</status>
      <modifiedWord/>
      <trackRevisions>false</trackRevisions>
    </reviewItem>
    <reviewItem>
      <errorID>ebd23a0a-171b-41a3-8caf-69c931f6cd17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66AE0F6C</paraID>
      <start>0</start>
      <end>2</end>
      <status>unmodified</status>
      <modifiedWord/>
      <trackRevisions>false</trackRevisions>
    </reviewItem>
    <reviewItem>
      <errorID>c28f61b9-49c5-433a-8695-7795df09ee54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4D53FC8F</paraID>
      <start>0</start>
      <end>3</end>
      <status>unmodified</status>
      <modifiedWord/>
      <trackRevisions>false</trackRevisions>
    </reviewItem>
    <reviewItem>
      <errorID>21459ac9-b902-484d-ad21-e5b04742a425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15478353</paraID>
      <start>11</start>
      <end>12</end>
      <status>ignored</status>
      <modifiedWord/>
      <trackRevisions>false</trackRevisions>
    </reviewItem>
    <reviewItem>
      <errorID>c9dea5de-feef-47e8-98ba-16bc6d6367cf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58D0EF92</paraID>
      <start>4</start>
      <end>5</end>
      <status>ignored</status>
      <modifiedWord/>
      <trackRevisions>false</trackRevisions>
    </reviewItem>
    <reviewItem>
      <errorID>93323e69-3edb-4a79-b5a9-f26a3ffd3748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876F6E</paraID>
      <start>8</start>
      <end>9</end>
      <status>ignored</status>
      <modifiedWord/>
      <trackRevisions>false</trackRevisions>
    </reviewItem>
    <reviewItem>
      <errorID>b2956d57-38a3-45fc-b25b-8a2357bad8a7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4B10D297</paraID>
      <start>0</start>
      <end>2</end>
      <status>unmodified</status>
      <modifiedWord/>
      <trackRevisions>false</trackRevisions>
    </reviewItem>
    <reviewItem>
      <errorID>4b7487fc-bfa1-461a-82df-483b8c046285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1B032FE7</paraID>
      <start>0</start>
      <end>2</end>
      <status>unmodified</status>
      <modifiedWord/>
      <trackRevisions>false</trackRevisions>
    </reviewItem>
    <reviewItem>
      <errorID>f1fb6db7-28c5-4c01-812d-eda5e866ca71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18F46B3E</paraID>
      <start>0</start>
      <end>2</end>
      <status>unmodified</status>
      <modifiedWord/>
      <trackRevisions>false</trackRevisions>
    </reviewItem>
    <reviewItem>
      <errorID>3645f6f5-c169-48e9-b417-02f4a0f6a1f1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169ABA3D</paraID>
      <start>0</start>
      <end>2</end>
      <status>unmodified</status>
      <modifiedWord/>
      <trackRevisions>false</trackRevisions>
    </reviewItem>
    <reviewItem>
      <errorID>67d8fc0a-dcff-4312-acb5-91dc48f9f841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54C08B52</paraID>
      <start>0</start>
      <end>2</end>
      <status>unmodified</status>
      <modifiedWord/>
      <trackRevisions>false</trackRevisions>
    </reviewItem>
    <reviewItem>
      <errorID>1b4c1e9e-e616-43d6-8d9f-68e9ad64113f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6DA0BE3A</paraID>
      <start>0</start>
      <end>2</end>
      <status>unmodified</status>
      <modifiedWord/>
      <trackRevisions>false</trackRevisions>
    </reviewItem>
    <reviewItem>
      <errorID>af45fbfa-42ff-4a87-83c9-7c305d58962e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7A1CA38</paraID>
      <start>0</start>
      <end>2</end>
      <status>unmodified</status>
      <modifiedWord/>
      <trackRevisions>false</trackRevisions>
    </reviewItem>
    <reviewItem>
      <errorID>a3b0edfa-0f21-4ad7-bce1-b2be8c145c0d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7A1CA38</paraID>
      <start>17</start>
      <end>18</end>
      <status>ignored</status>
      <modifiedWord/>
      <trackRevisions>false</trackRevisions>
    </reviewItem>
    <reviewItem>
      <errorID>fcecdf25-ae26-43c7-b4dd-e864d1d2a303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62F4BFAB</paraID>
      <start>0</start>
      <end>2</end>
      <status>unmodified</status>
      <modifiedWord/>
      <trackRevisions>false</trackRevisions>
    </reviewItem>
    <reviewItem>
      <errorID>fc7b5f23-8140-49d6-9e82-9b11e7b17d3d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62F4BFAB</paraID>
      <start>105</start>
      <end>106</end>
      <status>ignored</status>
      <modifiedWord/>
      <trackRevisions>false</trackRevisions>
    </reviewItem>
    <reviewItem>
      <errorID>ef781c18-e08f-467a-a6af-2a6d3ea802d8</errorID>
      <errorWord>横竿</errorWord>
      <group>L1_Word</group>
      <groupName>字词问题</groupName>
      <ability>L2_Typo</ability>
      <abilityName>字词错误</abilityName>
      <candidateList>
        <item>横杆</item>
      </candidateList>
      <explain>存在发音相同字词的误用。</explain>
      <paraID>652C11F3</paraID>
      <start>2</start>
      <end>4</end>
      <status>ignored</status>
      <modifiedWord/>
      <trackRevisions>false</trackRevisions>
    </reviewItem>
    <reviewItem>
      <errorID>64276e42-1ad5-439b-9dab-6266079321dc</errorID>
      <errorWord>~</errorWord>
      <group>L1_Format</group>
      <groupName>格式问题</groupName>
      <ability>L2_HalfPunc_CN</ability>
      <abilityName>全半角问题</abilityName>
      <candidateList>
        <item>～</item>
      </candidateList>
      <explain>文本全半角错误。</explain>
      <paraID>5800C11F</paraID>
      <start>55</start>
      <end>56</end>
      <status>unmodified</status>
      <modifiedWord/>
      <trackRevisions>false</trackRevisions>
    </reviewItem>
    <reviewItem>
      <errorID>ffeb43fd-16a7-43aa-9cc3-a00db4987b7f</errorID>
      <errorWord>~</errorWord>
      <group>L1_Format</group>
      <groupName>格式问题</groupName>
      <ability>L2_HalfPunc_CN</ability>
      <abilityName>全半角问题</abilityName>
      <candidateList>
        <item>～</item>
      </candidateList>
      <explain>文本全半角错误。</explain>
      <paraID>5800C11F</paraID>
      <start>69</start>
      <end>70</end>
      <status>unmodified</status>
      <modifiedWord/>
      <trackRevisions>false</trackRevisions>
    </reviewItem>
    <reviewItem>
      <errorID>a79358d8-2a2d-4d91-a186-77c6a1b0d10e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17ACA83C</paraID>
      <start>124</start>
      <end>125</end>
      <status>ignored</status>
      <modifiedWord/>
      <trackRevisions>false</trackRevisions>
    </reviewItem>
    <reviewItem>
      <errorID>49cff944-3ef4-4f18-807a-026d4e6357b5</errorID>
      <errorWord>兰色</errorWord>
      <group>L1_Word</group>
      <groupName>字词问题</groupName>
      <ability>L2_Typo</ability>
      <abilityName>字词错误</abilityName>
      <candidateList>
        <item>蓝色</item>
      </candidateList>
      <explain/>
      <paraID>673C51B9</paraID>
      <start>143</start>
      <end>145</end>
      <status>modified</status>
      <modifiedWord>蓝色</modifiedWord>
      <trackRevisions>false</trackRevisions>
    </reviewItem>
    <reviewItem>
      <errorID>3e096992-7fc8-4b1e-ac0b-c3141b2f3eee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52ED2D8</paraID>
      <start>0</start>
      <end>2</end>
      <status>unmodified</status>
      <modifiedWord/>
      <trackRevisions>false</trackRevisions>
    </reviewItem>
    <reviewItem>
      <errorID>d066026a-997a-4929-978b-13520e952304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3A15AB25</paraID>
      <start>0</start>
      <end>2</end>
      <status>unmodified</status>
      <modifiedWord/>
      <trackRevisions>false</trackRevisions>
    </reviewItem>
    <reviewItem>
      <errorID>db65abca-c166-4429-8080-d4fdcd09e656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35889644</paraID>
      <start>12</start>
      <end>13</end>
      <status>ignored</status>
      <modifiedWord/>
      <trackRevisions>false</trackRevisions>
    </reviewItem>
    <reviewItem>
      <errorID>393a59c4-c9ce-47eb-a9ee-923e5dfc1a31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35889644</paraID>
      <start>26</start>
      <end>27</end>
      <status>ignored</status>
      <modifiedWord/>
      <trackRevisions>false</trackRevisions>
    </reviewItem>
    <reviewItem>
      <errorID>c29a0c5a-323b-4382-90f9-516b8b4a7096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6DC020FB</paraID>
      <start>13</start>
      <end>14</end>
      <status>ignored</status>
      <modifiedWord/>
      <trackRevisions>false</trackRevisions>
    </reviewItem>
    <reviewItem>
      <errorID>5f1bdd7c-aaa4-4840-8780-311cdff535f8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6DC020FB</paraID>
      <start>27</start>
      <end>28</end>
      <status>ignored</status>
      <modifiedWord/>
      <trackRevisions>false</trackRevisions>
    </reviewItem>
    <reviewItem>
      <errorID>582a2014-6f3b-4cce-88f3-2fe4194c0453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63666377</paraID>
      <start>0</start>
      <end>2</end>
      <status>unmodified</status>
      <modifiedWord/>
      <trackRevisions>false</trackRevisions>
    </reviewItem>
    <reviewItem>
      <errorID>b4e690fd-961c-46b8-bcca-139e99e3decd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1ADABCDB</paraID>
      <start>0</start>
      <end>2</end>
      <status>unmodified</status>
      <modifiedWord/>
      <trackRevisions>false</trackRevisions>
    </reviewItem>
    <reviewItem>
      <errorID>fc67f8a0-ce95-4b0b-97f6-fc11a0bfb4d4</errorID>
      <errorWord>平米</errorWord>
      <group>L1_Word</group>
      <groupName>字词问题</groupName>
      <ability>L2_Typo</ability>
      <abilityName>字词错误</abilityName>
      <candidateList>
        <item>平方米</item>
      </candidateList>
      <explain>〈量〉面积单位，边长1米的正方形的面积是1平方米，符号为m²。</explain>
      <paraID>746FEEAF</paraID>
      <start>0</start>
      <end>2</end>
      <status>ignored</status>
      <modifiedWord/>
      <trackRevisions>false</trackRevisions>
    </reviewItem>
    <reviewItem>
      <errorID>f7cbb240-8e7a-4c63-910c-0a5ead2ee6a1</errorID>
      <errorWord>(</errorWord>
      <group>L1_Format</group>
      <groupName>格式问题</groupName>
      <ability>L2_HalfPunc_CN</ability>
      <abilityName>全半角问题</abilityName>
      <candidateList>
        <item>（</item>
      </candidateList>
      <explain>文本全半角错误。</explain>
      <paraID>  A9A5E1</paraID>
      <start>3</start>
      <end>4</end>
      <status>unmodified</status>
      <modifiedWord/>
      <trackRevisions>false</trackRevisions>
    </reviewItem>
    <reviewItem>
      <errorID>31abd253-eb9d-4c96-bc86-1632a224cb71</errorID>
      <errorWord>)</errorWord>
      <group>L1_Format</group>
      <groupName>格式问题</groupName>
      <ability>L2_HalfPunc_CN</ability>
      <abilityName>全半角问题</abilityName>
      <candidateList>
        <item>）</item>
      </candidateList>
      <explain>文本全半角错误。</explain>
      <paraID>  A9A5E1</paraID>
      <start>6</start>
      <end>7</end>
      <status>unmodified</status>
      <modifiedWord/>
      <trackRevisions>false</trackRevisions>
    </reviewItem>
    <reviewItem>
      <errorID>1e14a984-09ac-4dcb-a4eb-814981265b6f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4415D2EA</paraID>
      <start>120</start>
      <end>121</end>
      <status>ignored</status>
      <modifiedWord/>
      <trackRevisions>false</trackRevisions>
    </reviewItem>
    <reviewItem>
      <errorID>25a4ae19-e8b2-40b5-a3da-915691570467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4415D2EA</paraID>
      <start>135</start>
      <end>136</end>
      <status>ignored</status>
      <modifiedWord/>
      <trackRevisions>false</trackRevisions>
    </reviewItem>
    <reviewItem>
      <errorID>4ae022c5-a220-44d1-8c86-87ef30aa241b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313574EC</paraID>
      <start>120</start>
      <end>121</end>
      <status>ignored</status>
      <modifiedWord/>
      <trackRevisions>false</trackRevisions>
    </reviewItem>
    <reviewItem>
      <errorID>30ed57e2-f7f2-4d33-b764-bad4a1fc3acf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313574EC</paraID>
      <start>135</start>
      <end>136</end>
      <status>ignored</status>
      <modifiedWord/>
      <trackRevisions>false</trackRevisions>
    </reviewItem>
    <reviewItem>
      <errorID>6427caf1-44f7-4895-85bb-10a126a28756</errorID>
      <errorWord>二级管</errorWord>
      <group>L1_Word</group>
      <groupName>字词问题</groupName>
      <ability>L2_Typo</ability>
      <abilityName>字词错误</abilityName>
      <candidateList>
        <item>二极管</item>
      </candidateList>
      <explain/>
      <paraID> AB2C0C5</paraID>
      <start>17</start>
      <end>20</end>
      <status>modified</status>
      <modifiedWord>二极管</modifiedWord>
      <trackRevisions>false</trackRevisions>
    </reviewItem>
    <reviewItem>
      <errorID>4cf39b60-4b4f-4c9c-b886-d80d6b68094c</errorID>
      <errorWord>适合</errorWord>
      <group>L1_Grammar</group>
      <groupName>语法问题</groupName>
      <ability>L2_Grammar</ability>
      <abilityName>语法错误</abilityName>
      <candidateList>
        <item>符合</item>
      </candidateList>
      <explain>“适合～要求”搭配不当，建议修改为“符合～要求”。</explain>
      <paraID> AB2C0C5</paraID>
      <start>57</start>
      <end>59</end>
      <status>modified</status>
      <modifiedWord>符合</modifiedWord>
      <trackRevisions>false</trackRevisions>
    </reviewItem>
    <reviewItem>
      <errorID>998c1ff1-d3ed-417c-a85c-263a18c901e6</errorID>
      <errorWord>.</errorWord>
      <group>L1_Format</group>
      <groupName>格式问题</groupName>
      <ability>L2_HalfPunc_CN</ability>
      <abilityName>全半角问题</abilityName>
      <candidateList>
        <item>。</item>
      </candidateList>
      <explain>文本全半角错误。</explain>
      <paraID> AB2C0C5</paraID>
      <start>96</start>
      <end>97</end>
      <status>unmodified</status>
      <modifiedWord/>
      <trackRevisions>false</trackRevisions>
    </reviewItem>
    <reviewItem>
      <errorID>8b862a5d-3ef9-42bf-920d-7832f3a68897</errorID>
      <errorWord>:</errorWord>
      <group>L1_Format</group>
      <groupName>格式问题</groupName>
      <ability>L2_HalfPunc_CN</ability>
      <abilityName>全半角问题</abilityName>
      <candidateList>
        <item>：</item>
      </candidateList>
      <explain>文本全半角错误。</explain>
      <paraID>4D2EDBBD</paraID>
      <start>25</start>
      <end>26</end>
      <status>unmodified</status>
      <modifiedWord/>
      <trackRevisions>false</trackRevisions>
    </reviewItem>
    <reviewItem>
      <errorID>1a6458c5-86fd-45f8-836c-10a75b33fe70</errorID>
      <errorWord>Ｖ</errorWord>
      <group>L1_Format</group>
      <groupName>格式问题</groupName>
      <ability>L2_HalfPunc_CN</ability>
      <abilityName>全半角问题</abilityName>
      <candidateList>
        <item>V</item>
      </candidateList>
      <explain>文本全半角错误。</explain>
      <paraID>12933037</paraID>
      <start>61</start>
      <end>62</end>
      <status>unmodified</status>
      <modifiedWord/>
      <trackRevisions>false</trackRevisions>
    </reviewItem>
    <reviewItem>
      <errorID>9ac93905-3ad3-4fb9-92c4-37555726ed06</errorID>
      <errorWord>Ｗ</errorWord>
      <group>L1_Format</group>
      <groupName>格式问题</groupName>
      <ability>L2_HalfPunc_CN</ability>
      <abilityName>全半角问题</abilityName>
      <candidateList>
        <item>W</item>
      </candidateList>
      <explain>文本全半角错误。</explain>
      <paraID>12933037</paraID>
      <start>75</start>
      <end>76</end>
      <status>unmodified</status>
      <modifiedWord/>
      <trackRevisions>false</trackRevisions>
    </reviewItem>
    <reviewItem>
      <errorID>a7727358-21bd-4d19-8905-dd07a49928b7</errorID>
      <errorWord>：&gt;</errorWord>
      <group>L1_Punc</group>
      <groupName>标点问题</groupName>
      <ability>L2_Punc_CN</ability>
      <abilityName>标点符号问题</abilityName>
      <candidateList>
        <item>：</item>
      </candidateList>
      <explain/>
      <paraID> 3B4DBE3</paraID>
      <start>5</start>
      <end>7</end>
      <status>ignored</status>
      <modifiedWord/>
      <trackRevisions>false</trackRevisions>
    </reviewItem>
    <reviewItem>
      <errorID>35a0e295-a815-42f9-9241-94204bfee101</errorID>
      <errorWord>：&gt;</errorWord>
      <group>L1_Punc</group>
      <groupName>标点问题</groupName>
      <ability>L2_Punc_CN</ability>
      <abilityName>标点符号问题</abilityName>
      <candidateList>
        <item>：</item>
      </candidateList>
      <explain/>
      <paraID> 3B4DBE3</paraID>
      <start>13</start>
      <end>15</end>
      <status>ignored</status>
      <modifiedWord/>
      <trackRevisions>false</trackRevisions>
    </reviewItem>
    <reviewItem>
      <errorID>6ab7f7f6-22ab-4d48-bfa6-32cd5e5cc3f8</errorID>
      <errorWord>只</errorWord>
      <group>L1_Knowledge</group>
      <groupName>知识性问题</groupName>
      <ability>L2_Knowledge</ability>
      <abilityName>其他知识</abilityName>
      <candidateList>
        <item>支</item>
      </candidateList>
      <explain>请检查“只”是否为量词使用错误，建议修改为“支”。</explain>
      <paraID>7BEA0ACF</paraID>
      <start>4</start>
      <end>5</end>
      <status>unmodified</status>
      <modifiedWord/>
      <trackRevisions>false</trackRevisions>
    </reviewItem>
    <reviewItem>
      <errorID>43362500-ec5f-4f3c-9468-b85e58bc7b65</errorID>
      <errorWord>兰色</errorWord>
      <group>L1_Word</group>
      <groupName>字词问题</groupName>
      <ability>L2_Typo</ability>
      <abilityName>字词错误</abilityName>
      <candidateList>
        <item>蓝色</item>
      </candidateList>
      <explain/>
      <paraID>363466AA</paraID>
      <start>39</start>
      <end>41</end>
      <status>modified</status>
      <modifiedWord>蓝色</modifiedWord>
      <trackRevisions>false</trackRevisions>
    </reviewItem>
    <reviewItem>
      <errorID>be8fc0da-5318-4bbe-b33b-809b444cd134</errorID>
      <errorWord>(</errorWord>
      <group>L1_Format</group>
      <groupName>格式问题</groupName>
      <ability>L2_HalfPunc_CN</ability>
      <abilityName>全半角问题</abilityName>
      <candidateList>
        <item>（</item>
      </candidateList>
      <explain>文本全半角错误。</explain>
      <paraID>363466AA</paraID>
      <start>45</start>
      <end>46</end>
      <status>unmodified</status>
      <modifiedWord/>
      <trackRevisions>false</trackRevisions>
    </reviewItem>
    <reviewItem>
      <errorID>b0b7aa56-10e8-4ed1-b2c4-dd7b8d0dd968</errorID>
      <errorWord>)</errorWord>
      <group>L1_Format</group>
      <groupName>格式问题</groupName>
      <ability>L2_HalfPunc_CN</ability>
      <abilityName>全半角问题</abilityName>
      <candidateList>
        <item>）</item>
      </candidateList>
      <explain>文本全半角错误。</explain>
      <paraID> 3978173</paraID>
      <start>31</start>
      <end>32</end>
      <status>unmodified</status>
      <modifiedWord/>
      <trackRevisions>false</trackRevisions>
    </reviewItem>
    <reviewItem>
      <errorID>1447a6a5-d46c-4cca-a981-606e65c80f96</errorID>
      <errorWord>成形</errorWord>
      <group>L1_Word</group>
      <groupName>字词问题</groupName>
      <ability>L2_Typo</ability>
      <abilityName>字词错误</abilityName>
      <candidateList>
        <item>成型</item>
      </candidateList>
      <explain/>
      <paraID> 3978173</paraID>
      <start>90</start>
      <end>92</end>
      <status>modified</status>
      <modifiedWord>成型</modifiedWord>
      <trackRevisions>false</trackRevisions>
    </reviewItem>
    <reviewItem>
      <errorID>73f4b9b4-2f42-4989-84a3-e90be2329dcd</errorID>
      <errorWord>)</errorWord>
      <group>L1_Format</group>
      <groupName>格式问题</groupName>
      <ability>L2_HalfPunc_CN</ability>
      <abilityName>全半角问题</abilityName>
      <candidateList>
        <item>）</item>
      </candidateList>
      <explain>文本全半角错误。</explain>
      <paraID>7D33A7C5</paraID>
      <start>26</start>
      <end>27</end>
      <status>unmodified</status>
      <modifiedWord/>
      <trackRevisions>false</trackRevisions>
    </reviewItem>
    <reviewItem>
      <errorID>08a4afb0-0280-4f58-b608-9e749f10f6ca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7AA6837C</paraID>
      <start>113</start>
      <end>114</end>
      <status>ignored</status>
      <modifiedWord/>
      <trackRevisions>false</trackRevisions>
    </reviewItem>
    <reviewItem>
      <errorID>9f96ece8-424f-4297-96e2-e62ae52e3cf1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7AA6837C</paraID>
      <start>125</start>
      <end>126</end>
      <status>ignored</status>
      <modifiedWord/>
      <trackRevisions>false</trackRevisions>
    </reviewItem>
    <reviewItem>
      <errorID>80d33f91-a925-4082-96e1-84690d1ea50e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2DF4840E</paraID>
      <start>113</start>
      <end>114</end>
      <status>ignored</status>
      <modifiedWord/>
      <trackRevisions>false</trackRevisions>
    </reviewItem>
    <reviewItem>
      <errorID>ac328c1c-d2c0-4287-82f1-9d637bf6c0c2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2DF4840E</paraID>
      <start>125</start>
      <end>126</end>
      <status>ignored</status>
      <modifiedWord/>
      <trackRevisions>false</trackRevisions>
    </reviewItem>
    <reviewItem>
      <errorID>218233b5-a749-4c82-85f4-3d15fa16420d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622406A6</paraID>
      <start>109</start>
      <end>110</end>
      <status>ignored</status>
      <modifiedWord/>
      <trackRevisions>false</trackRevisions>
    </reviewItem>
    <reviewItem>
      <errorID>871f6411-a5c2-4a17-8e8b-0ee8c5b3206f</errorID>
      <errorWord>乒兵球台</errorWord>
      <group>L1_Word</group>
      <groupName>字词问题</groupName>
      <ability>L2_Typo</ability>
      <abilityName>字词错误</abilityName>
      <candidateList>
        <item>乒乓球台</item>
      </candidateList>
      <explain/>
      <paraID> 3B41BC3</paraID>
      <start>0</start>
      <end>4</end>
      <status>modified</status>
      <modifiedWord>乒乓球台</modifiedWord>
      <trackRevisions>false</trackRevisions>
    </reviewItem>
    <reviewItem>
      <errorID>47cda36e-5289-4849-bae6-58142973fed0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1FAF4B3D</paraID>
      <start>348</start>
      <end>349</end>
      <status>ignored</status>
      <modifiedWord/>
      <trackRevisions>false</trackRevisions>
    </reviewItem>
    <reviewItem>
      <errorID>d944f370-889e-427d-8db0-2f7c1a961eb2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5854A5D6</paraID>
      <start>113</start>
      <end>114</end>
      <status>ignored</status>
      <modifiedWord/>
      <trackRevisions>false</trackRevisions>
    </reviewItem>
    <reviewItem>
      <errorID>1fc17dd1-090f-4cb2-a0aa-726b810cec8d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5854A5D6</paraID>
      <start>125</start>
      <end>126</end>
      <status>ignored</status>
      <modifiedWord/>
      <trackRevisions>false</trackRevisions>
    </reviewItem>
    <reviewItem>
      <errorID>cab7233a-bc97-4f8a-ae07-c1f04539f2ca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3792C72B</paraID>
      <start>348</start>
      <end>349</end>
      <status>ignored</status>
      <modifiedWord/>
      <trackRevisions>false</trackRevisions>
    </reviewItem>
    <reviewItem>
      <errorID>e7be7222-211b-45ca-9ce5-7ebb657c65f3</errorID>
      <errorWord>(</errorWord>
      <group>L1_Format</group>
      <groupName>格式问题</groupName>
      <ability>L2_HalfPunc_CN</ability>
      <abilityName>全半角问题</abilityName>
      <candidateList>
        <item>（</item>
      </candidateList>
      <explain>文本全半角错误。</explain>
      <paraID>21A2EB1B</paraID>
      <start>5</start>
      <end>6</end>
      <status>unmodified</status>
      <modifiedWord/>
      <trackRevisions>false</trackRevisions>
    </reviewItem>
    <reviewItem>
      <errorID>0b7da695-be6f-4772-ab01-24e00e75061f</errorID>
      <errorWord>)</errorWord>
      <group>L1_Format</group>
      <groupName>格式问题</groupName>
      <ability>L2_HalfPunc_CN</ability>
      <abilityName>全半角问题</abilityName>
      <candidateList>
        <item>）</item>
      </candidateList>
      <explain>文本全半角错误。</explain>
      <paraID>21A2EB1B</paraID>
      <start>7</start>
      <end>8</end>
      <status>unmodified</status>
      <modifiedWord/>
      <trackRevisions>false</trackRevisions>
    </reviewItem>
    <reviewItem>
      <errorID>46aeda29-6132-4aae-b03b-20c2708855a9</errorID>
      <errorWord>平米</errorWord>
      <group>L1_Word</group>
      <groupName>字词问题</groupName>
      <ability>L2_Typo</ability>
      <abilityName>字词错误</abilityName>
      <candidateList>
        <item>平方米</item>
      </candidateList>
      <explain>〈量〉面积单位，边长1米的正方形的面积是1平方米，符号为m²。</explain>
      <paraID>6F63E6E6</paraID>
      <start>0</start>
      <end>2</end>
      <status>ignored</status>
      <modifiedWord/>
      <trackRevisions>false</trackRevisions>
    </reviewItem>
    <reviewItem>
      <errorID>c5a1f1c2-8d3f-40f2-b24c-a496667eb8aa</errorID>
      <errorWord>-</errorWord>
      <group>L1_Format</group>
      <groupName>格式问题</groupName>
      <ability>L2_HalfPunc_CN</ability>
      <abilityName>全半角问题</abilityName>
      <candidateList>
        <item>－</item>
      </candidateList>
      <explain>文本全半角错误。</explain>
      <paraID>5A211D59</paraID>
      <start>283</start>
      <end>284</end>
      <status>unmodified</status>
      <modifiedWord/>
      <trackRevisions>false</trackRevisions>
    </reviewItem>
    <reviewItem>
      <errorID>2501bd16-3b2d-405b-8b35-dfa51b84c5be</errorID>
      <errorWord>)</errorWord>
      <group>L1_Format</group>
      <groupName>格式问题</groupName>
      <ability>L2_HalfPunc_CN</ability>
      <abilityName>全半角问题</abilityName>
      <candidateList>
        <item>）</item>
      </candidateList>
      <explain>文本全半角错误。</explain>
      <paraID>5A211D59</paraID>
      <start>424</start>
      <end>425</end>
      <status>unmodified</status>
      <modifiedWord/>
      <trackRevisions>false</trackRevisions>
    </reviewItem>
    <reviewItem>
      <errorID>0d77f6db-65ac-43b7-918a-59e45c96b568</errorID>
      <errorWord>)</errorWord>
      <group>L1_Format</group>
      <groupName>格式问题</groupName>
      <ability>L2_HalfPunc_CN</ability>
      <abilityName>全半角问题</abilityName>
      <candidateList>
        <item>）</item>
      </candidateList>
      <explain>文本全半角错误。</explain>
      <paraID>5A211D59</paraID>
      <start>443</start>
      <end>444</end>
      <status>unmodified</status>
      <modifiedWord/>
      <trackRevisions>false</trackRevisions>
    </reviewItem>
    <reviewItem>
      <errorID>2c44ff2b-7740-4a81-ae41-58191de7d896</errorID>
      <errorWord>)</errorWord>
      <group>L1_Format</group>
      <groupName>格式问题</groupName>
      <ability>L2_HalfPunc_CN</ability>
      <abilityName>全半角问题</abilityName>
      <candidateList>
        <item>）</item>
      </candidateList>
      <explain>文本全半角错误。</explain>
      <paraID>5A211D59</paraID>
      <start>462</start>
      <end>463</end>
      <status>unmodified</status>
      <modifiedWord/>
      <trackRevisions>false</trackRevisions>
    </reviewItem>
    <reviewItem>
      <errorID>7365560c-c13c-4529-b1ee-faef661eb9ff</errorID>
      <errorWord>)</errorWord>
      <group>L1_Format</group>
      <groupName>格式问题</groupName>
      <ability>L2_HalfPunc_CN</ability>
      <abilityName>全半角问题</abilityName>
      <candidateList>
        <item>）</item>
      </candidateList>
      <explain>文本全半角错误。</explain>
      <paraID>5A211D59</paraID>
      <start>490</start>
      <end>491</end>
      <status>unmodified</status>
      <modifiedWord/>
      <trackRevisions>false</trackRevisions>
    </reviewItem>
    <reviewItem>
      <errorID>4e3ecc58-f1a3-43aa-8e82-f9f88e949878</errorID>
      <errorWord>)</errorWord>
      <group>L1_Format</group>
      <groupName>格式问题</groupName>
      <ability>L2_HalfPunc_CN</ability>
      <abilityName>全半角问题</abilityName>
      <candidateList>
        <item>）</item>
      </candidateList>
      <explain>文本全半角错误。</explain>
      <paraID>5A211D59</paraID>
      <start>512</start>
      <end>513</end>
      <status>unmodified</status>
      <modifiedWord/>
      <trackRevisions>false</trackRevisions>
    </reviewItem>
    <reviewItem>
      <errorID>e1d5f83d-55e9-4ea4-acc5-ad6fcb350a2c</errorID>
      <errorWord>KW</errorWord>
      <group>L1_Word</group>
      <groupName>字词问题</groupName>
      <ability>L2_Typo</ability>
      <abilityName>字词错误</abilityName>
      <candidateList>
        <item>kW</item>
      </candidateList>
      <explain/>
      <paraID>4BE3EE96</paraID>
      <start>10</start>
      <end>12</end>
      <status>ignored</status>
      <modifiedWord/>
      <trackRevisions>false</trackRevisions>
    </reviewItem>
    <reviewItem>
      <errorID>f9eba528-f423-4dfc-b77f-bd2fe699b006</errorID>
      <errorWord>(</errorWord>
      <group>L1_Format</group>
      <groupName>格式问题</groupName>
      <ability>L2_HalfPunc_CN</ability>
      <abilityName>全半角问题</abilityName>
      <candidateList>
        <item>（</item>
      </candidateList>
      <explain>文本全半角错误。</explain>
      <paraID> E7F5672</paraID>
      <start>52</start>
      <end>53</end>
      <status>unmodified</status>
      <modifiedWord/>
      <trackRevisions>false</trackRevisions>
    </reviewItem>
    <reviewItem>
      <errorID>e5d927a2-0f74-4782-8f38-464ca1a41d8c</errorID>
      <errorWord>-</errorWord>
      <group>L1_Format</group>
      <groupName>格式问题</groupName>
      <ability>L2_HalfPunc_CN</ability>
      <abilityName>全半角问题</abilityName>
      <candidateList>
        <item>－</item>
      </candidateList>
      <explain>文本全半角错误。</explain>
      <paraID> E7F5672</paraID>
      <start>54</start>
      <end>55</end>
      <status>unmodified</status>
      <modifiedWord/>
      <trackRevisions>false</trackRevisions>
    </reviewItem>
    <reviewItem>
      <errorID>a5781329-6684-4650-a9e2-fdc7d0257a5a</errorID>
      <errorWord>)</errorWord>
      <group>L1_Format</group>
      <groupName>格式问题</groupName>
      <ability>L2_HalfPunc_CN</ability>
      <abilityName>全半角问题</abilityName>
      <candidateList>
        <item>）</item>
      </candidateList>
      <explain>文本全半角错误。</explain>
      <paraID> E7F5672</paraID>
      <start>59</start>
      <end>60</end>
      <status>unmodified</status>
      <modifiedWord/>
      <trackRevisions>false</trackRevisions>
    </reviewItem>
    <reviewItem>
      <errorID>128eb5a1-247d-4b2b-8493-a9043beac6f5</errorID>
      <errorWord>：</errorWord>
      <group>L1_Format</group>
      <groupName>格式问题</groupName>
      <ability>L2_HalfPunc_CN</ability>
      <abilityName>全半角问题</abilityName>
      <candidateList>
        <item>:</item>
      </candidateList>
      <explain>文本全半角错误。</explain>
      <paraID>63F349E8</paraID>
      <start>2</start>
      <end>3</end>
      <status>unmodified</status>
      <modifiedWord/>
      <trackRevisions>false</trackRevisions>
    </reviewItem>
    <reviewItem>
      <errorID>58c67617-a393-4f08-b826-6b157d878105</errorID>
      <errorWord>乒兵球拍</errorWord>
      <group>L1_Word</group>
      <groupName>字词问题</groupName>
      <ability>L2_Typo</ability>
      <abilityName>字词错误</abilityName>
      <candidateList>
        <item>乒乓球拍</item>
      </candidateList>
      <explain/>
      <paraID>5FCFD454</paraID>
      <start>0</start>
      <end>4</end>
      <status>modified</status>
      <modifiedWord>乒乓球拍</modifiedWord>
      <trackRevisions>false</trackRevisions>
    </reviewItem>
    <reviewItem>
      <errorID>35940b8f-6f48-45ee-87e8-bafce65cd734</errorID>
      <errorWord>乒兵球</errorWord>
      <group>L1_Word</group>
      <groupName>字词问题</groupName>
      <ability>L2_Typo</ability>
      <abilityName>字词错误</abilityName>
      <candidateList>
        <item>乒乓球</item>
      </candidateList>
      <explain>〈名〉❶球类运动项目之一，在球台中央支着球网，双方分站在球台两端用球拍把球打来打去。有单打和双打两种。❷乒乓球运动使用的球，用赛璐珞制成。</explain>
      <paraID>7E4CD5A5</paraID>
      <start>0</start>
      <end>3</end>
      <status>modified</status>
      <modifiedWord>乒乓球</modifiedWord>
      <trackRevisions>false</trackRevisions>
    </reviewItem>
    <reviewItem>
      <errorID>7b841ae5-72ce-4cae-b048-66b695e7fd50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55860487</paraID>
      <start>132</start>
      <end>133</end>
      <status>unmodified</status>
      <modifiedWord/>
      <trackRevisions>false</trackRevisions>
    </reviewItem>
    <reviewItem>
      <errorID>2a2db58e-87fd-48f4-87eb-a5b18ffc1055</errorID>
      <errorWord>计分牌</errorWord>
      <group>L1_Word</group>
      <groupName>字词问题</groupName>
      <ability>L2_Typo</ability>
      <abilityName>字词错误</abilityName>
      <candidateList>
        <item>记分牌</item>
      </candidateList>
      <explain/>
      <paraID>1709E943</paraID>
      <start>3</start>
      <end>6</end>
      <status>ignored</status>
      <modifiedWord/>
      <trackRevisions>false</trackRevisions>
    </reviewItem>
    <reviewItem>
      <errorID>c26b0d02-6d55-4419-9fff-2b3e67ceaaf8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1754CF50</paraID>
      <start>140</start>
      <end>141</end>
      <status>unmodified</status>
      <modifiedWord/>
      <trackRevisions>false</trackRevisions>
    </reviewItem>
    <reviewItem>
      <errorID>c174950a-5660-45c1-94bf-3c031d8c2696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3F42BF0F</paraID>
      <start>73</start>
      <end>74</end>
      <status>unmodified</status>
      <modifiedWord/>
      <trackRevisions>false</trackRevisions>
    </reviewItem>
    <reviewItem>
      <errorID>f928027b-1c8d-44e2-ba81-0cf1ba780567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5A7D4753</paraID>
      <start>132</start>
      <end>133</end>
      <status>unmodified</status>
      <modifiedWord/>
      <trackRevisions>false</trackRevisions>
    </reviewItem>
    <reviewItem>
      <errorID>1528ff6b-35d9-4d16-b7f6-261296909871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872C4D6</paraID>
      <start>0</start>
      <end>2</end>
      <status>unmodified</status>
      <modifiedWord/>
      <trackRevisions>false</trackRevisions>
    </reviewItem>
    <reviewItem>
      <errorID>d64a0e35-1bd7-49a4-9924-cbf752120264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340340C6</paraID>
      <start>0</start>
      <end>2</end>
      <status>unmodified</status>
      <modifiedWord/>
      <trackRevisions>false</trackRevisions>
    </reviewItem>
    <reviewItem>
      <errorID>197e1c84-a6ac-41a8-880c-15eb8b94769f</errorID>
      <errorWord>有</errorWord>
      <group>L1_Word</group>
      <groupName>字词问题</groupName>
      <ability>L2_Typo</ability>
      <abilityName>字词错误</abilityName>
      <candidateList>
        <item>由</item>
      </candidateList>
      <explain>存在发音相同字词的误用。</explain>
      <paraID>340340C6</paraID>
      <start>36</start>
      <end>37</end>
      <status>modified</status>
      <modifiedWord>由</modifiedWord>
      <trackRevisions>false</trackRevisions>
    </reviewItem>
    <reviewItem>
      <errorID>41372ff2-bf94-4993-9754-dbc0ce713905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5D4C9B1E</paraID>
      <start>0</start>
      <end>2</end>
      <status>unmodified</status>
      <modifiedWord/>
      <trackRevisions>false</trackRevisions>
    </reviewItem>
    <reviewItem>
      <errorID>2973c88b-a2d4-4092-9d61-2c4c1b296346</errorID>
      <errorWord>粘结</errorWord>
      <group>L1_Word</group>
      <groupName>字词问题</groupName>
      <ability>L2_Typo</ability>
      <abilityName>字词错误</abilityName>
      <candidateList>
        <item>黏结</item>
      </candidateList>
      <explain>存在发音相同字词的误用。</explain>
      <paraID>5D4C9B1E</paraID>
      <start>195</start>
      <end>197</end>
      <status>ignored</status>
      <modifiedWord/>
      <trackRevisions>false</trackRevisions>
    </reviewItem>
    <reviewItem>
      <errorID>ffaa68ea-0704-439e-96e5-b69523c544e6</errorID>
      <errorWord>，</errorWord>
      <group>L1_Word</group>
      <groupName>字词问题</groupName>
      <ability>L2_Typo</ability>
      <abilityName>字词错误</abilityName>
      <candidateList>
        <item>，具</item>
      </candidateList>
      <explain/>
      <paraID>5D4C9B1E</paraID>
      <start>204</start>
      <end>205</end>
      <status>ignored</status>
      <modifiedWord/>
      <trackRevisions>false</trackRevisions>
    </reviewItem>
    <reviewItem>
      <errorID>283b4fd7-0b9d-49d6-b27b-a6e4550f5b39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269C3734</paraID>
      <start>0</start>
      <end>2</end>
      <status>unmodified</status>
      <modifiedWord/>
      <trackRevisions>false</trackRevisions>
    </reviewItem>
    <reviewItem>
      <errorID>8f612571-f3a6-4625-8320-0188dbe9a05f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1ACCBE9F</paraID>
      <start>23</start>
      <end>24</end>
      <status>unmodified</status>
      <modifiedWord/>
      <trackRevisions>false</trackRevisions>
    </reviewItem>
    <reviewItem>
      <errorID>bf030d02-8df1-4bd2-8dc7-71fb3069ce89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1ACCBE9F</paraID>
      <start>76</start>
      <end>77</end>
      <status>unmodified</status>
      <modifiedWord/>
      <trackRevisions>false</trackRevisions>
    </reviewItem>
    <reviewItem>
      <errorID>23b42b87-b70c-4ddd-a551-b406c0eee49c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3D847890</paraID>
      <start>27</start>
      <end>28</end>
      <status>unmodified</status>
      <modifiedWord/>
      <trackRevisions>false</trackRevisions>
    </reviewItem>
    <reviewItem>
      <errorID>6b2e80bf-eb0c-46c7-b15b-561a7c6f564f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3D847890</paraID>
      <start>48</start>
      <end>49</end>
      <status>unmodified</status>
      <modifiedWord/>
      <trackRevisions>false</trackRevisions>
    </reviewItem>
    <reviewItem>
      <errorID>79e06fb5-599c-43b7-8e7e-e1992cb5aba1</errorID>
      <errorWord>平米</errorWord>
      <group>L1_Word</group>
      <groupName>字词问题</groupName>
      <ability>L2_Typo</ability>
      <abilityName>字词错误</abilityName>
      <candidateList>
        <item>平方米</item>
      </candidateList>
      <explain>〈量〉面积单位，边长1米的正方形的面积是1平方米，符号为m²。</explain>
      <paraID>16B82053</paraID>
      <start>0</start>
      <end>2</end>
      <status>unmodified</status>
      <modifiedWord/>
      <trackRevisions>false</trackRevisions>
    </reviewItem>
    <reviewItem>
      <errorID>6b042f2d-3616-4bf4-bbda-ddb210a89e9e</errorID>
      <errorWord>-</errorWord>
      <group>L1_Format</group>
      <groupName>格式问题</groupName>
      <ability>L2_HalfPunc_CN</ability>
      <abilityName>全半角问题</abilityName>
      <candidateList>
        <item>－</item>
      </candidateList>
      <explain>文本全半角错误。</explain>
      <paraID> 5F2D4E6</paraID>
      <start>282</start>
      <end>283</end>
      <status>unmodified</status>
      <modifiedWord/>
      <trackRevisions>false</trackRevisions>
    </reviewItem>
    <reviewItem>
      <errorID>7f151cd9-baa5-4c01-929e-b391fac964c6</errorID>
      <errorWord>)</errorWord>
      <group>L1_Format</group>
      <groupName>格式问题</groupName>
      <ability>L2_HalfPunc_CN</ability>
      <abilityName>全半角问题</abilityName>
      <candidateList>
        <item>）</item>
      </candidateList>
      <explain>文本全半角错误。</explain>
      <paraID> 5F2D4E6</paraID>
      <start>423</start>
      <end>424</end>
      <status>unmodified</status>
      <modifiedWord/>
      <trackRevisions>false</trackRevisions>
    </reviewItem>
    <reviewItem>
      <errorID>03947ffd-36aa-46e0-b688-5b5175664add</errorID>
      <errorWord>)</errorWord>
      <group>L1_Format</group>
      <groupName>格式问题</groupName>
      <ability>L2_HalfPunc_CN</ability>
      <abilityName>全半角问题</abilityName>
      <candidateList>
        <item>）</item>
      </candidateList>
      <explain>文本全半角错误。</explain>
      <paraID> 5F2D4E6</paraID>
      <start>442</start>
      <end>443</end>
      <status>unmodified</status>
      <modifiedWord/>
      <trackRevisions>false</trackRevisions>
    </reviewItem>
    <reviewItem>
      <errorID>7b29e2e8-cd0c-4f43-ad14-30c8b3904850</errorID>
      <errorWord>)</errorWord>
      <group>L1_Format</group>
      <groupName>格式问题</groupName>
      <ability>L2_HalfPunc_CN</ability>
      <abilityName>全半角问题</abilityName>
      <candidateList>
        <item>）</item>
      </candidateList>
      <explain>文本全半角错误。</explain>
      <paraID> 5F2D4E6</paraID>
      <start>461</start>
      <end>462</end>
      <status>unmodified</status>
      <modifiedWord/>
      <trackRevisions>false</trackRevisions>
    </reviewItem>
    <reviewItem>
      <errorID>cd38bb08-75a3-4b9d-b5e1-1fc52133f8cb</errorID>
      <errorWord>)</errorWord>
      <group>L1_Format</group>
      <groupName>格式问题</groupName>
      <ability>L2_HalfPunc_CN</ability>
      <abilityName>全半角问题</abilityName>
      <candidateList>
        <item>）</item>
      </candidateList>
      <explain>文本全半角错误。</explain>
      <paraID> 5F2D4E6</paraID>
      <start>489</start>
      <end>490</end>
      <status>unmodified</status>
      <modifiedWord/>
      <trackRevisions>false</trackRevisions>
    </reviewItem>
    <reviewItem>
      <errorID>9615a13a-d9e7-4a20-b8af-91260cd19676</errorID>
      <errorWord>)</errorWord>
      <group>L1_Format</group>
      <groupName>格式问题</groupName>
      <ability>L2_HalfPunc_CN</ability>
      <abilityName>全半角问题</abilityName>
      <candidateList>
        <item>）</item>
      </candidateList>
      <explain>文本全半角错误。</explain>
      <paraID> 5F2D4E6</paraID>
      <start>511</start>
      <end>512</end>
      <status>unmodified</status>
      <modifiedWord/>
      <trackRevisions>false</trackRevisions>
    </reviewItem>
    <reviewItem>
      <errorID>b635c81d-d92a-46c8-b6fb-e5711dc4b3b7</errorID>
      <errorWord>KW</errorWord>
      <group>L1_Word</group>
      <groupName>字词问题</groupName>
      <ability>L2_Typo</ability>
      <abilityName>字词错误</abilityName>
      <candidateList>
        <item>kW</item>
      </candidateList>
      <explain/>
      <paraID>1F0558AD</paraID>
      <start>10</start>
      <end>12</end>
      <status>unmodified</status>
      <modifiedWord/>
      <trackRevisions>false</trackRevisions>
    </reviewItem>
    <reviewItem>
      <errorID>b014726d-a9da-4f66-820d-acc81c406246</errorID>
      <errorWord>(</errorWord>
      <group>L1_Format</group>
      <groupName>格式问题</groupName>
      <ability>L2_HalfPunc_CN</ability>
      <abilityName>全半角问题</abilityName>
      <candidateList>
        <item>（</item>
      </candidateList>
      <explain>文本全半角错误。</explain>
      <paraID> 32B2FEB</paraID>
      <start>52</start>
      <end>53</end>
      <status>unmodified</status>
      <modifiedWord/>
      <trackRevisions>false</trackRevisions>
    </reviewItem>
    <reviewItem>
      <errorID>d06e4630-9dc9-4f5c-b48c-ac184b360f69</errorID>
      <errorWord>-</errorWord>
      <group>L1_Format</group>
      <groupName>格式问题</groupName>
      <ability>L2_HalfPunc_CN</ability>
      <abilityName>全半角问题</abilityName>
      <candidateList>
        <item>－</item>
      </candidateList>
      <explain>文本全半角错误。</explain>
      <paraID> 32B2FEB</paraID>
      <start>54</start>
      <end>55</end>
      <status>unmodified</status>
      <modifiedWord/>
      <trackRevisions>false</trackRevisions>
    </reviewItem>
    <reviewItem>
      <errorID>8031da24-9253-4718-8cfb-6fbcb9ca3388</errorID>
      <errorWord>)</errorWord>
      <group>L1_Format</group>
      <groupName>格式问题</groupName>
      <ability>L2_HalfPunc_CN</ability>
      <abilityName>全半角问题</abilityName>
      <candidateList>
        <item>）</item>
      </candidateList>
      <explain>文本全半角错误。</explain>
      <paraID> 32B2FEB</paraID>
      <start>59</start>
      <end>60</end>
      <status>unmodified</status>
      <modifiedWord/>
      <trackRevisions>false</trackRevisions>
    </reviewItem>
    <reviewItem>
      <errorID>74ae06af-4f9a-4e2b-abac-c8434a77d3f2</errorID>
      <errorWord>：</errorWord>
      <group>L1_Format</group>
      <groupName>格式问题</groupName>
      <ability>L2_HalfPunc_CN</ability>
      <abilityName>全半角问题</abilityName>
      <candidateList>
        <item>:</item>
      </candidateList>
      <explain>文本全半角错误。</explain>
      <paraID>43269FA9</paraID>
      <start>2</start>
      <end>3</end>
      <status>unmodified</status>
      <modifiedWord/>
      <trackRevisions>false</trackRevisions>
    </reviewItem>
    <reviewItem>
      <errorID>59b76199-58f9-4552-a5c6-c36401369fcb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29FB8C71</paraID>
      <start>0</start>
      <end>2</end>
      <status>unmodified</status>
      <modifiedWord/>
      <trackRevisions>false</trackRevisions>
    </reviewItem>
    <reviewItem>
      <errorID>d5460c53-9d96-4446-a47d-fe816a7a4fe7</errorID>
      <errorWord>,</errorWord>
      <group>L1_Format</group>
      <groupName>格式问题</groupName>
      <ability>L2_HalfPunc_CN</ability>
      <abilityName>全半角问题</abilityName>
      <candidateList>
        <item>，</item>
      </candidateList>
      <explain>文本全半角错误。</explain>
      <paraID>29FB8C71</paraID>
      <start>275</start>
      <end>276</end>
      <status>unmodified</status>
      <modifiedWord/>
      <trackRevisions>false</trackRevisions>
    </reviewItem>
    <reviewItem>
      <errorID>12d4e2af-020f-4b09-8166-7627e97c4926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29FB8C71</paraID>
      <start>632</start>
      <end>633</end>
      <status>unmodified</status>
      <modifiedWord/>
      <trackRevisions>false</trackRevisions>
    </reviewItem>
    <reviewItem>
      <errorID>c7323372-1868-46dc-add1-07e4c325ad14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29FB8C71</paraID>
      <start>679</start>
      <end>680</end>
      <status>unmodified</status>
      <modifiedWord/>
      <trackRevisions>false</trackRevisions>
    </reviewItem>
    <reviewItem>
      <errorID>c78647ca-622d-4cec-ada2-d2491121242d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29FB8C71</paraID>
      <start>692</start>
      <end>693</end>
      <status>unmodified</status>
      <modifiedWord/>
      <trackRevisions>false</trackRevisions>
    </reviewItem>
    <reviewItem>
      <errorID>3f26922c-3605-4db4-ad0d-e58d39d0ca93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29FB8C71</paraID>
      <start>722</start>
      <end>723</end>
      <status>unmodified</status>
      <modifiedWord/>
      <trackRevisions>false</trackRevisions>
    </reviewItem>
    <reviewItem>
      <errorID>0535d3fb-3315-4599-bfa4-19736de70587</errorID>
      <errorWord>)</errorWord>
      <group>L1_Format</group>
      <groupName>格式问题</groupName>
      <ability>L2_HalfPunc_CN</ability>
      <abilityName>全半角问题</abilityName>
      <candidateList>
        <item>）</item>
      </candidateList>
      <explain>文本全半角错误。</explain>
      <paraID>7367F31A</paraID>
      <start>30</start>
      <end>31</end>
      <status>unmodified</status>
      <modifiedWord/>
      <trackRevisions>false</trackRevisions>
    </reviewItem>
    <reviewItem>
      <errorID>659c2938-6919-4181-9b7a-ec9b14d9201d</errorID>
      <errorWord>成形</errorWord>
      <group>L1_Word</group>
      <groupName>字词问题</groupName>
      <ability>L2_Typo</ability>
      <abilityName>字词错误</abilityName>
      <candidateList>
        <item>成型</item>
      </candidateList>
      <explain/>
      <paraID>7367F31A</paraID>
      <start>71</start>
      <end>73</end>
      <status>modified</status>
      <modifiedWord>成型</modifiedWord>
      <trackRevisions>false</trackRevisions>
    </reviewItem>
    <reviewItem>
      <errorID>e4c138d5-1e20-4cea-bb5f-fd127b7cbfdc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22CBECB0</paraID>
      <start>87</start>
      <end>88</end>
      <status>unmodified</status>
      <modifiedWord/>
      <trackRevisions>false</trackRevisions>
    </reviewItem>
    <reviewItem>
      <errorID>d519b356-ab04-45bf-8ad3-2f1c243d25f3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22CBECB0</paraID>
      <start>106</start>
      <end>107</end>
      <status>unmodified</status>
      <modifiedWord/>
      <trackRevisions>false</trackRevisions>
    </reviewItem>
    <reviewItem>
      <errorID>0e757ff3-5d08-48f1-ae1f-4fc7fe88327e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35856B23</paraID>
      <start>25</start>
      <end>26</end>
      <status>unmodified</status>
      <modifiedWord/>
      <trackRevisions>false</trackRevisions>
    </reviewItem>
    <reviewItem>
      <errorID>d225cc0f-1826-4e2a-90ed-8f6263bc088b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35856B23</paraID>
      <start>70</start>
      <end>71</end>
      <status>unmodified</status>
      <modifiedWord/>
      <trackRevisions>false</trackRevisions>
    </reviewItem>
    <reviewItem>
      <errorID>4fae5794-e72d-40b0-9435-ef27946fa106</errorID>
      <errorWord>,</errorWord>
      <group>L1_Format</group>
      <groupName>格式问题</groupName>
      <ability>L2_HalfPunc_CN</ability>
      <abilityName>全半角问题</abilityName>
      <candidateList>
        <item>，</item>
      </candidateList>
      <explain>文本全半角错误。</explain>
      <paraID>35856B23</paraID>
      <start>270</start>
      <end>271</end>
      <status>unmodified</status>
      <modifiedWord/>
      <trackRevisions>false</trackRevisions>
    </reviewItem>
    <reviewItem>
      <errorID>db17dc9a-4e25-4d5c-9b8b-89f5a2da7ac7</errorID>
      <errorWord>;</errorWord>
      <group>L1_Format</group>
      <groupName>格式问题</groupName>
      <ability>L2_HalfPunc_CN</ability>
      <abilityName>全半角问题</abilityName>
      <candidateList>
        <item>；</item>
      </candidateList>
      <explain>文本全半角错误。</explain>
      <paraID>35856B23</paraID>
      <start>545</start>
      <end>546</end>
      <status>unmodified</status>
      <modifiedWord/>
      <trackRevisions>false</trackRevisions>
    </reviewItem>
    <reviewItem>
      <errorID>f997c4dd-f57e-4db3-9ce5-88f5543f68af</errorID>
      <errorWord>,</errorWord>
      <group>L1_Format</group>
      <groupName>格式问题</groupName>
      <ability>L2_HalfPunc_CN</ability>
      <abilityName>全半角问题</abilityName>
      <candidateList>
        <item>，</item>
      </candidateList>
      <explain>文本全半角错误。</explain>
      <paraID>35856B23</paraID>
      <start>553</start>
      <end>554</end>
      <status>unmodified</status>
      <modifiedWord/>
      <trackRevisions>false</trackRevisions>
    </reviewItem>
    <reviewItem>
      <errorID>2395751d-039b-4868-856f-4102e0634c4e</errorID>
      <errorWord>;</errorWord>
      <group>L1_Format</group>
      <groupName>格式问题</groupName>
      <ability>L2_HalfPunc_CN</ability>
      <abilityName>全半角问题</abilityName>
      <candidateList>
        <item>；</item>
      </candidateList>
      <explain>文本全半角错误。</explain>
      <paraID>10DAA404</paraID>
      <start>26</start>
      <end>27</end>
      <status>unmodified</status>
      <modifiedWord/>
      <trackRevisions>false</trackRevisions>
    </reviewItem>
    <reviewItem>
      <errorID>e26ce3d5-eaaf-4c66-94c4-0d20295b48e5</errorID>
      <errorWord>)</errorWord>
      <group>L1_Format</group>
      <groupName>格式问题</groupName>
      <ability>L2_HalfPunc_CN</ability>
      <abilityName>全半角问题</abilityName>
      <candidateList>
        <item>）</item>
      </candidateList>
      <explain>文本全半角错误。</explain>
      <paraID>10DAA404</paraID>
      <start>86</start>
      <end>87</end>
      <status>unmodified</status>
      <modifiedWord/>
      <trackRevisions>false</trackRevisions>
    </reviewItem>
    <reviewItem>
      <errorID>7072642f-a59e-43be-a03a-70d7cd516f40</errorID>
      <errorWord>)</errorWord>
      <group>L1_Format</group>
      <groupName>格式问题</groupName>
      <ability>L2_HalfPunc_CN</ability>
      <abilityName>全半角问题</abilityName>
      <candidateList>
        <item>）</item>
      </candidateList>
      <explain>文本全半角错误。</explain>
      <paraID>10DAA404</paraID>
      <start>104</start>
      <end>105</end>
      <status>unmodified</status>
      <modifiedWord/>
      <trackRevisions>false</trackRevisions>
    </reviewItem>
    <reviewItem>
      <errorID>5c265cc8-6e0c-493b-830e-70951ca82704</errorID>
      <errorWord>:</errorWord>
      <group>L1_Format</group>
      <groupName>格式问题</groupName>
      <ability>L2_HalfPunc_CN</ability>
      <abilityName>全半角问题</abilityName>
      <candidateList>
        <item>：</item>
      </candidateList>
      <explain>文本全半角错误。</explain>
      <paraID>10DAA404</paraID>
      <start>161</start>
      <end>162</end>
      <status>unmodified</status>
      <modifiedWord/>
      <trackRevisions>false</trackRevisions>
    </reviewItem>
    <reviewItem>
      <errorID>8a864d8d-b35d-4077-a71e-4a3936bca65c</errorID>
      <errorWord>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10DAA404</paraID>
      <start>306</start>
      <end>307</end>
      <status>modified</status>
      <modifiedWord>于</modifiedWord>
      <trackRevisions>false</trackRevisions>
    </reviewItem>
    <reviewItem>
      <errorID>2986d62a-8651-48f2-a3db-7e1e5aa1ff65</errorID>
      <errorWord>;</errorWord>
      <group>L1_Format</group>
      <groupName>格式问题</groupName>
      <ability>L2_HalfPunc_CN</ability>
      <abilityName>全半角问题</abilityName>
      <candidateList>
        <item>；</item>
      </candidateList>
      <explain>文本全半角错误。</explain>
      <paraID>10DAA404</paraID>
      <start>352</start>
      <end>353</end>
      <status>unmodified</status>
      <modifiedWord/>
      <trackRevisions>false</trackRevisions>
    </reviewItem>
    <reviewItem>
      <errorID>e9be8c89-7df7-451b-b3d4-46acbe2027d9</errorID>
      <errorWord>:</errorWord>
      <group>L1_Format</group>
      <groupName>格式问题</groupName>
      <ability>L2_HalfPunc_CN</ability>
      <abilityName>全半角问题</abilityName>
      <candidateList>
        <item>：</item>
      </candidateList>
      <explain>文本全半角错误。</explain>
      <paraID>10DAA404</paraID>
      <start>397</start>
      <end>398</end>
      <status>unmodified</status>
      <modifiedWord/>
      <trackRevisions>false</trackRevisions>
    </reviewItem>
    <reviewItem>
      <errorID>1f8aa97b-531e-4038-85b7-e6884df81354</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10DAA404</paraID>
      <start>410</start>
      <end>417</end>
      <status>unmodified</status>
      <modifiedWord/>
      <trackRevisions>false</trackRevisions>
    </reviewItem>
    <reviewItem>
      <errorID>242a5fdc-cb95-4597-b9fd-4fa8fc9647f9</errorID>
      <errorWord>:</errorWord>
      <group>L1_Format</group>
      <groupName>格式问题</groupName>
      <ability>L2_HalfPunc_CN</ability>
      <abilityName>全半角问题</abilityName>
      <candidateList>
        <item>：</item>
      </candidateList>
      <explain>文本全半角错误。</explain>
      <paraID>10DAA404</paraID>
      <start>428</start>
      <end>429</end>
      <status>unmodified</status>
      <modifiedWord/>
      <trackRevisions>false</trackRevisions>
    </reviewItem>
    <reviewItem>
      <errorID>85609cd5-f278-4da3-a2ae-7c180b77654d</errorID>
      <errorWord>:</errorWord>
      <group>L1_Format</group>
      <groupName>格式问题</groupName>
      <ability>L2_HalfPunc_CN</ability>
      <abilityName>全半角问题</abilityName>
      <candidateList>
        <item>：</item>
      </candidateList>
      <explain>文本全半角错误。</explain>
      <paraID>10DAA404</paraID>
      <start>446</start>
      <end>447</end>
      <status>unmodified</status>
      <modifiedWord/>
      <trackRevisions>false</trackRevisions>
    </reviewItem>
    <reviewItem>
      <errorID>bcec449f-afee-4a70-8d25-e0bfb7d70f54</errorID>
      <errorWord>:</errorWord>
      <group>L1_Format</group>
      <groupName>格式问题</groupName>
      <ability>L2_HalfPunc_CN</ability>
      <abilityName>全半角问题</abilityName>
      <candidateList>
        <item>：</item>
      </candidateList>
      <explain>文本全半角错误。</explain>
      <paraID>10DAA404</paraID>
      <start>460</start>
      <end>461</end>
      <status>unmodified</status>
      <modifiedWord/>
      <trackRevisions>false</trackRevisions>
    </reviewItem>
    <reviewItem>
      <errorID>417de987-7f8c-4848-b07a-09f6a7e651b9</errorID>
      <errorWord>:</errorWord>
      <group>L1_Format</group>
      <groupName>格式问题</groupName>
      <ability>L2_HalfPunc_CN</ability>
      <abilityName>全半角问题</abilityName>
      <candidateList>
        <item>：</item>
      </candidateList>
      <explain>文本全半角错误。</explain>
      <paraID>1BD65974</paraID>
      <start>57</start>
      <end>58</end>
      <status>unmodified</status>
      <modifiedWord/>
      <trackRevisions>false</trackRevisions>
    </reviewItem>
    <reviewItem>
      <errorID>e8a9ffdf-5ceb-4a18-b15d-7f060781773c</errorID>
      <errorWord>:</errorWord>
      <group>L1_Format</group>
      <groupName>格式问题</groupName>
      <ability>L2_HalfPunc_CN</ability>
      <abilityName>全半角问题</abilityName>
      <candidateList>
        <item>：</item>
      </candidateList>
      <explain>文本全半角错误。</explain>
      <paraID>1BD65974</paraID>
      <start>71</start>
      <end>72</end>
      <status>unmodified</status>
      <modifiedWord/>
      <trackRevisions>false</trackRevisions>
    </reviewItem>
    <reviewItem>
      <errorID>24d30c95-cbff-40c6-94dd-bcd98ab730a6</errorID>
      <errorWord>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1BD65974</paraID>
      <start>186</start>
      <end>187</end>
      <status>modified</status>
      <modifiedWord>于</modifiedWord>
      <trackRevisions>false</trackRevisions>
    </reviewItem>
    <reviewItem>
      <errorID>9053ca9d-b246-4db0-8d6c-eaa784d8a2cb</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1BD65974</paraID>
      <start>292</start>
      <end>299</end>
      <status>unmodified</status>
      <modifiedWord/>
      <trackRevisions>false</trackRevisions>
    </reviewItem>
    <reviewItem>
      <errorID>1a8861a1-5b35-4dca-9542-5f72a43e74ef</errorID>
      <errorWord>:</errorWord>
      <group>L1_Format</group>
      <groupName>格式问题</groupName>
      <ability>L2_HalfPunc_CN</ability>
      <abilityName>全半角问题</abilityName>
      <candidateList>
        <item>：</item>
      </candidateList>
      <explain>文本全半角错误。</explain>
      <paraID>1BD65974</paraID>
      <start>328</start>
      <end>329</end>
      <status>unmodified</status>
      <modifiedWord/>
      <trackRevisions>false</trackRevisions>
    </reviewItem>
    <reviewItem>
      <errorID>6eeff2a5-94e2-4150-86c6-1cf719932612</errorID>
      <errorWord>成</errorWord>
      <group>L1_Word</group>
      <groupName>字词问题</groupName>
      <ability>L2_Typo</ability>
      <abilityName>字词错误</abilityName>
      <candidateList>
        <item>成后</item>
      </candidateList>
      <explain/>
      <paraID>1BD65974</paraID>
      <start>421</start>
      <end>423</end>
      <status>modified</status>
      <modifiedWord>成后</modifiedWord>
      <trackRevisions>false</trackRevisions>
    </reviewItem>
    <reviewItem>
      <errorID>0f48c026-40c5-4213-a2b6-02d4c718e912</errorID>
      <errorWord>平米</errorWord>
      <group>L1_Word</group>
      <groupName>字词问题</groupName>
      <ability>L2_Typo</ability>
      <abilityName>字词错误</abilityName>
      <candidateList>
        <item>平方米</item>
      </candidateList>
      <explain>〈量〉面积单位，边长1米的正方形的面积是1平方米，符号为m²。</explain>
      <paraID>7D185DEC</paraID>
      <start>0</start>
      <end>2</end>
      <status>unmodified</status>
      <modifiedWord/>
      <trackRevisions>false</trackRevisions>
    </reviewItem>
    <reviewItem>
      <errorID>e9a8d73f-87f6-4b49-863b-fbd6da0b4aaa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64651FF9</paraID>
      <start>0</start>
      <end>2</end>
      <status>unmodified</status>
      <modifiedWord/>
      <trackRevisions>false</trackRevisions>
    </reviewItem>
    <reviewItem>
      <errorID>04ce9626-0372-4f7a-bbb4-2213511255fc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7F06D8CB</paraID>
      <start>0</start>
      <end>2</end>
      <status>unmodified</status>
      <modifiedWord/>
      <trackRevisions>false</trackRevisions>
    </reviewItem>
    <reviewItem>
      <errorID>b0c34e12-518c-40cc-b2d0-b319e653ec18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5A23E1D7</paraID>
      <start>0</start>
      <end>3</end>
      <status>unmodified</status>
      <modifiedWord/>
      <trackRevisions>false</trackRevisions>
    </reviewItem>
    <reviewItem>
      <errorID>df87e876-9a39-492b-861a-c06892b94195</errorID>
      <errorWord>(</errorWord>
      <group>L1_Format</group>
      <groupName>格式问题</groupName>
      <ability>L2_HalfPunc_CN</ability>
      <abilityName>全半角问题</abilityName>
      <candidateList>
        <item>（</item>
      </candidateList>
      <explain>文本全半角错误。</explain>
      <paraID>435705DD</paraID>
      <start>7</start>
      <end>8</end>
      <status>unmodified</status>
      <modifiedWord/>
      <trackRevisions>false</trackRevisions>
    </reviewItem>
    <reviewItem>
      <errorID>5dbe777c-34aa-4639-be6c-b3d3c71caf2a</errorID>
      <errorWord>)</errorWord>
      <group>L1_Format</group>
      <groupName>格式问题</groupName>
      <ability>L2_HalfPunc_CN</ability>
      <abilityName>全半角问题</abilityName>
      <candidateList>
        <item>）</item>
      </candidateList>
      <explain>文本全半角错误。</explain>
      <paraID>435705DD</paraID>
      <start>12</start>
      <end>13</end>
      <status>unmodified</status>
      <modifiedWord/>
      <trackRevisions>false</trackRevisions>
    </reviewItem>
    <reviewItem>
      <errorID>2e9ea446-987b-44b2-8341-3629e442579c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31C8F709</paraID>
      <start>0</start>
      <end>2</end>
      <status>unmodified</status>
      <modifiedWord/>
      <trackRevisions>false</trackRevisions>
    </reviewItem>
    <reviewItem>
      <errorID>a69982b4-7197-420e-9d2d-174fd127bf37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FD8DE48</paraID>
      <start>0</start>
      <end>2</end>
      <status>unmodified</status>
      <modifiedWord/>
      <trackRevisions>false</trackRevisions>
    </reviewItem>
    <reviewItem>
      <errorID>62e1e5f7-84a6-41fd-82e5-c10d311c892e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1EA68B63</paraID>
      <start>0</start>
      <end>2</end>
      <status>unmodified</status>
      <modifiedWord/>
      <trackRevisions>false</trackRevisions>
    </reviewItem>
    <reviewItem>
      <errorID>1b09bda2-af33-4d59-bcaa-5d26fce0c9b2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D5415DE</paraID>
      <start>0</start>
      <end>2</end>
      <status>unmodified</status>
      <modifiedWord/>
      <trackRevisions>false</trackRevisions>
    </reviewItem>
    <reviewItem>
      <errorID>73315450-c39d-427f-9703-f38e3bdb34a9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71475B78</paraID>
      <start>0</start>
      <end>2</end>
      <status>unmodified</status>
      <modifiedWord/>
      <trackRevisions>false</trackRevisions>
    </reviewItem>
    <reviewItem>
      <errorID>c5a94dda-a276-4535-97ea-81d0bac1cf2f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32EE7E6D</paraID>
      <start>0</start>
      <end>2</end>
      <status>unmodified</status>
      <modifiedWord/>
      <trackRevisions>false</trackRevisions>
    </reviewItem>
    <reviewItem>
      <errorID>702d804f-9007-4274-b0cf-b1dc14bdec29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691D8D5</paraID>
      <start>0</start>
      <end>2</end>
      <status>unmodified</status>
      <modifiedWord/>
      <trackRevisions>false</trackRevisions>
    </reviewItem>
    <reviewItem>
      <errorID>8bed34c4-275d-4df6-835c-284db83c0153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44B3D478</paraID>
      <start>0</start>
      <end>2</end>
      <status>unmodified</status>
      <modifiedWord/>
      <trackRevisions>false</trackRevisions>
    </reviewItem>
    <reviewItem>
      <errorID>22af014c-64a3-4089-877a-6a954c299bc8</errorID>
      <errorWord>坏境影响</errorWord>
      <group>L1_Word</group>
      <groupName>字词问题</groupName>
      <ability>L2_Typo</ability>
      <abilityName>字词错误</abilityName>
      <candidateList>
        <item>环境影响</item>
      </candidateList>
      <explain/>
      <paraID>44B3D478</paraID>
      <start>55</start>
      <end>59</end>
      <status>modified</status>
      <modifiedWord>环境影响</modifiedWord>
      <trackRevisions>false</trackRevisions>
    </reviewItem>
    <reviewItem>
      <errorID>5e3976b0-f1b7-4bcc-a0d3-5f69b2d4b25e</errorID>
      <errorWord>四向功能</errorWord>
      <group>L1_Word</group>
      <groupName>字词问题</groupName>
      <ability>L2_Typo</ability>
      <abilityName>字词错误</abilityName>
      <candidateList>
        <item>四项功能</item>
      </candidateList>
      <explain/>
      <paraID>44B3D478</paraID>
      <start>235</start>
      <end>239</end>
      <status>ignored</status>
      <modifiedWord/>
      <trackRevisions>false</trackRevisions>
    </reviewItem>
    <reviewItem>
      <errorID>f8370d71-9ad0-490b-8c2b-bda8d85dbd5d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708C8021</paraID>
      <start>0</start>
      <end>3</end>
      <status>unmodified</status>
      <modifiedWord/>
      <trackRevisions>false</trackRevisions>
    </reviewItem>
    <reviewItem>
      <errorID>9a01f3d8-8894-4bc3-9c35-16044f8ff9f3</errorID>
      <errorWord>:</errorWord>
      <group>L1_Format</group>
      <groupName>格式问题</groupName>
      <ability>L2_HalfPunc_CN</ability>
      <abilityName>全半角问题</abilityName>
      <candidateList>
        <item>：</item>
      </candidateList>
      <explain>文本全半角错误。</explain>
      <paraID>7F15F633</paraID>
      <start>184</start>
      <end>185</end>
      <status>unmodified</status>
      <modifiedWord/>
      <trackRevisions>false</trackRevisions>
    </reviewItem>
    <reviewItem>
      <errorID>657fec34-3dea-4c2e-b00b-e96fda5fe369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7870F6B8</paraID>
      <start>23</start>
      <end>24</end>
      <status>unmodified</status>
      <modifiedWord/>
      <trackRevisions>false</trackRevisions>
    </reviewItem>
    <reviewItem>
      <errorID>97a2d77d-b21b-4a6c-90c0-3c3c6c56ebac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7870F6B8</paraID>
      <start>50</start>
      <end>51</end>
      <status>unmodified</status>
      <modifiedWord/>
      <trackRevisions>false</trackRevisions>
    </reviewItem>
    <reviewItem>
      <errorID>4950aea2-1ac8-405f-84db-2cd863f5382c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7870F6B8</paraID>
      <start>79</start>
      <end>80</end>
      <status>unmodified</status>
      <modifiedWord/>
      <trackRevisions>false</trackRevisions>
    </reviewItem>
    <reviewItem>
      <errorID>1c8b48ad-1ce8-4a24-af0b-cc9872e2783b</errorID>
      <errorWord>1-2天</errorWord>
      <group>L1_Word</group>
      <groupName>字词问题</groupName>
      <ability>L2_Typo</ability>
      <abilityName>字词错误</abilityName>
      <candidateList>
        <item>1～2天</item>
      </candidateList>
      <explain/>
      <paraID>2357BC89</paraID>
      <start>173</start>
      <end>177</end>
      <status>unmodified</status>
      <modifiedWord/>
      <trackRevisions>false</trackRevisions>
    </reviewItem>
    <reviewItem>
      <errorID>a21854d4-e990-45e0-9719-8001e176ab06</errorID>
      <errorWord>水糟</errorWord>
      <group>L1_Word</group>
      <groupName>字词问题</groupName>
      <ability>L2_Typo</ability>
      <abilityName>字词错误</abilityName>
      <candidateList>
        <item>水槽</item>
      </candidateList>
      <explain/>
      <paraID>4DCABC37</paraID>
      <start>0</start>
      <end>2</end>
      <status>modified</status>
      <modifiedWord>水槽</modifiedWord>
      <trackRevisions>false</trackRevisions>
    </reviewItem>
    <reviewItem>
      <errorID>7b20535d-eccf-4902-802e-eba9890fee89</errorID>
      <errorWord>(</errorWord>
      <group>L1_Format</group>
      <groupName>格式问题</groupName>
      <ability>L2_HalfPunc_CN</ability>
      <abilityName>全半角问题</abilityName>
      <candidateList>
        <item>（</item>
      </candidateList>
      <explain>文本全半角错误。</explain>
      <paraID>62301057</paraID>
      <start>3</start>
      <end>4</end>
      <status>unmodified</status>
      <modifiedWord/>
      <trackRevisions>false</trackRevisions>
    </reviewItem>
    <reviewItem>
      <errorID>93de237b-d18e-4ce4-bbed-e7afedecf54c</errorID>
      <errorWord>)</errorWord>
      <group>L1_Format</group>
      <groupName>格式问题</groupName>
      <ability>L2_HalfPunc_CN</ability>
      <abilityName>全半角问题</abilityName>
      <candidateList>
        <item>）</item>
      </candidateList>
      <explain>文本全半角错误。</explain>
      <paraID>62301057</paraID>
      <start>5</start>
      <end>6</end>
      <status>unmodified</status>
      <modifiedWord/>
      <trackRevisions>false</trackRevisions>
    </reviewItem>
    <reviewItem>
      <errorID>a8f81740-d0a0-4c20-ad09-6a0434d71e40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600075D2</paraID>
      <start>0</start>
      <end>2</end>
      <status>unmodified</status>
      <modifiedWord/>
      <trackRevisions>false</trackRevisions>
    </reviewItem>
    <reviewItem>
      <errorID>a33c69bc-582d-44bb-a453-ef28e0f943d4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527AFB3E</paraID>
      <start>0</start>
      <end>2</end>
      <status>unmodified</status>
      <modifiedWord/>
      <trackRevisions>false</trackRevisions>
    </reviewItem>
    <reviewItem>
      <errorID>54a39512-1f1c-402c-ac3d-2a8810e40360</errorID>
      <errorWord>失</errorWord>
      <group>L1_Word</group>
      <groupName>字词问题</groupName>
      <ability>L2_Typo</ability>
      <abilityName>字词错误</abilityName>
      <candidateList>
        <item>失由</item>
      </candidateList>
      <explain/>
      <paraID>625E2336</paraID>
      <start>108</start>
      <end>110</end>
      <status>modified</status>
      <modifiedWord>失由</modifiedWord>
      <trackRevisions>false</trackRevisions>
    </reviewItem>
    <reviewItem>
      <errorID>60e84df2-2b47-4ad9-aa41-72a09d7bd3ad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5D96BCB4</paraID>
      <start>0</start>
      <end>2</end>
      <status>unmodified</status>
      <modifiedWord/>
      <trackRevisions>false</trackRevisions>
    </reviewItem>
    <reviewItem>
      <errorID>e147974e-030c-4f0d-8ee5-fed267dd6462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2C260E9B</paraID>
      <start>0</start>
      <end>2</end>
      <status>unmodified</status>
      <modifiedWord/>
      <trackRevisions>false</trackRevisions>
    </reviewItem>
    <reviewItem>
      <errorID>3ca1cead-5d4e-40b4-b041-e13e732bff22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625CCBE8</paraID>
      <start>0</start>
      <end>2</end>
      <status>unmodified</status>
      <modifiedWord/>
      <trackRevisions>false</trackRevisions>
    </reviewItem>
    <reviewItem>
      <errorID>20cabccd-2602-4fae-bedb-d3ec821b2db8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AD054B3</paraID>
      <start>0</start>
      <end>2</end>
      <status>unmodified</status>
      <modifiedWord/>
      <trackRevisions>false</trackRevisions>
    </reviewItem>
    <reviewItem>
      <errorID>c99400d1-cba2-4d39-906e-0d45d409e1c3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79C0E618</paraID>
      <start>0</start>
      <end>2</end>
      <status>unmodified</status>
      <modifiedWord/>
      <trackRevisions>false</trackRevisions>
    </reviewItem>
    <reviewItem>
      <errorID>fc84bee2-b05d-49b8-b954-f2fc2a232a2e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505B7004</paraID>
      <start>0</start>
      <end>2</end>
      <status>unmodified</status>
      <modifiedWord/>
      <trackRevisions>false</trackRevisions>
    </reviewItem>
    <reviewItem>
      <errorID>9524119a-9fbc-48bf-88ce-336e661a8ee4</errorID>
      <errorWord>所</errorWord>
      <group>L1_Word</group>
      <groupName>字词问题</groupName>
      <ability>L2_Typo</ability>
      <abilityName>字词错误</abilityName>
      <candidateList>
        <item>所规</item>
      </candidateList>
      <explain/>
      <paraID>505B7004</paraID>
      <start>19</start>
      <end>21</end>
      <status>modified</status>
      <modifiedWord>所规</modifiedWord>
      <trackRevisions>false</trackRevisions>
    </reviewItem>
    <reviewItem>
      <errorID>22f8d355-7d8a-4402-937a-47df57bba30b</errorID>
      <errorWord>、以及</errorWord>
      <group>L1_Punc</group>
      <groupName>标点问题</groupName>
      <ability>L2_Punc_CN</ability>
      <abilityName>标点符号问题</abilityName>
      <candidateList>
        <item>，以及</item>
      </candidateList>
      <explain>连接词前后不宜使用顿号，建议使用逗号。</explain>
      <paraID>59D9AF2E</paraID>
      <start>22</start>
      <end>25</end>
      <status>modified</status>
      <modifiedWord>，以及</modifiedWord>
      <trackRevisions>false</trackRevisions>
    </reviewItem>
    <reviewItem>
      <errorID>60fedef0-c4dc-47b2-8343-30efc1691814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1E05C376</paraID>
      <start>55</start>
      <end>59</end>
      <status>modified</status>
      <modifiedWord>勘查现场</modifiedWord>
      <trackRevisions>false</trackRevisions>
    </reviewItem>
    <reviewItem>
      <errorID>27629aef-79b9-4707-847a-04a6660ab62c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1A5B697F</paraID>
      <start>0</start>
      <end>2</end>
      <status>unmodified</status>
      <modifiedWord/>
      <trackRevisions>false</trackRevisions>
    </reviewItem>
    <reviewItem>
      <errorID>0ddd63c9-8699-439a-aac3-8dbf4a050ec1</errorID>
      <errorWord>，</errorWord>
      <group>L1_Word</group>
      <groupName>字词问题</groupName>
      <ability>L2_Typo</ability>
      <abilityName>字词错误</abilityName>
      <candidateList>
        <item>，对</item>
      </candidateList>
      <explain/>
      <paraID>1A5B697F</paraID>
      <start>75</start>
      <end>76</end>
      <status>ignored</status>
      <modifiedWord/>
      <trackRevisions>false</trackRevisions>
    </reviewItem>
    <reviewItem>
      <errorID>0214c1a5-cb96-4c56-9072-03140098f6ae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57DD7AA7</paraID>
      <start>0</start>
      <end>2</end>
      <status>unmodified</status>
      <modifiedWord/>
      <trackRevisions>false</trackRevisions>
    </reviewItem>
    <reviewItem>
      <errorID>70571a80-b6c3-4216-89e2-cac15dc8d02c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6ED9F234</paraID>
      <start>0</start>
      <end>2</end>
      <status>unmodified</status>
      <modifiedWord/>
      <trackRevisions>false</trackRevisions>
    </reviewItem>
    <reviewItem>
      <errorID>f9fd9e15-0f29-4091-bb2e-3f40da7d99b0</errorID>
      <errorWord>制定出</errorWord>
      <group>L1_Word</group>
      <groupName>字词问题</groupName>
      <ability>L2_Typo</ability>
      <abilityName>字词错误</abilityName>
      <candidateList>
        <item>制定</item>
      </candidateList>
      <explain>〈动〉定出（法律、规程、政策等）：～宪法｜～学会章程。</explain>
      <paraID> 7B3FE2C</paraID>
      <start>159</start>
      <end>161</end>
      <status>modified</status>
      <modifiedWord>制定</modifiedWord>
      <trackRevisions>false</trackRevisions>
    </reviewItem>
    <reviewItem>
      <errorID>73a28e54-9286-4a88-8f33-6631a00899a4</errorID>
      <errorWord>(</errorWord>
      <group>L1_Format</group>
      <groupName>格式问题</groupName>
      <ability>L2_HalfPunc_CN</ability>
      <abilityName>全半角问题</abilityName>
      <candidateList>
        <item>（</item>
      </candidateList>
      <explain>文本全半角错误。</explain>
      <paraID>59B7FD8C</paraID>
      <start>13</start>
      <end>14</end>
      <status>unmodified</status>
      <modifiedWord/>
      <trackRevisions>false</trackRevisions>
    </reviewItem>
    <reviewItem>
      <errorID>b74df837-3186-4d04-9d87-3aa5eb9ed3dd</errorID>
      <errorWord>)</errorWord>
      <group>L1_Format</group>
      <groupName>格式问题</groupName>
      <ability>L2_HalfPunc_CN</ability>
      <abilityName>全半角问题</abilityName>
      <candidateList>
        <item>）</item>
      </candidateList>
      <explain>文本全半角错误。</explain>
      <paraID>59B7FD8C</paraID>
      <start>17</start>
      <end>18</end>
      <status>unmodified</status>
      <modifiedWord/>
      <trackRevisions>false</trackRevisions>
    </reviewItem>
    <reviewItem>
      <errorID>90222afc-cf1a-4463-bd11-b56aca2e767c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265D46BB</paraID>
      <start>0</start>
      <end>2</end>
      <status>unmodified</status>
      <modifiedWord/>
      <trackRevisions>false</trackRevisions>
    </reviewItem>
    <reviewItem>
      <errorID>8bde8a34-e1b2-41f6-ad70-8c5637342ce9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5E96F774</paraID>
      <start>0</start>
      <end>2</end>
      <status>unmodified</status>
      <modifiedWord/>
      <trackRevisions>false</trackRevisions>
    </reviewItem>
    <reviewItem>
      <errorID>995c261a-4fa9-41bb-8f4a-9f2f6e7347ae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19D0AA99</paraID>
      <start>0</start>
      <end>2</end>
      <status>unmodified</status>
      <modifiedWord/>
      <trackRevisions>false</trackRevisions>
    </reviewItem>
    <reviewItem>
      <errorID>13baf343-20b1-418d-99c3-da17f717b72c</errorID>
      <errorWord>(</errorWord>
      <group>L1_Format</group>
      <groupName>格式问题</groupName>
      <ability>L2_HalfPunc_CN</ability>
      <abilityName>全半角问题</abilityName>
      <candidateList>
        <item>（</item>
      </candidateList>
      <explain>文本全半角错误。</explain>
      <paraID>19D0AA99</paraID>
      <start>22</start>
      <end>23</end>
      <status>unmodified</status>
      <modifiedWord/>
      <trackRevisions>false</trackRevisions>
    </reviewItem>
    <reviewItem>
      <errorID>8f1f0bb7-8468-4d08-93b5-0db179c09af8</errorID>
      <errorWord>)</errorWord>
      <group>L1_Format</group>
      <groupName>格式问题</groupName>
      <ability>L2_HalfPunc_CN</ability>
      <abilityName>全半角问题</abilityName>
      <candidateList>
        <item>）</item>
      </candidateList>
      <explain>文本全半角错误。</explain>
      <paraID>19D0AA99</paraID>
      <start>25</start>
      <end>26</end>
      <status>unmodified</status>
      <modifiedWord/>
      <trackRevisions>false</trackRevisions>
    </reviewItem>
    <reviewItem>
      <errorID>75e3fbc3-25b4-4341-9608-e927800d9bf8</errorID>
      <errorWord>(</errorWord>
      <group>L1_Format</group>
      <groupName>格式问题</groupName>
      <ability>L2_HalfPunc_CN</ability>
      <abilityName>全半角问题</abilityName>
      <candidateList>
        <item>（</item>
      </candidateList>
      <explain>文本全半角错误。</explain>
      <paraID>19D0AA99</paraID>
      <start>37</start>
      <end>38</end>
      <status>unmodified</status>
      <modifiedWord/>
      <trackRevisions>false</trackRevisions>
    </reviewItem>
    <reviewItem>
      <errorID>1cd5c607-854a-4718-bd2c-edf2a86a1ce1</errorID>
      <errorWord>)</errorWord>
      <group>L1_Format</group>
      <groupName>格式问题</groupName>
      <ability>L2_HalfPunc_CN</ability>
      <abilityName>全半角问题</abilityName>
      <candidateList>
        <item>）</item>
      </candidateList>
      <explain>文本全半角错误。</explain>
      <paraID>19D0AA99</paraID>
      <start>40</start>
      <end>41</end>
      <status>unmodified</status>
      <modifiedWord/>
      <trackRevisions>false</trackRevisions>
    </reviewItem>
    <reviewItem>
      <errorID>4563c855-6952-4853-a6ed-ae73de5a2e7b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41E52753</paraID>
      <start>0</start>
      <end>2</end>
      <status>unmodified</status>
      <modifiedWord/>
      <trackRevisions>false</trackRevisions>
    </reviewItem>
    <reviewItem>
      <errorID>46cda321-aec4-427a-9ff9-67604ce874fa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6BA3129A</paraID>
      <start>0</start>
      <end>2</end>
      <status>unmodified</status>
      <modifiedWord/>
      <trackRevisions>false</trackRevisions>
    </reviewItem>
    <reviewItem>
      <errorID>6a0f6e96-437a-4010-b484-0837d66bb852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357A05C8</paraID>
      <start>0</start>
      <end>2</end>
      <status>unmodified</status>
      <modifiedWord/>
      <trackRevisions>false</trackRevisions>
    </reviewItem>
    <reviewItem>
      <errorID>6dc4529e-b355-4079-b768-fa77fa38e8d5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93E8E34</paraID>
      <start>0</start>
      <end>2</end>
      <status>unmodified</status>
      <modifiedWord/>
      <trackRevisions>false</trackRevisions>
    </reviewItem>
    <reviewItem>
      <errorID>a1b57bab-e09f-4d30-bb87-2bfea477d6f2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14677E7C</paraID>
      <start>0</start>
      <end>2</end>
      <status>unmodified</status>
      <modifiedWord/>
      <trackRevisions>false</trackRevisions>
    </reviewItem>
    <reviewItem>
      <errorID>a8cc56af-2703-4da2-aaf6-db27faf4ebeb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7E784758</paraID>
      <start>0</start>
      <end>2</end>
      <status>unmodified</status>
      <modifiedWord/>
      <trackRevisions>false</trackRevisions>
    </reviewItem>
    <reviewItem>
      <errorID>8fc2ee2d-df16-4c38-b75a-9998e6cfe2f3</errorID>
      <errorWord>&lt;</errorWord>
      <group>L1_Format</group>
      <groupName>格式问题</groupName>
      <ability>L2_HalfPunc_CN</ability>
      <abilityName>全半角问题</abilityName>
      <candidateList>
        <item>〈</item>
      </candidateList>
      <explain>文本全半角错误。</explain>
      <paraID>143F77EC</paraID>
      <start>49</start>
      <end>50</end>
      <status>unmodified</status>
      <modifiedWord/>
      <trackRevisions>false</trackRevisions>
    </reviewItem>
    <reviewItem>
      <errorID>7c6a6e8d-c175-450a-9191-13da58f40971</errorID>
      <errorWord>&lt;</errorWord>
      <group>L1_Format</group>
      <groupName>格式问题</groupName>
      <ability>L2_HalfPunc_CN</ability>
      <abilityName>全半角问题</abilityName>
      <candidateList>
        <item>〈</item>
      </candidateList>
      <explain>文本全半角错误。</explain>
      <paraID>595BC612</paraID>
      <start>49</start>
      <end>50</end>
      <status>unmodified</status>
      <modifiedWord/>
      <trackRevisions>false</trackRevisions>
    </reviewItem>
    <reviewItem>
      <errorID>e3c33ea5-0150-4dc7-9ed6-72a5c06fc10f</errorID>
      <errorWord>&lt;</errorWord>
      <group>L1_Format</group>
      <groupName>格式问题</groupName>
      <ability>L2_HalfPunc_CN</ability>
      <abilityName>全半角问题</abilityName>
      <candidateList>
        <item>〈</item>
      </candidateList>
      <explain>文本全半角错误。</explain>
      <paraID>73ECA6CA</paraID>
      <start>34</start>
      <end>35</end>
      <status>unmodified</status>
      <modifiedWord/>
      <trackRevisions>false</trackRevisions>
    </reviewItem>
    <reviewItem>
      <errorID>27e77372-9a08-4966-8db7-856d6f2f0a10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2A8F0CCA</paraID>
      <start>0</start>
      <end>3</end>
      <status>unmodified</status>
      <modifiedWord/>
      <trackRevisions>false</trackRevisions>
    </reviewItem>
    <reviewItem>
      <errorID>7561f1bb-ee69-46bc-8253-5562b0cf9896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4FBAD2C9</paraID>
      <start>0</start>
      <end>3</end>
      <status>unmodified</status>
      <modifiedWord/>
      <trackRevisions>false</trackRevisions>
    </reviewItem>
    <reviewItem>
      <errorID>4d43a9f3-1643-448c-94bf-c02bbf5c6b92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4C832FD0</paraID>
      <start>0</start>
      <end>2</end>
      <status>unmodified</status>
      <modifiedWord/>
      <trackRevisions>false</trackRevisions>
    </reviewItem>
    <reviewItem>
      <errorID>3791e53d-22d7-4322-a414-82d8975e2c8c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664FF006</paraID>
      <start>0</start>
      <end>2</end>
      <status>unmodified</status>
      <modifiedWord/>
      <trackRevisions>false</trackRevisions>
    </reviewItem>
    <reviewItem>
      <errorID>3b2488c5-eae9-4358-bc4e-a157ceb5f380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66FEC4FB</paraID>
      <start>0</start>
      <end>2</end>
      <status>unmodified</status>
      <modifiedWord/>
      <trackRevisions>false</trackRevisions>
    </reviewItem>
    <reviewItem>
      <errorID>3e557d59-336e-4e46-84ef-2271238c1edf</errorID>
      <errorWord>,</errorWord>
      <group>L1_Format</group>
      <groupName>格式问题</groupName>
      <ability>L2_HalfPunc_CN</ability>
      <abilityName>全半角问题</abilityName>
      <candidateList>
        <item>，</item>
      </candidateList>
      <explain>文本全半角错误。</explain>
      <paraID>66FEC4FB</paraID>
      <start>83</start>
      <end>84</end>
      <status>unmodified</status>
      <modifiedWord/>
      <trackRevisions>false</trackRevisions>
    </reviewItem>
    <reviewItem>
      <errorID>100fc90b-06ec-4a19-8e83-45284e393720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C52D9A4</paraID>
      <start>0</start>
      <end>2</end>
      <status>unmodified</status>
      <modifiedWord/>
      <trackRevisions>false</trackRevisions>
    </reviewItem>
    <reviewItem>
      <errorID>3deef69a-8916-4d57-b1cd-1911b6a676fc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3298B0CF</paraID>
      <start>0</start>
      <end>2</end>
      <status>unmodified</status>
      <modifiedWord/>
      <trackRevisions>false</trackRevisions>
    </reviewItem>
    <reviewItem>
      <errorID>404b1ef5-9fce-4e57-bcb3-16a9876ef8d3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3D29A0D0</paraID>
      <start>0</start>
      <end>2</end>
      <status>unmodified</status>
      <modifiedWord/>
      <trackRevisions>false</trackRevisions>
    </reviewItem>
    <reviewItem>
      <errorID>087acd6c-2c64-48dd-85d8-f3c1a85b9462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7371D602</paraID>
      <start>0</start>
      <end>2</end>
      <status>unmodified</status>
      <modifiedWord/>
      <trackRevisions>false</trackRevisions>
    </reviewItem>
    <reviewItem>
      <errorID>ae157760-0988-4a16-8b7e-9c88174aa5a9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10FCE3C1</paraID>
      <start>0</start>
      <end>2</end>
      <status>unmodified</status>
      <modifiedWord/>
      <trackRevisions>false</trackRevisions>
    </reviewItem>
    <reviewItem>
      <errorID>3cd6a824-1b9a-4fdf-802d-f36bd207a9a1</errorID>
      <errorWord>(</errorWord>
      <group>L1_Format</group>
      <groupName>格式问题</groupName>
      <ability>L2_HalfPunc_CN</ability>
      <abilityName>全半角问题</abilityName>
      <candidateList>
        <item>（</item>
      </candidateList>
      <explain>文本全半角错误。</explain>
      <paraID>10FCE3C1</paraID>
      <start>65</start>
      <end>66</end>
      <status>unmodified</status>
      <modifiedWord/>
      <trackRevisions>false</trackRevisions>
    </reviewItem>
    <reviewItem>
      <errorID>d53c7731-528b-4c76-82ef-984682fc8037</errorID>
      <errorWord>)</errorWord>
      <group>L1_Format</group>
      <groupName>格式问题</groupName>
      <ability>L2_HalfPunc_CN</ability>
      <abilityName>全半角问题</abilityName>
      <candidateList>
        <item>）</item>
      </candidateList>
      <explain>文本全半角错误。</explain>
      <paraID>10FCE3C1</paraID>
      <start>71</start>
      <end>72</end>
      <status>unmodified</status>
      <modifiedWord/>
      <trackRevisions>false</trackRevisions>
    </reviewItem>
    <reviewItem>
      <errorID>193cd461-0bb2-4669-a1fc-cb5ff30ba3e8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67BFD3DD</paraID>
      <start>0</start>
      <end>2</end>
      <status>unmodified</status>
      <modifiedWord/>
      <trackRevisions>false</trackRevisions>
    </reviewItem>
    <reviewItem>
      <errorID>7fc8aac2-c107-435f-a565-bda81a4894c5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1F195232</paraID>
      <start>0</start>
      <end>2</end>
      <status>unmodified</status>
      <modifiedWord/>
      <trackRevisions>false</trackRevisions>
    </reviewItem>
    <reviewItem>
      <errorID>bd7a69b4-875a-45e2-a635-4eeb245b8fb1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67E31B27</paraID>
      <start>0</start>
      <end>2</end>
      <status>unmodified</status>
      <modifiedWord/>
      <trackRevisions>false</trackRevisions>
    </reviewItem>
    <reviewItem>
      <errorID>b7cea31f-afa4-4bbc-96d9-f624de743702</errorID>
      <errorWord>,</errorWord>
      <group>L1_Format</group>
      <groupName>格式问题</groupName>
      <ability>L2_HalfPunc_CN</ability>
      <abilityName>全半角问题</abilityName>
      <candidateList>
        <item>，</item>
      </candidateList>
      <explain>文本全半角错误。</explain>
      <paraID>67E31B27</paraID>
      <start>19</start>
      <end>20</end>
      <status>unmodified</status>
      <modifiedWord/>
      <trackRevisions>false</trackRevisions>
    </reviewItem>
    <reviewItem>
      <errorID>e21c527c-ad8b-4f25-8e23-e08a5894b282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36F50F5D</paraID>
      <start>13</start>
      <end>16</end>
      <status>unmodified</status>
      <modifiedWord/>
      <trackRevisions>false</trackRevisions>
    </reviewItem>
    <reviewItem>
      <errorID>90c21caa-6a1c-4735-bc84-925b355662f0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30F38335</paraID>
      <start>42</start>
      <end>45</end>
      <status>unmodified</status>
      <modifiedWord/>
      <trackRevisions>false</trackRevisions>
    </reviewItem>
    <reviewItem>
      <errorID>31676432-3afd-42e4-9b02-6eb5e4384e5a</errorID>
      <errorWord>下</errorWord>
      <group>L1_Word</group>
      <groupName>字词问题</groupName>
      <ability>L2_Typo</ability>
      <abilityName>字词错误</abilityName>
      <candidateList>
        <item>下简</item>
      </candidateList>
      <explain/>
      <paraID>34FC4D28</paraID>
      <start>8</start>
      <end>9</end>
      <status>unmodified</status>
      <modifiedWord/>
      <trackRevisions>false</trackRevisions>
    </reviewItem>
    <reviewItem>
      <errorID>6cc7cfb1-f483-4b79-af35-0f658317bfbc</errorID>
      <errorWord>下</errorWord>
      <group>L1_Word</group>
      <groupName>字词问题</groupName>
      <ability>L2_Typo</ability>
      <abilityName>字词错误</abilityName>
      <candidateList>
        <item>下简</item>
      </candidateList>
      <explain/>
      <paraID>24CEB6D6</paraID>
      <start>8</start>
      <end>9</end>
      <status>unmodified</status>
      <modifiedWord/>
      <trackRevisions>false</trackRevisions>
    </reviewItem>
    <reviewItem>
      <errorID>b431a050-c04e-4a7b-a89c-0a66cf14867c</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C3EAD6C</paraID>
      <start>57</start>
      <end>58</end>
      <status>unmodified</status>
      <modifiedWord/>
      <trackRevisions>false</trackRevisions>
    </reviewItem>
    <reviewItem>
      <errorID>465eefe7-171b-4042-a125-fb2b3bb1a9e4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25EEC16B</paraID>
      <start>40</start>
      <end>43</end>
      <status>ignored</status>
      <modifiedWord/>
      <trackRevisions>false</trackRevisions>
    </reviewItem>
    <reviewItem>
      <errorID>1f01415d-7c76-452a-8fdc-f3cad5ae7369</errorID>
      <errorWord>中止</errorWord>
      <group>L1_Word</group>
      <groupName>字词问题</groupName>
      <ability>L2_Typo</ability>
      <abilityName>字词错误</abilityName>
      <candidateList>
        <item>终止</item>
      </candidateList>
      <explain/>
      <paraID>3DA49C1D</paraID>
      <start>44</start>
      <end>46</end>
      <status>unmodified</status>
      <modifiedWord/>
      <trackRevisions>false</trackRevisions>
    </reviewItem>
    <reviewItem>
      <errorID>168a867c-113a-479e-a787-1b6eddf9d14a</errorID>
      <errorWord>应</errorWord>
      <group>L1_Word</group>
      <groupName>字词问题</groupName>
      <ability>L2_Typo</ability>
      <abilityName>字词错误</abilityName>
      <candidateList>
        <item>应当</item>
      </candidateList>
      <explain/>
      <paraID>2C315364</paraID>
      <start>34</start>
      <end>35</end>
      <status>unmodified</status>
      <modifiedWord/>
      <trackRevisions>false</trackRevisions>
    </reviewItem>
    <reviewItem>
      <errorID>0e080ed8-67e5-4744-99ed-c48213c90704</errorID>
      <errorWord>作</errorWord>
      <group>L1_Word</group>
      <groupName>字词问题</groupName>
      <ability>L2_Typo</ability>
      <abilityName>字词错误</abilityName>
      <candidateList>
        <item>做</item>
      </candidateList>
      <explain>存在发音相同字词的误用。</explain>
      <paraID>76BF8CB9</paraID>
      <start>4</start>
      <end>5</end>
      <status>unmodified</status>
      <modifiedWord/>
      <trackRevisions>false</trackRevisions>
    </reviewItem>
    <reviewItem>
      <errorID>7c337aa1-dcb8-43bc-8797-2a176a85e7e9</errorID>
      <errorWord>(</errorWord>
      <group>L1_Format</group>
      <groupName>格式问题</groupName>
      <ability>L2_HalfPunc_CN</ability>
      <abilityName>全半角问题</abilityName>
      <candidateList>
        <item>（</item>
      </candidateList>
      <explain>文本全半角错误。</explain>
      <paraID>59D2E58D</paraID>
      <start>0</start>
      <end>1</end>
      <status>unmodified</status>
      <modifiedWord/>
      <trackRevisions>false</trackRevisions>
    </reviewItem>
    <reviewItem>
      <errorID>00de3203-8f7c-4bdb-9333-0391eae08783</errorID>
      <errorWord>)</errorWord>
      <group>L1_Format</group>
      <groupName>格式问题</groupName>
      <ability>L2_HalfPunc_CN</ability>
      <abilityName>全半角问题</abilityName>
      <candidateList>
        <item>）</item>
      </candidateList>
      <explain>文本全半角错误。</explain>
      <paraID>59D2E58D</paraID>
      <start>4</start>
      <end>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52964BF-DDEE-4BD8-AB4B-94606F7767D9}"/>
</file>

<file path=customXml/itemProps2.xml><?xml version="1.0" encoding="utf-8"?>
<ds:datastoreItem xmlns:ds="http://schemas.openxmlformats.org/officeDocument/2006/customXml" ds:itemID="{E1A8F4B6-8271-49B7-A2B2-2C9F2028C95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樊爽</cp:lastModifiedBy>
  <cp:revision>32</cp:revision>
  <dcterms:created xsi:type="dcterms:W3CDTF">2023-03-23T08:26:00Z</dcterms:created>
  <dcterms:modified xsi:type="dcterms:W3CDTF">2026-08-13T08:10:02Z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3B5FF163E2E34DBA98EE08D08CA2029D_13</vt:lpwstr>
  </property>
  <property fmtid="{D5CDD505-2E9C-101B-9397-08002B2CF9AE}" pid="4" name="KSOTemplateDocerSaveRecord">
    <vt:lpwstr>eyJoZGlkIjoiMWQ4NTkwNmFiY2M5MGQzMzUyYmZkYTI0Zjg4Nzk3MmQiLCJ1c2VySWQiOiI1NjEyNDU1MTgifQ==</vt:lpwstr>
  </property>
</Properties>
</file>