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JSZC-320500-JZCG-G2026-0217</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苏州市姑苏区特殊教育学校</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特殊学校新校区项目电梯</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rPr>
          <w:rStyle w:val="1065"/>
          <w:rFonts w:ascii="宋体" w:hAnsi="宋体" w:cs="Calibri"/>
          <w:bCs/>
          <w:caps/>
          <w:color w:val="auto"/>
          <w:sz w:val="32"/>
        </w:rPr>
        <w:fldChar w:fldCharType="begin"/>
      </w:r>
      <w:r>
        <w:rPr>
          <w:rStyle w:val="1065"/>
          <w:rFonts w:ascii="宋体" w:hAnsi="宋体" w:cs="Calibri"/>
          <w:bCs/>
          <w:caps/>
          <w:color w:val="auto"/>
          <w:sz w:val="32"/>
        </w:rPr>
        <w:instrText xml:space="preserve"> TOC \o "1-1" \h \z \u </w:instrText>
      </w:r>
      <w:r>
        <w:rPr>
          <w:rStyle w:val="1065"/>
          <w:rFonts w:ascii="宋体" w:hAnsi="宋体" w:cs="Calibri"/>
          <w:bCs/>
          <w:caps/>
          <w:color w:val="auto"/>
          <w:sz w:val="32"/>
        </w:rPr>
        <w:fldChar w:fldCharType="separate"/>
      </w:r>
      <w:hyperlink w:tooltip="#_Toc105397776" w:anchor="_Toc105397776" w:history="1">
        <w:r>
          <w:rPr>
            <w:rStyle w:val="1065"/>
            <w:rFonts w:ascii="宋体" w:hAnsi="宋体" w:cs="Calibri"/>
            <w:bCs/>
            <w:caps/>
            <w:color w:val="auto"/>
            <w:sz w:val="32"/>
            <w:szCs w:val="32"/>
          </w:rPr>
          <w:t xml:space="preserve">第一章 投标邀请函</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_Toc105397776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7" w:anchor="_Toc105397777" w:history="1">
        <w:r>
          <w:rPr>
            <w:rStyle w:val="1065"/>
            <w:rFonts w:ascii="宋体" w:hAnsi="宋体" w:cs="Calibri"/>
            <w:bCs/>
            <w:caps/>
            <w:color w:val="auto"/>
            <w:sz w:val="32"/>
            <w:szCs w:val="32"/>
          </w:rPr>
          <w:t xml:space="preserve">第二章 投标人须知</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_Toc105397777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9</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8" w:anchor="_Toc105397778" w:history="1">
        <w:r>
          <w:rPr>
            <w:rStyle w:val="1065"/>
            <w:rFonts w:ascii="宋体" w:hAnsi="宋体" w:cs="Calibri"/>
            <w:bCs/>
            <w:caps/>
            <w:color w:val="auto"/>
            <w:sz w:val="32"/>
            <w:szCs w:val="32"/>
          </w:rPr>
          <w:t xml:space="preserve">第三章 投标文件格式</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_Toc105397778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22</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3" w:anchor="_Toc105397793" w:history="1">
        <w:r>
          <w:rPr>
            <w:rStyle w:val="1065"/>
            <w:rFonts w:ascii="宋体" w:hAnsi="宋体" w:cs="Calibri"/>
            <w:bCs/>
            <w:caps/>
            <w:color w:val="auto"/>
            <w:sz w:val="32"/>
            <w:szCs w:val="32"/>
          </w:rPr>
          <w:t xml:space="preserve">第四章 招标书</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_Toc105397793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36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4" w:anchor="_Toc105397794" w:history="1">
        <w:r>
          <w:rPr>
            <w:rStyle w:val="1065"/>
            <w:rFonts w:ascii="宋体" w:hAnsi="宋体" w:cs="Calibri"/>
            <w:bCs/>
            <w:caps/>
            <w:color w:val="auto"/>
            <w:sz w:val="32"/>
            <w:szCs w:val="32"/>
          </w:rPr>
          <w:t xml:space="preserve">第五章 合同及主要条款</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_Toc105397794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46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5" w:anchor="_Toc105397795" w:history="1">
        <w:r>
          <w:rPr>
            <w:rStyle w:val="1065"/>
            <w:rFonts w:ascii="宋体" w:hAnsi="宋体" w:cs="Calibri"/>
            <w:bCs/>
            <w:caps/>
            <w:color w:val="auto"/>
            <w:sz w:val="32"/>
            <w:szCs w:val="32"/>
          </w:rPr>
          <w:t xml:space="preserve">第六章 评标办法和评分标准</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_Toc105397795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57</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6" w:leader="dot"/>
        </w:tabs>
        <w:rPr>
          <w:rFonts w:hint="eastAsia" w:ascii="宋体" w:hAnsi="宋体"/>
          <w:sz w:val="32"/>
          <w:szCs w:val="32"/>
        </w:rPr>
        <w:outlineLvl w:val="9"/>
      </w:pPr>
      <w:r>
        <w:rPr>
          <w:rStyle w:val="1065"/>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JSZC-320500-JZCG-G2026-0217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特殊学校新校区项目电梯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王经理</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Cs w:val="21"/>
              </w:rPr>
              <w:t xml:space="preserve">0</w:t>
            </w:r>
            <w:r>
              <w:rPr>
                <w:rFonts w:ascii="宋体" w:hAnsi="宋体"/>
                <w:szCs w:val="21"/>
              </w:rPr>
              <w:t xml:space="preserve">512-</w:t>
            </w:r>
            <w:r>
              <w:rPr>
                <w:rFonts w:hint="eastAsia" w:ascii="宋体" w:hAnsi="宋体"/>
                <w:szCs w:val="21"/>
              </w:rPr>
              <w:t xml:space="preserve">6</w:t>
            </w:r>
            <w:r>
              <w:rPr>
                <w:rFonts w:ascii="宋体" w:hAnsi="宋体"/>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0512-67274530（转0）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pStyle w:val="1023"/>
              <w:ind w:firstLine="0"/>
              <w:rPr>
                <w:rFonts w:hint="eastAsia"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pStyle w:val="1018"/>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1000"/>
        <w:ind w:left="431" w:firstLine="17"/>
        <w:jc w:val="center"/>
        <w:spacing w:before="0" w:after="0" w:line="360" w:lineRule="auto"/>
        <w:rPr>
          <w:rStyle w:val="1130"/>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特殊学校新校区项目电梯</w:t>
      </w:r>
      <w:r>
        <w:rPr>
          <w:rFonts w:hint="eastAsia" w:ascii="宋体" w:hAnsi="宋体"/>
          <w:b/>
          <w:sz w:val="21"/>
          <w:szCs w:val="21"/>
        </w:rPr>
        <w:t xml:space="preserve">招标项目的潜在投标人应在</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w:t>
      </w:r>
      <w:r>
        <w:rPr>
          <w:rFonts w:hint="eastAsia" w:ascii="宋体" w:hAnsi="宋体"/>
          <w:b/>
          <w:sz w:val="21"/>
          <w:szCs w:val="21"/>
          <w:u w:val="single"/>
        </w:rPr>
        <w:t xml:space="preserve">月</w:t>
      </w:r>
      <w:r>
        <w:rPr>
          <w:rFonts w:hint="eastAsia" w:ascii="宋体" w:hAnsi="宋体"/>
          <w:b/>
          <w:sz w:val="21"/>
          <w:szCs w:val="21"/>
          <w:u w:val="single"/>
        </w:rPr>
        <w:t xml:space="preserve">26日13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JSZC-320500-JZCG-G2026-0217</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特殊学校新校区项目电梯</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特殊学校新校区项目电梯</w:t>
      </w:r>
      <w:r>
        <w:rPr>
          <w:rFonts w:hint="eastAsia" w:ascii="宋体" w:hAnsi="宋体"/>
          <w:bCs/>
          <w:sz w:val="21"/>
          <w:szCs w:val="21"/>
        </w:rPr>
        <w:t xml:space="preserve">（具体详见采购文件第四章）</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.1</w:t>
      </w:r>
      <w:r>
        <w:rPr>
          <w:rFonts w:hint="eastAsia" w:ascii="宋体" w:hAnsi="宋体"/>
          <w:b/>
          <w:sz w:val="21"/>
          <w:szCs w:val="21"/>
        </w:rPr>
        <w:t xml:space="preserve">投标单位</w:t>
      </w:r>
      <w:r>
        <w:rPr>
          <w:rFonts w:hint="eastAsia" w:ascii="宋体" w:hAnsi="宋体"/>
          <w:b/>
          <w:sz w:val="21"/>
          <w:szCs w:val="21"/>
        </w:rPr>
        <w:t xml:space="preserve">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18"/>
        <w:ind w:left="0" w:firstLine="422"/>
        <w:spacing w:line="360" w:lineRule="auto"/>
        <w:rPr>
          <w:rFonts w:hint="eastAsia" w:ascii="宋体" w:hAnsi="宋体"/>
          <w:b/>
          <w:sz w:val="21"/>
          <w:szCs w:val="21"/>
        </w:rPr>
      </w:pPr>
      <w:r>
        <w:rPr>
          <w:rFonts w:ascii="宋体" w:hAnsi="宋体"/>
          <w:b/>
          <w:sz w:val="21"/>
          <w:szCs w:val="21"/>
        </w:rPr>
        <w:t xml:space="preserve">3.2</w:t>
      </w:r>
      <w:r>
        <w:rPr>
          <w:rFonts w:hint="eastAsia" w:ascii="宋体" w:hAnsi="宋体"/>
          <w:b/>
          <w:sz w:val="21"/>
          <w:szCs w:val="21"/>
        </w:rPr>
        <w:t xml:space="preserve">投标单位</w:t>
      </w:r>
      <w:r>
        <w:rPr>
          <w:rFonts w:hint="eastAsia" w:ascii="宋体" w:hAnsi="宋体"/>
          <w:b/>
          <w:sz w:val="21"/>
          <w:szCs w:val="21"/>
        </w:rPr>
        <w:t xml:space="preserve">如为代理商（或经销商）须具备下列条件：①提供针对本项目投标品牌生产厂商的行政主管部门颁发的有效的中华人民共和国特种设备制造许可证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w:t>
      </w:r>
      <w:r>
        <w:rPr>
          <w:rFonts w:hint="eastAsia" w:ascii="宋体" w:hAnsi="宋体"/>
          <w:b/>
          <w:sz w:val="21"/>
          <w:szCs w:val="21"/>
        </w:rPr>
        <w:t xml:space="preserve">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年08月26日13点30分</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08月26日13点30分</w:t>
      </w:r>
      <w:r/>
      <w:r>
        <w:rPr>
          <w:rFonts w:hint="eastAsia" w:ascii="宋体" w:hAnsi="宋体"/>
          <w:sz w:val="21"/>
          <w:szCs w:val="21"/>
          <w:u w:val="single"/>
        </w:rPr>
      </w:r>
      <w:r>
        <w:rPr>
          <w:rFonts w:hint="eastAsia" w:ascii="宋体" w:hAnsi="宋体"/>
          <w:sz w:val="21"/>
          <w:szCs w:val="21"/>
        </w:rPr>
        <w:t xml:space="preserve">（北京时间）；</w:t>
      </w:r>
      <w:r/>
    </w:p>
    <w:p>
      <w:pPr>
        <w:pStyle w:val="1018"/>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9"/>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0512-67274530（转0）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w:t>
      </w:r>
      <w:r>
        <w:rPr>
          <w:rFonts w:ascii="宋体" w:hAnsi="宋体"/>
          <w:bCs/>
          <w:sz w:val="21"/>
          <w:szCs w:val="21"/>
        </w:rPr>
        <w:t xml:space="preserve">512-69820921</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王经理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bCs/>
          <w:sz w:val="21"/>
          <w:szCs w:val="21"/>
        </w:rPr>
        <w:t xml:space="preserve">0</w:t>
      </w:r>
      <w:r>
        <w:rPr>
          <w:rFonts w:ascii="宋体" w:hAnsi="宋体"/>
          <w:bCs/>
          <w:sz w:val="21"/>
          <w:szCs w:val="21"/>
        </w:rPr>
        <w:t xml:space="preserve">512-69820921</w:t>
      </w:r>
      <w:r/>
    </w:p>
    <w:p>
      <w:pPr>
        <w:ind w:left="0"/>
        <w:jc w:val="left"/>
        <w:rPr>
          <w:rFonts w:hint="eastAsia" w:ascii="宋体" w:hAnsi="宋体"/>
          <w:sz w:val="21"/>
          <w:szCs w:val="21"/>
        </w:rPr>
      </w:pPr>
      <w:r>
        <w:rPr>
          <w:rFonts w:ascii="宋体" w:hAnsi="宋体"/>
          <w:sz w:val="21"/>
          <w:szCs w:val="21"/>
        </w:rPr>
        <w:br w:type="page" w:clear="all"/>
      </w:r>
      <w:r/>
    </w:p>
    <w:p>
      <w:pPr>
        <w:pStyle w:val="1000"/>
        <w:ind w:left="0" w:firstLine="0"/>
        <w:jc w:val="center"/>
        <w:rPr>
          <w:rFonts w:hint="eastAsia"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8"/>
        <w:ind w:left="0" w:firstLine="422"/>
        <w:spacing w:line="360" w:lineRule="auto"/>
        <w:rPr>
          <w:rFonts w:hint="eastAsia"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8"/>
        <w:ind w:left="0" w:firstLine="422"/>
        <w:spacing w:line="360" w:lineRule="auto"/>
        <w:rPr>
          <w:rFonts w:hint="eastAsia" w:ascii="宋体" w:hAnsi="宋体"/>
          <w:b/>
          <w:sz w:val="21"/>
          <w:szCs w:val="21"/>
        </w:rPr>
      </w:pPr>
      <w:r/>
      <w:bookmarkStart w:id="13" w:name="_Toc9408"/>
      <w:r>
        <w:rPr>
          <w:rFonts w:hint="eastAsia" w:ascii="宋体" w:hAnsi="宋体"/>
          <w:b/>
          <w:sz w:val="21"/>
          <w:szCs w:val="21"/>
        </w:rPr>
        <w:t xml:space="preserve">1.说明</w:t>
      </w:r>
      <w:bookmarkEnd w:id="13"/>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hint="eastAsia"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5"/>
      <w:r/>
      <w:bookmarkEnd w:id="16"/>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3.1投标单位如为电梯制造商须具备下列条件：具备行政主管部门颁发的有效的中华人民共和国特种设备制造许可证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3.2投标单位如为代理商（或经销商）须具备下列条件：①提供针对本项目投标品牌生产厂商的行政主管部门颁发的有效的中华人民共和国特种设备制造许可证 【曳引驱动乘客电梯C级及以上】和行政主管部</w:t>
      </w:r>
      <w:r>
        <w:rPr>
          <w:rFonts w:hint="eastAsia" w:ascii="宋体" w:hAnsi="宋体" w:cs="宋体"/>
          <w:b/>
          <w:sz w:val="21"/>
          <w:szCs w:val="21"/>
        </w:rPr>
        <w:t xml:space="preserve">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7"/>
      <w:r/>
      <w:bookmarkEnd w:id="1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hint="eastAsia"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1"/>
      <w:r/>
      <w:bookmarkStart w:id="23" w:name="OLE_LINK42"/>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1"/>
      <w:r/>
      <w:bookmarkEnd w:id="22"/>
      <w:r/>
      <w:bookmarkEnd w:id="23"/>
      <w:r/>
      <w:bookmarkEnd w:id="24"/>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hint="eastAsia" w:ascii="宋体" w:hAnsi="宋体"/>
          <w:b/>
          <w:sz w:val="21"/>
          <w:szCs w:val="21"/>
        </w:rPr>
      </w:pPr>
      <w:r/>
      <w:bookmarkStart w:id="25" w:name="OLE_LINK32"/>
      <w:r/>
      <w:bookmarkStart w:id="26" w:name="OLE_LINK33"/>
      <w:r/>
      <w:bookmarkStart w:id="27" w:name="OLE_LINK35"/>
      <w:r/>
      <w:bookmarkStart w:id="2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19"/>
      <w:r/>
      <w:bookmarkEnd w:id="20"/>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018"/>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14.1.4.</w:t>
      </w:r>
      <w:r>
        <w:rPr>
          <w:rFonts w:ascii="宋体" w:hAnsi="宋体"/>
          <w:b/>
          <w:sz w:val="21"/>
          <w:szCs w:val="21"/>
        </w:rPr>
        <w:t xml:space="preserve">7</w:t>
      </w:r>
      <w:r>
        <w:rPr>
          <w:rFonts w:hint="eastAsia" w:ascii="宋体" w:hAnsi="宋体"/>
          <w:b/>
          <w:sz w:val="21"/>
          <w:szCs w:val="21"/>
        </w:rPr>
        <w:t xml:space="preserve">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ind w:left="0" w:firstLine="422"/>
        <w:spacing w:line="360" w:lineRule="auto"/>
        <w:rPr>
          <w:rFonts w:hint="eastAsia" w:ascii="宋体" w:hAnsi="宋体"/>
          <w:b/>
          <w:sz w:val="21"/>
          <w:szCs w:val="21"/>
        </w:rPr>
      </w:pPr>
      <w:r>
        <w:rPr>
          <w:rFonts w:hint="eastAsia" w:ascii="宋体" w:hAnsi="宋体"/>
          <w:b/>
          <w:sz w:val="21"/>
          <w:szCs w:val="21"/>
        </w:rPr>
        <w:t xml:space="preserve">投标单位如为代理商（或经销商）须具备下列条件：①提供针对</w:t>
      </w:r>
      <w:r>
        <w:rPr>
          <w:rFonts w:hint="eastAsia" w:ascii="宋体" w:hAnsi="宋体"/>
          <w:b/>
          <w:sz w:val="21"/>
          <w:szCs w:val="21"/>
        </w:rPr>
        <w:t xml:space="preserve">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w:t>
      </w:r>
      <w:r>
        <w:rPr>
          <w:rFonts w:hint="eastAsia" w:ascii="宋体" w:hAnsi="宋体"/>
          <w:b/>
          <w:sz w:val="21"/>
          <w:szCs w:val="21"/>
        </w:rPr>
        <w:t xml:space="preserve">颁发的有效的中华人民共和国特种设备生产许可证【电梯安装 (含修理) ：许可子项目为曳引驱动乘客电梯（含消防员电梯）】(新证)</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4.1.5.5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4"/>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4"/>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8"/>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rPr>
      </w:pPr>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4"/>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4"/>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3"/>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34"/>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4"/>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00"/>
        <w:ind w:left="0" w:firstLine="0"/>
        <w:jc w:val="center"/>
        <w:rPr>
          <w:rFonts w:hint="eastAsia"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4"/>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71810480"/>
      <w:r/>
      <w:bookmarkStart w:id="51" w:name="_Toc3821"/>
      <w:r/>
      <w:bookmarkStart w:id="52" w:name="_Toc17036"/>
      <w:r/>
      <w:bookmarkStart w:id="53" w:name="_Toc105397779"/>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1" w:name="JEDX"/>
            <w:r/>
            <w:bookmarkEnd w:id="61"/>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6"/>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5" w:name="_Toc241"/>
      <w:r/>
      <w:bookmarkStart w:id="66" w:name="_Toc7945"/>
      <w:r/>
      <w:bookmarkStart w:id="67"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6"/>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r/>
      <w:bookmarkEnd w:id="70"/>
      <w:r/>
      <w:r/>
    </w:p>
    <w:p>
      <w:pPr>
        <w:pStyle w:val="1026"/>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无机房货梯</w:t>
            </w:r>
            <w:r>
              <w:rPr>
                <w:rFonts w:hint="eastAsia"/>
              </w:rPr>
              <w:t xml:space="preserve">DT1</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DT2~DT3</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DT4~DT5</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pStyle w:val="1012"/>
        <w:ind w:left="0"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3．电梯单价包含电梯设备、运输、吊装、脚手架、钢牛腿、轿厢装潢、安装、调试、新梯政府验收、两年免费维保。</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6"/>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21574"/>
      <w:r/>
      <w:bookmarkStart w:id="74" w:name="_Toc19621"/>
      <w:r/>
      <w:bookmarkStart w:id="75" w:name="_Toc105397783"/>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苏州市姑苏区特殊教育学校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特殊学校新校区项目电梯</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6"/>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6"/>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2"/>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9"/>
        <w:ind w:left="0" w:firstLine="0"/>
        <w:rPr>
          <w:rFonts w:hint="eastAsia" w:ascii="宋体" w:hAnsi="宋体"/>
          <w:b/>
          <w:lang w:val="zh-CN"/>
        </w:rPr>
      </w:pPr>
      <w:r>
        <w:rPr>
          <w:rFonts w:hint="eastAsia" w:ascii="宋体" w:hAnsi="宋体"/>
          <w:b/>
          <w:lang w:val="zh-CN"/>
        </w:rPr>
      </w:r>
      <w:r/>
    </w:p>
    <w:p>
      <w:pPr>
        <w:pStyle w:val="1059"/>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9"/>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Style w:val="1064"/>
          <w:rFonts w:hint="eastAsia"/>
          <w:color w:val="333333"/>
          <w:vertAlign w:val="superscript"/>
        </w:rPr>
        <w:t xml:space="preserve">1</w:t>
      </w:r>
      <w:r>
        <w:rPr>
          <w:rFonts w:hint="eastAsia"/>
          <w:color w:val="333333"/>
        </w:rPr>
        <w:t xml:space="preserve">，生产厂为</w:t>
      </w:r>
      <w:r>
        <w:rPr>
          <w:rStyle w:val="1064"/>
          <w:rFonts w:hint="eastAsia"/>
          <w:color w:val="333333"/>
          <w:u w:val="single"/>
        </w:rPr>
        <w:t xml:space="preserve">（厂名）</w:t>
      </w:r>
      <w:r>
        <w:rPr>
          <w:rStyle w:val="1064"/>
          <w:rFonts w:hint="eastAsia"/>
          <w:color w:val="333333"/>
          <w:vertAlign w:val="superscript"/>
        </w:rPr>
        <w:t xml:space="preserve">2</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Style w:val="1064"/>
          <w:rFonts w:hint="eastAsia"/>
          <w:color w:val="333333"/>
          <w:vertAlign w:val="superscript"/>
        </w:rPr>
        <w:t xml:space="preserve">3</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Style w:val="1064"/>
          <w:rFonts w:hint="eastAsia"/>
          <w:color w:val="333333"/>
          <w:vertAlign w:val="superscript"/>
        </w:rPr>
        <w:t xml:space="preserve">4</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Style w:val="1064"/>
          <w:rFonts w:hint="eastAsia"/>
          <w:color w:val="333333"/>
          <w:vertAlign w:val="superscript"/>
        </w:rPr>
        <w:t xml:space="preserve">5</w:t>
      </w:r>
      <w:r>
        <w:rPr>
          <w:rFonts w:hint="eastAsia"/>
          <w:color w:val="333333"/>
        </w:rPr>
        <w:t xml:space="preserve">在中国境内完成。</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，生产厂为</w:t>
      </w:r>
      <w:r>
        <w:rPr>
          <w:rStyle w:val="1064"/>
          <w:rFonts w:hint="eastAsia"/>
          <w:color w:val="333333"/>
          <w:u w:val="single"/>
        </w:rPr>
        <w:t xml:space="preserve">（厂名）</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Fonts w:hint="eastAsia"/>
          <w:color w:val="333333"/>
        </w:rPr>
        <w:t xml:space="preserve">在中国境内完成。</w:t>
      </w:r>
      <w:r/>
    </w:p>
    <w:p>
      <w:pPr>
        <w:pStyle w:val="1057"/>
        <w:ind w:firstLine="480"/>
        <w:spacing w:before="30" w:after="30"/>
        <w:shd w:val="clear" w:color="auto" w:fill="ffffff"/>
        <w:rPr>
          <w:color w:val="333333"/>
        </w:rPr>
      </w:pPr>
      <w:r>
        <w:rPr>
          <w:rFonts w:hint="eastAsia"/>
          <w:color w:val="333333"/>
        </w:rPr>
        <w:t xml:space="preserve">……</w:t>
      </w:r>
      <w:r/>
    </w:p>
    <w:p>
      <w:pPr>
        <w:pStyle w:val="105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7"/>
        <w:spacing w:before="30" w:after="30"/>
        <w:shd w:val="clear" w:color="auto" w:fill="ffffff"/>
        <w:rPr>
          <w:color w:val="333333"/>
        </w:rPr>
      </w:pPr>
      <w:r>
        <w:rPr>
          <w:color w:val="333333"/>
        </w:rPr>
      </w:r>
      <w:r/>
    </w:p>
    <w:p>
      <w:pPr>
        <w:pStyle w:val="1057"/>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7"/>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pPr>
      <w:r/>
      <w:r/>
    </w:p>
    <w:p>
      <w:pPr>
        <w:pStyle w:val="1057"/>
        <w:ind w:left="0" w:firstLine="0"/>
        <w:spacing w:before="30" w:after="30"/>
        <w:shd w:val="clear" w:color="auto" w:fill="ffffff"/>
        <w:rPr>
          <w:color w:val="333333"/>
        </w:rPr>
      </w:pPr>
      <w:r>
        <w:rPr>
          <w:rFonts w:hint="eastAsia"/>
          <w:color w:val="333333"/>
        </w:rPr>
        <w:t xml:space="preserve">__________________</w:t>
      </w:r>
      <w:r/>
    </w:p>
    <w:p>
      <w:pPr>
        <w:pStyle w:val="105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r/>
    </w:p>
    <w:p>
      <w:pPr>
        <w:pStyle w:val="1057"/>
        <w:jc w:val="right"/>
        <w:spacing w:before="0" w:after="0"/>
        <w:shd w:val="clear" w:color="auto" w:fill="ffffff"/>
        <w:rPr>
          <w:rFonts w:hint="eastAsia" w:ascii="宋体" w:hAnsi="宋体"/>
          <w:sz w:val="21"/>
          <w:szCs w:val="21"/>
        </w:rPr>
      </w:pPr>
      <w:r>
        <w:rPr>
          <w:rFonts w:hint="eastAsia" w:ascii="宋体" w:hAnsi="宋体"/>
          <w:sz w:val="21"/>
          <w:szCs w:val="21"/>
        </w:rPr>
      </w:r>
      <w:r/>
    </w:p>
    <w:p>
      <w:pPr>
        <w:pStyle w:val="1012"/>
      </w:pPr>
      <w:r/>
      <w:r/>
    </w:p>
    <w:p>
      <w:r/>
      <w:r/>
    </w:p>
    <w:p>
      <w:pPr>
        <w:pStyle w:val="1057"/>
        <w:jc w:val="right"/>
        <w:spacing w:before="0" w:after="0"/>
        <w:shd w:val="clear" w:color="auto" w:fill="ffffff"/>
      </w:pPr>
      <w:r/>
      <w:r/>
    </w:p>
    <w:p>
      <w:pPr>
        <w:ind w:left="0"/>
        <w:jc w:val="left"/>
        <w:rPr>
          <w:rFonts w:hint="eastAsia"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pStyle w:val="1012"/>
      </w:p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hint="eastAsia" w:ascii="宋体" w:hAnsi="宋体"/>
        </w:rPr>
      </w:pPr>
      <w:r>
        <w:rPr>
          <w:rFonts w:hint="eastAsia" w:ascii="宋体" w:hAnsi="宋体"/>
        </w:rPr>
      </w:r>
      <w:r/>
    </w:p>
    <w:p>
      <w:r/>
      <w:r/>
    </w:p>
    <w:p>
      <w:pPr>
        <w:pStyle w:val="1012"/>
      </w:pPr>
      <w:r/>
      <w:r/>
    </w:p>
    <w:p>
      <w:r/>
      <w:r/>
    </w:p>
    <w:p>
      <w:pPr>
        <w:pStyle w:val="1012"/>
      </w:pPr>
      <w:r/>
      <w:r/>
    </w:p>
    <w:p>
      <w:r/>
      <w:r/>
    </w:p>
    <w:p>
      <w:pPr>
        <w:pStyle w:val="1012"/>
      </w:pPr>
      <w:r/>
      <w:r/>
    </w:p>
    <w:p>
      <w:pPr>
        <w:pStyle w:val="1012"/>
      </w:pPr>
      <w:r/>
      <w:r/>
    </w:p>
    <w:p>
      <w:pPr>
        <w:pStyle w:val="1018"/>
        <w:rPr>
          <w:rFonts w:hint="eastAsia" w:ascii="宋体" w:hAnsi="宋体" w:cs="Times New Roman"/>
        </w:rPr>
      </w:pPr>
      <w:r>
        <w:rPr>
          <w:rFonts w:hint="eastAsia" w:ascii="宋体" w:hAnsi="宋体" w:cs="Times New Roman"/>
        </w:rPr>
      </w:r>
      <w:r/>
    </w:p>
    <w:p>
      <w:r/>
      <w:r/>
    </w:p>
    <w:p>
      <w:pPr>
        <w:rPr>
          <w:rFonts w:hint="eastAsia" w:ascii="宋体" w:hAnsi="宋体" w:cs="Times New Roman"/>
        </w:rPr>
      </w:pPr>
      <w:r>
        <w:rPr>
          <w:rFonts w:hint="eastAsia" w:ascii="宋体" w:hAnsi="宋体" w:cs="Times New Roman"/>
        </w:rPr>
      </w:r>
      <w:r/>
    </w:p>
    <w:p>
      <w:pPr>
        <w:rPr>
          <w:rFonts w:hint="eastAsia" w:ascii="宋体" w:hAnsi="宋体"/>
        </w:rPr>
      </w:pPr>
      <w:r/>
      <w:bookmarkStart w:id="87" w:name="_Toc71810490"/>
      <w:r/>
      <w:bookmarkEnd w:id="83"/>
      <w:r/>
      <w:bookmarkEnd w:id="84"/>
      <w:r>
        <w:rPr>
          <w:rFonts w:ascii="宋体" w:hAnsi="宋体"/>
        </w:rPr>
        <w:t xml:space="preserve"> </w:t>
      </w:r>
      <w:r/>
    </w:p>
    <w:p>
      <w:pPr>
        <w:pStyle w:val="101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000000" w:themeColor="text1"/>
          <w:sz w:val="21"/>
          <w:szCs w:val="21"/>
        </w:rPr>
      </w:pPr>
      <w:r>
        <w:rPr>
          <w:rFonts w:hint="eastAsia" w:ascii="宋体" w:hAnsi="宋体"/>
          <w:b/>
          <w:color w:val="000000" w:themeColor="text1"/>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2"/>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89" w:name="OLE_LINK7"/>
      <w:r/>
      <w:bookmarkStart w:id="9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2" w:name="OLE_LINK16"/>
      <w:r>
        <w:rPr>
          <w:rFonts w:hint="eastAsia" w:ascii="宋体" w:hAnsi="宋体"/>
          <w:b/>
          <w:color w:val="ff0000"/>
          <w:sz w:val="21"/>
          <w:szCs w:val="21"/>
          <w:lang w:val="zh-CN"/>
        </w:rPr>
        <w:t xml:space="preserve">的</w:t>
      </w:r>
      <w:bookmarkEnd w:id="91"/>
      <w:r/>
      <w:bookmarkEnd w:id="9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9"/>
      <w:r/>
      <w:bookmarkEnd w:id="90"/>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2"/>
        <w:rPr>
          <w:lang w:val="zh-CN"/>
        </w:rPr>
      </w:pPr>
      <w:r>
        <w:rPr>
          <w:lang w:val="zh-CN"/>
        </w:rPr>
      </w:r>
      <w:r/>
    </w:p>
    <w:p>
      <w:pPr>
        <w:pStyle w:val="1012"/>
        <w:rPr>
          <w:lang w:val="zh-CN"/>
        </w:rPr>
      </w:pPr>
      <w:r>
        <w:rPr>
          <w:lang w:val="zh-CN"/>
        </w:rPr>
      </w:r>
      <w:r/>
    </w:p>
    <w:p>
      <w:pPr>
        <w:pStyle w:val="1000"/>
        <w:ind w:left="0" w:firstLine="0"/>
        <w:jc w:val="center"/>
        <w:rPr>
          <w:rFonts w:hint="eastAsia" w:ascii="宋体" w:hAnsi="宋体"/>
          <w:b/>
          <w:sz w:val="44"/>
          <w:szCs w:val="22"/>
        </w:rPr>
      </w:pPr>
      <w:r/>
      <w:bookmarkStart w:id="93" w:name="_Toc4098"/>
      <w:r/>
      <w:bookmarkStart w:id="94" w:name="_Toc23660"/>
      <w:r/>
      <w:bookmarkStart w:id="95" w:name="_Toc105397793"/>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苏州市姑苏区特殊教育学校</w:t>
      </w:r>
      <w:r>
        <w:rPr>
          <w:rFonts w:ascii="宋体" w:hAnsi="宋体"/>
          <w:sz w:val="21"/>
        </w:rPr>
        <w:t xml:space="preserve">的委托，就</w:t>
      </w:r>
      <w:r>
        <w:rPr>
          <w:rFonts w:hint="eastAsia" w:ascii="宋体" w:hAnsi="宋体"/>
          <w:sz w:val="21"/>
          <w:u w:val="single"/>
        </w:rPr>
        <w:t xml:space="preserve">特殊学校新校区项目电梯</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JSZC-320500-JZCG-G2026-0217</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特殊学校新校区项目电梯</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color w:val="ff0000"/>
          <w:sz w:val="21"/>
        </w:rPr>
      </w:pPr>
      <w:r>
        <w:rPr>
          <w:rFonts w:hint="eastAsia" w:ascii="宋体" w:hAnsi="宋体"/>
          <w:sz w:val="21"/>
        </w:rPr>
        <w:t xml:space="preserve">五、合同履行期限：</w:t>
      </w:r>
      <w:r>
        <w:rPr>
          <w:rFonts w:hint="eastAsia" w:ascii="宋体" w:hAnsi="宋体"/>
          <w:sz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ascii="宋体" w:hAnsi="宋体"/>
          <w:b/>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苏州市姑苏区特殊教育学校拟采购特殊学校新校区项目的电梯，拟采购5台电梯设备</w:t>
      </w:r>
      <w:r>
        <w:rPr>
          <w:rFonts w:hint="eastAsia" w:ascii="宋体" w:hAnsi="宋体"/>
          <w:sz w:val="21"/>
        </w:rPr>
        <w:t xml:space="preserve">，清单如下</w:t>
      </w:r>
      <w:r>
        <w:rPr>
          <w:rFonts w:hint="eastAsia" w:ascii="宋体" w:hAnsi="宋体"/>
          <w:sz w:val="21"/>
        </w:rPr>
        <w:t xml:space="preserve">：</w:t>
      </w:r>
      <w:r/>
    </w:p>
    <w:tbl>
      <w:tblPr>
        <w:tblStyle w:val="1060"/>
        <w:tblpPr w:horzAnchor="page" w:tblpX="805" w:vertAnchor="text" w:tblpY="405" w:leftFromText="180" w:topFromText="0" w:rightFromText="180" w:bottomFromText="0"/>
        <w:tblW w:w="105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882"/>
        <w:gridCol w:w="629"/>
        <w:gridCol w:w="971"/>
        <w:gridCol w:w="633"/>
        <w:gridCol w:w="667"/>
        <w:gridCol w:w="683"/>
        <w:gridCol w:w="812"/>
        <w:gridCol w:w="1438"/>
        <w:gridCol w:w="1684"/>
        <w:gridCol w:w="1600"/>
      </w:tblGrid>
      <w:tr>
        <w:trPr/>
        <w:tc>
          <w:tcPr>
            <w:tcW w:w="579" w:type="dxa"/>
            <w:textDirection w:val="lrTb"/>
            <w:noWrap w:val="false"/>
          </w:tcPr>
          <w:p>
            <w:pPr>
              <w:ind w:left="0"/>
              <w:jc w:val="center"/>
              <w:widowControl/>
            </w:pPr>
            <w:r>
              <w:rPr>
                <w:rFonts w:hint="eastAsia"/>
              </w:rPr>
              <w:t xml:space="preserve">序号</w:t>
            </w:r>
            <w:r/>
          </w:p>
        </w:tc>
        <w:tc>
          <w:tcPr>
            <w:tcW w:w="882" w:type="dxa"/>
            <w:textDirection w:val="lrTb"/>
            <w:noWrap w:val="false"/>
          </w:tcPr>
          <w:p>
            <w:pPr>
              <w:ind w:left="0"/>
              <w:jc w:val="center"/>
              <w:widowControl/>
            </w:pPr>
            <w:r>
              <w:rPr>
                <w:rFonts w:hint="eastAsia"/>
              </w:rPr>
              <w:t xml:space="preserve">货物（服务）名称</w:t>
            </w:r>
            <w:r/>
          </w:p>
        </w:tc>
        <w:tc>
          <w:tcPr>
            <w:tcW w:w="629" w:type="dxa"/>
            <w:textDirection w:val="lrTb"/>
            <w:noWrap w:val="false"/>
          </w:tcPr>
          <w:p>
            <w:pPr>
              <w:ind w:left="0"/>
              <w:jc w:val="center"/>
              <w:widowControl/>
            </w:pPr>
            <w:r>
              <w:rPr>
                <w:rFonts w:hint="eastAsia"/>
              </w:rPr>
              <w:t xml:space="preserve">数量</w:t>
            </w:r>
            <w:r/>
          </w:p>
          <w:p>
            <w:pPr>
              <w:ind w:left="0"/>
              <w:jc w:val="center"/>
              <w:widowControl/>
            </w:pPr>
            <w:r>
              <w:rPr>
                <w:rFonts w:hint="eastAsia"/>
              </w:rPr>
              <w:t xml:space="preserve">（台）</w:t>
            </w:r>
            <w:r/>
          </w:p>
        </w:tc>
        <w:tc>
          <w:tcPr>
            <w:tcW w:w="971" w:type="dxa"/>
            <w:textDirection w:val="lrTb"/>
            <w:noWrap w:val="false"/>
          </w:tcPr>
          <w:p>
            <w:pPr>
              <w:ind w:left="0"/>
              <w:jc w:val="center"/>
              <w:widowControl/>
            </w:pPr>
            <w:r>
              <w:rPr>
                <w:rFonts w:hint="eastAsia"/>
              </w:rPr>
              <w:t xml:space="preserve">载重</w:t>
            </w:r>
            <w:r>
              <w:t xml:space="preserve">(</w:t>
            </w:r>
            <w:r>
              <w:rPr>
                <w:rFonts w:hint="eastAsia"/>
              </w:rPr>
              <w:t xml:space="preserve">Kg)</w:t>
            </w:r>
            <w:r/>
          </w:p>
        </w:tc>
        <w:tc>
          <w:tcPr>
            <w:tcW w:w="633" w:type="dxa"/>
            <w:textDirection w:val="lrTb"/>
            <w:noWrap w:val="false"/>
          </w:tcPr>
          <w:p>
            <w:pPr>
              <w:ind w:left="0"/>
              <w:jc w:val="center"/>
              <w:widowControl/>
            </w:pPr>
            <w:r>
              <w:rPr>
                <w:rFonts w:hint="eastAsia"/>
              </w:rPr>
              <w:t xml:space="preserve">速度</w:t>
            </w:r>
            <w:r/>
          </w:p>
          <w:p>
            <w:pPr>
              <w:ind w:left="0"/>
              <w:jc w:val="center"/>
              <w:widowControl/>
            </w:pPr>
            <w:r>
              <w:rPr>
                <w:rFonts w:hint="eastAsia"/>
              </w:rPr>
              <w:t xml:space="preserve">(m</w:t>
            </w:r>
            <w:r>
              <w:t xml:space="preserve">/s</w:t>
            </w:r>
            <w:r>
              <w:rPr>
                <w:rFonts w:hint="eastAsia"/>
              </w:rPr>
              <w:t xml:space="preserve">)</w:t>
            </w:r>
            <w:r/>
          </w:p>
        </w:tc>
        <w:tc>
          <w:tcPr>
            <w:tcW w:w="667" w:type="dxa"/>
            <w:textDirection w:val="lrTb"/>
            <w:noWrap w:val="false"/>
          </w:tcPr>
          <w:p>
            <w:pPr>
              <w:ind w:left="0"/>
              <w:jc w:val="center"/>
              <w:widowControl/>
            </w:pPr>
            <w:r>
              <w:rPr>
                <w:rFonts w:hint="eastAsia"/>
              </w:rPr>
              <w:t xml:space="preserve">停层站数</w:t>
            </w:r>
            <w:r/>
          </w:p>
        </w:tc>
        <w:tc>
          <w:tcPr>
            <w:tcW w:w="683" w:type="dxa"/>
            <w:textDirection w:val="lrTb"/>
            <w:noWrap w:val="false"/>
          </w:tcPr>
          <w:p>
            <w:pPr>
              <w:ind w:left="0"/>
              <w:jc w:val="center"/>
              <w:widowControl/>
            </w:pPr>
            <w:r>
              <w:rPr>
                <w:rFonts w:hint="eastAsia"/>
              </w:rPr>
              <w:t xml:space="preserve">层</w:t>
            </w:r>
            <w:r>
              <w:rPr>
                <w:rFonts w:hint="eastAsia"/>
              </w:rPr>
              <w:t xml:space="preserve">/</w:t>
            </w:r>
            <w:r>
              <w:rPr>
                <w:rFonts w:hint="eastAsia"/>
              </w:rPr>
              <w:t xml:space="preserve">站</w:t>
            </w:r>
            <w:r>
              <w:rPr>
                <w:rFonts w:hint="eastAsia"/>
              </w:rPr>
              <w:t xml:space="preserve">/</w:t>
            </w:r>
            <w:r>
              <w:rPr>
                <w:rFonts w:hint="eastAsia"/>
              </w:rPr>
              <w:t xml:space="preserve">门</w:t>
            </w:r>
            <w:r/>
          </w:p>
        </w:tc>
        <w:tc>
          <w:tcPr>
            <w:tcW w:w="812" w:type="dxa"/>
            <w:textDirection w:val="lrTb"/>
            <w:noWrap w:val="false"/>
          </w:tcPr>
          <w:p>
            <w:pPr>
              <w:ind w:left="0"/>
              <w:jc w:val="center"/>
              <w:widowControl/>
            </w:pPr>
            <w:r>
              <w:rPr>
                <w:rFonts w:hint="eastAsia"/>
              </w:rPr>
              <w:t xml:space="preserve">提升高度（</w:t>
            </w:r>
            <w:r>
              <w:rPr>
                <w:rFonts w:hint="eastAsia"/>
              </w:rPr>
              <w:t xml:space="preserve">m</w:t>
            </w:r>
            <w:r>
              <w:rPr>
                <w:rFonts w:hint="eastAsia"/>
              </w:rPr>
              <w:t xml:space="preserve">）</w:t>
            </w:r>
            <w:r/>
          </w:p>
        </w:tc>
        <w:tc>
          <w:tcPr>
            <w:tcW w:w="1438" w:type="dxa"/>
            <w:textDirection w:val="lrTb"/>
            <w:noWrap w:val="false"/>
          </w:tcPr>
          <w:p>
            <w:pPr>
              <w:ind w:left="0"/>
              <w:jc w:val="center"/>
              <w:widowControl/>
            </w:pPr>
            <w:r>
              <w:rPr>
                <w:rFonts w:hint="eastAsia"/>
              </w:rPr>
              <w:t xml:space="preserve">井道净尺寸</w:t>
            </w:r>
            <w:r/>
          </w:p>
          <w:p>
            <w:pPr>
              <w:ind w:left="0"/>
              <w:jc w:val="center"/>
              <w:widowControl/>
            </w:pPr>
            <w:r>
              <w:rPr>
                <w:rFonts w:hint="eastAsia"/>
              </w:rPr>
              <w:t xml:space="preserve">（最小尺寸）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84" w:type="dxa"/>
            <w:textDirection w:val="lrTb"/>
            <w:noWrap w:val="false"/>
          </w:tcPr>
          <w:p>
            <w:pPr>
              <w:ind w:left="0"/>
              <w:jc w:val="center"/>
              <w:widowControl/>
            </w:pPr>
            <w:r>
              <w:rPr>
                <w:rFonts w:hint="eastAsia"/>
              </w:rPr>
              <w:t xml:space="preserve">轿厢尺寸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00" w:type="dxa"/>
            <w:textDirection w:val="lrTb"/>
            <w:noWrap w:val="false"/>
          </w:tcPr>
          <w:p>
            <w:pPr>
              <w:ind w:left="0"/>
              <w:jc w:val="center"/>
              <w:widowControl/>
            </w:pPr>
            <w:r>
              <w:rPr>
                <w:rFonts w:hint="eastAsia"/>
              </w:rPr>
              <w:t xml:space="preserve">开门净尺寸</w:t>
            </w:r>
            <w:r/>
          </w:p>
          <w:p>
            <w:pPr>
              <w:ind w:left="0"/>
              <w:jc w:val="center"/>
              <w:widowControl/>
            </w:pPr>
            <w:r>
              <w:rPr>
                <w:rFonts w:hint="eastAsia"/>
              </w:rPr>
              <w:t xml:space="preserve">（宽</w:t>
            </w:r>
            <w:r>
              <w:rPr>
                <w:rFonts w:hint="eastAsia"/>
              </w:rPr>
              <w:t xml:space="preserve">*</w:t>
            </w:r>
            <w:r>
              <w:rPr>
                <w:rFonts w:hint="eastAsia"/>
              </w:rPr>
              <w:t xml:space="preserve">高）</w:t>
            </w:r>
            <w:r/>
          </w:p>
          <w:p>
            <w:pPr>
              <w:ind w:left="0"/>
              <w:jc w:val="center"/>
              <w:widowControl/>
            </w:pPr>
            <w:r>
              <w:rPr>
                <w:rFonts w:hint="eastAsia"/>
              </w:rPr>
              <w:t xml:space="preserve">(</w:t>
            </w:r>
            <w:r>
              <w:rPr>
                <w:rFonts w:hint="eastAsia"/>
              </w:rPr>
              <w:t xml:space="preserve">单位：</w:t>
            </w:r>
            <w:r>
              <w:rPr>
                <w:rFonts w:hint="eastAsia"/>
              </w:rPr>
              <w:t xml:space="preserve">m</w:t>
            </w:r>
            <w:r>
              <w:t xml:space="preserve">m</w:t>
            </w:r>
            <w:r>
              <w:rPr>
                <w:rFonts w:hint="eastAsia"/>
              </w:rPr>
              <w:t xml:space="preserve">）</w:t>
            </w:r>
            <w:r/>
          </w:p>
        </w:tc>
      </w:tr>
      <w:tr>
        <w:trPr/>
        <w:tc>
          <w:tcPr>
            <w:tcW w:w="579" w:type="dxa"/>
            <w:vAlign w:val="center"/>
            <w:textDirection w:val="lrTb"/>
            <w:noWrap w:val="false"/>
          </w:tcPr>
          <w:p>
            <w:pPr>
              <w:ind w:left="0"/>
              <w:jc w:val="center"/>
              <w:widowControl/>
            </w:pPr>
            <w:r>
              <w:rPr>
                <w:rFonts w:hint="eastAsia"/>
              </w:rPr>
              <w:t xml:space="preserve">1</w:t>
            </w:r>
            <w:r/>
          </w:p>
        </w:tc>
        <w:tc>
          <w:tcPr>
            <w:tcW w:w="882" w:type="dxa"/>
            <w:vAlign w:val="center"/>
            <w:textDirection w:val="lrTb"/>
            <w:noWrap w:val="false"/>
          </w:tcPr>
          <w:p>
            <w:pPr>
              <w:ind w:left="0"/>
              <w:jc w:val="center"/>
              <w:widowControl/>
            </w:pPr>
            <w:r>
              <w:rPr>
                <w:rFonts w:hint="eastAsia"/>
              </w:rPr>
              <w:t xml:space="preserve">无机房货梯</w:t>
            </w:r>
            <w:r>
              <w:rPr>
                <w:rFonts w:hint="eastAsia"/>
              </w:rPr>
              <w:t xml:space="preserve">DT1</w:t>
            </w:r>
            <w:r/>
          </w:p>
        </w:tc>
        <w:tc>
          <w:tcPr>
            <w:tcW w:w="629" w:type="dxa"/>
            <w:vAlign w:val="center"/>
            <w:textDirection w:val="lrTb"/>
            <w:noWrap w:val="false"/>
          </w:tcPr>
          <w:p>
            <w:pPr>
              <w:ind w:left="0"/>
              <w:jc w:val="center"/>
              <w:widowControl/>
            </w:pPr>
            <w:r>
              <w:rPr>
                <w:rFonts w:hint="eastAsia"/>
              </w:rPr>
              <w:t xml:space="preserve">1</w:t>
            </w:r>
            <w:r/>
          </w:p>
        </w:tc>
        <w:tc>
          <w:tcPr>
            <w:tcW w:w="971" w:type="dxa"/>
            <w:vAlign w:val="center"/>
            <w:textDirection w:val="lrTb"/>
            <w:noWrap w:val="false"/>
          </w:tcPr>
          <w:p>
            <w:pPr>
              <w:ind w:left="0"/>
              <w:jc w:val="center"/>
              <w:widowControl/>
            </w:pPr>
            <w:r>
              <w:rPr>
                <w:rFonts w:hint="eastAsia"/>
              </w:rPr>
              <w:t xml:space="preserve">2000</w:t>
            </w:r>
            <w:r/>
          </w:p>
        </w:tc>
        <w:tc>
          <w:tcPr>
            <w:tcW w:w="633" w:type="dxa"/>
            <w:vAlign w:val="center"/>
            <w:textDirection w:val="lrTb"/>
            <w:noWrap w:val="false"/>
          </w:tcPr>
          <w:p>
            <w:pPr>
              <w:ind w:left="0"/>
              <w:jc w:val="center"/>
              <w:widowControl/>
            </w:pPr>
            <w:r>
              <w:rPr>
                <w:rFonts w:hint="eastAsia"/>
              </w:rPr>
              <w:t xml:space="preserve">0.5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17.1</w:t>
            </w:r>
            <w:r/>
          </w:p>
        </w:tc>
        <w:tc>
          <w:tcPr>
            <w:tcW w:w="1438" w:type="dxa"/>
            <w:vAlign w:val="center"/>
            <w:textDirection w:val="lrTb"/>
            <w:noWrap w:val="false"/>
          </w:tcPr>
          <w:p>
            <w:pPr>
              <w:ind w:left="0"/>
              <w:jc w:val="center"/>
              <w:widowControl/>
            </w:pPr>
            <w:r>
              <w:rPr>
                <w:rFonts w:hint="eastAsia"/>
              </w:rPr>
              <w:t xml:space="preserve">2800*3000</w:t>
            </w:r>
            <w:r/>
          </w:p>
        </w:tc>
        <w:tc>
          <w:tcPr>
            <w:tcW w:w="1684" w:type="dxa"/>
            <w:vAlign w:val="center"/>
            <w:textDirection w:val="lrTb"/>
            <w:noWrap w:val="false"/>
          </w:tcPr>
          <w:p>
            <w:pPr>
              <w:ind w:left="0"/>
              <w:jc w:val="center"/>
              <w:widowControl/>
            </w:pPr>
            <w:r>
              <w:rPr>
                <w:rFonts w:hint="eastAsia"/>
              </w:rPr>
              <w:t xml:space="preserve">1600*2500*2200</w:t>
            </w:r>
            <w:r/>
          </w:p>
        </w:tc>
        <w:tc>
          <w:tcPr>
            <w:tcW w:w="1600" w:type="dxa"/>
            <w:vAlign w:val="center"/>
            <w:textDirection w:val="lrTb"/>
            <w:noWrap w:val="false"/>
          </w:tcPr>
          <w:p>
            <w:pPr>
              <w:ind w:left="0"/>
              <w:jc w:val="center"/>
              <w:widowControl/>
            </w:pPr>
            <w:r>
              <w:rPr>
                <w:rFonts w:hint="eastAsia"/>
              </w:rPr>
              <w:t xml:space="preserve">1400*2100</w:t>
            </w:r>
            <w:r/>
          </w:p>
        </w:tc>
      </w:tr>
      <w:tr>
        <w:trPr/>
        <w:tc>
          <w:tcPr>
            <w:tcW w:w="579" w:type="dxa"/>
            <w:vAlign w:val="center"/>
            <w:textDirection w:val="lrTb"/>
            <w:noWrap w:val="false"/>
          </w:tcPr>
          <w:p>
            <w:pPr>
              <w:ind w:left="0"/>
              <w:jc w:val="center"/>
              <w:widowControl/>
            </w:pPr>
            <w:r>
              <w:rPr>
                <w:rFonts w:hint="eastAsia"/>
              </w:rPr>
              <w:t xml:space="preserve">2</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DT2~DT3</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6</w:t>
            </w:r>
            <w:r/>
          </w:p>
        </w:tc>
        <w:tc>
          <w:tcPr>
            <w:tcW w:w="683" w:type="dxa"/>
            <w:vAlign w:val="center"/>
            <w:textDirection w:val="lrTb"/>
            <w:noWrap w:val="false"/>
          </w:tcPr>
          <w:p>
            <w:pPr>
              <w:ind w:left="0"/>
              <w:jc w:val="center"/>
              <w:widowControl/>
            </w:pPr>
            <w:r>
              <w:rPr>
                <w:rFonts w:hint="eastAsia"/>
              </w:rPr>
              <w:t xml:space="preserve">6/6/6</w:t>
            </w:r>
            <w:r/>
          </w:p>
        </w:tc>
        <w:tc>
          <w:tcPr>
            <w:tcW w:w="812" w:type="dxa"/>
            <w:vAlign w:val="center"/>
            <w:textDirection w:val="lrTb"/>
            <w:noWrap w:val="false"/>
          </w:tcPr>
          <w:p>
            <w:pPr>
              <w:ind w:left="0"/>
              <w:jc w:val="center"/>
              <w:widowControl/>
            </w:pPr>
            <w:r>
              <w:rPr>
                <w:rFonts w:hint="eastAsia"/>
              </w:rPr>
              <w:t xml:space="preserve">22.4</w:t>
            </w:r>
            <w:r/>
          </w:p>
        </w:tc>
        <w:tc>
          <w:tcPr>
            <w:tcW w:w="1438" w:type="dxa"/>
            <w:vAlign w:val="center"/>
            <w:textDirection w:val="lrTb"/>
            <w:noWrap w:val="false"/>
          </w:tcPr>
          <w:p>
            <w:pPr>
              <w:ind w:left="0"/>
              <w:jc w:val="center"/>
              <w:widowControl/>
            </w:pPr>
            <w:r>
              <w:rPr>
                <w:rFonts w:hint="eastAsia"/>
              </w:rPr>
              <w:t xml:space="preserve">2400*3000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vAlign w:val="center"/>
            <w:textDirection w:val="lrTb"/>
            <w:noWrap w:val="false"/>
          </w:tcPr>
          <w:p>
            <w:pPr>
              <w:ind w:left="0"/>
              <w:jc w:val="center"/>
              <w:widowControl/>
            </w:pPr>
            <w:r>
              <w:rPr>
                <w:rFonts w:hint="eastAsia"/>
              </w:rPr>
              <w:t xml:space="preserve">3</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DT4~DT5</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18.2</w:t>
            </w:r>
            <w:r/>
          </w:p>
        </w:tc>
        <w:tc>
          <w:tcPr>
            <w:tcW w:w="1438" w:type="dxa"/>
            <w:vAlign w:val="center"/>
            <w:textDirection w:val="lrTb"/>
            <w:noWrap w:val="false"/>
          </w:tcPr>
          <w:p>
            <w:pPr>
              <w:ind w:left="0"/>
              <w:jc w:val="center"/>
              <w:widowControl/>
            </w:pPr>
            <w:r>
              <w:rPr>
                <w:rFonts w:hint="eastAsia"/>
              </w:rPr>
              <w:t xml:space="preserve">2200*2700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textDirection w:val="lrTb"/>
            <w:noWrap w:val="false"/>
          </w:tcPr>
          <w:p>
            <w:pPr>
              <w:ind w:left="0"/>
              <w:jc w:val="center"/>
              <w:widowControl/>
            </w:pPr>
            <w:r/>
            <w:r/>
          </w:p>
        </w:tc>
        <w:tc>
          <w:tcPr>
            <w:tcW w:w="882" w:type="dxa"/>
            <w:textDirection w:val="lrTb"/>
            <w:noWrap w:val="false"/>
          </w:tcPr>
          <w:p>
            <w:pPr>
              <w:ind w:left="0"/>
              <w:jc w:val="center"/>
              <w:widowControl/>
            </w:pPr>
            <w:r>
              <w:rPr>
                <w:rFonts w:hint="eastAsia"/>
              </w:rPr>
              <w:t xml:space="preserve">总计</w:t>
            </w:r>
            <w:r/>
          </w:p>
        </w:tc>
        <w:tc>
          <w:tcPr>
            <w:tcW w:w="629" w:type="dxa"/>
            <w:textDirection w:val="lrTb"/>
            <w:noWrap w:val="false"/>
          </w:tcPr>
          <w:p>
            <w:pPr>
              <w:ind w:left="0"/>
              <w:jc w:val="center"/>
              <w:widowControl/>
            </w:pPr>
            <w:r>
              <w:rPr>
                <w:rFonts w:hint="eastAsia"/>
              </w:rPr>
              <w:t xml:space="preserve">5</w:t>
            </w:r>
            <w:r/>
          </w:p>
        </w:tc>
        <w:tc>
          <w:tcPr>
            <w:tcW w:w="971" w:type="dxa"/>
            <w:textDirection w:val="lrTb"/>
            <w:noWrap w:val="false"/>
          </w:tcPr>
          <w:p>
            <w:pPr>
              <w:ind w:left="0"/>
              <w:jc w:val="center"/>
              <w:widowControl/>
            </w:pPr>
            <w:r/>
            <w:r/>
          </w:p>
        </w:tc>
        <w:tc>
          <w:tcPr>
            <w:tcW w:w="633" w:type="dxa"/>
            <w:textDirection w:val="lrTb"/>
            <w:noWrap w:val="false"/>
          </w:tcPr>
          <w:p>
            <w:pPr>
              <w:ind w:left="0"/>
              <w:jc w:val="center"/>
              <w:widowControl/>
            </w:pPr>
            <w:r/>
            <w:r/>
          </w:p>
        </w:tc>
        <w:tc>
          <w:tcPr>
            <w:tcW w:w="667" w:type="dxa"/>
            <w:textDirection w:val="lrTb"/>
            <w:noWrap w:val="false"/>
          </w:tcPr>
          <w:p>
            <w:pPr>
              <w:ind w:left="0"/>
              <w:jc w:val="center"/>
              <w:widowControl/>
            </w:pPr>
            <w:r/>
            <w:r/>
          </w:p>
        </w:tc>
        <w:tc>
          <w:tcPr>
            <w:tcW w:w="683" w:type="dxa"/>
            <w:textDirection w:val="lrTb"/>
            <w:noWrap w:val="false"/>
          </w:tcPr>
          <w:p>
            <w:pPr>
              <w:ind w:left="0"/>
              <w:jc w:val="center"/>
              <w:widowControl/>
            </w:pPr>
            <w:r/>
            <w:r/>
          </w:p>
        </w:tc>
        <w:tc>
          <w:tcPr>
            <w:tcW w:w="812" w:type="dxa"/>
            <w:textDirection w:val="lrTb"/>
            <w:noWrap w:val="false"/>
          </w:tcPr>
          <w:p>
            <w:pPr>
              <w:ind w:left="0"/>
              <w:jc w:val="center"/>
              <w:widowControl/>
            </w:pPr>
            <w:r/>
            <w:r/>
          </w:p>
        </w:tc>
        <w:tc>
          <w:tcPr>
            <w:tcW w:w="1438" w:type="dxa"/>
            <w:textDirection w:val="lrTb"/>
            <w:noWrap w:val="false"/>
          </w:tcPr>
          <w:p>
            <w:pPr>
              <w:ind w:left="0"/>
              <w:jc w:val="center"/>
              <w:widowControl/>
            </w:pPr>
            <w:r/>
            <w:r/>
          </w:p>
        </w:tc>
        <w:tc>
          <w:tcPr>
            <w:tcW w:w="1684" w:type="dxa"/>
            <w:textDirection w:val="lrTb"/>
            <w:noWrap w:val="false"/>
          </w:tcPr>
          <w:p>
            <w:pPr>
              <w:ind w:left="0"/>
              <w:jc w:val="center"/>
              <w:widowControl/>
            </w:pPr>
            <w:r/>
            <w:r/>
          </w:p>
        </w:tc>
        <w:tc>
          <w:tcPr>
            <w:tcW w:w="1600" w:type="dxa"/>
            <w:textDirection w:val="lrTb"/>
            <w:noWrap w:val="false"/>
          </w:tcPr>
          <w:p>
            <w:pPr>
              <w:ind w:left="0"/>
              <w:jc w:val="center"/>
              <w:widowControl/>
            </w:pPr>
            <w:r/>
            <w:r/>
          </w:p>
        </w:tc>
      </w:tr>
    </w:tbl>
    <w:p>
      <w:pPr>
        <w:ind w:left="0"/>
      </w:pPr>
      <w:r>
        <w:rPr>
          <w:rFonts w:hint="eastAsia"/>
          <w:b/>
          <w:bCs/>
        </w:rPr>
        <w:t xml:space="preserve">采购清单：</w:t>
      </w:r>
      <w:r>
        <w:rPr>
          <w:rFonts w:hint="eastAsia"/>
        </w:rPr>
        <w:t xml:space="preserve"> </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bookmarkStart w:id="97" w:name="OLE_LINK14"/>
      <w:r/>
      <w:r/>
    </w:p>
    <w:p>
      <w:pPr>
        <w:pStyle w:val="1012"/>
        <w:ind w:left="0" w:firstLine="0"/>
        <w:rPr>
          <w:rFonts w:hint="eastAsia"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投标人须承诺：</w:t>
      </w:r>
      <w:r>
        <w:rPr>
          <w:rFonts w:hint="eastAsia" w:asciiTheme="minorEastAsia" w:hAnsiTheme="minorEastAsia" w:eastAsiaTheme="minorEastAsia"/>
          <w:b/>
          <w:sz w:val="21"/>
          <w:szCs w:val="21"/>
        </w:rPr>
        <w:t xml:space="preserve">所投产品</w:t>
      </w:r>
      <w:r>
        <w:rPr>
          <w:rFonts w:hint="eastAsia" w:asciiTheme="minorEastAsia" w:hAnsiTheme="minorEastAsia" w:eastAsiaTheme="minorEastAsia"/>
          <w:b/>
          <w:sz w:val="21"/>
          <w:szCs w:val="21"/>
        </w:rPr>
        <w:t xml:space="preserve">与</w:t>
      </w:r>
      <w:r>
        <w:rPr>
          <w:rFonts w:hint="eastAsia" w:asciiTheme="minorEastAsia" w:hAnsiTheme="minorEastAsia" w:eastAsiaTheme="minorEastAsia"/>
          <w:b/>
          <w:sz w:val="21"/>
          <w:szCs w:val="21"/>
        </w:rPr>
        <w:t xml:space="preserve">上述</w:t>
      </w:r>
      <w:r>
        <w:rPr>
          <w:rFonts w:hint="eastAsia" w:asciiTheme="minorEastAsia" w:hAnsiTheme="minorEastAsia" w:eastAsiaTheme="minorEastAsia"/>
          <w:b/>
          <w:sz w:val="21"/>
          <w:szCs w:val="21"/>
        </w:rPr>
        <w:t xml:space="preserve">采购清单</w:t>
      </w:r>
      <w:r>
        <w:rPr>
          <w:rFonts w:hint="eastAsia" w:asciiTheme="minorEastAsia" w:hAnsiTheme="minorEastAsia" w:eastAsiaTheme="minorEastAsia"/>
          <w:b/>
          <w:sz w:val="21"/>
          <w:szCs w:val="21"/>
        </w:rPr>
        <w:t xml:space="preserve">内容完全</w:t>
      </w:r>
      <w:r>
        <w:rPr>
          <w:rFonts w:hint="eastAsia" w:asciiTheme="minorEastAsia" w:hAnsiTheme="minorEastAsia" w:eastAsiaTheme="minorEastAsia"/>
          <w:b/>
          <w:sz w:val="21"/>
          <w:szCs w:val="21"/>
        </w:rPr>
        <w:t xml:space="preserve">一致，不允许</w:t>
      </w:r>
      <w:r>
        <w:rPr>
          <w:rFonts w:hint="eastAsia" w:asciiTheme="minorEastAsia" w:hAnsiTheme="minorEastAsia" w:eastAsiaTheme="minorEastAsia"/>
          <w:b/>
          <w:sz w:val="21"/>
          <w:szCs w:val="21"/>
        </w:rPr>
        <w:t xml:space="preserve">正</w:t>
      </w:r>
      <w:r>
        <w:rPr>
          <w:rFonts w:hint="eastAsia" w:asciiTheme="minorEastAsia" w:hAnsiTheme="minorEastAsia" w:eastAsiaTheme="minorEastAsia"/>
          <w:b/>
          <w:sz w:val="21"/>
          <w:szCs w:val="21"/>
        </w:rPr>
        <w:t xml:space="preserve">、负偏离。</w:t>
      </w:r>
      <w:r>
        <w:rPr>
          <w:rFonts w:hint="eastAsia" w:asciiTheme="minorEastAsia" w:hAnsiTheme="minorEastAsia" w:eastAsiaTheme="minorEastAsia"/>
          <w:b/>
          <w:sz w:val="21"/>
          <w:szCs w:val="21"/>
        </w:rPr>
        <w:t xml:space="preserve">投标文件中须提供承诺函</w:t>
      </w:r>
      <w:r>
        <w:rPr>
          <w:rFonts w:hint="eastAsia" w:asciiTheme="minorEastAsia" w:hAnsiTheme="minorEastAsia" w:eastAsiaTheme="minorEastAsia"/>
          <w:b/>
          <w:sz w:val="21"/>
          <w:szCs w:val="21"/>
        </w:rPr>
        <w:t xml:space="preserve">（格式自拟）</w:t>
      </w:r>
      <w:r>
        <w:rPr>
          <w:rFonts w:hint="eastAsia" w:asciiTheme="minorEastAsia" w:hAnsiTheme="minorEastAsia" w:eastAsiaTheme="minorEastAsia"/>
          <w:b/>
          <w:sz w:val="21"/>
          <w:szCs w:val="21"/>
        </w:rPr>
        <w:t xml:space="preserve">并加盖公章，</w:t>
      </w:r>
      <w:r>
        <w:rPr>
          <w:rFonts w:hint="eastAsia" w:asciiTheme="minorEastAsia" w:hAnsiTheme="minorEastAsia" w:eastAsiaTheme="minorEastAsia"/>
          <w:b/>
          <w:sz w:val="21"/>
          <w:szCs w:val="21"/>
        </w:rPr>
        <w:t xml:space="preserve">未按要求提供或未提供视为未实质性响应</w:t>
      </w:r>
      <w:r>
        <w:rPr>
          <w:rFonts w:hint="eastAsia" w:asciiTheme="minorEastAsia" w:hAnsiTheme="minorEastAsia" w:eastAsiaTheme="minorEastAsia"/>
          <w:b/>
          <w:sz w:val="21"/>
          <w:szCs w:val="21"/>
        </w:rPr>
        <w:t xml:space="preserve">。</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2、本项目核心产品：无机房客梯DT2~DT3、无机房客梯DT4~DT5。</w:t>
      </w:r>
      <w:r/>
    </w:p>
    <w:p>
      <w:pPr>
        <w:pStyle w:val="1012"/>
        <w:ind w:left="0" w:firstLine="0"/>
        <w:rPr>
          <w:rFonts w:hint="eastAsia" w:asciiTheme="minorEastAsia" w:hAnsiTheme="minorEastAsia" w:eastAsiaTheme="minorEastAsia"/>
          <w:b/>
          <w:sz w:val="21"/>
          <w:szCs w:val="21"/>
        </w:rPr>
      </w:pPr>
      <w:r/>
      <w:bookmarkStart w:id="98" w:name="OLE_LINK18"/>
      <w:r/>
      <w:bookmarkEnd w:id="97"/>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、以上电梯单价包含电梯设备、运输、吊装、脚手架、钢牛腿、轿厢装潢、安装、调试、新梯政府验收、两年免费维保。</w:t>
      </w:r>
      <w:bookmarkEnd w:id="98"/>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、客梯轿厢、厅门</w:t>
      </w:r>
      <w:r>
        <w:rPr>
          <w:rFonts w:hint="eastAsia" w:asciiTheme="minorEastAsia" w:hAnsiTheme="minorEastAsia" w:eastAsiaTheme="minorEastAsia"/>
          <w:bCs/>
          <w:sz w:val="21"/>
          <w:szCs w:val="21"/>
        </w:rPr>
        <w:t xml:space="preserve">材质为304发纹不锈钢。</w:t>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、货梯轿厢、厅门材质为喷涂钢板(哑光浅茶色)。</w:t>
      </w:r>
      <w:r/>
    </w:p>
    <w:p>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（二）技术参数</w:t>
      </w:r>
      <w:r/>
    </w:p>
    <w:tbl>
      <w:tblPr>
        <w:tblStyle w:val="1419"/>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1"/>
        <w:gridCol w:w="1559"/>
        <w:gridCol w:w="7229"/>
      </w:tblGrid>
      <w:tr>
        <w:trPr/>
        <w:tc>
          <w:tcPr>
            <w:gridSpan w:val="2"/>
            <w:tcW w:w="2410"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类型</w:t>
            </w:r>
            <w:r/>
          </w:p>
        </w:tc>
        <w:tc>
          <w:tcPr>
            <w:tcW w:w="7229" w:type="dxa"/>
            <w:textDirection w:val="lrTb"/>
            <w:noWrap w:val="false"/>
          </w:tcPr>
          <w:p>
            <w:pPr>
              <w:ind w:left="0" w:firstLine="42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曳引乘客电梯（无机房）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开门形式</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水平中分两扇滑动门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全电脑全集选方式</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双32位微机控制系统</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驱动系统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交流变频变压调速（VVVF）</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控制柜</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额定速度1.5米/秒，额定功率≤15千瓦</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门机系统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永磁同步门机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永磁同步无齿轮曳引机；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8</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轿厢材质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限速器</w:t>
            </w:r>
            <w:r/>
          </w:p>
        </w:tc>
        <w:tc>
          <w:tcPr>
            <w:tcW w:w="7229" w:type="dxa"/>
            <w:textDirection w:val="lrTb"/>
            <w:noWrap w:val="false"/>
          </w:tcPr>
          <w:p>
            <w:pPr>
              <w:ind w:left="0" w:firstLine="420"/>
              <w:jc w:val="left"/>
              <w:rPr>
                <w:rFonts w:hint="eastAsia" w:ascii="宋体" w:hAnsi="宋体"/>
                <w:sz w:val="21"/>
                <w:szCs w:val="24"/>
              </w:rPr>
            </w:pPr>
            <w:r>
              <w:rPr>
                <w:rFonts w:hint="eastAsia" w:ascii="宋体" w:hAnsi="宋体"/>
                <w:sz w:val="21"/>
                <w:szCs w:val="24"/>
              </w:rPr>
              <w:t xml:space="preserve">★额定速度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安全钳</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★渐进式安全钳 额定速度1.5m/s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缓冲器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★额度速度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轿门材质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13</w:t>
            </w:r>
            <w:r/>
          </w:p>
        </w:tc>
        <w:tc>
          <w:tcPr>
            <w:tcW w:w="1559"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层（厅）门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w:t>
            </w:r>
            <w:r/>
          </w:p>
        </w:tc>
      </w:tr>
      <w:tr>
        <w:trPr/>
        <w:tc>
          <w:tcPr>
            <w:tcW w:w="851" w:type="dxa"/>
            <w:vAlign w:val="center"/>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1559" w:type="dxa"/>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★防火≥2小时（耐火完整性≥2.00h)</w:t>
            </w:r>
            <w:r>
              <w:rPr>
                <w:rFonts w:ascii="宋体" w:hAnsi="宋体"/>
                <w:sz w:val="21"/>
                <w:szCs w:val="24"/>
              </w:rPr>
              <w:t xml:space="preserve">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门套材质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全部层采用1.2mm（304）发纹不锈钢小门套</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轿顶</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标准悬吊顶</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导轨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实心导轨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轿底材质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PVC，防滑地板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18</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操作面板</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w:t>
            </w:r>
            <w:r>
              <w:rPr>
                <w:rFonts w:hint="eastAsia" w:ascii="宋体" w:hAnsi="宋体"/>
                <w:sz w:val="21"/>
                <w:szCs w:val="24"/>
              </w:rPr>
              <w:t xml:space="preserve">体式操作箱（材质发纹不锈钢）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地坎</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硬质铝合金</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轿内外显示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采用白色LED</w:t>
            </w:r>
            <w:r>
              <w:rPr>
                <w:rFonts w:hint="eastAsia" w:ascii="宋体" w:hAnsi="宋体"/>
                <w:sz w:val="21"/>
                <w:szCs w:val="24"/>
              </w:rPr>
              <w:t xml:space="preserve">段码轿厢</w:t>
            </w:r>
            <w:r>
              <w:rPr>
                <w:rFonts w:hint="eastAsia" w:ascii="宋体" w:hAnsi="宋体"/>
                <w:sz w:val="21"/>
                <w:szCs w:val="24"/>
              </w:rPr>
              <w:t xml:space="preserve">位置显示及运行方向上下显示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照明设施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高效节能LED照明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★低噪音风机装置</w:t>
            </w:r>
            <w:r/>
          </w:p>
        </w:tc>
      </w:tr>
      <w:tr>
        <w:trPr>
          <w:trHeight w:val="70"/>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应急设施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配置ARD停电应急电源</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通讯要求</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采用无线五方对讲及配置物联网</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（三）功能要求（</w:t>
      </w:r>
      <w:r>
        <w:rPr>
          <w:rFonts w:hint="eastAsia" w:ascii="宋体" w:hAnsi="宋体"/>
          <w:b/>
          <w:sz w:val="21"/>
        </w:rPr>
        <w:t xml:space="preserve">满足国家标准规定的必须具有的安全功能</w:t>
      </w:r>
      <w:r>
        <w:rPr>
          <w:rFonts w:hint="eastAsia" w:ascii="宋体" w:hAnsi="宋体"/>
          <w:b/>
          <w:sz w:val="21"/>
        </w:rPr>
        <w:t xml:space="preserve">）</w:t>
      </w:r>
      <w:r/>
    </w:p>
    <w:tbl>
      <w:tblPr>
        <w:tblW w:w="951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179"/>
        <w:gridCol w:w="1402"/>
        <w:gridCol w:w="6931"/>
      </w:tblGrid>
      <w:tr>
        <w:trPr>
          <w:cantSplit/>
          <w:jc w:val="center"/>
          <w:trHeight w:val="603"/>
          <w:tblHeader/>
        </w:trPr>
        <w:tc>
          <w:tcPr>
            <w:shd w:val="clear" w:color="auto" w:fill="auto"/>
            <w:tcW w:w="1179"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序号</w:t>
            </w:r>
            <w:r/>
          </w:p>
        </w:tc>
        <w:tc>
          <w:tcPr>
            <w:shd w:val="clear" w:color="auto" w:fill="auto"/>
            <w:tcW w:w="1402"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功能名称</w:t>
            </w:r>
            <w:r/>
          </w:p>
        </w:tc>
        <w:tc>
          <w:tcPr>
            <w:shd w:val="clear" w:color="auto" w:fill="auto"/>
            <w:tcW w:w="6931"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描述</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超载保护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轿厢超载时，轿厢内有听觉和视觉信号提示，并保持开门状态，不允许自动启动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关门保护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在关门过程中，当探测到有人或物体在此区域时，立即重新开门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上电再平层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由于断电引起轿厢停在非门区范围内，则电源恢复后将再平层到平层位置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安全停靠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电梯因故障停在门区外时，控制系统进行安全检测，若符合启动要求，则电梯就近停层开门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变频器高温检测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检测到逆变装置过热时，则做出相应的保护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终端强迫减速</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若轿厢运行到终端而速度还未减到规定值时，系统强制减速，以使轿厢正常平层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故障自诊断</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对电梯运行过程中的异常及故障进行诊断</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门负载检测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如果门由于过载导致不能完全打开或关闭，电梯门将会停止或反方向动作</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门受阻控制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当电梯在开、关门过程中受阻时，电梯门向相反方向动作的功能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多方通话装置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紧急时，轿内或轿顶或底坑的人可以通过该装置与机房或监控室的人通话</w:t>
            </w:r>
            <w:r/>
          </w:p>
        </w:tc>
      </w:tr>
      <w:tr>
        <w:trPr>
          <w:cantSplit/>
          <w:jc w:val="center"/>
          <w:trHeight w:val="76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轿厢到站停靠后，由于乘客的进出或装卸货物导致轿厢地坎上平面</w:t>
            </w:r>
            <w:r>
              <w:rPr>
                <w:rFonts w:ascii="宋体" w:hAnsi="宋体" w:cs="Times New Roman"/>
                <w:sz w:val="21"/>
                <w:szCs w:val="24"/>
              </w:rPr>
              <w:t xml:space="preserve">与层门地</w:t>
            </w:r>
            <w:r>
              <w:rPr>
                <w:rFonts w:ascii="宋体" w:hAnsi="宋体" w:cs="Times New Roman"/>
                <w:sz w:val="21"/>
                <w:szCs w:val="24"/>
              </w:rPr>
              <w:t xml:space="preserve">坎上平面之间垂直方向的偏差超过预定值时，电梯自动平层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井道楼层数据自学习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在电梯正式运行前，启动系统的井道自学习功能，学习井道内各种数据，并永久保存这些运行数据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启动转矩自动补偿</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电梯在运行前，自动根据轿厢当前载重的情况，进行启动补偿，达到</w:t>
            </w:r>
            <w:r>
              <w:rPr>
                <w:rFonts w:ascii="宋体" w:hAnsi="宋体" w:cs="Times New Roman"/>
                <w:sz w:val="21"/>
                <w:szCs w:val="24"/>
              </w:rPr>
              <w:t xml:space="preserve">平滑启动</w:t>
            </w:r>
            <w:r>
              <w:rPr>
                <w:rFonts w:ascii="宋体" w:hAnsi="宋体" w:cs="Times New Roman"/>
                <w:sz w:val="21"/>
                <w:szCs w:val="24"/>
              </w:rPr>
              <w:t xml:space="preserve">效果，提高电梯舒适感</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轿内反向指令消除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电梯自动运行时，当电梯到达最远层站将要反向时，原来所有后方登记的指令全部消除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轿厢节能功能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在轿厢开门保持和关门到站的状态下，经过预定时间后，自动关闭轿厢内照明、风扇，实现节能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锁梯功能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w:t>
            </w:r>
            <w:r>
              <w:rPr>
                <w:rFonts w:ascii="宋体" w:hAnsi="宋体" w:cs="Times New Roman"/>
                <w:sz w:val="21"/>
                <w:szCs w:val="24"/>
              </w:rPr>
              <w:t xml:space="preserve">当锁梯</w:t>
            </w:r>
            <w:r>
              <w:rPr>
                <w:rFonts w:ascii="宋体" w:hAnsi="宋体" w:cs="Times New Roman"/>
                <w:sz w:val="21"/>
                <w:szCs w:val="24"/>
              </w:rPr>
              <w:t xml:space="preserve">开关动作或设定</w:t>
            </w:r>
            <w:r>
              <w:rPr>
                <w:rFonts w:ascii="宋体" w:hAnsi="宋体" w:cs="Times New Roman"/>
                <w:sz w:val="21"/>
                <w:szCs w:val="24"/>
              </w:rPr>
              <w:t xml:space="preserve">的锁梯时间</w:t>
            </w:r>
            <w:r>
              <w:rPr>
                <w:rFonts w:ascii="宋体" w:hAnsi="宋体" w:cs="Times New Roman"/>
                <w:sz w:val="21"/>
                <w:szCs w:val="24"/>
              </w:rPr>
              <w:t xml:space="preserve">到，电梯响应完所有内召唤后，</w:t>
            </w:r>
            <w:r>
              <w:rPr>
                <w:rFonts w:ascii="宋体" w:hAnsi="宋体" w:cs="Times New Roman"/>
                <w:sz w:val="21"/>
                <w:szCs w:val="24"/>
              </w:rPr>
              <w:t xml:space="preserve">返回锁梯基站</w:t>
            </w:r>
            <w:r>
              <w:rPr>
                <w:rFonts w:ascii="宋体" w:hAnsi="宋体" w:cs="Times New Roman"/>
                <w:sz w:val="21"/>
                <w:szCs w:val="24"/>
              </w:rPr>
              <w:t xml:space="preserve">，停止电梯自动运行，关闭轿厢内照明、风扇和空调</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独立运行</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使用操纵箱内的独立开关，可以在不中断运行的情况下，只响应轿内指令，而不响应层站召唤</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开门保持延时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在自动运行状态下，在轿厢内按开门保持延时按钮，电梯延时关门，方便货物运输等要求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强迫关门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当开通强迫关门功能后，如果由于光</w:t>
            </w:r>
            <w:r>
              <w:rPr>
                <w:rFonts w:ascii="宋体" w:hAnsi="宋体" w:cs="Times New Roman"/>
                <w:sz w:val="21"/>
                <w:szCs w:val="24"/>
              </w:rPr>
              <w:t xml:space="preserve">幕动作</w:t>
            </w:r>
            <w:r>
              <w:rPr>
                <w:rFonts w:ascii="宋体" w:hAnsi="宋体" w:cs="Times New Roman"/>
                <w:sz w:val="21"/>
                <w:szCs w:val="24"/>
              </w:rPr>
              <w:t xml:space="preserve">或其它原因使电梯连续开着门而没有关门信号时，电梯就强迫关门，并发出强迫关门信号</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重复关门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电梯持续关门一定时间后，若门锁尚未闭合，则电梯自动开门，然后重复关门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显示器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系统厅外和轿内通过显示器，可以显示楼层位置、运行方向、电梯状态信息等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运行次数记录和显示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自动运行状态下，电梯可自动记录电梯运行的次数并显示次数</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运行时间记录和显示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电梯可自动记录电梯累计工作小时、天数等状态，并显示</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IC卡控制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乘客必须</w:t>
            </w:r>
            <w:r>
              <w:rPr>
                <w:rFonts w:hint="eastAsia" w:ascii="宋体" w:hAnsi="宋体" w:cs="Times New Roman"/>
                <w:sz w:val="21"/>
                <w:szCs w:val="24"/>
              </w:rPr>
              <w:t xml:space="preserve">轿厢内刷卡</w:t>
            </w:r>
            <w:r>
              <w:rPr>
                <w:rFonts w:ascii="宋体" w:hAnsi="宋体" w:cs="Times New Roman"/>
                <w:sz w:val="21"/>
                <w:szCs w:val="24"/>
              </w:rPr>
              <w:t xml:space="preserve">才能到达需授权才能进入的楼层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停电自动平层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当电梯正常电源断电时，经短暂延时后，电梯轿厢自动运行到附近层站，开门放出乘客，然后停靠在该层站等待电源恢复正常</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紧急电动操作装置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出现故障之后的1小时内，应急电源可以使载有任何载荷的轿厢移动到附近层站的装置，其速度不大于0.30m/s</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火灾应急返回</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操纵消防开关或接受相应信号后，电梯将直驶回到设定楼层，进入停</w:t>
            </w:r>
            <w:r>
              <w:rPr>
                <w:rFonts w:ascii="宋体" w:hAnsi="宋体" w:cs="Times New Roman"/>
                <w:sz w:val="21"/>
                <w:szCs w:val="24"/>
              </w:rPr>
              <w:t xml:space="preserve">梯状态</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物联网检测终端</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具有数据采集、电梯运行监测数据存储、网络通信、监测终端管理功能和备用电源的装置，所采集的数据和通信符合电梯安装地的需求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w:t>
            </w:r>
            <w:r>
              <w:rPr>
                <w:rFonts w:ascii="宋体" w:hAnsi="宋体" w:cs="Times New Roman"/>
                <w:sz w:val="21"/>
                <w:szCs w:val="24"/>
              </w:rPr>
              <w:t xml:space="preserve">层门装饰</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轿厢壁、轿厢地板、轿厢吊顶、轿门、</w:t>
            </w:r>
            <w:r>
              <w:rPr>
                <w:rFonts w:ascii="宋体" w:hAnsi="宋体" w:cs="Times New Roman"/>
                <w:sz w:val="21"/>
                <w:szCs w:val="24"/>
              </w:rPr>
              <w:t xml:space="preserve">层门等</w:t>
            </w:r>
            <w:r>
              <w:rPr>
                <w:rFonts w:ascii="宋体" w:hAnsi="宋体" w:cs="Times New Roman"/>
                <w:sz w:val="21"/>
                <w:szCs w:val="24"/>
              </w:rPr>
              <w:t xml:space="preserve">部件装饰的外观和材质要求，例如1.2mm拉丝不锈钢、安全玻璃、PVC地板等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盲文按钮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轿厢内外操纵按钮上带有能让盲人识别的文字</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语音报站</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当轿厢到达选定楼层时，提醒乘客电梯到站的音响装置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错误指令取消</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可以通过双击</w:t>
            </w:r>
            <w:r>
              <w:rPr>
                <w:rFonts w:ascii="宋体" w:hAnsi="宋体" w:cs="Times New Roman"/>
                <w:sz w:val="21"/>
                <w:szCs w:val="24"/>
              </w:rPr>
              <w:t xml:space="preserve">或者长按等</w:t>
            </w:r>
            <w:r>
              <w:rPr>
                <w:rFonts w:ascii="宋体" w:hAnsi="宋体" w:cs="Times New Roman"/>
                <w:sz w:val="21"/>
                <w:szCs w:val="24"/>
              </w:rPr>
              <w:t xml:space="preserve">方式取消轿内</w:t>
            </w:r>
            <w:r>
              <w:rPr>
                <w:rFonts w:ascii="宋体" w:hAnsi="宋体" w:cs="Times New Roman"/>
                <w:sz w:val="21"/>
                <w:szCs w:val="24"/>
              </w:rPr>
              <w:t xml:space="preserve">误登记</w:t>
            </w:r>
            <w:r>
              <w:rPr>
                <w:rFonts w:ascii="宋体" w:hAnsi="宋体" w:cs="Times New Roman"/>
                <w:sz w:val="21"/>
                <w:szCs w:val="24"/>
              </w:rPr>
              <w:t xml:space="preserve">指令的功能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满载直驶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轿厢载荷超过设定值时，电梯不响应沿途的层站召唤，按登记的轿内指令行驶</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轿厢扶手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轿厢内提供一个稳定的扶杆以便用户在进出电梯时更为安全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预留视频监控线缆</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电梯随行电缆预留视频监控用线缆，适配项目所需的视频监控系统</w:t>
            </w:r>
            <w:r/>
          </w:p>
        </w:tc>
      </w:tr>
    </w:tbl>
    <w:p>
      <w:pPr>
        <w:pStyle w:val="1012"/>
        <w:ind w:firstLine="0"/>
      </w:pPr>
      <w:r/>
      <w:bookmarkStart w:id="99" w:name="OLE_LINK13"/>
      <w:r>
        <w:rPr>
          <w:rFonts w:hint="eastAsia" w:asciiTheme="minorEastAsia" w:hAnsiTheme="minorEastAsia" w:eastAsiaTheme="minorEastAsia"/>
          <w:b/>
          <w:sz w:val="21"/>
          <w:szCs w:val="21"/>
        </w:rPr>
        <w:t xml:space="preserve">投标人须承诺：施工期间，施工现场应实行封闭管理、由乙方原因造成的安全事故责任均由乙方承担。（</w:t>
      </w:r>
      <w:r>
        <w:rPr>
          <w:rFonts w:hint="eastAsia" w:asciiTheme="minorEastAsia" w:hAnsiTheme="minorEastAsia" w:eastAsiaTheme="minorEastAsia"/>
          <w:b/>
          <w:sz w:val="21"/>
          <w:szCs w:val="21"/>
        </w:rPr>
        <w:t xml:space="preserve">投标文件中须提供承诺函复印件并加盖公章</w:t>
      </w:r>
      <w:r>
        <w:rPr>
          <w:rFonts w:hint="eastAsia" w:asciiTheme="minorEastAsia" w:hAnsiTheme="minorEastAsia" w:eastAsiaTheme="minorEastAsia"/>
          <w:b/>
          <w:sz w:val="21"/>
          <w:szCs w:val="21"/>
        </w:rPr>
        <w:t xml:space="preserve">，否则视为</w:t>
      </w:r>
      <w:r>
        <w:rPr>
          <w:rFonts w:hint="eastAsia" w:asciiTheme="minorEastAsia" w:hAnsiTheme="minorEastAsia" w:eastAsiaTheme="minorEastAsia"/>
          <w:b/>
          <w:sz w:val="21"/>
          <w:szCs w:val="21"/>
        </w:rPr>
        <w:t xml:space="preserve">未实质性响应</w:t>
      </w:r>
      <w:r>
        <w:rPr>
          <w:rFonts w:hint="eastAsia" w:asciiTheme="minorEastAsia" w:hAnsiTheme="minorEastAsia" w:eastAsiaTheme="minorEastAsia"/>
          <w:b/>
          <w:sz w:val="21"/>
          <w:szCs w:val="21"/>
        </w:rPr>
        <w:t xml:space="preserve">。）</w:t>
      </w:r>
      <w:bookmarkEnd w:id="99"/>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（四）商务要求</w:t>
      </w:r>
      <w:r/>
    </w:p>
    <w:tbl>
      <w:tblPr>
        <w:tblStyle w:val="14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5"/>
        <w:gridCol w:w="1559"/>
        <w:gridCol w:w="7307"/>
      </w:tblGrid>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序号</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目录</w:t>
            </w:r>
            <w:r/>
          </w:p>
        </w:tc>
        <w:tc>
          <w:tcPr>
            <w:tcW w:w="7307"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招标商务需求</w:t>
            </w:r>
            <w:r/>
          </w:p>
        </w:tc>
      </w:tr>
      <w:tr>
        <w:trPr>
          <w:jc w:val="center"/>
        </w:trPr>
        <w:tc>
          <w:tcPr>
            <w:gridSpan w:val="3"/>
            <w:tcW w:w="958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（一）免费保修期内售后服务要求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6" w:leader="none"/>
              </w:tabs>
              <w:rPr>
                <w:rFonts w:hint="eastAsia" w:ascii="宋体" w:hAnsi="宋体"/>
                <w:sz w:val="21"/>
                <w:szCs w:val="24"/>
              </w:rPr>
            </w:pPr>
            <w:r>
              <w:rPr>
                <w:rFonts w:hint="eastAsia" w:ascii="宋体" w:hAnsi="宋体"/>
                <w:sz w:val="21"/>
                <w:szCs w:val="24"/>
              </w:rPr>
              <w:t xml:space="preserve">关于免费保修期</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产品全部验收合格后（以技术验收合格签字为标准），中标人向采购人免费提供2年上门保修服务，免费保修期为 2年。（电梯主要部件质保期5年）在质量保证期限内存在质量问题的，供应商应当提供免费修理或者更换服务。”</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如因质量问题而引起产品损坏，中标人应对产品予以维修或更换，全部服务费和更换产品或配件的费用由中标人承担；中标人如不能修理或不能调换，按产品原价赔偿处理。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标准收取维修及零件费用。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免费保修期内，中标人应定期对产品进行免费维护保养，维修或更换零配件。</w:t>
            </w:r>
            <w:r>
              <w:rPr>
                <w:rFonts w:hint="eastAsia" w:ascii="宋体" w:hAnsi="宋体"/>
                <w:sz w:val="21"/>
                <w:szCs w:val="24"/>
              </w:rPr>
              <w:t xml:space="preserve">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收取维修及零件费用。在整个产品运行过程中，中标人帮助采购人解决在应用过程中遇到的各种技术问题。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维修响应及故障解决时间</w:t>
            </w:r>
            <w:r>
              <w:rPr>
                <w:rFonts w:hint="eastAsia" w:ascii="宋体" w:hAnsi="宋体"/>
                <w:sz w:val="21"/>
                <w:szCs w:val="24"/>
              </w:rPr>
              <w:tab/>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免费保修期内，中标人将向采购人提供优质的售后技术支持服务，开通</w:t>
            </w:r>
            <w:r>
              <w:rPr>
                <w:rFonts w:hint="eastAsia" w:ascii="宋体" w:hAnsi="宋体"/>
                <w:sz w:val="21"/>
                <w:szCs w:val="24"/>
              </w:rPr>
              <w:t xml:space="preserve">24</w:t>
            </w:r>
            <w:r>
              <w:rPr>
                <w:rFonts w:hint="eastAsia" w:ascii="宋体" w:hAnsi="宋体"/>
                <w:sz w:val="21"/>
                <w:szCs w:val="24"/>
              </w:rPr>
              <w:t xml:space="preserve">小时热线电话接受采购人的电话技术咨询；如故障不能排除，中标人应在30分钟内提供现场服务，待产</w:t>
            </w:r>
            <w:r>
              <w:rPr>
                <w:rFonts w:hint="eastAsia" w:ascii="宋体" w:hAnsi="宋体"/>
                <w:sz w:val="21"/>
                <w:szCs w:val="24"/>
              </w:rPr>
              <w:t xml:space="preserve">品运行</w:t>
            </w:r>
            <w:r>
              <w:rPr>
                <w:rFonts w:hint="eastAsia" w:ascii="宋体" w:hAnsi="宋体"/>
                <w:sz w:val="21"/>
                <w:szCs w:val="24"/>
              </w:rPr>
              <w:t xml:space="preserve">正常后撤离现场。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保修期内的电梯维保</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中标人定期</w:t>
            </w:r>
            <w:r>
              <w:rPr>
                <w:rFonts w:hint="eastAsia" w:ascii="宋体" w:hAnsi="宋体"/>
                <w:sz w:val="21"/>
                <w:szCs w:val="24"/>
              </w:rPr>
              <w:t xml:space="preserve">对电楼进行</w:t>
            </w:r>
            <w:r>
              <w:rPr>
                <w:rFonts w:hint="eastAsia" w:ascii="宋体" w:hAnsi="宋体"/>
                <w:sz w:val="21"/>
                <w:szCs w:val="24"/>
              </w:rPr>
              <w:t xml:space="preserve">免费的安全检测及维护，具体次数与频率按市场监督管理局的要求执行。</w:t>
            </w:r>
            <w:r/>
          </w:p>
        </w:tc>
      </w:tr>
      <w:tr>
        <w:trPr>
          <w:jc w:val="center"/>
        </w:trPr>
        <w:tc>
          <w:tcPr>
            <w:gridSpan w:val="3"/>
            <w:tcW w:w="9581"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ab/>
            </w:r>
            <w:r>
              <w:rPr>
                <w:rFonts w:hint="eastAsia" w:ascii="宋体" w:hAnsi="宋体"/>
                <w:sz w:val="21"/>
                <w:szCs w:val="24"/>
              </w:rPr>
              <w:t xml:space="preserve">（二）其他商务要求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质量及知识产权要求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中标人提供完好、全新的原包装产品（包括零配件），随机技术资料齐全。产品符合国家质量检测标准（TSG T7001-2023《电梯监督检验和定期检验规则》），必须具有生产日期、厂名、厂址、产品合格证等。</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中标人提供的产品不得侵害第三人的知识产权，否则，中标人应赔偿采购人因此遭受的一切损失（包括但不限于赔偿金、违约金、律师费、调查取证费 、差旅费等）。</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交货地点</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工地现场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交货期限</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合同签订后</w:t>
            </w:r>
            <w:r>
              <w:rPr>
                <w:rFonts w:hint="eastAsia" w:ascii="宋体" w:hAnsi="宋体"/>
                <w:sz w:val="21"/>
                <w:szCs w:val="24"/>
              </w:rPr>
              <w:t xml:space="preserve">30</w:t>
            </w:r>
            <w:r>
              <w:rPr>
                <w:rFonts w:hint="eastAsia" w:ascii="宋体" w:hAnsi="宋体"/>
                <w:sz w:val="21"/>
                <w:szCs w:val="24"/>
              </w:rPr>
              <w:t xml:space="preserve">个日历日内交货，产品的附件、备品备件及专用工具、技术文件和资料等应随产品一同交付。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4</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运输及包装方式的要求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中标人负责产品正式验收合格前的一切费用（包括运输、包装、仓储、安装、保险等费用）。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包装方式按照原厂出厂原标准，中标人承担由于其包装或其防护措施不妥而引起货物锈蚀、损坏和丢失等任何损失，并按照“合同”中的“违约责任”承担相应责任。</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5</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安装、调试、验收及相关技术文件、资料</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中标人将产品运输并卸至采购人指定地点，采购人将会同中标人及相关单位在到货后</w:t>
            </w:r>
            <w:r>
              <w:rPr>
                <w:rFonts w:hint="eastAsia" w:ascii="宋体" w:hAnsi="宋体"/>
                <w:sz w:val="21"/>
                <w:szCs w:val="24"/>
              </w:rPr>
              <w:t xml:space="preserve">10</w:t>
            </w:r>
            <w:r>
              <w:rPr>
                <w:rFonts w:hint="eastAsia" w:ascii="宋体" w:hAnsi="宋体"/>
                <w:sz w:val="21"/>
                <w:szCs w:val="24"/>
              </w:rPr>
              <w:t xml:space="preserve">个日历日内共同进行开箱检验。</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中标人负责免费安装、调试。安装、调试完成后，由采购人组织技术验收和商务验收，中标人做好协助配合。验收合格后签署《验收报告》。验收中如发现</w:t>
            </w:r>
            <w:r>
              <w:rPr>
                <w:rFonts w:hint="eastAsia" w:ascii="宋体" w:hAnsi="宋体"/>
                <w:sz w:val="21"/>
                <w:szCs w:val="24"/>
              </w:rPr>
              <w:t xml:space="preserve">有质量不合格或型号规格、数量等与送货清单不符、提交的技术文件和资料不完整等情形，中标人应免费更换或补齐，并按照合同中的“违约责任”承担相应责任。</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中标人应向采购人提供但不限于如下技术文件和资料：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（1）产品安装、操作和维修保养手册；</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（2）产品使用说明书；</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（3）产品出厂检验合格证；</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（4）产品到货清单；</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（5）产品保修证明；</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（6）特种设备，有毒、有害、危险物品或特殊货物的生产许可证明，质量检测合格证明，销售、运输许可证明等材料；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（7）办理电梯投运的相关手续及许可证。</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6</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付款方式和时间安排</w:t>
            </w:r>
            <w:r/>
          </w:p>
        </w:tc>
        <w:tc>
          <w:tcPr>
            <w:tcW w:w="7307" w:type="dxa"/>
            <w:textDirection w:val="lrTb"/>
            <w:noWrap w:val="false"/>
          </w:tcPr>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（1）合同签订生效后，甲方向乙方支付设备合同金额的30%作为预付款，电梯到现场，甲方向</w:t>
            </w:r>
            <w:r>
              <w:rPr>
                <w:rFonts w:hint="eastAsia" w:ascii="宋体" w:hAnsi="宋体"/>
                <w:sz w:val="21"/>
                <w:szCs w:val="24"/>
              </w:rPr>
              <w:t xml:space="preserve">乙方再</w:t>
            </w:r>
            <w:r>
              <w:rPr>
                <w:rFonts w:hint="eastAsia" w:ascii="宋体" w:hAnsi="宋体"/>
                <w:sz w:val="21"/>
                <w:szCs w:val="24"/>
              </w:rPr>
              <w:t xml:space="preserve">支付单台到货设备总价的20%作为提货款；电梯安装、调试完成经甲方履约验收合格并取得特种设备使用登记证后，甲方支付按实际供货量总额记取的余款。</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（2）在签订合同时，乙方明确表示无需预付款或者主动要求降低预付款比例的，甲方可不适用上述关于预付款的规定。</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7</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履约验收基本要求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（1）采购人将根据《江苏省财政厅关于印发&lt;江苏省政府采购履约验收管理办法&gt;的通知》(苏财</w:t>
            </w:r>
            <w:r>
              <w:rPr>
                <w:rFonts w:hint="eastAsia" w:ascii="宋体" w:hAnsi="宋体"/>
                <w:sz w:val="21"/>
                <w:szCs w:val="24"/>
              </w:rPr>
              <w:t xml:space="preserve">规</w:t>
            </w:r>
            <w:r>
              <w:rPr>
                <w:rFonts w:hint="eastAsia" w:ascii="宋体" w:hAnsi="宋体"/>
                <w:sz w:val="21"/>
                <w:szCs w:val="24"/>
              </w:rPr>
              <w:t xml:space="preserve">(2024)7号)相关要求，组织项目履约验收基本工作。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（2）采购文件、投标文件、政府采购合同等是履约验收工作的重要依据。在政府采购合同约定的履行验收条件达到时，中标供应商可以主动联系采购人启动履约验收工作。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tc>
      </w:tr>
    </w:tbl>
    <w:p>
      <w:pPr>
        <w:pStyle w:val="1012"/>
      </w:pPr>
      <w:r/>
      <w:r/>
    </w:p>
    <w:p>
      <w:pPr>
        <w:ind w:left="0" w:firstLine="420"/>
        <w:spacing w:line="360" w:lineRule="auto"/>
        <w:tabs>
          <w:tab w:val="left" w:pos="42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w:t>
      </w:r>
      <w:r>
        <w:rPr>
          <w:rFonts w:hint="eastAsia" w:asciiTheme="minorEastAsia" w:hAnsiTheme="minorEastAsia" w:eastAsiaTheme="minorEastAsia"/>
          <w:sz w:val="21"/>
          <w:szCs w:val="21"/>
        </w:rPr>
        <w:t xml:space="preserve">考量</w:t>
      </w:r>
      <w:r>
        <w:rPr>
          <w:rFonts w:hint="eastAsia" w:asciiTheme="minorEastAsia" w:hAnsiTheme="minorEastAsia" w:eastAsiaTheme="minorEastAsia"/>
          <w:sz w:val="21"/>
          <w:szCs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2"/>
      </w:p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0"/>
        <w:ind w:left="0" w:firstLine="0"/>
        <w:jc w:val="center"/>
        <w:rPr>
          <w:rFonts w:hint="eastAsia"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r/>
    </w:p>
    <w:p>
      <w:pPr>
        <w:ind w:left="0"/>
        <w:jc w:val="center"/>
        <w:rPr>
          <w:rFonts w:hint="eastAsia" w:ascii="宋体" w:hAnsi="宋体"/>
          <w:b/>
          <w:sz w:val="32"/>
          <w:szCs w:val="32"/>
        </w:rPr>
      </w:pPr>
      <w:r/>
      <w:bookmarkStart w:id="105" w:name="_Toc57376410"/>
      <w:r/>
      <w:bookmarkStart w:id="106" w:name="_Toc8564"/>
      <w:r/>
      <w:bookmarkStart w:id="107" w:name="_Toc27667"/>
      <w:r/>
      <w:bookmarkEnd w:id="102"/>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rPr>
          <w:rFonts w:hint="eastAsia" w:ascii="宋体" w:hAnsi="宋体"/>
          <w:b/>
          <w:sz w:val="21"/>
        </w:rPr>
        <w:t xml:space="preserve">特殊学校新校区项目电梯</w:t>
      </w:r>
      <w:r/>
    </w:p>
    <w:p>
      <w:pPr>
        <w:ind w:left="0"/>
        <w:jc w:val="left"/>
        <w:spacing w:line="480" w:lineRule="exact"/>
        <w:rPr>
          <w:rFonts w:hint="eastAsia" w:ascii="宋体" w:hAnsi="宋体"/>
          <w:b/>
          <w:sz w:val="21"/>
        </w:rPr>
      </w:pPr>
      <w:r>
        <w:rPr>
          <w:rFonts w:hint="eastAsia" w:ascii="宋体" w:hAnsi="宋体"/>
          <w:b/>
          <w:sz w:val="21"/>
        </w:rPr>
        <w:t xml:space="preserve">项目编号：</w:t>
      </w:r>
      <w:r>
        <w:rPr>
          <w:rFonts w:ascii="宋体" w:hAnsi="宋体"/>
          <w:b/>
          <w:sz w:val="21"/>
        </w:rPr>
        <w:t xml:space="preserve">JSZC-320500-JZCG-G2026-0217</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rPr>
      </w:pPr>
      <w:r>
        <w:rPr>
          <w:rFonts w:hint="eastAsia" w:ascii="宋体" w:hAnsi="宋体"/>
          <w:sz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rPr>
      </w:pPr>
      <w:r>
        <w:rPr>
          <w:rFonts w:hint="eastAsia" w:ascii="宋体" w:hAnsi="宋体"/>
          <w:b/>
          <w:sz w:val="21"/>
        </w:rPr>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1060"/>
        <w:tblpPr w:horzAnchor="page" w:tblpX="805" w:vertAnchor="text" w:tblpY="405" w:leftFromText="180" w:topFromText="0" w:rightFromText="180" w:bottomFromText="0"/>
        <w:tblW w:w="10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727"/>
        <w:gridCol w:w="784"/>
        <w:gridCol w:w="783"/>
        <w:gridCol w:w="650"/>
        <w:gridCol w:w="667"/>
        <w:gridCol w:w="733"/>
        <w:gridCol w:w="739"/>
        <w:gridCol w:w="1050"/>
        <w:gridCol w:w="1583"/>
        <w:gridCol w:w="1317"/>
        <w:gridCol w:w="1017"/>
      </w:tblGrid>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序号</w:t>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货物（服务）名称</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数量</w:t>
            </w:r>
            <w:r/>
          </w:p>
          <w:p>
            <w:pPr>
              <w:ind w:left="0"/>
              <w:jc w:val="left"/>
              <w:spacing w:line="360" w:lineRule="auto"/>
              <w:widowControl/>
              <w:rPr>
                <w:rFonts w:hint="eastAsia" w:ascii="宋体" w:hAnsi="宋体"/>
                <w:sz w:val="21"/>
              </w:rPr>
            </w:pPr>
            <w:r>
              <w:rPr>
                <w:rFonts w:hint="eastAsia" w:ascii="宋体" w:hAnsi="宋体"/>
                <w:sz w:val="21"/>
              </w:rPr>
              <w:t xml:space="preserve">（台）</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载重</w:t>
            </w:r>
            <w:r>
              <w:rPr>
                <w:rFonts w:ascii="宋体" w:hAnsi="宋体"/>
                <w:sz w:val="21"/>
              </w:rPr>
              <w:t xml:space="preserve">(</w:t>
            </w:r>
            <w:r>
              <w:rPr>
                <w:rFonts w:hint="eastAsia" w:ascii="宋体" w:hAnsi="宋体"/>
                <w:sz w:val="21"/>
              </w:rPr>
              <w:t xml:space="preserve">Kg)</w:t>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速度</w:t>
            </w:r>
            <w:r/>
          </w:p>
          <w:p>
            <w:pPr>
              <w:ind w:left="0"/>
              <w:jc w:val="left"/>
              <w:spacing w:line="360" w:lineRule="auto"/>
              <w:widowControl/>
              <w:rPr>
                <w:rFonts w:hint="eastAsia" w:ascii="宋体" w:hAnsi="宋体"/>
                <w:sz w:val="21"/>
              </w:rPr>
            </w:pPr>
            <w:r>
              <w:rPr>
                <w:rFonts w:hint="eastAsia" w:ascii="宋体" w:hAnsi="宋体"/>
                <w:sz w:val="21"/>
              </w:rPr>
              <w:t xml:space="preserve">(m</w:t>
            </w:r>
            <w:r>
              <w:rPr>
                <w:rFonts w:ascii="宋体" w:hAnsi="宋体"/>
                <w:sz w:val="21"/>
              </w:rPr>
              <w:t xml:space="preserve">/s</w:t>
            </w:r>
            <w:r>
              <w:rPr>
                <w:rFonts w:hint="eastAsia" w:ascii="宋体" w:hAnsi="宋体"/>
                <w:sz w:val="21"/>
              </w:rPr>
              <w:t xml:space="preserve">)</w:t>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停层站数</w:t>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层/站/门</w:t>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提升高度（m）</w:t>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井道净尺寸</w:t>
            </w:r>
            <w:r/>
          </w:p>
          <w:p>
            <w:pPr>
              <w:ind w:left="0"/>
              <w:jc w:val="left"/>
              <w:spacing w:line="360" w:lineRule="auto"/>
              <w:widowControl/>
              <w:rPr>
                <w:rFonts w:hint="eastAsia" w:ascii="宋体" w:hAnsi="宋体"/>
                <w:sz w:val="21"/>
              </w:rPr>
            </w:pPr>
            <w:r>
              <w:rPr>
                <w:rFonts w:hint="eastAsia" w:ascii="宋体" w:hAnsi="宋体"/>
                <w:sz w:val="21"/>
              </w:rPr>
              <w:t xml:space="preserve">（最小尺寸）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轿厢尺寸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开门净尺寸（宽*高）</w:t>
            </w:r>
            <w:r/>
          </w:p>
          <w:p>
            <w:pPr>
              <w:ind w:left="0"/>
              <w:jc w:val="left"/>
              <w:spacing w:line="360" w:lineRule="auto"/>
              <w:widowControl/>
              <w:rPr>
                <w:rFonts w:hint="eastAsia" w:ascii="宋体" w:hAnsi="宋体"/>
                <w:sz w:val="21"/>
              </w:rPr>
            </w:pPr>
            <w:r>
              <w:rPr>
                <w:rFonts w:hint="eastAsia" w:ascii="宋体" w:hAnsi="宋体"/>
                <w:sz w:val="21"/>
              </w:rPr>
              <w:t xml:space="preserve">(单位：m</w:t>
            </w:r>
            <w:r>
              <w:rPr>
                <w:rFonts w:ascii="宋体" w:hAnsi="宋体"/>
                <w:sz w:val="21"/>
              </w:rPr>
              <w:t xml:space="preserve">m</w:t>
            </w:r>
            <w:r>
              <w:rPr>
                <w:rFonts w:hint="eastAsia" w:ascii="宋体" w:hAnsi="宋体"/>
                <w:sz w:val="21"/>
              </w:rPr>
              <w:t xml:space="preserve">）</w:t>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综合单价（元/台）</w:t>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无机房货梯DT1</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2000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0.5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17.1</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2800*3000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1600*2500*2200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1400*2100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无机房客梯DT2~DT3</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6/6/6</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22.4</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2400*3000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3</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无机房客梯DT4~DT5</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18.2</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2200*2700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总计</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w:t>
      </w:r>
      <w:r>
        <w:rPr>
          <w:rFonts w:hint="eastAsia" w:ascii="宋体" w:hAnsi="宋体"/>
          <w:sz w:val="21"/>
        </w:rPr>
        <w:t xml:space="preserve">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合同签订生效后，甲方向乙方支付设备合同金额的30%作为预付款，电梯到现场，甲方向</w:t>
      </w:r>
      <w:r>
        <w:rPr>
          <w:rFonts w:hint="eastAsia" w:ascii="宋体" w:hAnsi="宋体"/>
          <w:sz w:val="21"/>
          <w:szCs w:val="21"/>
          <w:u w:val="single"/>
        </w:rPr>
        <w:t xml:space="preserve">乙方再</w:t>
      </w:r>
      <w:r>
        <w:rPr>
          <w:rFonts w:hint="eastAsia" w:ascii="宋体" w:hAnsi="宋体"/>
          <w:sz w:val="21"/>
          <w:szCs w:val="21"/>
          <w:u w:val="single"/>
        </w:rPr>
        <w:t xml:space="preserve">支付单台到货设备总价的20%作为提货款；电梯安装、调试完成经甲方履约验收合格</w:t>
      </w:r>
      <w:r>
        <w:rPr>
          <w:rFonts w:hint="eastAsia" w:ascii="宋体" w:hAnsi="宋体"/>
          <w:sz w:val="21"/>
          <w:szCs w:val="21"/>
          <w:u w:val="single"/>
        </w:rPr>
        <w:t xml:space="preserve">并取得特种设备使用登记证后，甲方支付按实际供货量总额记取的余款</w:t>
      </w:r>
      <w:r>
        <w:rPr>
          <w:rFonts w:hint="eastAsia" w:ascii="宋体" w:hAnsi="宋体"/>
          <w:sz w:val="21"/>
          <w:szCs w:val="21"/>
          <w:u w:val="single"/>
        </w:rPr>
        <w:t xml:space="preserve">。</w:t>
      </w:r>
      <w:r>
        <w:rPr>
          <w:rFonts w:hint="eastAsia"/>
          <w:szCs w:val="21"/>
          <w:u w:val="single"/>
        </w:rPr>
        <w:t xml:space="preserve">在签订合同时，乙方明确表示无需预付款或者主动要求降低相应付款节点比例的，甲方可不适用上述关于付款的规定</w:t>
      </w:r>
      <w:r>
        <w:rPr>
          <w:rFonts w:hint="eastAsia"/>
          <w:szCs w:val="21"/>
          <w:u w:val="single"/>
        </w:rPr>
        <w:t xml:space="preserve">。</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合同签订生效后，甲方向乙方支付设备合同金额的30%作为预付款</w:t>
      </w:r>
      <w:r>
        <w:rPr>
          <w:rFonts w:hint="eastAsia" w:ascii="宋体" w:hAnsi="宋体"/>
          <w:sz w:val="21"/>
          <w:szCs w:val="21"/>
          <w:u w:val="single"/>
        </w:rPr>
        <w:t xml:space="preserve"> </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u w:val="single"/>
        </w:rPr>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rPr>
      </w:pPr>
      <w:r>
        <w:rPr>
          <w:rFonts w:hint="eastAsia" w:ascii="宋体" w:hAnsi="宋体"/>
          <w:bCs/>
          <w:sz w:val="21"/>
        </w:rPr>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b/>
          <w:sz w:val="21"/>
          <w:szCs w:val="21"/>
          <w:highlight w:val="yellow"/>
        </w:rPr>
        <w:t xml:space="preserve">姑苏区</w:t>
      </w:r>
      <w:r>
        <w:rPr>
          <w:rFonts w:hint="eastAsia" w:ascii="宋体" w:hAnsi="宋体"/>
          <w:sz w:val="21"/>
          <w:szCs w:val="21"/>
        </w:rPr>
        <w:t xml:space="preserve">。</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pStyle w:val="1059"/>
        <w:ind w:left="0" w:firstLine="0"/>
        <w:rPr>
          <w:rFonts w:hint="eastAsia" w:ascii="宋体" w:hAnsi="宋体"/>
          <w:b/>
          <w:sz w:val="44"/>
          <w:szCs w:val="22"/>
        </w:rPr>
      </w:pPr>
      <w:r>
        <w:rPr>
          <w:rFonts w:hint="eastAsia" w:ascii="宋体" w:hAnsi="宋体"/>
          <w:b/>
          <w:sz w:val="44"/>
          <w:szCs w:val="22"/>
        </w:rPr>
      </w:r>
      <w:r/>
    </w:p>
    <w:p>
      <w:pPr>
        <w:pStyle w:val="1059"/>
        <w:ind w:left="400" w:firstLine="883"/>
        <w:rPr>
          <w:rFonts w:hint="eastAsia" w:ascii="宋体" w:hAnsi="宋体"/>
          <w:b/>
          <w:sz w:val="44"/>
          <w:szCs w:val="22"/>
        </w:rPr>
      </w:pPr>
      <w:r>
        <w:rPr>
          <w:rFonts w:hint="eastAsia" w:ascii="宋体" w:hAnsi="宋体"/>
          <w:b/>
          <w:sz w:val="44"/>
          <w:szCs w:val="22"/>
        </w:rPr>
        <w:br w:type="page" w:clear="all"/>
      </w:r>
      <w:r/>
    </w:p>
    <w:p>
      <w:pPr>
        <w:pStyle w:val="1000"/>
        <w:ind w:left="0" w:firstLine="0"/>
        <w:jc w:val="center"/>
        <w:rPr>
          <w:rFonts w:hint="eastAsia" w:ascii="宋体" w:hAnsi="宋体"/>
          <w:b/>
          <w:sz w:val="44"/>
          <w:szCs w:val="22"/>
        </w:rPr>
      </w:pPr>
      <w:r/>
      <w:bookmarkStart w:id="108" w:name="_Toc105397795"/>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 评标办法和评分标准</w:t>
      </w:r>
      <w:bookmarkEnd w:id="105"/>
      <w:r/>
      <w:bookmarkEnd w:id="106"/>
      <w:r/>
      <w:bookmarkEnd w:id="107"/>
      <w:r/>
      <w:bookmarkEnd w:id="108"/>
      <w:r/>
      <w:r/>
    </w:p>
    <w:p>
      <w:pPr>
        <w:ind w:left="0" w:firstLine="422"/>
        <w:spacing w:line="360" w:lineRule="auto"/>
        <w:rPr>
          <w:rFonts w:hint="eastAsia" w:ascii="宋体" w:hAnsi="宋体"/>
          <w:b/>
          <w:sz w:val="21"/>
          <w:szCs w:val="21"/>
        </w:rPr>
      </w:pPr>
      <w:r/>
      <w:bookmarkStart w:id="110" w:name="_Toc16264"/>
      <w:r/>
      <w:bookmarkStart w:id="111" w:name="_Toc698"/>
      <w:r/>
      <w:bookmarkStart w:id="112" w:name="_Toc17476"/>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hint="eastAsia"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hint="eastAsia"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hint="eastAsia"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3" w:name="OLE_LINK17"/>
      <w:r/>
      <w:bookmarkStart w:id="11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3"/>
      <w:r/>
      <w:bookmarkEnd w:id="114"/>
      <w:r/>
      <w:bookmarkEnd w:id="115"/>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2"/>
      </w:pPr>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2"/>
      </w:pPr>
      <w:r/>
      <w:r/>
    </w:p>
    <w:p>
      <w:pPr>
        <w:pStyle w:val="1018"/>
        <w:rPr>
          <w:rFonts w:hint="eastAsia" w:ascii="宋体" w:hAnsi="宋体" w:cs="Times New Roman"/>
        </w:rPr>
      </w:pPr>
      <w:r>
        <w:rPr>
          <w:rFonts w:hint="eastAsia" w:ascii="宋体" w:hAnsi="宋体" w:cs="Times New Roman"/>
        </w:rPr>
      </w:r>
      <w:r/>
    </w:p>
    <w:p>
      <w:r/>
      <w:r/>
    </w:p>
    <w:p>
      <w:pPr>
        <w:pStyle w:val="1012"/>
      </w:pPr>
      <w:r/>
      <w:r/>
    </w:p>
    <w:p>
      <w:r/>
      <w:r/>
    </w:p>
    <w:p>
      <w:pPr>
        <w:pStyle w:val="1012"/>
      </w:pPr>
      <w:r/>
      <w:r/>
    </w:p>
    <w:p>
      <w:r/>
      <w:r/>
    </w:p>
    <w:p>
      <w:pPr>
        <w:pStyle w:val="1012"/>
      </w:pPr>
      <w:r/>
      <w:r/>
    </w:p>
    <w:p>
      <w:r/>
      <w:r/>
    </w:p>
    <w:p>
      <w:pPr>
        <w:pStyle w:val="1012"/>
      </w:pPr>
      <w:r/>
      <w:r/>
    </w:p>
    <w:p>
      <w:r/>
      <w:r/>
    </w:p>
    <w:p>
      <w:pPr>
        <w:pStyle w:val="1012"/>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977"/>
      </w:tblGrid>
      <w:tr>
        <w:trPr>
          <w:trHeight w:val="705"/>
        </w:trPr>
        <w:tc>
          <w:tcPr>
            <w:tcW w:w="111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评审规则</w:t>
            </w:r>
            <w:r/>
          </w:p>
        </w:tc>
        <w:tc>
          <w:tcPr>
            <w:tcW w:w="97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价格部分（</w:t>
            </w:r>
            <w:r>
              <w:rPr>
                <w:rFonts w:ascii="宋体" w:hAnsi="宋体"/>
                <w:b/>
                <w:bCs/>
                <w:sz w:val="21"/>
                <w:szCs w:val="22"/>
              </w:rPr>
              <w:t xml:space="preserve">3</w:t>
            </w:r>
            <w:r>
              <w:rPr>
                <w:rFonts w:hint="eastAsia" w:ascii="宋体" w:hAnsi="宋体"/>
                <w:b/>
                <w:bCs/>
                <w:sz w:val="21"/>
                <w:szCs w:val="22"/>
              </w:rPr>
              <w:t xml:space="preserve">0分）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投标总报价</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hint="eastAsia" w:ascii="宋体" w:hAnsi="宋体"/>
                <w:b/>
                <w:bCs/>
                <w:sz w:val="21"/>
                <w:szCs w:val="22"/>
              </w:rPr>
            </w:pPr>
            <w:r>
              <w:rPr>
                <w:rFonts w:hint="eastAsia" w:ascii="宋体" w:hAnsi="宋体"/>
                <w:b/>
                <w:bCs/>
                <w:sz w:val="21"/>
                <w:szCs w:val="22"/>
              </w:rPr>
              <w:t xml:space="preserve">技术及商务部分</w:t>
            </w:r>
            <w:r/>
          </w:p>
          <w:p>
            <w:pPr>
              <w:ind w:left="0"/>
              <w:rPr>
                <w:rFonts w:hint="eastAsia" w:ascii="宋体" w:hAnsi="宋体"/>
                <w:b/>
                <w:bCs/>
                <w:sz w:val="21"/>
                <w:szCs w:val="22"/>
              </w:rPr>
            </w:pPr>
            <w:r>
              <w:rPr>
                <w:rFonts w:hint="eastAsia" w:ascii="宋体" w:hAnsi="宋体"/>
                <w:b/>
                <w:bCs/>
                <w:sz w:val="21"/>
                <w:szCs w:val="22"/>
              </w:rPr>
              <w:t xml:space="preserve">（</w:t>
            </w:r>
            <w:r>
              <w:rPr>
                <w:rFonts w:ascii="宋体" w:hAnsi="宋体"/>
                <w:b/>
                <w:bCs/>
                <w:sz w:val="21"/>
                <w:szCs w:val="22"/>
              </w:rPr>
              <w:t xml:space="preserve">70</w:t>
            </w:r>
            <w:r>
              <w:rPr>
                <w:rFonts w:hint="eastAsia" w:ascii="宋体" w:hAnsi="宋体"/>
                <w:b/>
                <w:bCs/>
                <w:sz w:val="21"/>
                <w:szCs w:val="22"/>
              </w:rPr>
              <w:t xml:space="preserve">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电梯安装方案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投标人提供本项目的电梯安装方案，包含：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1.安装施工组织方案和安装调试检测设备和调试方案；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2.确保安装质量及工期的承诺及保障措施；</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3.安全管理保障体系；</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4.协调配合方案和文明施工。</w:t>
            </w:r>
            <w:r/>
          </w:p>
          <w:p>
            <w:pPr>
              <w:ind w:left="0"/>
              <w:rPr>
                <w:rFonts w:hint="eastAsia" w:ascii="宋体" w:hAnsi="宋体"/>
                <w:b/>
                <w:color w:val="000000"/>
                <w:sz w:val="21"/>
                <w:szCs w:val="21"/>
                <w:lang w:bidi="ar"/>
              </w:rPr>
            </w:pPr>
            <w:r>
              <w:rPr>
                <w:rFonts w:hint="eastAsia" w:ascii="宋体" w:hAnsi="宋体"/>
                <w:color w:val="000000"/>
                <w:sz w:val="21"/>
                <w:szCs w:val="21"/>
                <w:lang w:bidi="ar"/>
              </w:rPr>
              <w:t xml:space="preserve">上述每项应逐条叙述，方案内容完整，条理清晰，每项得3分；内容有一定合理性、可行性的得1.5分；每项叙述内容与需求偏差较大或未作完整叙述的，不得分；本项最高得12分。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1</w:t>
            </w: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bCs/>
                <w:sz w:val="21"/>
                <w:szCs w:val="22"/>
              </w:rPr>
            </w:pPr>
            <w:r>
              <w:rPr>
                <w:rFonts w:hint="eastAsia" w:ascii="宋体" w:hAnsi="宋体"/>
                <w:bCs/>
                <w:sz w:val="21"/>
                <w:szCs w:val="22"/>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售后服务方案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投标人针对本项目实际情况制定售后服务方案，方案包含：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1.应急救援、抢修服务；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2.定期巡检维保服务；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3.零配件供应保障等。</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上述每项应逐条叙述，方案内容完整，条理清晰，每项得2分；内容有一定合理性、可行性的得1分；每项叙述内容与需求偏差较大或未作完整叙述的，不得分；本项最高得6分。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6</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产品性能</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投标人所投设备的各项指标需符合招标文件</w:t>
            </w:r>
            <w:r>
              <w:rPr>
                <w:rFonts w:hint="eastAsia" w:ascii="宋体" w:hAnsi="宋体"/>
                <w:color w:val="000000"/>
                <w:sz w:val="21"/>
                <w:szCs w:val="21"/>
                <w:lang w:bidi="ar"/>
              </w:rPr>
              <w:t xml:space="preserve">第四章招标书</w:t>
            </w:r>
            <w:r>
              <w:rPr>
                <w:rFonts w:hint="eastAsia" w:ascii="宋体" w:hAnsi="宋体"/>
                <w:color w:val="000000"/>
                <w:sz w:val="21"/>
                <w:szCs w:val="21"/>
                <w:lang w:bidi="ar"/>
              </w:rPr>
              <w:t xml:space="preserve">（二）</w:t>
            </w:r>
            <w:r>
              <w:rPr>
                <w:rFonts w:hint="eastAsia" w:ascii="宋体" w:hAnsi="宋体"/>
                <w:color w:val="000000"/>
                <w:sz w:val="21"/>
                <w:szCs w:val="21"/>
                <w:lang w:bidi="ar"/>
              </w:rPr>
              <w:t xml:space="preserve">技术参数</w:t>
            </w:r>
            <w:r>
              <w:rPr>
                <w:rFonts w:hint="eastAsia" w:ascii="宋体" w:hAnsi="宋体"/>
                <w:color w:val="000000"/>
                <w:sz w:val="21"/>
                <w:szCs w:val="21"/>
                <w:lang w:bidi="ar"/>
              </w:rPr>
              <w:t xml:space="preserve">表</w:t>
            </w:r>
            <w:r>
              <w:rPr>
                <w:rFonts w:hint="eastAsia" w:ascii="宋体" w:hAnsi="宋体"/>
                <w:color w:val="000000"/>
                <w:sz w:val="21"/>
                <w:szCs w:val="21"/>
                <w:lang w:bidi="ar"/>
              </w:rPr>
              <w:t xml:space="preserve">要求。</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1.带“</w:t>
            </w:r>
            <w:bookmarkStart w:id="116" w:name="OLE_LINK15"/>
            <w:r>
              <w:rPr>
                <w:rFonts w:hint="eastAsia" w:ascii="宋体" w:hAnsi="宋体"/>
                <w:color w:val="000000"/>
                <w:sz w:val="21"/>
                <w:szCs w:val="21"/>
                <w:lang w:bidi="ar"/>
              </w:rPr>
              <w:t xml:space="preserve">★</w:t>
            </w:r>
            <w:bookmarkEnd w:id="116"/>
            <w:r>
              <w:rPr>
                <w:rFonts w:hint="eastAsia" w:ascii="宋体" w:hAnsi="宋体"/>
                <w:color w:val="000000"/>
                <w:sz w:val="21"/>
                <w:szCs w:val="21"/>
                <w:lang w:bidi="ar"/>
              </w:rPr>
              <w:t xml:space="preserve">”技术参数，参数</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，一项</w:t>
            </w:r>
            <w:r>
              <w:rPr>
                <w:rFonts w:hint="eastAsia" w:ascii="宋体" w:hAnsi="宋体"/>
                <w:color w:val="000000"/>
                <w:sz w:val="21"/>
                <w:szCs w:val="21"/>
                <w:lang w:bidi="ar"/>
              </w:rPr>
              <w:t xml:space="preserve">得3分，负偏离不得分。本项最高得15分。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注：带“★”的技术参数</w:t>
            </w:r>
            <w:r>
              <w:rPr>
                <w:rFonts w:hint="eastAsia" w:ascii="宋体" w:hAnsi="宋体"/>
                <w:b/>
                <w:color w:val="000000"/>
                <w:sz w:val="21"/>
                <w:szCs w:val="21"/>
                <w:lang w:bidi="ar"/>
              </w:rPr>
              <w:t xml:space="preserve">，投标文件中</w:t>
            </w:r>
            <w:r>
              <w:rPr>
                <w:rFonts w:hint="eastAsia" w:ascii="宋体" w:hAnsi="宋体"/>
                <w:b/>
                <w:color w:val="000000"/>
                <w:sz w:val="21"/>
                <w:szCs w:val="21"/>
                <w:lang w:bidi="ar"/>
              </w:rPr>
              <w:t xml:space="preserve">需提供以下任意一种证明材料</w:t>
            </w:r>
            <w:r>
              <w:rPr>
                <w:rFonts w:hint="eastAsia" w:ascii="宋体" w:hAnsi="宋体"/>
                <w:b/>
                <w:color w:val="000000"/>
                <w:sz w:val="21"/>
                <w:szCs w:val="21"/>
                <w:lang w:bidi="ar"/>
              </w:rPr>
              <w:t xml:space="preserve">的原件</w:t>
            </w:r>
            <w:r>
              <w:rPr>
                <w:rFonts w:hint="eastAsia" w:ascii="宋体" w:hAnsi="宋体"/>
                <w:b/>
                <w:color w:val="000000"/>
                <w:sz w:val="21"/>
                <w:szCs w:val="21"/>
                <w:lang w:bidi="ar"/>
              </w:rPr>
              <w:t xml:space="preserve">扫描件</w:t>
            </w:r>
            <w:r>
              <w:rPr>
                <w:rFonts w:hint="eastAsia" w:ascii="宋体" w:hAnsi="宋体"/>
                <w:b/>
                <w:color w:val="000000"/>
                <w:sz w:val="21"/>
                <w:szCs w:val="21"/>
                <w:lang w:bidi="ar"/>
              </w:rPr>
              <w:t xml:space="preserve">并加盖</w:t>
            </w:r>
            <w:r>
              <w:rPr>
                <w:rFonts w:hint="eastAsia" w:ascii="宋体" w:hAnsi="宋体"/>
                <w:b/>
                <w:color w:val="000000"/>
                <w:sz w:val="21"/>
                <w:szCs w:val="21"/>
                <w:lang w:bidi="ar"/>
              </w:rPr>
              <w:t xml:space="preserve">投标</w:t>
            </w:r>
            <w:r>
              <w:rPr>
                <w:rFonts w:hint="eastAsia" w:ascii="宋体" w:hAnsi="宋体"/>
                <w:b/>
                <w:color w:val="000000"/>
                <w:sz w:val="21"/>
                <w:szCs w:val="21"/>
                <w:lang w:bidi="ar"/>
              </w:rPr>
              <w:t xml:space="preserve">单位</w:t>
            </w:r>
            <w:r>
              <w:rPr>
                <w:rFonts w:hint="eastAsia" w:ascii="宋体" w:hAnsi="宋体"/>
                <w:b/>
                <w:color w:val="000000"/>
                <w:sz w:val="21"/>
                <w:szCs w:val="21"/>
                <w:lang w:bidi="ar"/>
              </w:rPr>
              <w:t xml:space="preserve">公章：1、型式试验报告</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2、具有</w:t>
            </w:r>
            <w:r>
              <w:rPr>
                <w:rFonts w:hint="eastAsia" w:ascii="宋体" w:hAnsi="宋体"/>
                <w:b/>
                <w:color w:val="000000"/>
                <w:sz w:val="21"/>
                <w:szCs w:val="21"/>
                <w:lang w:bidi="ar"/>
              </w:rPr>
              <w:t xml:space="preserve">第三方检测检验机构出具的检测报告扫描件</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3、生产厂家报告。</w:t>
            </w:r>
            <w:r>
              <w:rPr>
                <w:rFonts w:hint="eastAsia" w:ascii="宋体" w:hAnsi="宋体"/>
                <w:b/>
                <w:color w:val="000000"/>
                <w:sz w:val="21"/>
                <w:szCs w:val="21"/>
                <w:lang w:bidi="ar"/>
              </w:rPr>
              <w:t xml:space="preserve">所有的检验检测报告必须真实有效，</w:t>
            </w:r>
            <w:r>
              <w:rPr>
                <w:rFonts w:hint="eastAsia" w:ascii="宋体" w:hAnsi="宋体"/>
                <w:b/>
                <w:color w:val="000000"/>
                <w:sz w:val="21"/>
                <w:szCs w:val="21"/>
                <w:lang w:bidi="ar"/>
              </w:rPr>
              <w:t xml:space="preserve">未提供或未按要求提供的不得分。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除带“★”以外的普通</w:t>
            </w:r>
            <w:r>
              <w:rPr>
                <w:rFonts w:hint="eastAsia" w:ascii="宋体" w:hAnsi="宋体"/>
                <w:color w:val="000000"/>
                <w:sz w:val="21"/>
                <w:szCs w:val="21"/>
                <w:lang w:bidi="ar"/>
              </w:rPr>
              <w:t xml:space="preserve">技术</w:t>
            </w:r>
            <w:r>
              <w:rPr>
                <w:rFonts w:hint="eastAsia" w:ascii="宋体" w:hAnsi="宋体"/>
                <w:color w:val="000000"/>
                <w:sz w:val="21"/>
                <w:szCs w:val="21"/>
                <w:lang w:bidi="ar"/>
              </w:rPr>
              <w:t xml:space="preserve">参数</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在</w:t>
            </w:r>
            <w:r>
              <w:rPr>
                <w:rFonts w:hint="eastAsia" w:ascii="宋体" w:hAnsi="宋体"/>
                <w:color w:val="000000"/>
                <w:sz w:val="21"/>
                <w:szCs w:val="21"/>
                <w:lang w:bidi="ar"/>
              </w:rPr>
              <w:t xml:space="preserve">附件8.技术参数响应及偏离表</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采购需求的，一项</w:t>
            </w:r>
            <w:r>
              <w:rPr>
                <w:rFonts w:hint="eastAsia" w:ascii="宋体" w:hAnsi="宋体"/>
                <w:color w:val="000000"/>
                <w:sz w:val="21"/>
                <w:szCs w:val="21"/>
                <w:lang w:bidi="ar"/>
              </w:rPr>
              <w:t xml:space="preserve">得1.5分，负偏离不得分，本项最高得30分。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4</w:t>
            </w:r>
            <w:r>
              <w:rPr>
                <w:rFonts w:ascii="宋体" w:hAnsi="宋体"/>
                <w:bCs/>
                <w:sz w:val="21"/>
                <w:szCs w:val="22"/>
              </w:rPr>
              <w:t xml:space="preserve">5</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免费质保期</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投标人提供的免费质保期须满足招标规定（</w:t>
            </w:r>
            <w:r>
              <w:rPr>
                <w:rFonts w:hint="eastAsia" w:ascii="宋体" w:hAnsi="宋体"/>
                <w:color w:val="000000"/>
                <w:sz w:val="21"/>
                <w:szCs w:val="21"/>
                <w:lang w:bidi="ar"/>
              </w:rPr>
              <w:t xml:space="preserve">自整体</w:t>
            </w:r>
            <w:r>
              <w:rPr>
                <w:rFonts w:hint="eastAsia" w:ascii="宋体" w:hAnsi="宋体"/>
                <w:color w:val="000000"/>
                <w:sz w:val="21"/>
                <w:szCs w:val="21"/>
                <w:lang w:bidi="ar"/>
              </w:rPr>
              <w:t xml:space="preserve">项目验收合格之日起计算，免费质保期为2年（电梯主要部件5年））；在满足</w:t>
            </w:r>
            <w:r>
              <w:rPr>
                <w:rFonts w:hint="eastAsia" w:ascii="宋体" w:hAnsi="宋体"/>
                <w:color w:val="000000"/>
                <w:sz w:val="21"/>
                <w:szCs w:val="21"/>
                <w:lang w:bidi="ar"/>
              </w:rPr>
              <w:t xml:space="preserve">该基础</w:t>
            </w:r>
            <w:r>
              <w:rPr>
                <w:rFonts w:hint="eastAsia" w:ascii="宋体" w:hAnsi="宋体"/>
                <w:color w:val="000000"/>
                <w:sz w:val="21"/>
                <w:szCs w:val="21"/>
                <w:lang w:bidi="ar"/>
              </w:rPr>
              <w:t xml:space="preserve">要求的前提下，每额外延长一年免费质保期得1分，本项最高得3分。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注：响应文件中须提供以上述内容的书面承诺书并加盖响应单位公章（承诺书格式自拟），未提供或未按要求提供的不得分。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认证证书</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投标人具有有效期内的</w:t>
            </w:r>
            <w:r>
              <w:rPr>
                <w:rFonts w:hint="eastAsia" w:ascii="宋体" w:hAnsi="宋体"/>
                <w:color w:val="000000"/>
                <w:sz w:val="21"/>
                <w:szCs w:val="21"/>
                <w:lang w:bidi="ar"/>
              </w:rPr>
              <w:t xml:space="preserve">质量管理体系认证证书、环境管理体系认证证书，</w:t>
            </w:r>
            <w:r>
              <w:rPr>
                <w:rFonts w:hint="eastAsia" w:ascii="宋体" w:hAnsi="宋体"/>
                <w:color w:val="000000"/>
                <w:sz w:val="21"/>
                <w:szCs w:val="21"/>
                <w:lang w:bidi="ar"/>
              </w:rPr>
              <w:t xml:space="preserve">每提供1个业绩得1分，最高得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rPr>
                <w:lang w:bidi="ar"/>
              </w:rPr>
            </w:pPr>
            <w:r>
              <w:rPr>
                <w:rFonts w:hint="eastAsia" w:ascii="宋体" w:hAnsi="宋体"/>
                <w:b/>
                <w:color w:val="000000"/>
                <w:sz w:val="21"/>
                <w:szCs w:val="21"/>
                <w:lang w:bidi="ar"/>
              </w:rPr>
              <w:t xml:space="preserve">注：响应文件中须提供以上相关证书复印件并加盖响应单位公章，不提供不得分。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类似业绩</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投标人提供自2023年1月1日（以合同签订日期为准）以来承担的类似项目业绩，每提供1个业绩得1分，最高得2分。</w:t>
            </w:r>
            <w:r/>
          </w:p>
          <w:p>
            <w:pPr>
              <w:ind w:left="0"/>
              <w:rPr>
                <w:lang w:bidi="ar"/>
              </w:rPr>
            </w:pPr>
            <w:r>
              <w:rPr>
                <w:rFonts w:hint="eastAsia" w:ascii="宋体" w:hAnsi="宋体"/>
                <w:b/>
                <w:color w:val="000000"/>
                <w:sz w:val="21"/>
                <w:szCs w:val="21"/>
                <w:lang w:bidi="ar"/>
              </w:rPr>
              <w:t xml:space="preserve">注：</w:t>
            </w:r>
            <w:r>
              <w:rPr>
                <w:rFonts w:hint="eastAsia" w:ascii="宋体" w:hAnsi="宋体"/>
                <w:b/>
                <w:color w:val="000000"/>
                <w:sz w:val="21"/>
                <w:szCs w:val="21"/>
              </w:rPr>
              <w:t xml:space="preserve">响应文件中需提供完整合同复印件并加盖响应单位公章，不提供不得分。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2</w:t>
            </w:r>
            <w:r/>
          </w:p>
        </w:tc>
      </w:tr>
    </w:tbl>
    <w:p>
      <w:pPr>
        <w:ind w:left="0" w:firstLine="422"/>
        <w:spacing w:line="360" w:lineRule="auto"/>
        <w:rPr>
          <w:rFonts w:hint="eastAsia"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09"/>
    <w:link w:val="1000"/>
    <w:uiPriority w:val="9"/>
    <w:rPr>
      <w:rFonts w:ascii="Arial" w:hAnsi="Arial" w:eastAsia="Arial" w:cs="Arial"/>
      <w:sz w:val="40"/>
      <w:szCs w:val="40"/>
    </w:rPr>
  </w:style>
  <w:style w:type="character" w:styleId="852">
    <w:name w:val="Heading 2 Char"/>
    <w:basedOn w:val="1009"/>
    <w:link w:val="1001"/>
    <w:uiPriority w:val="9"/>
    <w:rPr>
      <w:rFonts w:ascii="Arial" w:hAnsi="Arial" w:eastAsia="Arial" w:cs="Arial"/>
      <w:sz w:val="34"/>
    </w:rPr>
  </w:style>
  <w:style w:type="character" w:styleId="853">
    <w:name w:val="Heading 3 Char"/>
    <w:basedOn w:val="1009"/>
    <w:link w:val="1002"/>
    <w:uiPriority w:val="9"/>
    <w:rPr>
      <w:rFonts w:ascii="Arial" w:hAnsi="Arial" w:eastAsia="Arial" w:cs="Arial"/>
      <w:sz w:val="30"/>
      <w:szCs w:val="30"/>
    </w:rPr>
  </w:style>
  <w:style w:type="character" w:styleId="854">
    <w:name w:val="Heading 4 Char"/>
    <w:basedOn w:val="1009"/>
    <w:link w:val="1003"/>
    <w:uiPriority w:val="9"/>
    <w:rPr>
      <w:rFonts w:ascii="Arial" w:hAnsi="Arial" w:eastAsia="Arial" w:cs="Arial"/>
      <w:b/>
      <w:bCs/>
      <w:sz w:val="26"/>
      <w:szCs w:val="26"/>
    </w:rPr>
  </w:style>
  <w:style w:type="character" w:styleId="855">
    <w:name w:val="Heading 5 Char"/>
    <w:basedOn w:val="1009"/>
    <w:link w:val="1004"/>
    <w:uiPriority w:val="9"/>
    <w:rPr>
      <w:rFonts w:ascii="Arial" w:hAnsi="Arial" w:eastAsia="Arial" w:cs="Arial"/>
      <w:b/>
      <w:bCs/>
      <w:sz w:val="24"/>
      <w:szCs w:val="24"/>
    </w:rPr>
  </w:style>
  <w:style w:type="character" w:styleId="856">
    <w:name w:val="Heading 6 Char"/>
    <w:basedOn w:val="1009"/>
    <w:link w:val="1005"/>
    <w:uiPriority w:val="9"/>
    <w:rPr>
      <w:rFonts w:ascii="Arial" w:hAnsi="Arial" w:eastAsia="Arial" w:cs="Arial"/>
      <w:b/>
      <w:bCs/>
      <w:sz w:val="22"/>
      <w:szCs w:val="22"/>
    </w:rPr>
  </w:style>
  <w:style w:type="character" w:styleId="857">
    <w:name w:val="Heading 7 Char"/>
    <w:basedOn w:val="1009"/>
    <w:link w:val="1006"/>
    <w:uiPriority w:val="9"/>
    <w:rPr>
      <w:rFonts w:ascii="Arial" w:hAnsi="Arial" w:eastAsia="Arial" w:cs="Arial"/>
      <w:b/>
      <w:bCs/>
      <w:i/>
      <w:iCs/>
      <w:sz w:val="22"/>
      <w:szCs w:val="22"/>
    </w:rPr>
  </w:style>
  <w:style w:type="character" w:styleId="858">
    <w:name w:val="Heading 8 Char"/>
    <w:basedOn w:val="1009"/>
    <w:link w:val="1007"/>
    <w:uiPriority w:val="9"/>
    <w:rPr>
      <w:rFonts w:ascii="Arial" w:hAnsi="Arial" w:eastAsia="Arial" w:cs="Arial"/>
      <w:i/>
      <w:iCs/>
      <w:sz w:val="22"/>
      <w:szCs w:val="22"/>
    </w:rPr>
  </w:style>
  <w:style w:type="character" w:styleId="859">
    <w:name w:val="Heading 9 Char"/>
    <w:basedOn w:val="1009"/>
    <w:link w:val="1008"/>
    <w:uiPriority w:val="9"/>
    <w:rPr>
      <w:rFonts w:ascii="Arial" w:hAnsi="Arial" w:eastAsia="Arial" w:cs="Arial"/>
      <w:i/>
      <w:iCs/>
      <w:sz w:val="21"/>
      <w:szCs w:val="21"/>
    </w:rPr>
  </w:style>
  <w:style w:type="paragraph" w:styleId="860">
    <w:name w:val="No Spacing"/>
    <w:uiPriority w:val="1"/>
    <w:qFormat/>
    <w:pPr>
      <w:spacing w:before="0" w:after="0" w:line="240" w:lineRule="auto"/>
    </w:pPr>
  </w:style>
  <w:style w:type="paragraph" w:styleId="861">
    <w:name w:val="Title"/>
    <w:basedOn w:val="999"/>
    <w:next w:val="999"/>
    <w:link w:val="862"/>
    <w:uiPriority w:val="10"/>
    <w:qFormat/>
    <w:pPr>
      <w:contextualSpacing/>
      <w:spacing w:before="300" w:after="200"/>
    </w:pPr>
    <w:rPr>
      <w:sz w:val="48"/>
      <w:szCs w:val="48"/>
    </w:rPr>
  </w:style>
  <w:style w:type="character" w:styleId="862">
    <w:name w:val="Title Char"/>
    <w:basedOn w:val="1009"/>
    <w:link w:val="861"/>
    <w:uiPriority w:val="10"/>
    <w:rPr>
      <w:sz w:val="48"/>
      <w:szCs w:val="48"/>
    </w:rPr>
  </w:style>
  <w:style w:type="character" w:styleId="863">
    <w:name w:val="Subtitle Char"/>
    <w:basedOn w:val="1009"/>
    <w:link w:val="1046"/>
    <w:uiPriority w:val="11"/>
    <w:rPr>
      <w:sz w:val="24"/>
      <w:szCs w:val="24"/>
    </w:rPr>
  </w:style>
  <w:style w:type="character" w:styleId="864">
    <w:name w:val="Quote Char"/>
    <w:link w:val="1251"/>
    <w:uiPriority w:val="29"/>
    <w:rPr>
      <w:i/>
    </w:rPr>
  </w:style>
  <w:style w:type="character" w:styleId="865">
    <w:name w:val="Intense Quote Char"/>
    <w:link w:val="1377"/>
    <w:uiPriority w:val="30"/>
    <w:rPr>
      <w:i/>
    </w:rPr>
  </w:style>
  <w:style w:type="character" w:styleId="866">
    <w:name w:val="Header Char"/>
    <w:basedOn w:val="1009"/>
    <w:link w:val="1044"/>
    <w:uiPriority w:val="99"/>
  </w:style>
  <w:style w:type="character" w:styleId="867">
    <w:name w:val="Footer Char"/>
    <w:basedOn w:val="1009"/>
    <w:link w:val="1042"/>
    <w:uiPriority w:val="99"/>
  </w:style>
  <w:style w:type="character" w:styleId="868">
    <w:name w:val="Caption Char"/>
    <w:basedOn w:val="1019"/>
    <w:link w:val="1042"/>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9"/>
    <w:uiPriority w:val="99"/>
    <w:rPr>
      <w:sz w:val="18"/>
    </w:rPr>
  </w:style>
  <w:style w:type="character" w:styleId="995">
    <w:name w:val="Endnote Text Char"/>
    <w:link w:val="1039"/>
    <w:uiPriority w:val="99"/>
    <w:rPr>
      <w:sz w:val="20"/>
    </w:rPr>
  </w:style>
  <w:style w:type="character" w:styleId="996">
    <w:name w:val="endnote reference"/>
    <w:basedOn w:val="1009"/>
    <w:uiPriority w:val="99"/>
    <w:semiHidden/>
    <w:unhideWhenUsed/>
    <w:rPr>
      <w:vertAlign w:val="superscript"/>
    </w:r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2"/>
    <w:qFormat/>
    <w:pPr>
      <w:ind w:left="1024"/>
      <w:jc w:val="both"/>
    </w:pPr>
    <w:rPr>
      <w:rFonts w:ascii="Calibri" w:hAnsi="Calibri"/>
    </w:rPr>
  </w:style>
  <w:style w:type="paragraph" w:styleId="1000">
    <w:name w:val="Heading 1"/>
    <w:basedOn w:val="999"/>
    <w:next w:val="999"/>
    <w:qFormat/>
    <w:pPr>
      <w:ind w:left="432" w:firstLine="18"/>
      <w:spacing w:before="340" w:after="330" w:line="578" w:lineRule="auto"/>
      <w:outlineLvl w:val="0"/>
    </w:pPr>
  </w:style>
  <w:style w:type="paragraph" w:styleId="1001">
    <w:name w:val="Heading 2"/>
    <w:basedOn w:val="999"/>
    <w:next w:val="999"/>
    <w:qFormat/>
    <w:pPr>
      <w:ind w:left="576" w:firstLine="24"/>
      <w:spacing w:before="260" w:after="260" w:line="416" w:lineRule="auto"/>
      <w:outlineLvl w:val="1"/>
    </w:pPr>
    <w:rPr>
      <w:rFonts w:ascii="Times New Roman" w:hAnsi="Times New Roman" w:cs="Times New Roman"/>
    </w:rPr>
  </w:style>
  <w:style w:type="paragraph" w:styleId="1002">
    <w:name w:val="Heading 3"/>
    <w:basedOn w:val="999"/>
    <w:next w:val="1013"/>
    <w:qFormat/>
    <w:pPr>
      <w:ind w:left="720"/>
      <w:spacing w:before="260" w:after="260" w:line="416" w:lineRule="auto"/>
      <w:outlineLvl w:val="2"/>
    </w:pPr>
    <w:rPr>
      <w:rFonts w:ascii="Times New Roman" w:hAnsi="Times New Roman" w:cs="Times New Roman"/>
    </w:rPr>
  </w:style>
  <w:style w:type="paragraph" w:styleId="1003">
    <w:name w:val="Heading 4"/>
    <w:basedOn w:val="1000"/>
    <w:next w:val="999"/>
    <w:qFormat/>
    <w:pPr>
      <w:ind w:left="864" w:firstLine="24"/>
      <w:spacing w:before="280" w:after="290" w:line="376" w:lineRule="auto"/>
      <w:outlineLvl w:val="3"/>
    </w:pPr>
    <w:rPr>
      <w:rFonts w:ascii="Times New Roman" w:hAnsi="Times New Roman" w:cs="Times New Roman"/>
    </w:rPr>
  </w:style>
  <w:style w:type="paragraph" w:styleId="1004">
    <w:name w:val="Heading 5"/>
    <w:basedOn w:val="1000"/>
    <w:next w:val="999"/>
    <w:qFormat/>
    <w:pPr>
      <w:ind w:left="1008"/>
      <w:spacing w:before="280" w:after="290" w:line="376" w:lineRule="auto"/>
      <w:outlineLvl w:val="4"/>
    </w:pPr>
    <w:rPr>
      <w:rFonts w:ascii="Times New Roman" w:hAnsi="Times New Roman" w:cs="Times New Roman"/>
    </w:rPr>
  </w:style>
  <w:style w:type="paragraph" w:styleId="1005">
    <w:name w:val="Heading 6"/>
    <w:basedOn w:val="1000"/>
    <w:next w:val="999"/>
    <w:qFormat/>
    <w:pPr>
      <w:ind w:left="1152" w:firstLine="20"/>
      <w:spacing w:before="240" w:after="64" w:line="320" w:lineRule="auto"/>
      <w:outlineLvl w:val="5"/>
    </w:pPr>
    <w:rPr>
      <w:rFonts w:ascii="Times New Roman" w:hAnsi="Times New Roman" w:cs="Times New Roman"/>
    </w:rPr>
  </w:style>
  <w:style w:type="paragraph" w:styleId="1006">
    <w:name w:val="Heading 7"/>
    <w:basedOn w:val="1000"/>
    <w:next w:val="999"/>
    <w:qFormat/>
    <w:pPr>
      <w:ind w:left="1296" w:firstLine="14"/>
      <w:spacing w:before="240" w:after="64" w:line="320" w:lineRule="auto"/>
      <w:outlineLvl w:val="6"/>
    </w:pPr>
    <w:rPr>
      <w:rFonts w:ascii="Times New Roman" w:hAnsi="Times New Roman" w:cs="Times New Roman"/>
    </w:rPr>
  </w:style>
  <w:style w:type="paragraph" w:styleId="1007">
    <w:name w:val="Heading 8"/>
    <w:basedOn w:val="1000"/>
    <w:next w:val="999"/>
    <w:qFormat/>
    <w:pPr>
      <w:ind w:left="1440"/>
      <w:spacing w:before="240" w:after="64" w:line="320" w:lineRule="auto"/>
      <w:outlineLvl w:val="7"/>
    </w:pPr>
    <w:rPr>
      <w:rFonts w:ascii="Times New Roman" w:hAnsi="Times New Roman" w:cs="Times New Roman"/>
    </w:rPr>
  </w:style>
  <w:style w:type="paragraph" w:styleId="1008">
    <w:name w:val="Heading 9"/>
    <w:basedOn w:val="1000"/>
    <w:next w:val="999"/>
    <w:qFormat/>
    <w:pPr>
      <w:ind w:left="1584" w:firstLine="22"/>
      <w:spacing w:before="240" w:after="64" w:line="320" w:lineRule="auto"/>
      <w:outlineLvl w:val="8"/>
    </w:pPr>
    <w:rPr>
      <w:rFonts w:ascii="Times New Roman" w:hAnsi="Times New Roman" w:cs="Times New Roman"/>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Body Text Indent"/>
    <w:basedOn w:val="999"/>
    <w:next w:val="999"/>
    <w:pPr>
      <w:ind w:left="420" w:firstLine="1188"/>
      <w:spacing w:line="360" w:lineRule="exact"/>
    </w:pPr>
    <w:rPr>
      <w:rFonts w:ascii="Times New Roman" w:hAnsi="Times New Roman" w:cs="Times New Roman"/>
    </w:rPr>
  </w:style>
  <w:style w:type="paragraph" w:styleId="1013" w:customStyle="1">
    <w:name w:val="正文2"/>
    <w:basedOn w:val="999"/>
    <w:next w:val="999"/>
    <w:qFormat/>
    <w:pPr>
      <w:ind w:left="0" w:hanging="2155"/>
      <w:spacing w:line="360" w:lineRule="auto"/>
      <w:shd w:val="clear" w:color="auto" w:fill="ffffff"/>
    </w:pPr>
    <w:rPr>
      <w:rFonts w:ascii="宋体" w:hAnsi="宋体"/>
    </w:rPr>
  </w:style>
  <w:style w:type="paragraph" w:styleId="1014">
    <w:name w:val="toc 7"/>
    <w:basedOn w:val="1000"/>
    <w:next w:val="999"/>
    <w:qFormat/>
    <w:pPr>
      <w:ind w:left="1640" w:firstLine="3784"/>
      <w:spacing w:before="0" w:after="0" w:line="360" w:lineRule="auto"/>
    </w:pPr>
    <w:rPr>
      <w:rFonts w:ascii="Times New Roman" w:hAnsi="Times New Roman" w:cs="Times New Roman"/>
    </w:rPr>
  </w:style>
  <w:style w:type="paragraph" w:styleId="1015">
    <w:name w:val="List Bullet 4"/>
    <w:basedOn w:val="1000"/>
    <w:next w:val="1016"/>
    <w:qFormat/>
    <w:pPr>
      <w:ind w:left="1620" w:firstLine="2652"/>
      <w:spacing w:before="0" w:after="0" w:line="360" w:lineRule="auto"/>
    </w:pPr>
    <w:rPr>
      <w:rFonts w:ascii="Times New Roman" w:hAnsi="Times New Roman" w:cs="Times New Roman"/>
    </w:rPr>
  </w:style>
  <w:style w:type="paragraph" w:styleId="1016">
    <w:name w:val="List Bullet 2"/>
    <w:basedOn w:val="1000"/>
    <w:next w:val="999"/>
    <w:qFormat/>
    <w:pPr>
      <w:ind w:left="900" w:firstLine="2652"/>
      <w:spacing w:before="0" w:after="0" w:line="360" w:lineRule="auto"/>
    </w:pPr>
    <w:rPr>
      <w:rFonts w:ascii="Times New Roman" w:hAnsi="Times New Roman" w:cs="Times New Roman"/>
    </w:rPr>
  </w:style>
  <w:style w:type="paragraph" w:styleId="1017">
    <w:name w:val="List Number"/>
    <w:basedOn w:val="1000"/>
    <w:next w:val="999"/>
    <w:qFormat/>
    <w:pPr>
      <w:ind w:left="454" w:firstLine="2788"/>
      <w:spacing w:before="0" w:after="0" w:line="240" w:lineRule="auto"/>
    </w:pPr>
    <w:rPr>
      <w:rFonts w:ascii="Times New Roman" w:hAnsi="Times New Roman" w:cs="Times New Roman"/>
    </w:rPr>
  </w:style>
  <w:style w:type="paragraph" w:styleId="1018">
    <w:name w:val="Normal Indent"/>
    <w:basedOn w:val="999"/>
    <w:next w:val="999"/>
    <w:link w:val="1068"/>
    <w:qFormat/>
    <w:pPr>
      <w:ind w:left="420" w:firstLine="4772"/>
    </w:pPr>
  </w:style>
  <w:style w:type="paragraph" w:styleId="1019">
    <w:name w:val="Caption"/>
    <w:basedOn w:val="1000"/>
    <w:next w:val="999"/>
    <w:qFormat/>
    <w:pPr>
      <w:ind w:left="200" w:firstLine="2248"/>
      <w:jc w:val="center"/>
      <w:spacing w:before="0" w:after="0" w:line="240" w:lineRule="auto"/>
    </w:pPr>
    <w:rPr>
      <w:rFonts w:ascii="Times New Roman" w:hAnsi="Times New Roman" w:cs="Times New Roman"/>
    </w:rPr>
  </w:style>
  <w:style w:type="paragraph" w:styleId="1020">
    <w:name w:val="List Bullet"/>
    <w:basedOn w:val="1000"/>
    <w:next w:val="999"/>
    <w:qFormat/>
    <w:pPr>
      <w:ind w:left="900" w:firstLine="2652"/>
      <w:spacing w:before="0" w:after="0" w:line="360" w:lineRule="auto"/>
    </w:pPr>
    <w:rPr>
      <w:rFonts w:ascii="Times New Roman" w:hAnsi="Times New Roman" w:cs="Times New Roman"/>
    </w:rPr>
  </w:style>
  <w:style w:type="paragraph" w:styleId="1021">
    <w:name w:val="Document Map"/>
    <w:basedOn w:val="1000"/>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999"/>
    <w:qFormat/>
    <w:pPr>
      <w:ind w:firstLine="4608"/>
      <w:spacing w:line="360" w:lineRule="auto"/>
    </w:pPr>
    <w:rPr>
      <w:rFonts w:ascii="Calibri" w:hAnsi="Calibri"/>
    </w:rPr>
  </w:style>
  <w:style w:type="paragraph" w:styleId="1023">
    <w:name w:val="annotation text"/>
    <w:basedOn w:val="1000"/>
    <w:next w:val="999"/>
    <w:qFormat/>
    <w:pPr>
      <w:ind w:left="0" w:firstLine="3584"/>
      <w:spacing w:before="0" w:after="0" w:line="360" w:lineRule="auto"/>
    </w:pPr>
    <w:rPr>
      <w:rFonts w:ascii="Times New Roman" w:hAnsi="Times New Roman" w:cs="Times New Roman"/>
    </w:rPr>
  </w:style>
  <w:style w:type="paragraph" w:styleId="1024">
    <w:name w:val="Body Text 3"/>
    <w:basedOn w:val="1000"/>
    <w:next w:val="999"/>
    <w:qFormat/>
    <w:pPr>
      <w:ind w:left="0" w:firstLine="2048"/>
      <w:spacing w:before="0" w:after="0" w:line="500" w:lineRule="exact"/>
    </w:pPr>
    <w:rPr>
      <w:rFonts w:ascii="Times New Roman" w:hAnsi="Times New Roman" w:cs="Times New Roman"/>
    </w:rPr>
  </w:style>
  <w:style w:type="paragraph" w:styleId="1025">
    <w:name w:val="List Bullet 3"/>
    <w:basedOn w:val="1000"/>
    <w:next w:val="999"/>
    <w:qFormat/>
    <w:pPr>
      <w:ind w:left="900" w:firstLine="2652"/>
      <w:spacing w:before="0" w:after="0" w:line="360" w:lineRule="auto"/>
    </w:pPr>
    <w:rPr>
      <w:rFonts w:ascii="Times New Roman" w:hAnsi="Times New Roman" w:cs="Times New Roman"/>
    </w:rPr>
  </w:style>
  <w:style w:type="paragraph" w:styleId="1026">
    <w:name w:val="Body Text"/>
    <w:basedOn w:val="999"/>
    <w:next w:val="999"/>
    <w:qFormat/>
    <w:pPr>
      <w:ind w:left="0" w:firstLine="2560"/>
    </w:pPr>
    <w:rPr>
      <w:rFonts w:ascii="Times New Roman" w:hAnsi="Times New Roman" w:cs="Times New Roman"/>
    </w:rPr>
  </w:style>
  <w:style w:type="paragraph" w:styleId="1027">
    <w:name w:val="List Number 3"/>
    <w:basedOn w:val="1000"/>
    <w:next w:val="999"/>
    <w:qFormat/>
    <w:pPr>
      <w:ind w:left="420" w:firstLine="3584"/>
      <w:spacing w:before="0" w:after="0" w:line="240" w:lineRule="auto"/>
    </w:pPr>
    <w:rPr>
      <w:rFonts w:ascii="Times New Roman" w:hAnsi="Times New Roman" w:cs="Times New Roman"/>
    </w:rPr>
  </w:style>
  <w:style w:type="paragraph" w:styleId="1028">
    <w:name w:val="List 2"/>
    <w:basedOn w:val="1000"/>
    <w:next w:val="1014"/>
    <w:qFormat/>
    <w:pPr>
      <w:ind w:left="100" w:firstLine="3640"/>
      <w:spacing w:before="0" w:after="0" w:line="240" w:lineRule="auto"/>
    </w:pPr>
    <w:rPr>
      <w:rFonts w:ascii="Times New Roman" w:hAnsi="Times New Roman" w:cs="Times New Roman"/>
    </w:rPr>
  </w:style>
  <w:style w:type="paragraph" w:styleId="1029">
    <w:name w:val="Block Text"/>
    <w:basedOn w:val="1000"/>
    <w:next w:val="999"/>
    <w:qFormat/>
    <w:pPr>
      <w:ind w:left="420" w:right="33" w:firstLine="2560"/>
      <w:spacing w:before="0" w:after="0" w:line="240" w:lineRule="auto"/>
    </w:pPr>
    <w:rPr>
      <w:rFonts w:ascii="Times New Roman" w:hAnsi="Times New Roman" w:cs="Times New Roman"/>
    </w:rPr>
  </w:style>
  <w:style w:type="paragraph" w:styleId="1030">
    <w:name w:val="toc 5"/>
    <w:basedOn w:val="1000"/>
    <w:next w:val="999"/>
    <w:qFormat/>
    <w:pPr>
      <w:ind w:left="1160" w:firstLine="3784"/>
      <w:spacing w:before="0" w:after="0" w:line="360" w:lineRule="auto"/>
    </w:pPr>
    <w:rPr>
      <w:rFonts w:ascii="Times New Roman" w:hAnsi="Times New Roman" w:cs="Times New Roman"/>
    </w:rPr>
  </w:style>
  <w:style w:type="paragraph" w:styleId="1031">
    <w:name w:val="toc 3"/>
    <w:basedOn w:val="1000"/>
    <w:next w:val="999"/>
    <w:qFormat/>
    <w:pPr>
      <w:ind w:left="0" w:firstLine="1024"/>
      <w:spacing w:before="0" w:after="0" w:line="360" w:lineRule="auto"/>
    </w:pPr>
    <w:rPr>
      <w:rFonts w:ascii="Times New Roman" w:hAnsi="Times New Roman" w:cs="Times New Roman"/>
    </w:rPr>
  </w:style>
  <w:style w:type="paragraph" w:styleId="1032">
    <w:name w:val="Plain Text"/>
    <w:basedOn w:val="1000"/>
    <w:next w:val="1033"/>
    <w:qFormat/>
    <w:pPr>
      <w:ind w:left="0" w:firstLine="2048"/>
      <w:spacing w:before="0" w:after="0" w:line="240" w:lineRule="auto"/>
    </w:pPr>
    <w:rPr>
      <w:rFonts w:ascii="Times New Roman" w:hAnsi="Times New Roman" w:cs="Times New Roman"/>
    </w:rPr>
  </w:style>
  <w:style w:type="paragraph" w:styleId="1033">
    <w:name w:val="toc 1"/>
    <w:basedOn w:val="1000"/>
    <w:next w:val="999"/>
    <w:uiPriority w:val="39"/>
    <w:qFormat/>
    <w:pPr>
      <w:ind w:left="0" w:firstLine="4608"/>
      <w:spacing w:before="0" w:after="0" w:line="240" w:lineRule="auto"/>
    </w:pPr>
    <w:rPr>
      <w:rFonts w:ascii="Times New Roman" w:hAnsi="Times New Roman" w:cs="Times New Roman"/>
    </w:rPr>
  </w:style>
  <w:style w:type="paragraph" w:styleId="1034">
    <w:name w:val="List Bullet 5"/>
    <w:basedOn w:val="1000"/>
    <w:next w:val="1035"/>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qFormat/>
    <w:pPr>
      <w:ind w:left="420" w:firstLine="2724"/>
      <w:spacing w:after="120" w:line="360" w:lineRule="auto"/>
    </w:pPr>
    <w:rPr>
      <w:rFonts w:ascii="Calibri" w:hAnsi="Calibri"/>
    </w:rPr>
  </w:style>
  <w:style w:type="paragraph" w:styleId="1036">
    <w:name w:val="toc 8"/>
    <w:basedOn w:val="1000"/>
    <w:next w:val="999"/>
    <w:qFormat/>
    <w:pPr>
      <w:ind w:left="1880" w:firstLine="3784"/>
      <w:spacing w:before="0" w:after="0" w:line="360" w:lineRule="auto"/>
    </w:pPr>
    <w:rPr>
      <w:rFonts w:ascii="Times New Roman" w:hAnsi="Times New Roman" w:cs="Times New Roman"/>
    </w:rPr>
  </w:style>
  <w:style w:type="paragraph" w:styleId="1037">
    <w:name w:val="Date"/>
    <w:basedOn w:val="1000"/>
    <w:next w:val="999"/>
    <w:qFormat/>
    <w:pPr>
      <w:ind w:left="0" w:firstLine="2560"/>
      <w:spacing w:before="0" w:after="0" w:line="240" w:lineRule="auto"/>
    </w:pPr>
    <w:rPr>
      <w:rFonts w:ascii="Times New Roman" w:hAnsi="Times New Roman" w:cs="Times New Roman"/>
    </w:rPr>
  </w:style>
  <w:style w:type="paragraph" w:styleId="1038">
    <w:name w:val="Body Text Indent 2"/>
    <w:basedOn w:val="1000"/>
    <w:next w:val="1012"/>
    <w:qFormat/>
    <w:pPr>
      <w:ind w:left="481" w:firstLine="2784"/>
      <w:spacing w:before="0" w:after="0" w:line="400" w:lineRule="exact"/>
    </w:pPr>
    <w:rPr>
      <w:rFonts w:ascii="Times New Roman" w:hAnsi="Times New Roman" w:cs="Times New Roman"/>
    </w:rPr>
  </w:style>
  <w:style w:type="paragraph" w:styleId="1039">
    <w:name w:val="endnote text"/>
    <w:basedOn w:val="1000"/>
    <w:next w:val="1040"/>
    <w:qFormat/>
    <w:pPr>
      <w:ind w:left="0" w:firstLine="2560"/>
      <w:spacing w:before="0" w:after="0" w:line="360" w:lineRule="auto"/>
    </w:pPr>
    <w:rPr>
      <w:rFonts w:ascii="Times New Roman" w:hAnsi="Times New Roman" w:cs="Times New Roman"/>
    </w:rPr>
  </w:style>
  <w:style w:type="paragraph" w:styleId="1040" w:customStyle="1">
    <w:name w:val="Char11"/>
    <w:basedOn w:val="1000"/>
    <w:next w:val="999"/>
    <w:qFormat/>
    <w:pPr>
      <w:ind w:left="0" w:firstLine="3584"/>
      <w:spacing w:before="0" w:after="0" w:line="240" w:lineRule="auto"/>
    </w:pPr>
    <w:rPr>
      <w:rFonts w:ascii="Times New Roman" w:hAnsi="Times New Roman" w:cs="Times New Roman"/>
    </w:rPr>
  </w:style>
  <w:style w:type="paragraph" w:styleId="1041">
    <w:name w:val="Balloon Text"/>
    <w:basedOn w:val="1000"/>
    <w:next w:val="1017"/>
    <w:qFormat/>
    <w:pPr>
      <w:ind w:left="0" w:firstLine="2048"/>
      <w:spacing w:before="0" w:after="0" w:line="240" w:lineRule="auto"/>
    </w:pPr>
    <w:rPr>
      <w:rFonts w:ascii="Times New Roman" w:hAnsi="Times New Roman" w:cs="Times New Roman"/>
    </w:rPr>
  </w:style>
  <w:style w:type="paragraph" w:styleId="1042">
    <w:name w:val="Footer"/>
    <w:basedOn w:val="999"/>
    <w:next w:val="1043"/>
    <w:link w:val="1069"/>
    <w:qFormat/>
    <w:pPr>
      <w:ind w:left="0" w:firstLine="3584"/>
    </w:pPr>
  </w:style>
  <w:style w:type="paragraph" w:styleId="1043" w:customStyle="1">
    <w:name w:val="Char Char Char Char Char Char Char Char Char Char Char Char Char"/>
    <w:basedOn w:val="1000"/>
    <w:next w:val="999"/>
    <w:qFormat/>
    <w:pPr>
      <w:ind w:left="0" w:firstLine="3584"/>
      <w:spacing w:before="0" w:after="160" w:line="240" w:lineRule="exact"/>
    </w:pPr>
    <w:rPr>
      <w:rFonts w:ascii="Times New Roman" w:hAnsi="Times New Roman" w:cs="Times New Roman"/>
    </w:rPr>
  </w:style>
  <w:style w:type="paragraph" w:styleId="1044">
    <w:name w:val="Header"/>
    <w:basedOn w:val="1000"/>
    <w:next w:val="1037"/>
    <w:link w:val="1070"/>
    <w:qFormat/>
    <w:pPr>
      <w:ind w:left="0" w:firstLine="3584"/>
      <w:jc w:val="center"/>
      <w:spacing w:before="0" w:after="0" w:line="240" w:lineRule="auto"/>
    </w:pPr>
  </w:style>
  <w:style w:type="paragraph" w:styleId="1045">
    <w:name w:val="toc 4"/>
    <w:basedOn w:val="1000"/>
    <w:next w:val="999"/>
    <w:qFormat/>
    <w:pPr>
      <w:ind w:left="1260" w:firstLine="1024"/>
      <w:spacing w:before="0" w:after="0" w:line="240" w:lineRule="auto"/>
    </w:pPr>
    <w:rPr>
      <w:rFonts w:ascii="Times New Roman" w:hAnsi="Times New Roman" w:cs="Times New Roman"/>
    </w:rPr>
  </w:style>
  <w:style w:type="paragraph" w:styleId="1046">
    <w:name w:val="Subtitle"/>
    <w:next w:val="999"/>
    <w:qFormat/>
    <w:pPr>
      <w:ind w:left="1024"/>
      <w:jc w:val="center"/>
      <w:spacing w:after="60"/>
    </w:pPr>
    <w:rPr>
      <w:rFonts w:ascii="Calibri" w:hAnsi="Calibri"/>
    </w:rPr>
  </w:style>
  <w:style w:type="paragraph" w:styleId="1047">
    <w:name w:val="List"/>
    <w:basedOn w:val="1000"/>
    <w:next w:val="1048"/>
    <w:qFormat/>
    <w:pPr>
      <w:ind w:left="200" w:firstLine="3640"/>
      <w:spacing w:before="0" w:after="0" w:line="240" w:lineRule="auto"/>
    </w:pPr>
    <w:rPr>
      <w:rFonts w:ascii="Times New Roman" w:hAnsi="Times New Roman" w:cs="Times New Roman"/>
    </w:rPr>
  </w:style>
  <w:style w:type="paragraph" w:styleId="1048">
    <w:name w:val="Body Text First Indent"/>
    <w:next w:val="999"/>
    <w:qFormat/>
    <w:pPr>
      <w:ind w:left="420" w:firstLine="3748"/>
      <w:spacing w:after="120"/>
    </w:pPr>
    <w:rPr>
      <w:rFonts w:ascii="Calibri" w:hAnsi="Calibri"/>
    </w:rPr>
  </w:style>
  <w:style w:type="paragraph" w:styleId="1049">
    <w:name w:val="footnote text"/>
    <w:basedOn w:val="1000"/>
    <w:next w:val="1029"/>
    <w:qFormat/>
    <w:pPr>
      <w:ind w:left="0" w:firstLine="3584"/>
      <w:spacing w:before="0" w:after="0" w:line="360" w:lineRule="auto"/>
    </w:pPr>
    <w:rPr>
      <w:rFonts w:ascii="Times New Roman" w:hAnsi="Times New Roman" w:cs="Times New Roman"/>
    </w:rPr>
  </w:style>
  <w:style w:type="paragraph" w:styleId="1050">
    <w:name w:val="toc 6"/>
    <w:basedOn w:val="1000"/>
    <w:next w:val="999"/>
    <w:qFormat/>
    <w:pPr>
      <w:ind w:left="1400" w:firstLine="3784"/>
      <w:spacing w:before="0" w:after="0" w:line="360" w:lineRule="auto"/>
    </w:pPr>
    <w:rPr>
      <w:rFonts w:ascii="Times New Roman" w:hAnsi="Times New Roman" w:cs="Times New Roman"/>
    </w:rPr>
  </w:style>
  <w:style w:type="paragraph" w:styleId="1051">
    <w:name w:val="List 5"/>
    <w:basedOn w:val="1000"/>
    <w:next w:val="1026"/>
    <w:qFormat/>
    <w:pPr>
      <w:ind w:left="2100" w:firstLine="3676"/>
      <w:spacing w:before="0" w:after="0" w:line="240" w:lineRule="auto"/>
    </w:pPr>
    <w:rPr>
      <w:rFonts w:ascii="Times New Roman" w:hAnsi="Times New Roman" w:cs="Times New Roman"/>
    </w:rPr>
  </w:style>
  <w:style w:type="paragraph" w:styleId="1052">
    <w:name w:val="Body Text Indent 3"/>
    <w:basedOn w:val="1000"/>
    <w:next w:val="1050"/>
    <w:qFormat/>
    <w:pPr>
      <w:ind w:left="480" w:firstLine="2784"/>
      <w:spacing w:before="0" w:after="0" w:line="400" w:lineRule="exact"/>
    </w:pPr>
    <w:rPr>
      <w:rFonts w:ascii="Times New Roman" w:hAnsi="Times New Roman" w:cs="Times New Roman"/>
    </w:rPr>
  </w:style>
  <w:style w:type="paragraph" w:styleId="1053">
    <w:name w:val="toc 2"/>
    <w:basedOn w:val="1000"/>
    <w:next w:val="999"/>
    <w:qFormat/>
    <w:pPr>
      <w:ind w:left="0" w:firstLine="1024"/>
      <w:spacing w:before="0" w:after="0" w:line="360" w:lineRule="auto"/>
    </w:pPr>
    <w:rPr>
      <w:rFonts w:ascii="Times New Roman" w:hAnsi="Times New Roman" w:cs="Times New Roman"/>
    </w:rPr>
  </w:style>
  <w:style w:type="paragraph" w:styleId="1054">
    <w:name w:val="toc 9"/>
    <w:basedOn w:val="1000"/>
    <w:next w:val="999"/>
    <w:qFormat/>
    <w:pPr>
      <w:ind w:left="2120" w:firstLine="3784"/>
      <w:spacing w:before="0" w:after="0" w:line="360" w:lineRule="auto"/>
    </w:pPr>
    <w:rPr>
      <w:rFonts w:ascii="Times New Roman" w:hAnsi="Times New Roman" w:cs="Times New Roman"/>
    </w:rPr>
  </w:style>
  <w:style w:type="paragraph" w:styleId="1055">
    <w:name w:val="Body Text 2"/>
    <w:basedOn w:val="1000"/>
    <w:next w:val="1020"/>
    <w:qFormat/>
    <w:pPr>
      <w:ind w:left="0" w:firstLine="1024"/>
      <w:spacing w:before="0" w:after="120" w:line="480" w:lineRule="auto"/>
    </w:pPr>
    <w:rPr>
      <w:rFonts w:ascii="Times New Roman" w:hAnsi="Times New Roman" w:cs="Times New Roman"/>
    </w:rPr>
  </w:style>
  <w:style w:type="paragraph" w:styleId="1056">
    <w:name w:val="HTML Preformatted"/>
    <w:basedOn w:val="1000"/>
    <w:next w:val="1019"/>
    <w:qFormat/>
    <w:pPr>
      <w:ind w:left="0" w:firstLine="2048"/>
      <w:spacing w:before="0" w:after="0" w:line="253" w:lineRule="atLeast"/>
    </w:pPr>
    <w:rPr>
      <w:rFonts w:ascii="Times New Roman" w:hAnsi="Times New Roman" w:cs="Times New Roman"/>
    </w:rPr>
  </w:style>
  <w:style w:type="paragraph" w:styleId="1057">
    <w:name w:val="Normal (Web)"/>
    <w:basedOn w:val="999"/>
    <w:next w:val="1028"/>
    <w:qFormat/>
    <w:pPr>
      <w:ind w:left="15" w:right="15" w:firstLine="4608"/>
      <w:spacing w:before="60" w:after="60" w:line="312" w:lineRule="auto"/>
    </w:pPr>
    <w:rPr>
      <w:rFonts w:ascii="Times New Roman" w:hAnsi="Times New Roman" w:cs="Times New Roman"/>
    </w:rPr>
  </w:style>
  <w:style w:type="paragraph" w:styleId="1058">
    <w:name w:val="index 1"/>
    <w:basedOn w:val="1000"/>
    <w:next w:val="999"/>
    <w:qFormat/>
    <w:pPr>
      <w:ind w:left="0" w:firstLine="3584"/>
      <w:spacing w:before="0" w:after="0" w:line="240" w:lineRule="auto"/>
    </w:pPr>
    <w:rPr>
      <w:rFonts w:ascii="Times New Roman" w:hAnsi="Times New Roman" w:cs="Times New Roman"/>
    </w:rPr>
  </w:style>
  <w:style w:type="paragraph" w:styleId="1059">
    <w:name w:val="Body Text First Indent 2"/>
    <w:basedOn w:val="1012"/>
    <w:link w:val="1418"/>
    <w:unhideWhenUsed/>
    <w:qFormat/>
    <w:pPr>
      <w:ind w:firstLine="420"/>
    </w:p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qFormat/>
    <w:rPr>
      <w:rFonts w:ascii="Times New Roman" w:hAnsi="Times New Roman" w:eastAsia="宋体" w:cs="Times New Roman"/>
      <w:b/>
      <w:sz w:val="20"/>
    </w:rPr>
  </w:style>
  <w:style w:type="character" w:styleId="1062">
    <w:name w:val="page number"/>
    <w:qFormat/>
    <w:rPr>
      <w:rFonts w:ascii="Times New Roman" w:hAnsi="Times New Roman" w:eastAsia="宋体" w:cs="Times New Roman"/>
      <w:sz w:val="20"/>
    </w:rPr>
  </w:style>
  <w:style w:type="character" w:styleId="1063">
    <w:name w:val="FollowedHyperlink"/>
    <w:qFormat/>
    <w:rPr>
      <w:rFonts w:ascii="Times New Roman" w:hAnsi="Times New Roman" w:eastAsia="宋体" w:cs="Times New Roman"/>
      <w:color w:val="800080"/>
      <w:sz w:val="20"/>
      <w:u w:val="single"/>
    </w:rPr>
  </w:style>
  <w:style w:type="character" w:styleId="1064">
    <w:name w:val="Emphasis"/>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qFormat/>
    <w:rPr>
      <w:rFonts w:ascii="Times New Roman" w:hAnsi="Times New Roman" w:eastAsia="宋体" w:cs="Times New Roman"/>
      <w:sz w:val="20"/>
    </w:rPr>
  </w:style>
  <w:style w:type="character" w:styleId="1067">
    <w:name w:val="footnote reference"/>
    <w:qFormat/>
    <w:rPr>
      <w:rFonts w:ascii="Times New Roman" w:hAnsi="Times New Roman" w:eastAsia="宋体" w:cs="Times New Roman"/>
      <w:vertAlign w:val="superscript"/>
    </w:rPr>
  </w:style>
  <w:style w:type="character" w:styleId="1068" w:customStyle="1">
    <w:name w:val="正文缩进 字符"/>
    <w:link w:val="1018"/>
    <w:qFormat/>
    <w:rPr>
      <w:rFonts w:ascii="Calibri" w:hAnsi="Calibri" w:eastAsia="宋体" w:cs="Times New Roman"/>
    </w:rPr>
  </w:style>
  <w:style w:type="character" w:styleId="1069" w:customStyle="1">
    <w:name w:val="页脚 字符"/>
    <w:link w:val="1042"/>
    <w:qFormat/>
    <w:rPr>
      <w:rFonts w:ascii="Calibri" w:hAnsi="Calibri" w:eastAsia="宋体" w:cs="Times New Roman"/>
    </w:rPr>
  </w:style>
  <w:style w:type="character" w:styleId="1070" w:customStyle="1">
    <w:name w:val="页眉 字符"/>
    <w:link w:val="1044"/>
    <w:qFormat/>
    <w:rPr>
      <w:rFonts w:ascii="Calibri" w:hAnsi="Calibri" w:eastAsia="宋体" w:cs="Times New Roman"/>
    </w:rPr>
  </w:style>
  <w:style w:type="character" w:styleId="1071" w:customStyle="1">
    <w:name w:val="日期 Char"/>
    <w:qFormat/>
    <w:rPr>
      <w:rFonts w:ascii="Times New Roman" w:hAnsi="Times New Roman" w:eastAsia="宋体" w:cs="Times New Roman"/>
      <w:sz w:val="20"/>
    </w:rPr>
  </w:style>
  <w:style w:type="character" w:styleId="1072" w:customStyle="1">
    <w:name w:val="批注引用1"/>
    <w:qFormat/>
    <w:rPr>
      <w:rFonts w:ascii="Times New Roman" w:hAnsi="Times New Roman" w:eastAsia="宋体" w:cs="Times New Roman"/>
      <w:sz w:val="20"/>
    </w:rPr>
  </w:style>
  <w:style w:type="character" w:styleId="1073" w:customStyle="1">
    <w:name w:val="应答文本 Char Char"/>
    <w:qFormat/>
    <w:rPr>
      <w:rFonts w:ascii="Times New Roman" w:hAnsi="Times New Roman" w:eastAsia="宋体" w:cs="Times New Roman"/>
      <w:sz w:val="20"/>
    </w:rPr>
  </w:style>
  <w:style w:type="character" w:styleId="1074" w:customStyle="1">
    <w:name w:val="图片0 Char Char"/>
    <w:qFormat/>
    <w:rPr>
      <w:rFonts w:ascii="Times New Roman" w:hAnsi="Times New Roman" w:eastAsia="宋体" w:cs="Times New Roman"/>
      <w:sz w:val="20"/>
    </w:rPr>
  </w:style>
  <w:style w:type="character" w:styleId="1075" w:customStyle="1">
    <w:name w:val="尾注文本 Char"/>
    <w:qFormat/>
    <w:rPr>
      <w:rFonts w:ascii="Times New Roman" w:hAnsi="Times New Roman" w:eastAsia="宋体" w:cs="Times New Roman"/>
      <w:sz w:val="20"/>
    </w:rPr>
  </w:style>
  <w:style w:type="character" w:styleId="1076" w:customStyle="1">
    <w:name w:val="文档结构图 字符"/>
    <w:qFormat/>
    <w:rPr>
      <w:rFonts w:ascii="Microsoft YaHei UI" w:hAnsi="Times New Roman" w:eastAsia="Microsoft YaHei UI" w:cs="Times New Roman"/>
      <w:sz w:val="18"/>
      <w:szCs w:val="18"/>
    </w:rPr>
  </w:style>
  <w:style w:type="character" w:styleId="1077" w:customStyle="1">
    <w:name w:val="_Style 337"/>
    <w:qFormat/>
    <w:rPr>
      <w:rFonts w:ascii="Times New Roman" w:hAnsi="Times New Roman" w:eastAsia="宋体" w:cs="Times New Roman"/>
      <w:color w:val="auto"/>
      <w:sz w:val="21"/>
    </w:rPr>
  </w:style>
  <w:style w:type="character" w:styleId="1078" w:customStyle="1">
    <w:name w:val="正文文本 字符"/>
    <w:qFormat/>
    <w:rPr>
      <w:rFonts w:ascii="Times New Roman" w:hAnsi="Times New Roman" w:eastAsia="宋体" w:cs="Times New Roman"/>
      <w:sz w:val="21"/>
    </w:rPr>
  </w:style>
  <w:style w:type="character" w:styleId="1079" w:customStyle="1">
    <w:name w:val="批注文字 字符"/>
    <w:qFormat/>
    <w:rPr>
      <w:rFonts w:ascii="Times New Roman" w:hAnsi="Times New Roman" w:eastAsia="宋体" w:cs="Times New Roman"/>
      <w:sz w:val="20"/>
    </w:rPr>
  </w:style>
  <w:style w:type="character" w:styleId="1080" w:customStyle="1">
    <w:name w:val="批注文字 Char1"/>
    <w:qFormat/>
    <w:rPr>
      <w:rFonts w:ascii="Times New Roman" w:hAnsi="Times New Roman" w:eastAsia="宋体" w:cs="Times New Roman"/>
      <w:sz w:val="20"/>
    </w:rPr>
  </w:style>
  <w:style w:type="character" w:styleId="1081" w:customStyle="1">
    <w:name w:val="txt"/>
    <w:qFormat/>
    <w:rPr>
      <w:rFonts w:ascii="Times New Roman" w:hAnsi="Times New Roman" w:eastAsia="宋体" w:cs="Times New Roman"/>
      <w:sz w:val="20"/>
    </w:rPr>
  </w:style>
  <w:style w:type="character" w:styleId="1082" w:customStyle="1">
    <w:name w:val="标书正文 Char"/>
    <w:qFormat/>
    <w:rPr>
      <w:rFonts w:ascii="Times New Roman" w:hAnsi="Times New Roman" w:eastAsia="宋体" w:cs="Times New Roman"/>
      <w:sz w:val="20"/>
    </w:rPr>
  </w:style>
  <w:style w:type="character" w:styleId="1083" w:customStyle="1">
    <w:name w:val="font21"/>
    <w:qFormat/>
    <w:rPr>
      <w:rFonts w:hint="eastAsia" w:ascii="宋体" w:hAnsi="宋体" w:eastAsia="宋体" w:cs="宋体"/>
      <w:color w:val="ff0000"/>
      <w:sz w:val="24"/>
      <w:szCs w:val="24"/>
      <w:u w:val="none"/>
    </w:rPr>
  </w:style>
  <w:style w:type="character" w:styleId="1084" w:customStyle="1">
    <w:name w:val="apple-converted-space"/>
    <w:qFormat/>
    <w:rPr>
      <w:rFonts w:ascii="Times New Roman" w:hAnsi="Times New Roman" w:eastAsia="宋体" w:cs="Times New Roman"/>
      <w:sz w:val="20"/>
    </w:rPr>
  </w:style>
  <w:style w:type="character" w:styleId="1085" w:customStyle="1">
    <w:name w:val="纯文本 Char1"/>
    <w:qFormat/>
    <w:rPr>
      <w:rFonts w:ascii="Times New Roman" w:hAnsi="Times New Roman" w:eastAsia="宋体" w:cs="Times New Roman"/>
      <w:sz w:val="20"/>
    </w:rPr>
  </w:style>
  <w:style w:type="character" w:styleId="1086" w:customStyle="1">
    <w:name w:val="para1"/>
    <w:qFormat/>
    <w:rPr>
      <w:rFonts w:ascii="Times New Roman" w:hAnsi="Times New Roman" w:eastAsia="宋体" w:cs="Times New Roman"/>
      <w:sz w:val="20"/>
    </w:rPr>
  </w:style>
  <w:style w:type="character" w:styleId="1087" w:customStyle="1">
    <w:name w:val="HTML 预设格式 Char1"/>
    <w:qFormat/>
    <w:rPr>
      <w:rFonts w:ascii="Times New Roman" w:hAnsi="Times New Roman" w:eastAsia="宋体" w:cs="Times New Roman"/>
      <w:sz w:val="20"/>
    </w:rPr>
  </w:style>
  <w:style w:type="character" w:styleId="1088" w:customStyle="1">
    <w:name w:val="批注文字 Char"/>
    <w:qFormat/>
    <w:rPr>
      <w:rFonts w:ascii="Times New Roman" w:hAnsi="Times New Roman" w:eastAsia="宋体" w:cs="Times New Roman"/>
      <w:sz w:val="20"/>
    </w:rPr>
  </w:style>
  <w:style w:type="character" w:styleId="1089" w:customStyle="1">
    <w:name w:val="文档结构图 Char"/>
    <w:qFormat/>
    <w:rPr>
      <w:rFonts w:ascii="Times New Roman" w:hAnsi="Times New Roman" w:eastAsia="宋体" w:cs="Times New Roman"/>
      <w:sz w:val="20"/>
    </w:rPr>
  </w:style>
  <w:style w:type="character" w:styleId="1090" w:customStyle="1">
    <w:name w:val="超级链接"/>
    <w:qFormat/>
    <w:rPr>
      <w:rFonts w:ascii="Times New Roman" w:hAnsi="Times New Roman" w:eastAsia="宋体" w:cs="Times New Roman"/>
      <w:color w:val="0000ff"/>
      <w:sz w:val="20"/>
      <w:u w:val="single"/>
    </w:rPr>
  </w:style>
  <w:style w:type="character" w:styleId="1091" w:customStyle="1">
    <w:name w:val="p141"/>
    <w:qFormat/>
    <w:rPr>
      <w:rFonts w:ascii="Times New Roman" w:hAnsi="Times New Roman" w:eastAsia="宋体" w:cs="Times New Roman"/>
      <w:color w:val="000000"/>
      <w:sz w:val="20"/>
      <w:u w:val="none"/>
    </w:rPr>
  </w:style>
  <w:style w:type="character" w:styleId="1092" w:customStyle="1">
    <w:name w:val="宏文本 Char"/>
    <w:qFormat/>
    <w:rPr>
      <w:rFonts w:ascii="Times New Roman" w:hAnsi="Times New Roman" w:eastAsia="宋体" w:cs="Times New Roman"/>
      <w:sz w:val="20"/>
    </w:rPr>
  </w:style>
  <w:style w:type="character" w:styleId="1093" w:customStyle="1">
    <w:name w:val="_Style 313"/>
    <w:qFormat/>
    <w:rPr>
      <w:rFonts w:ascii="Times New Roman" w:hAnsi="Times New Roman" w:eastAsia="宋体" w:cs="Times New Roman"/>
      <w:b/>
      <w:i/>
      <w:sz w:val="21"/>
    </w:rPr>
  </w:style>
  <w:style w:type="character" w:styleId="1094" w:customStyle="1">
    <w:name w:val="页脚 Char1"/>
    <w:qFormat/>
    <w:rPr>
      <w:rFonts w:ascii="Times New Roman" w:hAnsi="Times New Roman" w:eastAsia="宋体" w:cs="Times New Roman"/>
      <w:sz w:val="20"/>
    </w:rPr>
  </w:style>
  <w:style w:type="character" w:styleId="1095" w:customStyle="1">
    <w:name w:val="页眉 Char"/>
    <w:qFormat/>
    <w:rPr>
      <w:rFonts w:ascii="Times New Roman" w:hAnsi="Times New Roman" w:eastAsia="宋体" w:cs="Times New Roman"/>
      <w:sz w:val="20"/>
    </w:rPr>
  </w:style>
  <w:style w:type="character" w:styleId="1096" w:customStyle="1">
    <w:name w:val="标题 7 Char"/>
    <w:qFormat/>
    <w:rPr>
      <w:rFonts w:ascii="Times New Roman" w:hAnsi="Times New Roman" w:eastAsia="宋体" w:cs="Times New Roman"/>
      <w:b/>
      <w:sz w:val="20"/>
    </w:rPr>
  </w:style>
  <w:style w:type="character" w:styleId="1097" w:customStyle="1">
    <w:name w:val="Char Char12"/>
    <w:qFormat/>
    <w:rPr>
      <w:rFonts w:ascii="Times New Roman" w:hAnsi="Times New Roman" w:eastAsia="宋体" w:cs="Times New Roman"/>
      <w:sz w:val="20"/>
    </w:rPr>
  </w:style>
  <w:style w:type="character" w:styleId="1098" w:customStyle="1">
    <w:name w:val="标题 3 Char"/>
    <w:qFormat/>
    <w:rPr>
      <w:rFonts w:ascii="Times New Roman" w:hAnsi="Times New Roman" w:eastAsia="宋体" w:cs="Times New Roman"/>
      <w:b/>
      <w:sz w:val="20"/>
    </w:rPr>
  </w:style>
  <w:style w:type="character" w:styleId="1099" w:customStyle="1">
    <w:name w:val="正文（首行缩进 2 字符） Char Char"/>
    <w:qFormat/>
    <w:rPr>
      <w:rFonts w:ascii="Times New Roman" w:hAnsi="Times New Roman" w:eastAsia="宋体" w:cs="Times New Roman"/>
      <w:sz w:val="20"/>
    </w:rPr>
  </w:style>
  <w:style w:type="character" w:styleId="1100" w:customStyle="1">
    <w:name w:val="表格用 Char Char"/>
    <w:qFormat/>
    <w:rPr>
      <w:rFonts w:ascii="Times New Roman" w:hAnsi="Times New Roman" w:eastAsia="宋体" w:cs="Times New Roman"/>
      <w:sz w:val="20"/>
    </w:rPr>
  </w:style>
  <w:style w:type="character" w:styleId="1101" w:customStyle="1">
    <w:name w:val="正文文本缩进 3 Char1"/>
    <w:qFormat/>
    <w:rPr>
      <w:rFonts w:ascii="Times New Roman" w:hAnsi="Times New Roman" w:eastAsia="宋体" w:cs="Times New Roman"/>
      <w:sz w:val="20"/>
    </w:rPr>
  </w:style>
  <w:style w:type="character" w:styleId="1102" w:customStyle="1">
    <w:name w:val="正文缩进 Char"/>
    <w:qFormat/>
    <w:rPr>
      <w:rFonts w:ascii="Times New Roman" w:hAnsi="Times New Roman" w:eastAsia="宋体" w:cs="Times New Roman"/>
      <w:sz w:val="20"/>
    </w:rPr>
  </w:style>
  <w:style w:type="character" w:styleId="1103" w:customStyle="1">
    <w:name w:val="批注框文本 Char1"/>
    <w:qFormat/>
    <w:rPr>
      <w:rFonts w:ascii="Times New Roman" w:hAnsi="Times New Roman" w:eastAsia="宋体" w:cs="Times New Roman"/>
      <w:sz w:val="20"/>
    </w:rPr>
  </w:style>
  <w:style w:type="character" w:styleId="1104" w:customStyle="1">
    <w:name w:val="Char Char13"/>
    <w:qFormat/>
    <w:rPr>
      <w:rFonts w:ascii="Times New Roman" w:hAnsi="Times New Roman" w:eastAsia="宋体" w:cs="Times New Roman"/>
      <w:sz w:val="20"/>
    </w:rPr>
  </w:style>
  <w:style w:type="character" w:styleId="1105" w:customStyle="1">
    <w:name w:val="样式2 Char"/>
    <w:qFormat/>
    <w:rPr>
      <w:rFonts w:ascii="Times New Roman" w:hAnsi="Times New Roman" w:eastAsia="宋体" w:cs="Times New Roman"/>
      <w:b/>
      <w:sz w:val="20"/>
    </w:rPr>
  </w:style>
  <w:style w:type="character" w:styleId="1106" w:customStyle="1">
    <w:name w:val="页脚 Char"/>
    <w:qFormat/>
    <w:rPr>
      <w:rFonts w:ascii="Times New Roman" w:hAnsi="Times New Roman" w:eastAsia="宋体" w:cs="Times New Roman"/>
      <w:sz w:val="20"/>
    </w:rPr>
  </w:style>
  <w:style w:type="character" w:styleId="1107" w:customStyle="1">
    <w:name w:val="标准文本 Char"/>
    <w:qFormat/>
    <w:rPr>
      <w:rFonts w:ascii="Times New Roman" w:hAnsi="Times New Roman" w:eastAsia="宋体" w:cs="Times New Roman"/>
      <w:sz w:val="20"/>
    </w:rPr>
  </w:style>
  <w:style w:type="character" w:styleId="1108" w:customStyle="1">
    <w:name w:val="font01"/>
    <w:qFormat/>
    <w:rPr>
      <w:rFonts w:hint="eastAsia" w:ascii="宋体" w:hAnsi="宋体" w:eastAsia="宋体" w:cs="宋体"/>
      <w:color w:val="000000"/>
      <w:sz w:val="24"/>
      <w:szCs w:val="24"/>
      <w:u w:val="none"/>
    </w:rPr>
  </w:style>
  <w:style w:type="character" w:styleId="1109" w:customStyle="1">
    <w:name w:val="标题 3 Char1"/>
    <w:qFormat/>
    <w:rPr>
      <w:rFonts w:ascii="Times New Roman" w:hAnsi="Times New Roman" w:eastAsia="宋体" w:cs="Times New Roman"/>
      <w:b/>
      <w:sz w:val="20"/>
      <w:u w:val="single"/>
    </w:rPr>
  </w:style>
  <w:style w:type="character" w:styleId="1110" w:customStyle="1">
    <w:name w:val="表格 Char Char"/>
    <w:qFormat/>
    <w:rPr>
      <w:rFonts w:ascii="Times New Roman" w:hAnsi="Times New Roman" w:eastAsia="宋体" w:cs="Times New Roman"/>
      <w:sz w:val="20"/>
    </w:rPr>
  </w:style>
  <w:style w:type="character" w:styleId="1111" w:customStyle="1">
    <w:name w:val="正文首行缩进 Char"/>
    <w:qFormat/>
    <w:rPr>
      <w:rFonts w:ascii="Times New Roman" w:hAnsi="Times New Roman" w:eastAsia="宋体" w:cs="Times New Roman"/>
      <w:sz w:val="20"/>
    </w:rPr>
  </w:style>
  <w:style w:type="character" w:styleId="1112" w:customStyle="1">
    <w:name w:val="标题 9 Char"/>
    <w:qFormat/>
    <w:rPr>
      <w:rFonts w:ascii="Times New Roman" w:hAnsi="Times New Roman" w:eastAsia="宋体" w:cs="Times New Roman"/>
      <w:sz w:val="20"/>
    </w:rPr>
  </w:style>
  <w:style w:type="character" w:styleId="1113" w:customStyle="1">
    <w:name w:val="lh151"/>
    <w:qFormat/>
    <w:rPr>
      <w:rFonts w:ascii="Times New Roman" w:hAnsi="Times New Roman" w:eastAsia="宋体" w:cs="Times New Roman"/>
      <w:color w:val="666666"/>
      <w:sz w:val="20"/>
    </w:rPr>
  </w:style>
  <w:style w:type="character" w:styleId="1114" w:customStyle="1">
    <w:name w:val="日期 Char1"/>
    <w:qFormat/>
    <w:rPr>
      <w:rFonts w:ascii="Times New Roman" w:hAnsi="Times New Roman" w:eastAsia="宋体" w:cs="Times New Roman"/>
      <w:sz w:val="20"/>
    </w:rPr>
  </w:style>
  <w:style w:type="character" w:styleId="1115" w:customStyle="1">
    <w:name w:val="图片 Char Char"/>
    <w:qFormat/>
    <w:rPr>
      <w:rFonts w:ascii="Times New Roman" w:hAnsi="Times New Roman" w:eastAsia="宋体" w:cs="Times New Roman"/>
      <w:sz w:val="20"/>
    </w:rPr>
  </w:style>
  <w:style w:type="character" w:styleId="1116" w:customStyle="1">
    <w:name w:val="批注框文本 字符"/>
    <w:qFormat/>
    <w:rPr>
      <w:rFonts w:ascii="Times New Roman" w:hAnsi="Times New Roman" w:eastAsia="宋体" w:cs="Times New Roman"/>
      <w:sz w:val="20"/>
    </w:rPr>
  </w:style>
  <w:style w:type="character" w:styleId="1117" w:customStyle="1">
    <w:name w:val="HTML 预设格式 Char"/>
    <w:qFormat/>
    <w:rPr>
      <w:rFonts w:ascii="Times New Roman" w:hAnsi="Times New Roman" w:eastAsia="宋体" w:cs="Times New Roman"/>
      <w:sz w:val="20"/>
    </w:rPr>
  </w:style>
  <w:style w:type="character" w:styleId="1118" w:customStyle="1">
    <w:name w:val="列出段落 Char"/>
    <w:qFormat/>
    <w:rPr>
      <w:rFonts w:ascii="Times New Roman" w:hAnsi="Times New Roman" w:eastAsia="宋体" w:cs="Times New Roman"/>
      <w:sz w:val="20"/>
    </w:rPr>
  </w:style>
  <w:style w:type="character" w:styleId="1119" w:customStyle="1">
    <w:name w:val="标题 5 Char"/>
    <w:qFormat/>
    <w:rPr>
      <w:rFonts w:ascii="Times New Roman" w:hAnsi="Times New Roman" w:eastAsia="宋体" w:cs="Times New Roman"/>
      <w:b/>
      <w:sz w:val="20"/>
    </w:rPr>
  </w:style>
  <w:style w:type="character" w:styleId="1120" w:customStyle="1">
    <w:name w:val="链接"/>
    <w:qFormat/>
    <w:rPr>
      <w:rFonts w:ascii="Times New Roman" w:hAnsi="Times New Roman" w:eastAsia="宋体" w:cs="Times New Roman"/>
      <w:color w:val="0000ff"/>
      <w:sz w:val="20"/>
      <w:u w:val="single"/>
    </w:rPr>
  </w:style>
  <w:style w:type="character" w:styleId="1121" w:customStyle="1">
    <w:name w:val="18h1"/>
    <w:qFormat/>
    <w:rPr>
      <w:rFonts w:ascii="Times New Roman" w:hAnsi="Times New Roman" w:eastAsia="宋体" w:cs="Times New Roman"/>
      <w:color w:val="3b3b3b"/>
      <w:sz w:val="20"/>
    </w:rPr>
  </w:style>
  <w:style w:type="character" w:styleId="1122" w:customStyle="1">
    <w:name w:val="表格文字（两侧对齐） Char Char"/>
    <w:qFormat/>
    <w:rPr>
      <w:rFonts w:ascii="Times New Roman" w:hAnsi="Times New Roman" w:eastAsia="宋体" w:cs="Times New Roman"/>
      <w:sz w:val="20"/>
    </w:rPr>
  </w:style>
  <w:style w:type="character" w:styleId="1123" w:customStyle="1">
    <w:name w:val="正文文本缩进 2 Char"/>
    <w:qFormat/>
    <w:rPr>
      <w:rFonts w:ascii="Times New Roman" w:hAnsi="Times New Roman" w:eastAsia="宋体" w:cs="Times New Roman"/>
      <w:sz w:val="20"/>
    </w:rPr>
  </w:style>
  <w:style w:type="character" w:styleId="1124" w:customStyle="1">
    <w:name w:val="Char Char14"/>
    <w:qFormat/>
    <w:rPr>
      <w:rFonts w:ascii="Times New Roman" w:hAnsi="Times New Roman" w:eastAsia="宋体" w:cs="Times New Roman"/>
      <w:sz w:val="20"/>
    </w:rPr>
  </w:style>
  <w:style w:type="character" w:styleId="1125" w:customStyle="1">
    <w:name w:val="标题 1 Char1"/>
    <w:qFormat/>
    <w:rPr>
      <w:rFonts w:ascii="Times New Roman" w:hAnsi="Times New Roman" w:eastAsia="宋体" w:cs="Times New Roman"/>
      <w:b/>
      <w:sz w:val="20"/>
    </w:rPr>
  </w:style>
  <w:style w:type="character" w:styleId="1126" w:customStyle="1">
    <w:name w:val="批注框文本 Char"/>
    <w:qFormat/>
    <w:rPr>
      <w:rFonts w:ascii="Times New Roman" w:hAnsi="Times New Roman" w:eastAsia="宋体" w:cs="Times New Roman"/>
      <w:sz w:val="20"/>
    </w:rPr>
  </w:style>
  <w:style w:type="character" w:styleId="1127" w:customStyle="1">
    <w:name w:val="apple-style-span"/>
    <w:qFormat/>
    <w:rPr>
      <w:rFonts w:ascii="Times New Roman" w:hAnsi="Times New Roman" w:eastAsia="宋体" w:cs="Times New Roman"/>
      <w:sz w:val="20"/>
    </w:rPr>
  </w:style>
  <w:style w:type="character" w:styleId="1128" w:customStyle="1">
    <w:name w:val="插图 Char Char"/>
    <w:qFormat/>
    <w:rPr>
      <w:rFonts w:ascii="Times New Roman" w:hAnsi="Times New Roman" w:eastAsia="宋体" w:cs="Times New Roman"/>
      <w:sz w:val="20"/>
    </w:rPr>
  </w:style>
  <w:style w:type="character" w:styleId="1129" w:customStyle="1">
    <w:name w:val="标题 2 Char1"/>
    <w:qFormat/>
    <w:rPr>
      <w:rFonts w:ascii="Times New Roman" w:hAnsi="Times New Roman" w:eastAsia="宋体" w:cs="Times New Roman"/>
      <w:b/>
      <w:sz w:val="20"/>
    </w:rPr>
  </w:style>
  <w:style w:type="character" w:styleId="1130" w:customStyle="1">
    <w:name w:val="_Style 332"/>
    <w:qFormat/>
    <w:rPr>
      <w:rFonts w:ascii="Times New Roman" w:hAnsi="Times New Roman" w:eastAsia="宋体" w:cs="Times New Roman"/>
      <w:i/>
      <w:color w:val="auto"/>
      <w:sz w:val="21"/>
    </w:rPr>
  </w:style>
  <w:style w:type="character" w:styleId="1131" w:customStyle="1">
    <w:name w:val="正文文本 3 Char1"/>
    <w:qFormat/>
    <w:rPr>
      <w:rFonts w:ascii="Times New Roman" w:hAnsi="Times New Roman" w:eastAsia="宋体" w:cs="Times New Roman"/>
      <w:sz w:val="20"/>
    </w:rPr>
  </w:style>
  <w:style w:type="character" w:styleId="1132" w:customStyle="1">
    <w:name w:val="标题 5 Char1"/>
    <w:qFormat/>
    <w:rPr>
      <w:rFonts w:ascii="Times New Roman" w:hAnsi="Times New Roman" w:eastAsia="宋体" w:cs="Times New Roman"/>
      <w:b/>
      <w:sz w:val="20"/>
    </w:rPr>
  </w:style>
  <w:style w:type="character" w:styleId="1133" w:customStyle="1">
    <w:name w:val="批注主题 Char"/>
    <w:qFormat/>
    <w:rPr>
      <w:rFonts w:ascii="Times New Roman" w:hAnsi="Times New Roman" w:eastAsia="宋体" w:cs="Times New Roman"/>
      <w:b/>
      <w:sz w:val="20"/>
    </w:rPr>
  </w:style>
  <w:style w:type="character" w:styleId="1134" w:customStyle="1">
    <w:name w:val="标题 1 Char"/>
    <w:qFormat/>
    <w:rPr>
      <w:rFonts w:ascii="Times New Roman" w:hAnsi="Times New Roman" w:eastAsia="宋体" w:cs="Times New Roman"/>
      <w:b/>
      <w:sz w:val="20"/>
    </w:rPr>
  </w:style>
  <w:style w:type="character" w:styleId="1135" w:customStyle="1">
    <w:name w:val="正文文本 2 Char1"/>
    <w:qFormat/>
    <w:rPr>
      <w:rFonts w:ascii="Times New Roman" w:hAnsi="Times New Roman" w:eastAsia="宋体" w:cs="Times New Roman"/>
      <w:sz w:val="20"/>
    </w:rPr>
  </w:style>
  <w:style w:type="character" w:styleId="1136" w:customStyle="1">
    <w:name w:val="标题 4 Char1"/>
    <w:qFormat/>
    <w:rPr>
      <w:rFonts w:ascii="Times New Roman" w:hAnsi="Times New Roman" w:eastAsia="宋体" w:cs="Times New Roman"/>
      <w:b/>
      <w:sz w:val="20"/>
    </w:rPr>
  </w:style>
  <w:style w:type="character" w:styleId="1137" w:customStyle="1">
    <w:name w:val="正文文本 2 Char"/>
    <w:qFormat/>
    <w:rPr>
      <w:rFonts w:ascii="Times New Roman" w:hAnsi="Times New Roman" w:eastAsia="宋体" w:cs="Times New Roman"/>
      <w:sz w:val="20"/>
    </w:rPr>
  </w:style>
  <w:style w:type="character" w:styleId="1138" w:customStyle="1">
    <w:name w:val="_Style 376"/>
    <w:qFormat/>
    <w:rPr>
      <w:rFonts w:ascii="Times New Roman" w:hAnsi="Times New Roman" w:eastAsia="宋体" w:cs="Times New Roman"/>
      <w:b/>
      <w:color w:val="auto"/>
      <w:sz w:val="21"/>
    </w:rPr>
  </w:style>
  <w:style w:type="character" w:styleId="1139" w:customStyle="1">
    <w:name w:val="062"/>
    <w:qFormat/>
    <w:rPr>
      <w:rFonts w:ascii="Times New Roman" w:hAnsi="Times New Roman" w:eastAsia="宋体" w:cs="Times New Roman"/>
      <w:b/>
      <w:sz w:val="20"/>
    </w:rPr>
  </w:style>
  <w:style w:type="character" w:styleId="1140" w:customStyle="1">
    <w:name w:val="正文文本 Char1"/>
    <w:qFormat/>
    <w:rPr>
      <w:rFonts w:ascii="Times New Roman" w:hAnsi="Times New Roman" w:eastAsia="宋体" w:cs="Times New Roman"/>
      <w:sz w:val="20"/>
    </w:rPr>
  </w:style>
  <w:style w:type="character" w:styleId="1141" w:customStyle="1">
    <w:name w:val="题注 Char"/>
    <w:qFormat/>
    <w:rPr>
      <w:rFonts w:ascii="Times New Roman" w:hAnsi="Times New Roman" w:eastAsia="宋体" w:cs="Times New Roman"/>
      <w:sz w:val="20"/>
    </w:rPr>
  </w:style>
  <w:style w:type="character" w:styleId="1142" w:customStyle="1">
    <w:name w:val="脚注文本 Char"/>
    <w:qFormat/>
    <w:rPr>
      <w:rFonts w:ascii="Times New Roman" w:hAnsi="Times New Roman" w:eastAsia="宋体" w:cs="Times New Roman"/>
      <w:sz w:val="20"/>
    </w:rPr>
  </w:style>
  <w:style w:type="character" w:styleId="1143" w:customStyle="1">
    <w:name w:val="_Style 336"/>
    <w:qFormat/>
    <w:rPr>
      <w:rFonts w:ascii="Times New Roman" w:hAnsi="Times New Roman" w:eastAsia="宋体" w:cs="Times New Roman"/>
      <w:i/>
      <w:color w:val="auto"/>
      <w:sz w:val="21"/>
    </w:rPr>
  </w:style>
  <w:style w:type="character" w:styleId="1144" w:customStyle="1">
    <w:name w:val="表格 Char"/>
    <w:qFormat/>
    <w:rPr>
      <w:rFonts w:ascii="Times New Roman" w:hAnsi="Times New Roman" w:eastAsia="宋体" w:cs="Times New Roman"/>
      <w:color w:val="000000"/>
      <w:sz w:val="20"/>
    </w:rPr>
  </w:style>
  <w:style w:type="character" w:styleId="1145" w:customStyle="1">
    <w:name w:val="批注主题 字符"/>
    <w:qFormat/>
    <w:rPr>
      <w:rFonts w:ascii="Times New Roman" w:hAnsi="Times New Roman" w:eastAsia="宋体" w:cs="Times New Roman"/>
      <w:b/>
      <w:sz w:val="20"/>
    </w:rPr>
  </w:style>
  <w:style w:type="character" w:styleId="1146" w:customStyle="1">
    <w:name w:val="图注 Char Char"/>
    <w:qFormat/>
    <w:rPr>
      <w:rFonts w:ascii="Times New Roman" w:hAnsi="Times New Roman" w:eastAsia="宋体" w:cs="Times New Roman"/>
      <w:sz w:val="20"/>
    </w:rPr>
  </w:style>
  <w:style w:type="character" w:styleId="1147" w:customStyle="1">
    <w:name w:val="页码1"/>
    <w:qFormat/>
    <w:rPr>
      <w:rFonts w:ascii="Times New Roman" w:hAnsi="Times New Roman" w:eastAsia="宋体" w:cs="Times New Roman"/>
      <w:sz w:val="20"/>
    </w:rPr>
  </w:style>
  <w:style w:type="character" w:styleId="1148" w:customStyle="1">
    <w:name w:val="列表框1 Char Char"/>
    <w:qFormat/>
    <w:rPr>
      <w:rFonts w:ascii="Times New Roman" w:hAnsi="Times New Roman" w:eastAsia="宋体" w:cs="Times New Roman"/>
      <w:sz w:val="20"/>
    </w:rPr>
  </w:style>
  <w:style w:type="character" w:styleId="1149" w:customStyle="1">
    <w:name w:val="1ji Char"/>
    <w:qFormat/>
    <w:rPr>
      <w:rFonts w:ascii="Times New Roman" w:hAnsi="Times New Roman" w:eastAsia="宋体" w:cs="Times New Roman"/>
      <w:b/>
      <w:sz w:val="20"/>
    </w:rPr>
  </w:style>
  <w:style w:type="character" w:styleId="1150" w:customStyle="1">
    <w:name w:val="正文文本缩进 Char"/>
    <w:qFormat/>
    <w:rPr>
      <w:rFonts w:ascii="Times New Roman" w:hAnsi="Times New Roman" w:eastAsia="宋体" w:cs="Times New Roman"/>
      <w:sz w:val="20"/>
    </w:rPr>
  </w:style>
  <w:style w:type="character" w:styleId="1151" w:customStyle="1">
    <w:name w:val="标准文本 Char Char"/>
    <w:qFormat/>
    <w:rPr>
      <w:rFonts w:ascii="Times New Roman" w:hAnsi="Times New Roman" w:eastAsia="宋体" w:cs="Times New Roman"/>
      <w:sz w:val="20"/>
    </w:rPr>
  </w:style>
  <w:style w:type="character" w:styleId="1152" w:customStyle="1">
    <w:name w:val="表格用 Char"/>
    <w:qFormat/>
    <w:rPr>
      <w:rFonts w:ascii="Times New Roman" w:hAnsi="Times New Roman" w:eastAsia="宋体" w:cs="Times New Roman"/>
      <w:color w:val="000000"/>
      <w:sz w:val="20"/>
    </w:rPr>
  </w:style>
  <w:style w:type="character" w:styleId="1153" w:customStyle="1">
    <w:name w:val="标题 7 Char1"/>
    <w:qFormat/>
    <w:rPr>
      <w:rFonts w:ascii="Times New Roman" w:hAnsi="Times New Roman" w:eastAsia="宋体" w:cs="Times New Roman"/>
      <w:b/>
      <w:sz w:val="20"/>
    </w:rPr>
  </w:style>
  <w:style w:type="character" w:styleId="1154" w:customStyle="1">
    <w:name w:val="H 3 Char"/>
    <w:qFormat/>
    <w:rPr>
      <w:rFonts w:ascii="Times New Roman" w:hAnsi="Times New Roman" w:eastAsia="宋体" w:cs="Times New Roman"/>
      <w:b/>
      <w:sz w:val="20"/>
    </w:rPr>
  </w:style>
  <w:style w:type="character" w:styleId="1155" w:customStyle="1">
    <w:name w:val="正文文本缩进 3 字符"/>
    <w:qFormat/>
    <w:rPr>
      <w:rFonts w:ascii="Times New Roman" w:hAnsi="Times New Roman" w:eastAsia="宋体" w:cs="Times New Roman"/>
      <w:sz w:val="16"/>
      <w:szCs w:val="16"/>
    </w:rPr>
  </w:style>
  <w:style w:type="character" w:styleId="1156" w:customStyle="1">
    <w:name w:val="标题 Char"/>
    <w:qFormat/>
    <w:rPr>
      <w:rFonts w:ascii="Times New Roman" w:hAnsi="Times New Roman" w:eastAsia="宋体" w:cs="Times New Roman"/>
      <w:b/>
      <w:sz w:val="20"/>
    </w:rPr>
  </w:style>
  <w:style w:type="character" w:styleId="1157" w:customStyle="1">
    <w:name w:val="H 4 Char"/>
    <w:qFormat/>
    <w:rPr>
      <w:rFonts w:ascii="Times New Roman" w:hAnsi="Times New Roman" w:eastAsia="宋体" w:cs="Times New Roman"/>
      <w:b/>
      <w:sz w:val="20"/>
    </w:rPr>
  </w:style>
  <w:style w:type="character" w:styleId="1158" w:customStyle="1">
    <w:name w:val="批注主题 Char1"/>
    <w:qFormat/>
    <w:rPr>
      <w:rFonts w:ascii="Times New Roman" w:hAnsi="Times New Roman" w:eastAsia="宋体" w:cs="Times New Roman"/>
      <w:b/>
      <w:sz w:val="20"/>
    </w:rPr>
  </w:style>
  <w:style w:type="character" w:styleId="1159" w:customStyle="1">
    <w:name w:val="正文文本缩进 Char1"/>
    <w:qFormat/>
    <w:rPr>
      <w:rFonts w:ascii="Times New Roman" w:hAnsi="Times New Roman" w:eastAsia="宋体" w:cs="Times New Roman"/>
      <w:sz w:val="20"/>
    </w:rPr>
  </w:style>
  <w:style w:type="character" w:styleId="1160" w:customStyle="1">
    <w:name w:val="正文文本 3 Char"/>
    <w:qFormat/>
    <w:rPr>
      <w:rFonts w:ascii="Times New Roman" w:hAnsi="Times New Roman" w:eastAsia="宋体" w:cs="Times New Roman"/>
      <w:sz w:val="20"/>
    </w:rPr>
  </w:style>
  <w:style w:type="character" w:styleId="1161" w:customStyle="1">
    <w:name w:val="正文首行缩进 2 Char"/>
    <w:qFormat/>
    <w:rPr>
      <w:rFonts w:ascii="Times New Roman" w:hAnsi="Times New Roman" w:eastAsia="宋体" w:cs="Times New Roman"/>
      <w:sz w:val="20"/>
    </w:rPr>
  </w:style>
  <w:style w:type="character" w:styleId="1162" w:customStyle="1">
    <w:name w:val="页眉 Char1"/>
    <w:qFormat/>
    <w:rPr>
      <w:rFonts w:ascii="Times New Roman" w:hAnsi="Times New Roman" w:eastAsia="宋体" w:cs="Times New Roman"/>
      <w:sz w:val="20"/>
    </w:rPr>
  </w:style>
  <w:style w:type="character" w:styleId="1163" w:customStyle="1">
    <w:name w:val="Char Char2"/>
    <w:qFormat/>
    <w:rPr>
      <w:rFonts w:ascii="Times New Roman" w:hAnsi="Times New Roman" w:eastAsia="宋体" w:cs="Times New Roman"/>
      <w:sz w:val="20"/>
    </w:rPr>
  </w:style>
  <w:style w:type="character" w:styleId="1164" w:customStyle="1">
    <w:name w:val="样式 首行缩进:  2 字符 Char1"/>
    <w:qFormat/>
    <w:rPr>
      <w:rFonts w:ascii="Times New Roman" w:hAnsi="Times New Roman" w:eastAsia="宋体" w:cs="Times New Roman"/>
      <w:sz w:val="20"/>
    </w:rPr>
  </w:style>
  <w:style w:type="character" w:styleId="1165" w:customStyle="1">
    <w:name w:val="标题 2 Char"/>
    <w:qFormat/>
    <w:rPr>
      <w:rFonts w:ascii="Times New Roman" w:hAnsi="Times New Roman" w:eastAsia="宋体" w:cs="Times New Roman"/>
      <w:b/>
      <w:sz w:val="20"/>
    </w:rPr>
  </w:style>
  <w:style w:type="character" w:styleId="1166" w:customStyle="1">
    <w:name w:val="表格文字图表文字 Char Char"/>
    <w:qFormat/>
    <w:rPr>
      <w:rFonts w:ascii="Times New Roman" w:hAnsi="Times New Roman" w:eastAsia="宋体" w:cs="Times New Roman"/>
      <w:sz w:val="20"/>
    </w:rPr>
  </w:style>
  <w:style w:type="character" w:styleId="1167" w:customStyle="1">
    <w:name w:val="图片 Char"/>
    <w:qFormat/>
    <w:rPr>
      <w:rFonts w:ascii="Times New Roman" w:hAnsi="Times New Roman" w:eastAsia="宋体" w:cs="Times New Roman"/>
      <w:sz w:val="20"/>
    </w:rPr>
  </w:style>
  <w:style w:type="character" w:styleId="1168" w:customStyle="1">
    <w:name w:val="标题 6 Char"/>
    <w:qFormat/>
    <w:rPr>
      <w:rFonts w:ascii="Times New Roman" w:hAnsi="Times New Roman" w:eastAsia="宋体" w:cs="Times New Roman"/>
      <w:b/>
      <w:sz w:val="20"/>
    </w:rPr>
  </w:style>
  <w:style w:type="character" w:styleId="1169" w:customStyle="1">
    <w:name w:val="标题 4 Char"/>
    <w:qFormat/>
    <w:rPr>
      <w:rFonts w:ascii="Times New Roman" w:hAnsi="Times New Roman" w:eastAsia="宋体" w:cs="Times New Roman"/>
      <w:b/>
      <w:sz w:val="20"/>
    </w:rPr>
  </w:style>
  <w:style w:type="character" w:styleId="1170" w:customStyle="1">
    <w:name w:val="文档结构图 Char1"/>
    <w:qFormat/>
    <w:rPr>
      <w:rFonts w:ascii="Times New Roman" w:hAnsi="Times New Roman" w:eastAsia="宋体" w:cs="Times New Roman"/>
      <w:sz w:val="20"/>
    </w:rPr>
  </w:style>
  <w:style w:type="character" w:styleId="1171" w:customStyle="1">
    <w:name w:val="项目符0 Char"/>
    <w:qFormat/>
    <w:rPr>
      <w:rFonts w:ascii="Times New Roman" w:hAnsi="Times New Roman" w:eastAsia="宋体" w:cs="Times New Roman"/>
      <w:sz w:val="20"/>
    </w:rPr>
  </w:style>
  <w:style w:type="character" w:styleId="1172" w:customStyle="1">
    <w:name w:val="正文文本缩进 3 Char"/>
    <w:qFormat/>
    <w:rPr>
      <w:rFonts w:ascii="Times New Roman" w:hAnsi="Times New Roman" w:eastAsia="宋体" w:cs="Times New Roman"/>
      <w:sz w:val="20"/>
    </w:rPr>
  </w:style>
  <w:style w:type="character" w:styleId="1173" w:customStyle="1">
    <w:name w:val="Char Char3"/>
    <w:qFormat/>
    <w:rPr>
      <w:rFonts w:ascii="Times New Roman" w:hAnsi="Times New Roman" w:eastAsia="宋体" w:cs="Times New Roman"/>
      <w:sz w:val="20"/>
    </w:rPr>
  </w:style>
  <w:style w:type="character" w:styleId="1174" w:customStyle="1">
    <w:name w:val="纯文本 Char"/>
    <w:qFormat/>
    <w:rPr>
      <w:rFonts w:ascii="Times New Roman" w:hAnsi="Times New Roman" w:eastAsia="宋体" w:cs="Times New Roman"/>
      <w:sz w:val="20"/>
    </w:rPr>
  </w:style>
  <w:style w:type="character" w:styleId="1175" w:customStyle="1">
    <w:name w:val="正文文本缩进 2 Char1"/>
    <w:qFormat/>
    <w:rPr>
      <w:rFonts w:ascii="Times New Roman" w:hAnsi="Times New Roman" w:eastAsia="宋体" w:cs="Times New Roman"/>
      <w:sz w:val="20"/>
    </w:rPr>
  </w:style>
  <w:style w:type="character" w:styleId="1176" w:customStyle="1">
    <w:name w:val="标题 8 Char"/>
    <w:qFormat/>
    <w:rPr>
      <w:rFonts w:ascii="Times New Roman" w:hAnsi="Times New Roman" w:eastAsia="宋体" w:cs="Times New Roman"/>
      <w:sz w:val="20"/>
    </w:rPr>
  </w:style>
  <w:style w:type="character" w:styleId="1177" w:customStyle="1">
    <w:name w:val="标题 6 Char1"/>
    <w:qFormat/>
    <w:rPr>
      <w:rFonts w:ascii="Times New Roman" w:hAnsi="Times New Roman" w:eastAsia="宋体" w:cs="Times New Roman"/>
      <w:b/>
      <w:sz w:val="20"/>
    </w:rPr>
  </w:style>
  <w:style w:type="character" w:styleId="1178" w:customStyle="1">
    <w:name w:val="case31"/>
    <w:qFormat/>
    <w:rPr>
      <w:rFonts w:ascii="Times New Roman" w:hAnsi="Times New Roman" w:eastAsia="宋体" w:cs="Times New Roman"/>
      <w:sz w:val="20"/>
    </w:rPr>
  </w:style>
  <w:style w:type="character" w:styleId="1179" w:customStyle="1">
    <w:name w:val="正文文本 Char"/>
    <w:qFormat/>
    <w:rPr>
      <w:rFonts w:ascii="Times New Roman" w:hAnsi="Times New Roman" w:eastAsia="宋体" w:cs="Times New Roman"/>
      <w:sz w:val="20"/>
    </w:rPr>
  </w:style>
  <w:style w:type="paragraph" w:styleId="1180" w:customStyle="1">
    <w:name w:val="节标题"/>
    <w:basedOn w:val="1000"/>
    <w:next w:val="1181"/>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6"/>
    <w:next w:val="999"/>
    <w:qFormat/>
    <w:pPr>
      <w:ind w:left="1134" w:firstLine="20"/>
      <w:spacing w:before="280" w:after="280" w:line="360" w:lineRule="auto"/>
      <w:outlineLvl w:val="5"/>
    </w:pPr>
  </w:style>
  <w:style w:type="paragraph" w:styleId="1182" w:customStyle="1">
    <w:name w:val="正文段"/>
    <w:basedOn w:val="1000"/>
    <w:next w:val="1183"/>
    <w:qFormat/>
    <w:pPr>
      <w:ind w:left="454" w:firstLine="1222"/>
      <w:spacing w:before="0" w:after="240" w:line="240" w:lineRule="atLeast"/>
    </w:pPr>
    <w:rPr>
      <w:rFonts w:ascii="Times New Roman" w:hAnsi="Times New Roman" w:cs="Times New Roman"/>
    </w:rPr>
  </w:style>
  <w:style w:type="paragraph" w:styleId="1183" w:customStyle="1">
    <w:name w:val="批注主题1"/>
    <w:next w:val="999"/>
    <w:qFormat/>
    <w:pPr>
      <w:ind w:left="200" w:firstLine="4808"/>
      <w:spacing w:line="360" w:lineRule="auto"/>
    </w:pPr>
    <w:rPr>
      <w:rFonts w:ascii="Calibri" w:hAnsi="Calibri"/>
    </w:rPr>
  </w:style>
  <w:style w:type="paragraph" w:styleId="1184" w:customStyle="1">
    <w:name w:val="_Style 224"/>
    <w:next w:val="1185"/>
    <w:qFormat/>
    <w:pPr>
      <w:ind w:firstLine="3584"/>
    </w:pPr>
    <w:rPr>
      <w:rFonts w:ascii="Calibri" w:hAnsi="Calibri"/>
    </w:rPr>
  </w:style>
  <w:style w:type="paragraph" w:styleId="1185" w:customStyle="1">
    <w:name w:val="编号1"/>
    <w:basedOn w:val="1000"/>
    <w:next w:val="1186"/>
    <w:qFormat/>
    <w:pPr>
      <w:ind w:left="360" w:right="210" w:firstLine="2200"/>
      <w:spacing w:before="0" w:after="0" w:line="240" w:lineRule="auto"/>
    </w:pPr>
    <w:rPr>
      <w:rFonts w:ascii="Times New Roman" w:hAnsi="Times New Roman" w:cs="Times New Roman"/>
    </w:rPr>
  </w:style>
  <w:style w:type="paragraph" w:styleId="1186" w:customStyle="1">
    <w:name w:val="图片"/>
    <w:basedOn w:val="1000"/>
    <w:next w:val="1187"/>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qFormat/>
    <w:pPr>
      <w:ind w:left="400" w:firstLine="5120"/>
      <w:spacing w:line="360" w:lineRule="auto"/>
      <w:widowControl w:val="off"/>
    </w:pPr>
    <w:rPr>
      <w:rFonts w:ascii="Calibri" w:hAnsi="Calibri"/>
    </w:r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1000"/>
    <w:next w:val="1190"/>
    <w:qFormat/>
    <w:pPr>
      <w:ind w:left="1620" w:firstLine="2712"/>
      <w:spacing w:before="0" w:after="0" w:line="360" w:lineRule="auto"/>
    </w:pPr>
    <w:rPr>
      <w:rFonts w:ascii="Times New Roman" w:hAnsi="Times New Roman" w:cs="Times New Roman"/>
    </w:rPr>
  </w:style>
  <w:style w:type="paragraph" w:styleId="1190" w:customStyle="1">
    <w:name w:val="项目符0"/>
    <w:basedOn w:val="1000"/>
    <w:next w:val="1191"/>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qFormat/>
    <w:pPr>
      <w:ind w:firstLine="5632"/>
      <w:widowControl w:val="off"/>
    </w:pPr>
    <w:rPr>
      <w:rFonts w:ascii="Calibri" w:hAnsi="Calibri"/>
    </w:rPr>
  </w:style>
  <w:style w:type="paragraph" w:styleId="1192" w:customStyle="1">
    <w:name w:val="Item Step in Table"/>
    <w:next w:val="1193"/>
    <w:qFormat/>
    <w:pPr>
      <w:ind w:left="397" w:firstLine="3699"/>
      <w:jc w:val="both"/>
      <w:spacing w:before="40" w:after="40"/>
    </w:pPr>
    <w:rPr>
      <w:rFonts w:ascii="Calibri" w:hAnsi="Calibri"/>
    </w:rPr>
  </w:style>
  <w:style w:type="paragraph" w:styleId="1193" w:customStyle="1">
    <w:name w:val="Char Char Char Char Char Char1 Char Char Char Char Char Char"/>
    <w:basedOn w:val="1000"/>
    <w:next w:val="1194"/>
    <w:qFormat/>
    <w:pPr>
      <w:ind w:left="0" w:firstLine="2560"/>
      <w:spacing w:before="0" w:after="0" w:line="240" w:lineRule="auto"/>
    </w:pPr>
    <w:rPr>
      <w:rFonts w:ascii="Times New Roman" w:hAnsi="Times New Roman" w:cs="Times New Roman"/>
    </w:rPr>
  </w:style>
  <w:style w:type="paragraph" w:styleId="1194" w:customStyle="1">
    <w:name w:val="Char Char1"/>
    <w:basedOn w:val="1000"/>
    <w:next w:val="1195"/>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3"/>
    <w:next w:val="1058"/>
    <w:qFormat/>
    <w:pPr>
      <w:ind w:left="200" w:firstLine="18"/>
      <w:spacing w:before="0" w:after="0" w:line="360" w:lineRule="auto"/>
      <w:outlineLvl w:val="2"/>
    </w:pPr>
  </w:style>
  <w:style w:type="paragraph" w:styleId="1196" w:customStyle="1">
    <w:name w:val="xl76"/>
    <w:basedOn w:val="1000"/>
    <w:next w:val="1055"/>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0"/>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0"/>
    <w:next w:val="1038"/>
    <w:qFormat/>
    <w:pPr>
      <w:ind w:left="0" w:firstLine="2560"/>
      <w:spacing w:before="0" w:after="0" w:line="240" w:lineRule="auto"/>
    </w:pPr>
    <w:rPr>
      <w:rFonts w:ascii="Times New Roman" w:hAnsi="Times New Roman" w:cs="Times New Roman"/>
    </w:rPr>
  </w:style>
  <w:style w:type="paragraph" w:styleId="1199" w:customStyle="1">
    <w:name w:val="纯文本2"/>
    <w:basedOn w:val="1000"/>
    <w:next w:val="1200"/>
    <w:qFormat/>
    <w:pPr>
      <w:ind w:left="0" w:firstLine="3584"/>
      <w:spacing w:before="0" w:after="0" w:line="240" w:lineRule="auto"/>
    </w:pPr>
    <w:rPr>
      <w:rFonts w:ascii="Times New Roman" w:hAnsi="Times New Roman" w:cs="Times New Roman"/>
    </w:rPr>
  </w:style>
  <w:style w:type="paragraph" w:styleId="1200" w:customStyle="1">
    <w:name w:val="xl69"/>
    <w:basedOn w:val="1000"/>
    <w:next w:val="1201"/>
    <w:qFormat/>
    <w:pPr>
      <w:ind w:left="0" w:firstLine="3584"/>
      <w:spacing w:before="280" w:after="280" w:line="240" w:lineRule="auto"/>
    </w:pPr>
    <w:rPr>
      <w:rFonts w:ascii="Times New Roman" w:hAnsi="Times New Roman" w:cs="Times New Roman"/>
    </w:rPr>
  </w:style>
  <w:style w:type="paragraph" w:styleId="1201" w:customStyle="1">
    <w:name w:val="Char Char Char"/>
    <w:basedOn w:val="1000"/>
    <w:next w:val="1202"/>
    <w:qFormat/>
    <w:pPr>
      <w:ind w:left="0" w:firstLine="2560"/>
      <w:spacing w:before="0" w:after="0" w:line="240" w:lineRule="auto"/>
    </w:pPr>
    <w:rPr>
      <w:rFonts w:ascii="Times New Roman" w:hAnsi="Times New Roman" w:cs="Times New Roman"/>
    </w:rPr>
  </w:style>
  <w:style w:type="paragraph" w:styleId="1202" w:customStyle="1">
    <w:name w:val="表格"/>
    <w:basedOn w:val="1000"/>
    <w:next w:val="1197"/>
    <w:qFormat/>
    <w:pPr>
      <w:ind w:left="0" w:firstLine="2560"/>
      <w:spacing w:before="0" w:after="0" w:line="360" w:lineRule="auto"/>
    </w:pPr>
    <w:rPr>
      <w:rFonts w:ascii="Times New Roman" w:hAnsi="Times New Roman" w:cs="Times New Roman"/>
    </w:rPr>
  </w:style>
  <w:style w:type="paragraph" w:styleId="1203" w:customStyle="1">
    <w:name w:val="xl68"/>
    <w:basedOn w:val="1000"/>
    <w:next w:val="1204"/>
    <w:qFormat/>
    <w:pPr>
      <w:ind w:left="100" w:firstLine="5220"/>
      <w:spacing w:before="280" w:after="280" w:line="240" w:lineRule="auto"/>
    </w:pPr>
    <w:rPr>
      <w:rFonts w:ascii="Times New Roman" w:hAnsi="Times New Roman" w:cs="Times New Roman"/>
    </w:rPr>
  </w:style>
  <w:style w:type="paragraph" w:styleId="1204" w:customStyle="1">
    <w:name w:val="Char1"/>
    <w:basedOn w:val="1000"/>
    <w:next w:val="1205"/>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0"/>
    <w:next w:val="1206"/>
    <w:qFormat/>
    <w:pPr>
      <w:ind w:left="437" w:firstLine="2741"/>
      <w:spacing w:before="0" w:after="0" w:line="360" w:lineRule="auto"/>
    </w:pPr>
    <w:rPr>
      <w:rFonts w:ascii="Times New Roman" w:hAnsi="Times New Roman" w:cs="Times New Roman"/>
    </w:rPr>
  </w:style>
  <w:style w:type="paragraph" w:styleId="1206" w:customStyle="1">
    <w:name w:val="xl74"/>
    <w:basedOn w:val="1000"/>
    <w:next w:val="1207"/>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0"/>
    <w:next w:val="1208"/>
    <w:qFormat/>
    <w:pPr>
      <w:ind w:left="0" w:firstLine="5120"/>
      <w:spacing w:before="280" w:after="280" w:line="240" w:lineRule="auto"/>
    </w:pPr>
    <w:rPr>
      <w:rFonts w:ascii="Times New Roman" w:hAnsi="Times New Roman" w:cs="Times New Roman"/>
    </w:rPr>
  </w:style>
  <w:style w:type="paragraph" w:styleId="1208" w:customStyle="1">
    <w:name w:val="xl70"/>
    <w:basedOn w:val="1000"/>
    <w:next w:val="1054"/>
    <w:qFormat/>
    <w:pPr>
      <w:ind w:left="0" w:firstLine="1024"/>
      <w:spacing w:before="280" w:after="280" w:line="240" w:lineRule="auto"/>
    </w:pPr>
    <w:rPr>
      <w:rFonts w:ascii="Times New Roman" w:hAnsi="Times New Roman" w:cs="Times New Roman"/>
    </w:rPr>
  </w:style>
  <w:style w:type="paragraph" w:styleId="1209" w:customStyle="1">
    <w:name w:val="文档标题5"/>
    <w:basedOn w:val="1005"/>
    <w:next w:val="999"/>
    <w:qFormat/>
    <w:pPr>
      <w:ind w:left="992" w:firstLine="18"/>
      <w:spacing w:before="280" w:after="280" w:line="360" w:lineRule="auto"/>
      <w:outlineLvl w:val="4"/>
    </w:pPr>
  </w:style>
  <w:style w:type="paragraph" w:styleId="1210" w:customStyle="1">
    <w:name w:val="样式 加粗 居中"/>
    <w:basedOn w:val="1000"/>
    <w:next w:val="1211"/>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qFormat/>
    <w:pPr>
      <w:ind w:firstLine="14"/>
      <w:spacing w:line="360" w:lineRule="auto"/>
      <w:shd w:val="clear" w:color="000000" w:fill="000080"/>
    </w:pPr>
    <w:rPr>
      <w:rFonts w:ascii="Calibri" w:hAnsi="Calibri"/>
    </w:rPr>
  </w:style>
  <w:style w:type="paragraph" w:styleId="1212" w:customStyle="1">
    <w:name w:val="正文文本缩进1"/>
    <w:basedOn w:val="1000"/>
    <w:next w:val="1213"/>
    <w:qFormat/>
    <w:pPr>
      <w:ind w:left="420" w:firstLine="3584"/>
      <w:spacing w:before="0" w:after="120" w:line="240" w:lineRule="auto"/>
    </w:pPr>
    <w:rPr>
      <w:rFonts w:ascii="Times New Roman" w:hAnsi="Times New Roman" w:cs="Times New Roman"/>
    </w:rPr>
  </w:style>
  <w:style w:type="paragraph" w:styleId="1213" w:customStyle="1">
    <w:name w:val="列表编号 31"/>
    <w:basedOn w:val="1000"/>
    <w:next w:val="1056"/>
    <w:qFormat/>
    <w:pPr>
      <w:ind w:left="1200" w:firstLine="2712"/>
      <w:spacing w:before="0" w:after="0" w:line="360" w:lineRule="auto"/>
    </w:pPr>
    <w:rPr>
      <w:rFonts w:ascii="Times New Roman" w:hAnsi="Times New Roman" w:cs="Times New Roman"/>
    </w:rPr>
  </w:style>
  <w:style w:type="paragraph" w:styleId="1214" w:customStyle="1">
    <w:name w:val="三号 居中"/>
    <w:basedOn w:val="1000"/>
    <w:next w:val="1215"/>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0"/>
    <w:next w:val="1216"/>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0"/>
    <w:next w:val="1217"/>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0"/>
    <w:next w:val="1218"/>
    <w:qFormat/>
    <w:pPr>
      <w:ind w:left="0" w:firstLine="2560"/>
      <w:spacing w:before="0" w:after="0" w:line="240" w:lineRule="auto"/>
    </w:pPr>
    <w:rPr>
      <w:rFonts w:ascii="Times New Roman" w:hAnsi="Times New Roman" w:cs="Times New Roman"/>
    </w:rPr>
  </w:style>
  <w:style w:type="paragraph" w:styleId="1218" w:customStyle="1">
    <w:name w:val="正文符号4"/>
    <w:basedOn w:val="1000"/>
    <w:next w:val="1210"/>
    <w:qFormat/>
    <w:pPr>
      <w:ind w:left="0" w:firstLine="5632"/>
      <w:spacing w:before="0" w:after="0" w:line="240" w:lineRule="auto"/>
    </w:pPr>
    <w:rPr>
      <w:rFonts w:ascii="Times New Roman" w:hAnsi="Times New Roman" w:cs="Times New Roman"/>
    </w:rPr>
  </w:style>
  <w:style w:type="paragraph" w:styleId="1219" w:customStyle="1">
    <w:name w:val="加粗（居中）"/>
    <w:next w:val="1220"/>
    <w:qFormat/>
    <w:pPr>
      <w:ind w:firstLine="2560"/>
    </w:pPr>
    <w:rPr>
      <w:rFonts w:ascii="Calibri" w:hAnsi="Calibri"/>
    </w:rPr>
  </w:style>
  <w:style w:type="paragraph" w:styleId="1220" w:customStyle="1">
    <w:name w:val="xl65"/>
    <w:basedOn w:val="1000"/>
    <w:next w:val="1180"/>
    <w:qFormat/>
    <w:pPr>
      <w:ind w:left="0" w:firstLine="5120"/>
      <w:spacing w:before="280" w:after="280" w:line="240" w:lineRule="auto"/>
    </w:pPr>
    <w:rPr>
      <w:rFonts w:ascii="Times New Roman" w:hAnsi="Times New Roman" w:cs="Times New Roman"/>
    </w:rPr>
  </w:style>
  <w:style w:type="paragraph" w:styleId="1221" w:customStyle="1">
    <w:name w:val="WPSOffice手动目录 3"/>
    <w:qFormat/>
    <w:pPr>
      <w:ind w:left="400"/>
    </w:pPr>
  </w:style>
  <w:style w:type="paragraph" w:styleId="1222" w:customStyle="1">
    <w:name w:val="xl77"/>
    <w:basedOn w:val="1000"/>
    <w:next w:val="1223"/>
    <w:qFormat/>
    <w:pPr>
      <w:ind w:left="0" w:firstLine="3584"/>
      <w:spacing w:before="280" w:after="280" w:line="240" w:lineRule="auto"/>
    </w:pPr>
    <w:rPr>
      <w:rFonts w:ascii="Times New Roman" w:hAnsi="Times New Roman" w:cs="Times New Roman"/>
    </w:rPr>
  </w:style>
  <w:style w:type="paragraph" w:styleId="1223" w:customStyle="1">
    <w:name w:val="Char Char Char1"/>
    <w:basedOn w:val="1000"/>
    <w:next w:val="1224"/>
    <w:qFormat/>
    <w:pPr>
      <w:ind w:left="900" w:firstLine="2096"/>
      <w:spacing w:before="0" w:after="0" w:line="240" w:lineRule="auto"/>
    </w:pPr>
    <w:rPr>
      <w:rFonts w:ascii="Times New Roman" w:hAnsi="Times New Roman" w:cs="Times New Roman"/>
    </w:rPr>
  </w:style>
  <w:style w:type="paragraph" w:styleId="1224" w:customStyle="1">
    <w:name w:val="索引 21"/>
    <w:basedOn w:val="1000"/>
    <w:next w:val="999"/>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qFormat/>
    <w:pPr>
      <w:ind w:left="480" w:firstLine="2784"/>
      <w:jc w:val="center"/>
      <w:spacing w:line="300" w:lineRule="auto"/>
    </w:pPr>
    <w:rPr>
      <w:rFonts w:ascii="Calibri" w:hAnsi="Calibri"/>
    </w:rPr>
  </w:style>
  <w:style w:type="paragraph" w:styleId="1226" w:customStyle="1">
    <w:name w:val="xl28"/>
    <w:basedOn w:val="1000"/>
    <w:next w:val="122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0"/>
    <w:next w:val="1228"/>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0"/>
    <w:next w:val="999"/>
    <w:qFormat/>
    <w:pPr>
      <w:ind w:left="425" w:firstLine="1111"/>
      <w:spacing w:before="0" w:after="0" w:line="360" w:lineRule="auto"/>
    </w:pPr>
    <w:rPr>
      <w:rFonts w:ascii="Times New Roman" w:hAnsi="Times New Roman" w:cs="Times New Roman"/>
    </w:rPr>
  </w:style>
  <w:style w:type="paragraph" w:styleId="1229" w:customStyle="1">
    <w:name w:val="Default"/>
    <w:next w:val="1034"/>
    <w:qFormat/>
    <w:pPr>
      <w:ind w:firstLine="5120"/>
      <w:widowControl w:val="off"/>
    </w:pPr>
    <w:rPr>
      <w:rFonts w:ascii="Calibri" w:hAnsi="Calibri"/>
    </w:rPr>
  </w:style>
  <w:style w:type="paragraph" w:styleId="1230" w:customStyle="1">
    <w:name w:val="xl84"/>
    <w:basedOn w:val="1000"/>
    <w:next w:val="1231"/>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2"/>
    <w:next w:val="1232"/>
    <w:qFormat/>
    <w:pPr>
      <w:ind w:left="0" w:firstLine="24"/>
      <w:jc w:val="center"/>
      <w:spacing w:before="0" w:after="0" w:line="360" w:lineRule="auto"/>
      <w:outlineLvl w:val="1"/>
    </w:pPr>
  </w:style>
  <w:style w:type="paragraph" w:styleId="1232" w:customStyle="1">
    <w:name w:val="应答文本"/>
    <w:basedOn w:val="1000"/>
    <w:next w:val="1233"/>
    <w:qFormat/>
    <w:pPr>
      <w:ind w:left="1296" w:firstLine="2112"/>
      <w:spacing w:before="0" w:after="0" w:line="460" w:lineRule="exact"/>
    </w:pPr>
    <w:rPr>
      <w:rFonts w:ascii="Times New Roman" w:hAnsi="Times New Roman" w:cs="Times New Roman"/>
    </w:rPr>
  </w:style>
  <w:style w:type="paragraph" w:styleId="1233" w:customStyle="1">
    <w:name w:val="引文目录1"/>
    <w:basedOn w:val="1000"/>
    <w:next w:val="999"/>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999"/>
    <w:qFormat/>
    <w:pPr>
      <w:ind w:firstLine="480"/>
    </w:pPr>
    <w:rPr>
      <w:rFonts w:ascii="Times New Roman" w:hAnsi="Times New Roman" w:cs="Times New Roman"/>
      <w:lang w:val="zh-CN"/>
    </w:rPr>
  </w:style>
  <w:style w:type="paragraph" w:styleId="1235" w:customStyle="1">
    <w:name w:val="font9"/>
    <w:basedOn w:val="1000"/>
    <w:next w:val="1236"/>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3"/>
    <w:next w:val="1237"/>
    <w:qFormat/>
    <w:pPr>
      <w:ind w:left="0"/>
      <w:spacing w:before="0" w:after="0" w:line="400" w:lineRule="exact"/>
      <w:outlineLvl w:val="2"/>
    </w:pPr>
  </w:style>
  <w:style w:type="paragraph" w:styleId="1237" w:customStyle="1">
    <w:name w:val="标书正文"/>
    <w:basedOn w:val="1000"/>
    <w:next w:val="1238"/>
    <w:qFormat/>
    <w:pPr>
      <w:ind w:left="440" w:right="100" w:firstLine="2760"/>
      <w:spacing w:before="0" w:after="0" w:line="360" w:lineRule="auto"/>
    </w:pPr>
    <w:rPr>
      <w:rFonts w:ascii="Times New Roman" w:hAnsi="Times New Roman" w:cs="Times New Roman"/>
    </w:rPr>
  </w:style>
  <w:style w:type="paragraph" w:styleId="1238" w:customStyle="1">
    <w:name w:val="xl67"/>
    <w:basedOn w:val="1000"/>
    <w:next w:val="1239"/>
    <w:qFormat/>
    <w:pPr>
      <w:ind w:left="0" w:firstLine="5120"/>
      <w:spacing w:before="280" w:after="280" w:line="240" w:lineRule="auto"/>
    </w:pPr>
    <w:rPr>
      <w:rFonts w:ascii="Times New Roman" w:hAnsi="Times New Roman" w:cs="Times New Roman"/>
    </w:rPr>
  </w:style>
  <w:style w:type="paragraph" w:styleId="1239" w:customStyle="1">
    <w:name w:val="索引 61"/>
    <w:basedOn w:val="1000"/>
    <w:next w:val="999"/>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0"/>
    <w:next w:val="999"/>
    <w:qFormat/>
    <w:pPr>
      <w:ind w:left="419" w:firstLine="5283"/>
      <w:spacing w:before="0" w:after="0" w:line="317" w:lineRule="atLeast"/>
    </w:pPr>
    <w:rPr>
      <w:rFonts w:ascii="Times New Roman" w:hAnsi="Times New Roman" w:cs="Times New Roman"/>
    </w:rPr>
  </w:style>
  <w:style w:type="paragraph" w:styleId="1241" w:customStyle="1">
    <w:name w:val="xl90"/>
    <w:basedOn w:val="1000"/>
    <w:next w:val="1242"/>
    <w:qFormat/>
    <w:pPr>
      <w:ind w:left="0" w:firstLine="3584"/>
      <w:spacing w:before="280" w:after="280" w:line="240" w:lineRule="auto"/>
    </w:pPr>
    <w:rPr>
      <w:rFonts w:ascii="Times New Roman" w:hAnsi="Times New Roman" w:cs="Times New Roman"/>
    </w:rPr>
  </w:style>
  <w:style w:type="paragraph" w:styleId="1242" w:customStyle="1">
    <w:name w:val="列表框1"/>
    <w:next w:val="1233"/>
    <w:qFormat/>
    <w:pPr>
      <w:ind w:firstLine="2048"/>
      <w:spacing w:line="460" w:lineRule="exact"/>
    </w:pPr>
    <w:rPr>
      <w:rFonts w:ascii="Calibri" w:hAnsi="Calibri"/>
    </w:rPr>
  </w:style>
  <w:style w:type="paragraph" w:styleId="1243" w:customStyle="1">
    <w:name w:val="1ji"/>
    <w:basedOn w:val="1001"/>
    <w:next w:val="1222"/>
    <w:qFormat/>
    <w:pPr>
      <w:ind w:left="0" w:firstLine="18"/>
      <w:jc w:val="center"/>
      <w:spacing w:before="0" w:after="0" w:line="240" w:lineRule="auto"/>
      <w:outlineLvl w:val="0"/>
    </w:pPr>
  </w:style>
  <w:style w:type="paragraph" w:styleId="1244" w:customStyle="1">
    <w:name w:val="索引 81"/>
    <w:basedOn w:val="1000"/>
    <w:next w:val="999"/>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999"/>
    <w:next w:val="999"/>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0"/>
    <w:next w:val="1247"/>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0"/>
    <w:next w:val="1248"/>
    <w:qFormat/>
    <w:pPr>
      <w:ind w:left="0" w:firstLine="2560"/>
      <w:jc w:val="center"/>
      <w:spacing w:before="0" w:after="0" w:line="360" w:lineRule="auto"/>
    </w:pPr>
    <w:rPr>
      <w:rFonts w:ascii="Times New Roman" w:hAnsi="Times New Roman" w:cs="Times New Roman"/>
    </w:rPr>
  </w:style>
  <w:style w:type="paragraph" w:styleId="1248" w:customStyle="1">
    <w:name w:val="xl89"/>
    <w:basedOn w:val="100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0"/>
    <w:next w:val="1250"/>
    <w:qFormat/>
    <w:pPr>
      <w:ind w:left="0" w:firstLine="2560"/>
      <w:spacing w:before="0" w:after="0" w:line="240" w:lineRule="auto"/>
    </w:pPr>
    <w:rPr>
      <w:rFonts w:ascii="Times New Roman" w:hAnsi="Times New Roman" w:cs="Times New Roman"/>
    </w:rPr>
  </w:style>
  <w:style w:type="paragraph" w:styleId="1250" w:customStyle="1">
    <w:name w:val="文章附标题"/>
    <w:basedOn w:val="1000"/>
    <w:next w:val="1000"/>
    <w:qFormat/>
    <w:pPr>
      <w:ind w:left="0" w:firstLine="5120"/>
      <w:jc w:val="center"/>
      <w:spacing w:before="187" w:after="175" w:line="374" w:lineRule="atLeast"/>
    </w:pPr>
    <w:rPr>
      <w:rFonts w:ascii="Times New Roman" w:hAnsi="Times New Roman" w:cs="Times New Roman"/>
    </w:rPr>
  </w:style>
  <w:style w:type="paragraph" w:styleId="1251">
    <w:name w:val="Quote"/>
    <w:next w:val="999"/>
    <w:qFormat/>
    <w:pPr>
      <w:ind w:left="3680" w:right="864"/>
      <w:jc w:val="center"/>
      <w:spacing w:before="200" w:after="160"/>
    </w:pPr>
    <w:rPr>
      <w:rFonts w:ascii="Calibri" w:hAnsi="Calibri"/>
      <w:i/>
    </w:rPr>
  </w:style>
  <w:style w:type="paragraph" w:styleId="1252" w:customStyle="1">
    <w:name w:val="Default Paragraph Font Para Char Char Char Char Char Char"/>
    <w:basedOn w:val="1000"/>
    <w:next w:val="1253"/>
    <w:qFormat/>
    <w:pPr>
      <w:ind w:left="0" w:firstLine="3584"/>
      <w:spacing w:before="0" w:after="160" w:line="240" w:lineRule="exact"/>
    </w:pPr>
    <w:rPr>
      <w:rFonts w:ascii="Times New Roman" w:hAnsi="Times New Roman" w:cs="Times New Roman"/>
    </w:rPr>
  </w:style>
  <w:style w:type="paragraph" w:styleId="1253" w:customStyle="1">
    <w:name w:val="xl23"/>
    <w:basedOn w:val="1000"/>
    <w:next w:val="1036"/>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0"/>
    <w:next w:val="1255"/>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2"/>
    <w:next w:val="1256"/>
    <w:qFormat/>
    <w:pPr>
      <w:ind w:left="0" w:firstLine="24"/>
      <w:jc w:val="center"/>
      <w:spacing w:line="412" w:lineRule="auto"/>
      <w:outlineLvl w:val="1"/>
    </w:pPr>
  </w:style>
  <w:style w:type="paragraph" w:styleId="1256" w:customStyle="1">
    <w:name w:val="页脚 Char Char"/>
    <w:basedOn w:val="1000"/>
    <w:next w:val="1257"/>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1"/>
    <w:next w:val="1258"/>
    <w:qFormat/>
    <w:pPr>
      <w:ind w:left="0" w:firstLine="18"/>
      <w:jc w:val="center"/>
      <w:spacing w:before="120" w:after="0" w:line="360" w:lineRule="auto"/>
      <w:outlineLvl w:val="0"/>
    </w:pPr>
  </w:style>
  <w:style w:type="paragraph" w:styleId="1258" w:customStyle="1">
    <w:name w:val="Char1 Char Char Char Char Char Char"/>
    <w:basedOn w:val="1000"/>
    <w:next w:val="1259"/>
    <w:qFormat/>
    <w:pPr>
      <w:ind w:left="0" w:firstLine="2560"/>
      <w:spacing w:before="0" w:after="0" w:line="240" w:lineRule="auto"/>
    </w:pPr>
    <w:rPr>
      <w:rFonts w:ascii="Times New Roman" w:hAnsi="Times New Roman" w:cs="Times New Roman"/>
    </w:rPr>
  </w:style>
  <w:style w:type="paragraph" w:styleId="1259" w:customStyle="1">
    <w:name w:val="文档标题4"/>
    <w:basedOn w:val="1004"/>
    <w:next w:val="999"/>
    <w:qFormat/>
    <w:pPr>
      <w:ind w:left="851" w:firstLine="30"/>
      <w:spacing w:after="280" w:line="360" w:lineRule="auto"/>
      <w:outlineLvl w:val="3"/>
    </w:pPr>
  </w:style>
  <w:style w:type="paragraph" w:styleId="1260" w:customStyle="1">
    <w:name w:val="font0"/>
    <w:basedOn w:val="1000"/>
    <w:next w:val="1235"/>
    <w:qFormat/>
    <w:pPr>
      <w:ind w:left="0" w:firstLine="1024"/>
      <w:spacing w:before="280" w:after="280" w:line="240" w:lineRule="auto"/>
    </w:pPr>
    <w:rPr>
      <w:rFonts w:ascii="Times New Roman" w:hAnsi="Times New Roman" w:cs="Times New Roman"/>
    </w:rPr>
  </w:style>
  <w:style w:type="paragraph" w:styleId="1261" w:customStyle="1">
    <w:name w:val="CM5"/>
    <w:basedOn w:val="1000"/>
    <w:next w:val="999"/>
    <w:qFormat/>
    <w:pPr>
      <w:ind w:left="200" w:firstLine="2760"/>
      <w:spacing w:before="0" w:after="0" w:line="400" w:lineRule="atLeast"/>
    </w:pPr>
    <w:rPr>
      <w:rFonts w:ascii="Times New Roman" w:hAnsi="Times New Roman" w:cs="Times New Roman"/>
    </w:rPr>
  </w:style>
  <w:style w:type="paragraph" w:styleId="1262" w:customStyle="1">
    <w:name w:val="Pa0"/>
    <w:basedOn w:val="1000"/>
    <w:next w:val="999"/>
    <w:qFormat/>
    <w:pPr>
      <w:ind w:left="0" w:firstLine="4608"/>
      <w:spacing w:before="0" w:after="0" w:line="241" w:lineRule="atLeast"/>
    </w:pPr>
    <w:rPr>
      <w:rFonts w:ascii="Times New Roman" w:hAnsi="Times New Roman" w:cs="Times New Roman"/>
    </w:rPr>
  </w:style>
  <w:style w:type="paragraph" w:styleId="1263" w:customStyle="1">
    <w:name w:val="招标文件》"/>
    <w:basedOn w:val="1000"/>
    <w:next w:val="1199"/>
    <w:qFormat/>
    <w:pPr>
      <w:ind w:left="420" w:firstLine="2140"/>
      <w:spacing w:before="120" w:after="120" w:line="300" w:lineRule="auto"/>
    </w:pPr>
    <w:rPr>
      <w:rFonts w:ascii="Times New Roman" w:hAnsi="Times New Roman" w:cs="Times New Roman"/>
    </w:rPr>
  </w:style>
  <w:style w:type="paragraph" w:styleId="1264" w:customStyle="1">
    <w:name w:val="段"/>
    <w:next w:val="999"/>
    <w:qFormat/>
    <w:pPr>
      <w:ind w:firstLine="200"/>
      <w:jc w:val="both"/>
      <w:spacing w:line="360" w:lineRule="auto"/>
    </w:pPr>
    <w:rPr>
      <w:sz w:val="24"/>
      <w:szCs w:val="22"/>
    </w:rPr>
  </w:style>
  <w:style w:type="paragraph" w:styleId="1265" w:customStyle="1">
    <w:name w:val="标书_正文"/>
    <w:basedOn w:val="1000"/>
    <w:next w:val="1266"/>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2"/>
    <w:next w:val="1214"/>
    <w:qFormat/>
    <w:pPr>
      <w:ind w:left="0" w:firstLine="24"/>
      <w:spacing w:before="100" w:after="0" w:line="400" w:lineRule="exact"/>
      <w:outlineLvl w:val="1"/>
    </w:pPr>
  </w:style>
  <w:style w:type="paragraph" w:styleId="1267" w:customStyle="1">
    <w:name w:val="图片0"/>
    <w:basedOn w:val="1000"/>
    <w:next w:val="1047"/>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0"/>
    <w:next w:val="124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qFormat/>
    <w:pPr>
      <w:ind w:firstLine="10"/>
      <w:spacing w:line="360" w:lineRule="auto"/>
      <w:shd w:val="clear" w:color="000000" w:fill="000080"/>
    </w:pPr>
    <w:rPr>
      <w:rFonts w:ascii="Calibri" w:hAnsi="Calibri"/>
    </w:rPr>
  </w:style>
  <w:style w:type="paragraph" w:styleId="1270" w:customStyle="1">
    <w:name w:val="杨昂超式样黑体主"/>
    <w:basedOn w:val="1000"/>
    <w:next w:val="1271"/>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0"/>
    <w:next w:val="1272"/>
    <w:qFormat/>
    <w:pPr>
      <w:ind w:left="0" w:firstLine="2560"/>
      <w:spacing w:before="0" w:after="0" w:line="240" w:lineRule="auto"/>
    </w:pPr>
    <w:rPr>
      <w:rFonts w:ascii="Times New Roman" w:hAnsi="Times New Roman" w:cs="Times New Roman"/>
    </w:rPr>
  </w:style>
  <w:style w:type="paragraph" w:styleId="1272" w:customStyle="1">
    <w:name w:val="目录1"/>
    <w:basedOn w:val="1000"/>
    <w:next w:val="999"/>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0"/>
    <w:next w:val="1274"/>
    <w:qFormat/>
    <w:pPr>
      <w:ind w:left="200" w:firstLine="2248"/>
      <w:spacing w:before="0" w:after="0" w:line="360" w:lineRule="auto"/>
    </w:pPr>
    <w:rPr>
      <w:rFonts w:ascii="Times New Roman" w:hAnsi="Times New Roman" w:cs="Times New Roman"/>
    </w:rPr>
  </w:style>
  <w:style w:type="paragraph" w:styleId="1274" w:customStyle="1">
    <w:name w:val="2ji"/>
    <w:basedOn w:val="1002"/>
    <w:next w:val="1042"/>
    <w:qFormat/>
    <w:pPr>
      <w:ind w:left="0" w:firstLine="24"/>
      <w:spacing w:before="0" w:after="0" w:line="360" w:lineRule="auto"/>
      <w:outlineLvl w:val="1"/>
    </w:pPr>
  </w:style>
  <w:style w:type="paragraph" w:styleId="1275" w:customStyle="1">
    <w:name w:val="xl91"/>
    <w:basedOn w:val="1000"/>
    <w:next w:val="1196"/>
    <w:qFormat/>
    <w:pPr>
      <w:ind w:left="0" w:firstLine="3584"/>
      <w:spacing w:before="280" w:after="280" w:line="240" w:lineRule="auto"/>
    </w:pPr>
    <w:rPr>
      <w:rFonts w:ascii="Times New Roman" w:hAnsi="Times New Roman" w:cs="Times New Roman"/>
    </w:rPr>
  </w:style>
  <w:style w:type="paragraph" w:styleId="1276" w:customStyle="1">
    <w:name w:val="Text Body"/>
    <w:basedOn w:val="1000"/>
    <w:next w:val="1277"/>
    <w:qFormat/>
    <w:pPr>
      <w:ind w:left="0" w:firstLine="4096"/>
      <w:spacing w:before="0" w:after="120" w:line="240" w:lineRule="auto"/>
    </w:pPr>
    <w:rPr>
      <w:rFonts w:ascii="Times New Roman" w:hAnsi="Times New Roman" w:cs="Times New Roman"/>
    </w:rPr>
  </w:style>
  <w:style w:type="paragraph" w:styleId="1277" w:customStyle="1">
    <w:name w:val="项目符1"/>
    <w:basedOn w:val="1000"/>
    <w:next w:val="1278"/>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0"/>
    <w:next w:val="999"/>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3"/>
    <w:next w:val="1280"/>
    <w:qFormat/>
    <w:pPr>
      <w:ind w:left="1429" w:firstLine="18"/>
      <w:spacing w:before="100" w:after="100" w:line="360" w:lineRule="auto"/>
      <w:outlineLvl w:val="2"/>
    </w:pPr>
  </w:style>
  <w:style w:type="paragraph" w:styleId="1280" w:customStyle="1">
    <w:name w:val="xl22"/>
    <w:basedOn w:val="1000"/>
    <w:next w:val="1281"/>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0"/>
    <w:next w:val="999"/>
    <w:qFormat/>
    <w:pPr>
      <w:ind w:left="0"/>
      <w:spacing w:before="0" w:after="0" w:line="360" w:lineRule="auto"/>
    </w:pPr>
    <w:rPr>
      <w:rFonts w:ascii="Times New Roman" w:hAnsi="Times New Roman" w:cs="Times New Roman"/>
    </w:rPr>
  </w:style>
  <w:style w:type="paragraph" w:styleId="1282" w:customStyle="1">
    <w:name w:val="xl78"/>
    <w:basedOn w:val="1000"/>
    <w:next w:val="1283"/>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qFormat/>
    <w:pPr>
      <w:ind w:firstLine="4608"/>
      <w:jc w:val="center"/>
      <w:spacing w:line="360" w:lineRule="auto"/>
    </w:pPr>
    <w:rPr>
      <w:rFonts w:ascii="Calibri" w:hAnsi="Calibri"/>
    </w:rPr>
  </w:style>
  <w:style w:type="paragraph" w:styleId="1284" w:customStyle="1">
    <w:name w:val="_Style 169"/>
    <w:next w:val="999"/>
    <w:qFormat/>
    <w:pPr>
      <w:ind w:left="2560"/>
    </w:pPr>
    <w:rPr>
      <w:rFonts w:ascii="Calibri" w:hAnsi="Calibri"/>
    </w:rPr>
  </w:style>
  <w:style w:type="paragraph" w:styleId="1285" w:customStyle="1">
    <w:name w:val="样式 小四 行距: 1.5 倍行距 首行缩进:  2 字符"/>
    <w:basedOn w:val="1000"/>
    <w:next w:val="1230"/>
    <w:qFormat/>
    <w:pPr>
      <w:ind w:left="480" w:firstLine="2784"/>
      <w:spacing w:before="0" w:after="0" w:line="360" w:lineRule="auto"/>
    </w:pPr>
    <w:rPr>
      <w:rFonts w:ascii="Times New Roman" w:hAnsi="Times New Roman" w:cs="Times New Roman"/>
    </w:rPr>
  </w:style>
  <w:style w:type="paragraph" w:styleId="1286" w:customStyle="1">
    <w:name w:val="小节标题"/>
    <w:basedOn w:val="1000"/>
    <w:next w:val="999"/>
    <w:qFormat/>
    <w:pPr>
      <w:ind w:left="0" w:firstLine="7168"/>
      <w:spacing w:before="175" w:after="102" w:line="351" w:lineRule="atLeast"/>
    </w:pPr>
    <w:rPr>
      <w:rFonts w:ascii="Times New Roman" w:hAnsi="Times New Roman" w:cs="Times New Roman"/>
    </w:rPr>
  </w:style>
  <w:style w:type="paragraph" w:styleId="1287" w:customStyle="1">
    <w:name w:val="TOC 标题2"/>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0"/>
    <w:next w:val="1289"/>
    <w:qFormat/>
    <w:pPr>
      <w:ind w:left="0" w:firstLine="3584"/>
      <w:spacing w:before="0" w:after="0" w:line="240" w:lineRule="auto"/>
    </w:pPr>
    <w:rPr>
      <w:rFonts w:ascii="Times New Roman" w:hAnsi="Times New Roman" w:cs="Times New Roman"/>
    </w:rPr>
  </w:style>
  <w:style w:type="paragraph" w:styleId="1289" w:customStyle="1">
    <w:name w:val="Char"/>
    <w:basedOn w:val="1000"/>
    <w:next w:val="1268"/>
    <w:qFormat/>
    <w:pPr>
      <w:ind w:left="900" w:firstLine="2608"/>
      <w:spacing w:before="0" w:after="0" w:line="240" w:lineRule="auto"/>
    </w:pPr>
    <w:rPr>
      <w:rFonts w:ascii="Times New Roman" w:hAnsi="Times New Roman" w:cs="Times New Roman"/>
    </w:rPr>
  </w:style>
  <w:style w:type="paragraph" w:styleId="1290" w:customStyle="1">
    <w:name w:val="xl86"/>
    <w:basedOn w:val="1000"/>
    <w:next w:val="1291"/>
    <w:qFormat/>
    <w:pPr>
      <w:ind w:left="0" w:firstLine="5120"/>
      <w:spacing w:before="280" w:after="280" w:line="240" w:lineRule="auto"/>
    </w:pPr>
    <w:rPr>
      <w:rFonts w:ascii="Times New Roman" w:hAnsi="Times New Roman" w:cs="Times New Roman"/>
    </w:rPr>
  </w:style>
  <w:style w:type="paragraph" w:styleId="1291" w:customStyle="1">
    <w:name w:val="索引 71"/>
    <w:basedOn w:val="1000"/>
    <w:next w:val="999"/>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qFormat/>
    <w:pPr>
      <w:ind w:left="480" w:firstLine="4320"/>
      <w:spacing w:line="440" w:lineRule="exact"/>
    </w:pPr>
    <w:rPr>
      <w:rFonts w:ascii="Calibri" w:hAnsi="Calibri"/>
    </w:rPr>
  </w:style>
  <w:style w:type="paragraph" w:styleId="1293" w:customStyle="1">
    <w:name w:val="4"/>
    <w:basedOn w:val="1000"/>
    <w:next w:val="1012"/>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0"/>
    <w:next w:val="1279"/>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0"/>
    <w:next w:val="1296"/>
    <w:qFormat/>
    <w:pPr>
      <w:ind w:left="0" w:firstLine="2560"/>
      <w:spacing w:before="0" w:after="0" w:line="240" w:lineRule="auto"/>
    </w:pPr>
    <w:rPr>
      <w:rFonts w:ascii="Times New Roman" w:hAnsi="Times New Roman" w:cs="Times New Roman"/>
    </w:rPr>
  </w:style>
  <w:style w:type="paragraph" w:styleId="1296" w:customStyle="1">
    <w:name w:val="正文符号1"/>
    <w:basedOn w:val="1000"/>
    <w:next w:val="1297"/>
    <w:qFormat/>
    <w:pPr>
      <w:ind w:left="987" w:firstLine="5724"/>
      <w:spacing w:before="0" w:after="0" w:line="240" w:lineRule="auto"/>
    </w:pPr>
    <w:rPr>
      <w:rFonts w:ascii="Times New Roman" w:hAnsi="Times New Roman" w:cs="Times New Roman"/>
    </w:rPr>
  </w:style>
  <w:style w:type="paragraph" w:styleId="1297" w:customStyle="1">
    <w:name w:val="索引 31"/>
    <w:basedOn w:val="1000"/>
    <w:next w:val="999"/>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0"/>
    <w:next w:val="999"/>
    <w:qFormat/>
    <w:pPr>
      <w:ind w:left="629" w:firstLine="5237"/>
      <w:spacing w:before="0" w:after="0" w:line="317" w:lineRule="atLeast"/>
    </w:pPr>
    <w:rPr>
      <w:rFonts w:ascii="Times New Roman" w:hAnsi="Times New Roman" w:cs="Times New Roman"/>
    </w:rPr>
  </w:style>
  <w:style w:type="paragraph" w:styleId="1299" w:customStyle="1">
    <w:name w:val="p15"/>
    <w:basedOn w:val="999"/>
    <w:qFormat/>
    <w:pPr>
      <w:ind w:left="0"/>
    </w:pPr>
    <w:rPr>
      <w:rFonts w:ascii="宋体" w:hAnsi="宋体"/>
      <w:sz w:val="28"/>
      <w:szCs w:val="28"/>
    </w:rPr>
  </w:style>
  <w:style w:type="paragraph" w:styleId="1300" w:customStyle="1">
    <w:name w:val="四号 居中"/>
    <w:basedOn w:val="1000"/>
    <w:next w:val="1294"/>
    <w:qFormat/>
    <w:pPr>
      <w:ind w:left="0" w:firstLine="6144"/>
      <w:jc w:val="center"/>
      <w:spacing w:before="0" w:after="0" w:line="360" w:lineRule="auto"/>
    </w:pPr>
    <w:rPr>
      <w:rFonts w:ascii="Times New Roman" w:hAnsi="Times New Roman" w:cs="Times New Roman"/>
    </w:rPr>
  </w:style>
  <w:style w:type="paragraph" w:styleId="1301" w:customStyle="1">
    <w:name w:val="p0"/>
    <w:next w:val="999"/>
    <w:qFormat/>
    <w:pPr>
      <w:ind w:firstLine="2048"/>
      <w:spacing w:line="360" w:lineRule="auto"/>
    </w:pPr>
    <w:rPr>
      <w:rFonts w:ascii="Calibri" w:hAnsi="Calibri"/>
    </w:rPr>
  </w:style>
  <w:style w:type="paragraph" w:styleId="1302" w:customStyle="1">
    <w:name w:val="列表编号 21"/>
    <w:basedOn w:val="1000"/>
    <w:next w:val="1303"/>
    <w:qFormat/>
    <w:pPr>
      <w:ind w:left="0" w:firstLine="2560"/>
      <w:spacing w:before="0" w:after="0" w:line="360" w:lineRule="auto"/>
    </w:pPr>
    <w:rPr>
      <w:rFonts w:ascii="Times New Roman" w:hAnsi="Times New Roman" w:cs="Times New Roman"/>
    </w:rPr>
  </w:style>
  <w:style w:type="paragraph" w:styleId="1303" w:customStyle="1">
    <w:name w:val="正文文本 21"/>
    <w:basedOn w:val="1000"/>
    <w:next w:val="1184"/>
    <w:qFormat/>
    <w:pPr>
      <w:ind w:left="0" w:firstLine="2560"/>
      <w:jc w:val="center"/>
      <w:spacing w:before="0" w:after="120" w:line="480" w:lineRule="auto"/>
    </w:pPr>
    <w:rPr>
      <w:rFonts w:ascii="Times New Roman" w:hAnsi="Times New Roman" w:cs="Times New Roman"/>
    </w:rPr>
  </w:style>
  <w:style w:type="paragraph" w:styleId="1304" w:customStyle="1">
    <w:name w:val="a2"/>
    <w:basedOn w:val="1000"/>
    <w:next w:val="1039"/>
    <w:qFormat/>
    <w:pPr>
      <w:ind w:left="0" w:firstLine="1024"/>
      <w:spacing w:before="280" w:after="280" w:line="240" w:lineRule="auto"/>
    </w:pPr>
    <w:rPr>
      <w:rFonts w:ascii="Times New Roman" w:hAnsi="Times New Roman" w:cs="Times New Roman"/>
    </w:rPr>
  </w:style>
  <w:style w:type="paragraph" w:styleId="1305" w:customStyle="1">
    <w:name w:val="font8"/>
    <w:basedOn w:val="1000"/>
    <w:next w:val="1229"/>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0"/>
    <w:next w:val="1307"/>
    <w:qFormat/>
    <w:pPr>
      <w:ind w:left="0" w:firstLine="2560"/>
      <w:spacing w:before="0" w:after="0" w:line="240" w:lineRule="auto"/>
    </w:pPr>
    <w:rPr>
      <w:rFonts w:ascii="Times New Roman" w:hAnsi="Times New Roman" w:cs="Times New Roman"/>
    </w:rPr>
  </w:style>
  <w:style w:type="paragraph" w:styleId="1307" w:customStyle="1">
    <w:name w:val="xl87"/>
    <w:basedOn w:val="1000"/>
    <w:next w:val="1263"/>
    <w:qFormat/>
    <w:pPr>
      <w:ind w:left="0" w:firstLine="5120"/>
      <w:spacing w:before="280" w:after="280" w:line="240" w:lineRule="auto"/>
    </w:pPr>
    <w:rPr>
      <w:rFonts w:ascii="Times New Roman" w:hAnsi="Times New Roman" w:cs="Times New Roman"/>
    </w:rPr>
  </w:style>
  <w:style w:type="paragraph" w:styleId="1308" w:customStyle="1">
    <w:name w:val="444"/>
    <w:basedOn w:val="1000"/>
    <w:next w:val="1021"/>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0"/>
    <w:next w:val="131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qFormat/>
    <w:pPr>
      <w:ind w:left="960" w:firstLine="5120"/>
      <w:spacing w:line="360" w:lineRule="auto"/>
      <w:widowControl w:val="off"/>
    </w:pPr>
    <w:rPr>
      <w:rFonts w:ascii="Calibri" w:hAnsi="Calibri"/>
    </w:rPr>
  </w:style>
  <w:style w:type="paragraph" w:styleId="1311" w:customStyle="1">
    <w:name w:val="文档正文"/>
    <w:basedOn w:val="1000"/>
    <w:next w:val="1312"/>
    <w:qFormat/>
    <w:pPr>
      <w:ind w:left="567" w:firstLine="3639"/>
      <w:spacing w:before="0" w:after="0" w:line="480" w:lineRule="atLeast"/>
    </w:pPr>
    <w:rPr>
      <w:rFonts w:ascii="Times New Roman" w:hAnsi="Times New Roman" w:cs="Times New Roman"/>
    </w:rPr>
  </w:style>
  <w:style w:type="paragraph" w:styleId="1312" w:customStyle="1">
    <w:name w:val="列表框2"/>
    <w:next w:val="1313"/>
    <w:qFormat/>
    <w:pPr>
      <w:ind w:firstLine="2048"/>
      <w:spacing w:line="460" w:lineRule="exact"/>
    </w:pPr>
    <w:rPr>
      <w:rFonts w:ascii="Calibri" w:hAnsi="Calibri"/>
    </w:rPr>
  </w:style>
  <w:style w:type="paragraph" w:styleId="1313" w:customStyle="1">
    <w:name w:val="font10"/>
    <w:basedOn w:val="1000"/>
    <w:next w:val="1032"/>
    <w:qFormat/>
    <w:pPr>
      <w:ind w:left="0" w:firstLine="3584"/>
      <w:spacing w:before="280" w:after="280" w:line="240" w:lineRule="auto"/>
    </w:pPr>
    <w:rPr>
      <w:rFonts w:ascii="Times New Roman" w:hAnsi="Times New Roman" w:cs="Times New Roman"/>
    </w:rPr>
  </w:style>
  <w:style w:type="paragraph" w:styleId="1314" w:customStyle="1">
    <w:name w:val="纯文本1"/>
    <w:basedOn w:val="1000"/>
    <w:next w:val="1044"/>
    <w:qFormat/>
    <w:pPr>
      <w:ind w:left="0" w:firstLine="3584"/>
      <w:spacing w:before="0" w:after="0" w:line="240" w:lineRule="auto"/>
    </w:pPr>
    <w:rPr>
      <w:rFonts w:ascii="Times New Roman" w:hAnsi="Times New Roman" w:cs="Times New Roman"/>
    </w:rPr>
  </w:style>
  <w:style w:type="paragraph" w:styleId="1315" w:customStyle="1">
    <w:name w:val="索引 91"/>
    <w:basedOn w:val="1000"/>
    <w:next w:val="999"/>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0"/>
    <w:next w:val="1292"/>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qFormat/>
    <w:pPr>
      <w:ind w:firstLine="2560"/>
      <w:jc w:val="center"/>
    </w:pPr>
    <w:rPr>
      <w:rFonts w:ascii="Calibri" w:hAnsi="Calibri"/>
    </w:rPr>
  </w:style>
  <w:style w:type="paragraph" w:styleId="1318" w:customStyle="1">
    <w:name w:val="!方块加粗"/>
    <w:basedOn w:val="1000"/>
    <w:next w:val="1285"/>
    <w:qFormat/>
    <w:pPr>
      <w:ind w:left="600" w:firstLine="5212"/>
      <w:spacing w:before="0" w:after="0" w:line="360" w:lineRule="auto"/>
    </w:pPr>
    <w:rPr>
      <w:rFonts w:ascii="Times New Roman" w:hAnsi="Times New Roman" w:cs="Times New Roman"/>
    </w:rPr>
  </w:style>
  <w:style w:type="paragraph" w:styleId="1319" w:customStyle="1">
    <w:name w:val="xl75"/>
    <w:basedOn w:val="1000"/>
    <w:next w:val="1045"/>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0"/>
    <w:next w:val="1321"/>
    <w:qFormat/>
    <w:pPr>
      <w:ind w:left="0" w:firstLine="5120"/>
      <w:spacing w:before="280" w:after="280" w:line="240" w:lineRule="auto"/>
    </w:pPr>
    <w:rPr>
      <w:rFonts w:ascii="Times New Roman" w:hAnsi="Times New Roman" w:cs="Times New Roman"/>
    </w:rPr>
  </w:style>
  <w:style w:type="paragraph" w:styleId="1321" w:customStyle="1">
    <w:name w:val="xl25"/>
    <w:basedOn w:val="1000"/>
    <w:next w:val="1322"/>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0"/>
    <w:next w:val="1323"/>
    <w:qFormat/>
    <w:pPr>
      <w:ind w:left="200" w:firstLine="1224"/>
      <w:spacing w:before="280" w:after="280" w:line="240" w:lineRule="auto"/>
    </w:pPr>
    <w:rPr>
      <w:rFonts w:ascii="Times New Roman" w:hAnsi="Times New Roman" w:cs="Times New Roman"/>
    </w:rPr>
  </w:style>
  <w:style w:type="paragraph" w:styleId="1323" w:customStyle="1">
    <w:name w:val="xl27"/>
    <w:basedOn w:val="1000"/>
    <w:next w:val="1309"/>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4"/>
    <w:next w:val="1325"/>
    <w:qFormat/>
    <w:pPr>
      <w:ind w:left="426" w:firstLine="24"/>
      <w:spacing w:before="0" w:after="0" w:line="360" w:lineRule="auto"/>
      <w:outlineLvl w:val="3"/>
    </w:pPr>
  </w:style>
  <w:style w:type="paragraph" w:styleId="1325" w:customStyle="1">
    <w:name w:val="xl82"/>
    <w:basedOn w:val="1000"/>
    <w:next w:val="132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qFormat/>
    <w:pPr>
      <w:ind w:firstLine="14"/>
      <w:jc w:val="both"/>
      <w:shd w:val="clear" w:color="000000" w:fill="000080"/>
      <w:widowControl w:val="off"/>
    </w:pPr>
    <w:rPr>
      <w:rFonts w:ascii="Calibri" w:hAnsi="Calibri"/>
    </w:rPr>
  </w:style>
  <w:style w:type="paragraph" w:styleId="1327" w:customStyle="1">
    <w:name w:val="Char Char Char Char Char Char1 Char Char Char1 Char Char Char Char Char Char Char Char Char Char Char Char Char Char Char"/>
    <w:basedOn w:val="1000"/>
    <w:next w:val="1328"/>
    <w:qFormat/>
    <w:pPr>
      <w:ind w:left="0" w:firstLine="2560"/>
      <w:spacing w:before="0" w:after="0" w:line="240" w:lineRule="auto"/>
    </w:pPr>
    <w:rPr>
      <w:rFonts w:ascii="Times New Roman" w:hAnsi="Times New Roman" w:cs="Times New Roman"/>
    </w:rPr>
  </w:style>
  <w:style w:type="paragraph" w:styleId="1328" w:customStyle="1">
    <w:name w:val="样式1"/>
    <w:basedOn w:val="1000"/>
    <w:next w:val="1329"/>
    <w:qFormat/>
    <w:pPr>
      <w:ind w:left="0" w:firstLine="1536"/>
      <w:spacing w:before="120" w:after="120" w:line="300" w:lineRule="auto"/>
    </w:pPr>
    <w:rPr>
      <w:rFonts w:ascii="Times New Roman" w:hAnsi="Times New Roman" w:cs="Times New Roman"/>
    </w:rPr>
  </w:style>
  <w:style w:type="paragraph" w:styleId="1329" w:customStyle="1">
    <w:name w:val="索引 41"/>
    <w:basedOn w:val="1000"/>
    <w:next w:val="999"/>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0"/>
    <w:next w:val="999"/>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qFormat/>
    <w:pPr>
      <w:ind w:left="567" w:right="2835" w:firstLine="3584"/>
      <w:spacing w:after="60"/>
    </w:pPr>
    <w:rPr>
      <w:rFonts w:ascii="Calibri" w:hAnsi="Calibri"/>
    </w:rPr>
  </w:style>
  <w:style w:type="paragraph" w:styleId="1332" w:customStyle="1">
    <w:name w:val="Char Char Char Char Char Char1"/>
    <w:basedOn w:val="1000"/>
    <w:next w:val="1333"/>
    <w:qFormat/>
    <w:pPr>
      <w:ind w:left="0" w:firstLine="2560"/>
      <w:spacing w:before="0" w:after="0" w:line="240" w:lineRule="auto"/>
    </w:pPr>
    <w:rPr>
      <w:rFonts w:ascii="Times New Roman" w:hAnsi="Times New Roman" w:cs="Times New Roman"/>
    </w:rPr>
  </w:style>
  <w:style w:type="paragraph" w:styleId="1333" w:customStyle="1">
    <w:name w:val="正文缩进2"/>
    <w:basedOn w:val="1000"/>
    <w:next w:val="1334"/>
    <w:qFormat/>
    <w:pPr>
      <w:ind w:left="420" w:firstLine="1188"/>
      <w:spacing w:before="0" w:after="0" w:line="240" w:lineRule="auto"/>
    </w:pPr>
    <w:rPr>
      <w:rFonts w:ascii="Times New Roman" w:hAnsi="Times New Roman" w:cs="Times New Roman"/>
    </w:rPr>
  </w:style>
  <w:style w:type="paragraph" w:styleId="1334" w:customStyle="1">
    <w:name w:val="列出段落2"/>
    <w:basedOn w:val="1000"/>
    <w:next w:val="1335"/>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0"/>
    <w:next w:val="1336"/>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qFormat/>
    <w:pPr>
      <w:ind w:left="200" w:firstLine="3784"/>
      <w:spacing w:line="300" w:lineRule="auto"/>
    </w:pPr>
    <w:rPr>
      <w:rFonts w:ascii="Calibri" w:hAnsi="Calibri"/>
    </w:rPr>
  </w:style>
  <w:style w:type="paragraph" w:styleId="1337" w:customStyle="1">
    <w:name w:val="Char2"/>
    <w:basedOn w:val="1000"/>
    <w:next w:val="1331"/>
    <w:qFormat/>
    <w:pPr>
      <w:ind w:left="0" w:firstLine="3584"/>
      <w:spacing w:before="0" w:after="160" w:line="240" w:lineRule="exact"/>
    </w:pPr>
    <w:rPr>
      <w:rFonts w:ascii="Times New Roman" w:hAnsi="Times New Roman" w:cs="Times New Roman"/>
    </w:rPr>
  </w:style>
  <w:style w:type="paragraph" w:styleId="1338" w:customStyle="1">
    <w:name w:val="WPSOffice手动目录 1"/>
    <w:qFormat/>
  </w:style>
  <w:style w:type="paragraph" w:styleId="1339" w:customStyle="1">
    <w:name w:val="纯文本4"/>
    <w:basedOn w:val="999"/>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0"/>
    <w:next w:val="1341"/>
    <w:qFormat/>
    <w:pPr>
      <w:ind w:left="682" w:firstLine="1224"/>
      <w:spacing w:before="0" w:after="0" w:line="360" w:lineRule="auto"/>
    </w:pPr>
    <w:rPr>
      <w:rFonts w:ascii="Times New Roman" w:hAnsi="Times New Roman" w:cs="Times New Roman"/>
    </w:rPr>
  </w:style>
  <w:style w:type="paragraph" w:styleId="1341" w:customStyle="1">
    <w:name w:val="列表编号 51"/>
    <w:basedOn w:val="1000"/>
    <w:next w:val="1342"/>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1"/>
    <w:next w:val="1343"/>
    <w:qFormat/>
    <w:pPr>
      <w:ind w:left="432" w:firstLine="18"/>
      <w:spacing w:before="40" w:after="40" w:line="360" w:lineRule="auto"/>
      <w:outlineLvl w:val="0"/>
    </w:pPr>
  </w:style>
  <w:style w:type="paragraph" w:styleId="1343" w:customStyle="1">
    <w:name w:val="表格用"/>
    <w:basedOn w:val="1000"/>
    <w:next w:val="1300"/>
    <w:qFormat/>
    <w:pPr>
      <w:ind w:left="0" w:firstLine="1024"/>
      <w:spacing w:before="0" w:after="0" w:line="360" w:lineRule="auto"/>
    </w:pPr>
    <w:rPr>
      <w:rFonts w:ascii="Times New Roman" w:hAnsi="Times New Roman" w:cs="Times New Roman"/>
    </w:rPr>
  </w:style>
  <w:style w:type="paragraph" w:styleId="1344" w:customStyle="1">
    <w:name w:val="xl71"/>
    <w:basedOn w:val="1000"/>
    <w:next w:val="1345"/>
    <w:qFormat/>
    <w:pPr>
      <w:ind w:left="0" w:firstLine="1536"/>
      <w:spacing w:before="280" w:after="280" w:line="240" w:lineRule="auto"/>
    </w:pPr>
    <w:rPr>
      <w:rFonts w:ascii="Times New Roman" w:hAnsi="Times New Roman" w:cs="Times New Roman"/>
    </w:rPr>
  </w:style>
  <w:style w:type="paragraph" w:styleId="1345" w:customStyle="1">
    <w:name w:val="正文文本 31"/>
    <w:basedOn w:val="1000"/>
    <w:next w:val="1346"/>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0"/>
    <w:next w:val="1282"/>
    <w:qFormat/>
    <w:pPr>
      <w:ind w:left="420" w:firstLine="3748"/>
      <w:spacing w:before="0" w:after="0" w:line="240" w:lineRule="auto"/>
    </w:pPr>
    <w:rPr>
      <w:rFonts w:ascii="Times New Roman" w:hAnsi="Times New Roman" w:cs="Times New Roman"/>
    </w:rPr>
  </w:style>
  <w:style w:type="paragraph" w:styleId="1347" w:customStyle="1">
    <w:name w:val="修订1"/>
    <w:qFormat/>
    <w:rPr>
      <w:rFonts w:ascii="Calibri" w:hAnsi="Calibri"/>
    </w:rPr>
  </w:style>
  <w:style w:type="paragraph" w:styleId="1348" w:customStyle="1">
    <w:name w:val="正文文本缩进 21"/>
    <w:basedOn w:val="1000"/>
    <w:next w:val="1288"/>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0"/>
    <w:next w:val="1298"/>
    <w:qFormat/>
    <w:pPr>
      <w:ind w:left="0" w:firstLine="2560"/>
      <w:spacing w:before="0" w:after="0" w:line="240" w:lineRule="auto"/>
    </w:pPr>
    <w:rPr>
      <w:rFonts w:ascii="Times New Roman" w:hAnsi="Times New Roman" w:cs="Times New Roman"/>
    </w:rPr>
  </w:style>
  <w:style w:type="paragraph" w:styleId="1350" w:customStyle="1">
    <w:name w:val="样式"/>
    <w:next w:val="999"/>
    <w:qFormat/>
    <w:pPr>
      <w:ind w:firstLine="3584"/>
      <w:widowControl w:val="off"/>
    </w:pPr>
    <w:rPr>
      <w:rFonts w:ascii="Calibri" w:hAnsi="Calibri"/>
    </w:rPr>
  </w:style>
  <w:style w:type="paragraph" w:styleId="1351" w:customStyle="1">
    <w:name w:val="TOC 标题1"/>
    <w:basedOn w:val="1001"/>
    <w:next w:val="999"/>
    <w:qFormat/>
    <w:pPr>
      <w:ind w:left="0" w:firstLine="6144"/>
      <w:spacing w:before="480" w:after="0" w:line="276" w:lineRule="auto"/>
    </w:pPr>
    <w:rPr>
      <w:b/>
      <w:sz w:val="30"/>
    </w:rPr>
  </w:style>
  <w:style w:type="paragraph" w:styleId="1352" w:customStyle="1">
    <w:name w:val="纯文本3"/>
    <w:basedOn w:val="999"/>
    <w:qFormat/>
    <w:rPr>
      <w:rFonts w:ascii="宋体" w:hAnsi="Courier New" w:cs="Times New Roman"/>
    </w:rPr>
  </w:style>
  <w:style w:type="paragraph" w:styleId="1353" w:customStyle="1">
    <w:name w:val="afont"/>
    <w:basedOn w:val="1000"/>
    <w:next w:val="1025"/>
    <w:qFormat/>
    <w:pPr>
      <w:ind w:left="0" w:firstLine="2048"/>
      <w:spacing w:before="100" w:after="100" w:line="285" w:lineRule="atLeast"/>
    </w:pPr>
    <w:rPr>
      <w:rFonts w:ascii="Times New Roman" w:hAnsi="Times New Roman" w:cs="Times New Roman"/>
    </w:rPr>
  </w:style>
  <w:style w:type="paragraph" w:styleId="1354" w:customStyle="1">
    <w:name w:val="xl85"/>
    <w:basedOn w:val="1000"/>
    <w:next w:val="1355"/>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0"/>
    <w:next w:val="1356"/>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0"/>
    <w:next w:val="1319"/>
    <w:qFormat/>
    <w:pPr>
      <w:ind w:left="200" w:firstLine="1224"/>
      <w:spacing w:before="0" w:after="0" w:line="400" w:lineRule="exact"/>
    </w:pPr>
    <w:rPr>
      <w:rFonts w:ascii="Times New Roman" w:hAnsi="Times New Roman" w:cs="Times New Roman"/>
    </w:rPr>
  </w:style>
  <w:style w:type="paragraph" w:styleId="1357" w:customStyle="1">
    <w:name w:val="二级条标题"/>
    <w:basedOn w:val="1000"/>
    <w:next w:val="999"/>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999"/>
    <w:qFormat/>
    <w:pPr>
      <w:ind w:left="0"/>
      <w:jc w:val="left"/>
    </w:pPr>
    <w:rPr>
      <w:rFonts w:ascii="宋体" w:hAnsi="宋体" w:eastAsia="楷体_GB2312" w:cs="Courier New"/>
      <w:sz w:val="26"/>
      <w:lang w:val="zh-CN"/>
    </w:rPr>
  </w:style>
  <w:style w:type="paragraph" w:styleId="1359" w:customStyle="1">
    <w:name w:val="样式 加粗 居中2"/>
    <w:basedOn w:val="1000"/>
    <w:next w:val="1211"/>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0"/>
    <w:next w:val="1314"/>
    <w:qFormat/>
    <w:pPr>
      <w:ind w:left="480" w:firstLine="2784"/>
      <w:spacing w:before="0" w:after="0" w:line="360" w:lineRule="auto"/>
    </w:pPr>
    <w:rPr>
      <w:rFonts w:ascii="Times New Roman" w:hAnsi="Times New Roman" w:cs="Times New Roman"/>
    </w:rPr>
  </w:style>
  <w:style w:type="paragraph" w:styleId="1361" w:customStyle="1">
    <w:name w:val="font5"/>
    <w:basedOn w:val="1000"/>
    <w:next w:val="1362"/>
    <w:qFormat/>
    <w:pPr>
      <w:ind w:left="0" w:firstLine="5120"/>
      <w:spacing w:before="280" w:after="280" w:line="240" w:lineRule="auto"/>
    </w:pPr>
    <w:rPr>
      <w:rFonts w:ascii="Times New Roman" w:hAnsi="Times New Roman" w:cs="Times New Roman"/>
    </w:rPr>
  </w:style>
  <w:style w:type="paragraph" w:styleId="1362" w:customStyle="1">
    <w:name w:val="索引标题1"/>
    <w:basedOn w:val="1000"/>
    <w:next w:val="1241"/>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0"/>
    <w:next w:val="1364"/>
    <w:qFormat/>
    <w:pPr>
      <w:ind w:left="0" w:firstLine="2560"/>
      <w:spacing w:before="0" w:after="0" w:line="240" w:lineRule="auto"/>
    </w:pPr>
    <w:rPr>
      <w:rFonts w:ascii="Times New Roman" w:hAnsi="Times New Roman" w:cs="Times New Roman"/>
    </w:rPr>
  </w:style>
  <w:style w:type="paragraph" w:styleId="1364" w:customStyle="1">
    <w:name w:val="1正文"/>
    <w:basedOn w:val="1000"/>
    <w:next w:val="1365"/>
    <w:qFormat/>
    <w:pPr>
      <w:ind w:left="480" w:firstLine="2784"/>
      <w:spacing w:before="0" w:after="0" w:line="300" w:lineRule="auto"/>
    </w:pPr>
    <w:rPr>
      <w:rFonts w:ascii="Times New Roman" w:hAnsi="Times New Roman" w:cs="Times New Roman"/>
    </w:rPr>
  </w:style>
  <w:style w:type="paragraph" w:styleId="1365" w:customStyle="1">
    <w:name w:val="目录2"/>
    <w:basedOn w:val="1000"/>
    <w:next w:val="999"/>
    <w:qFormat/>
    <w:pPr>
      <w:ind w:left="209" w:firstLine="5329"/>
      <w:spacing w:before="0" w:after="0" w:line="317" w:lineRule="atLeast"/>
    </w:pPr>
    <w:rPr>
      <w:rFonts w:ascii="Times New Roman" w:hAnsi="Times New Roman" w:cs="Times New Roman"/>
    </w:rPr>
  </w:style>
  <w:style w:type="paragraph" w:styleId="1366" w:customStyle="1">
    <w:name w:val="图表目录1"/>
    <w:basedOn w:val="1000"/>
    <w:next w:val="999"/>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0"/>
    <w:next w:val="1317"/>
    <w:qFormat/>
    <w:pPr>
      <w:ind w:left="0" w:firstLine="5120"/>
      <w:spacing w:before="280" w:after="280" w:line="240" w:lineRule="auto"/>
    </w:pPr>
    <w:rPr>
      <w:rFonts w:ascii="Times New Roman" w:hAnsi="Times New Roman" w:cs="Times New Roman"/>
    </w:rPr>
  </w:style>
  <w:style w:type="paragraph" w:styleId="1368">
    <w:name w:val="List Paragraph"/>
    <w:basedOn w:val="999"/>
    <w:next w:val="1275"/>
    <w:qFormat/>
    <w:pPr>
      <w:ind w:left="420" w:firstLine="3748"/>
    </w:pPr>
    <w:rPr>
      <w:rFonts w:ascii="Times New Roman" w:hAnsi="Times New Roman" w:cs="Times New Roman"/>
    </w:rPr>
  </w:style>
  <w:style w:type="paragraph" w:styleId="1369" w:customStyle="1">
    <w:name w:val="xl73"/>
    <w:basedOn w:val="1000"/>
    <w:next w:val="1370"/>
    <w:qFormat/>
    <w:pPr>
      <w:ind w:left="0" w:firstLine="3584"/>
      <w:spacing w:before="280" w:after="280" w:line="240" w:lineRule="auto"/>
    </w:pPr>
    <w:rPr>
      <w:rFonts w:ascii="Times New Roman" w:hAnsi="Times New Roman" w:cs="Times New Roman"/>
    </w:rPr>
  </w:style>
  <w:style w:type="paragraph" w:styleId="1370" w:customStyle="1">
    <w:name w:val="xl80"/>
    <w:basedOn w:val="1000"/>
    <w:next w:val="1371"/>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5"/>
    <w:next w:val="1372"/>
    <w:qFormat/>
    <w:pPr>
      <w:ind w:left="1134" w:firstLine="18"/>
      <w:spacing w:before="0" w:after="0" w:line="360" w:lineRule="auto"/>
      <w:outlineLvl w:val="4"/>
    </w:pPr>
  </w:style>
  <w:style w:type="paragraph" w:styleId="1372" w:customStyle="1">
    <w:name w:val="日期1"/>
    <w:basedOn w:val="1000"/>
    <w:next w:val="999"/>
    <w:qFormat/>
    <w:pPr>
      <w:ind w:left="100" w:firstLine="6144"/>
      <w:spacing w:before="0" w:after="0" w:line="240" w:lineRule="auto"/>
    </w:pPr>
    <w:rPr>
      <w:rFonts w:ascii="Times New Roman" w:hAnsi="Times New Roman" w:cs="Times New Roman"/>
    </w:rPr>
  </w:style>
  <w:style w:type="paragraph" w:styleId="1373" w:customStyle="1">
    <w:name w:val="图1"/>
    <w:basedOn w:val="1000"/>
    <w:next w:val="999"/>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0"/>
    <w:next w:val="1354"/>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0"/>
    <w:next w:val="126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0"/>
    <w:next w:val="1351"/>
    <w:qFormat/>
    <w:pPr>
      <w:ind w:left="0" w:firstLine="3584"/>
      <w:jc w:val="center"/>
      <w:spacing w:before="0" w:after="0" w:line="400" w:lineRule="exact"/>
    </w:pPr>
    <w:rPr>
      <w:rFonts w:ascii="Times New Roman" w:hAnsi="Times New Roman" w:cs="Times New Roman"/>
    </w:rPr>
  </w:style>
  <w:style w:type="paragraph" w:styleId="1377">
    <w:name w:val="Intense Quote"/>
    <w:next w:val="999"/>
    <w:qFormat/>
    <w:pPr>
      <w:ind w:left="3766" w:right="950"/>
      <w:jc w:val="center"/>
      <w:spacing w:before="360" w:after="360"/>
    </w:pPr>
    <w:rPr>
      <w:rFonts w:ascii="Calibri" w:hAnsi="Calibri"/>
      <w:i/>
    </w:rPr>
  </w:style>
  <w:style w:type="paragraph" w:styleId="1378" w:customStyle="1">
    <w:name w:val="索引 51"/>
    <w:basedOn w:val="1000"/>
    <w:next w:val="999"/>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0"/>
    <w:next w:val="138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0"/>
    <w:next w:val="1381"/>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qFormat/>
    <w:pPr>
      <w:ind w:firstLine="2560"/>
      <w:jc w:val="center"/>
    </w:pPr>
    <w:rPr>
      <w:rFonts w:ascii="Calibri" w:hAnsi="Calibri"/>
    </w:rPr>
  </w:style>
  <w:style w:type="paragraph" w:styleId="1382" w:customStyle="1">
    <w:name w:val="修订2"/>
    <w:qFormat/>
    <w:rPr>
      <w:rFonts w:ascii="Calibri" w:hAnsi="Calibri"/>
    </w:rPr>
  </w:style>
  <w:style w:type="paragraph" w:styleId="1383" w:customStyle="1">
    <w:name w:val="Body"/>
    <w:next w:val="1315"/>
    <w:qFormat/>
    <w:pPr>
      <w:ind w:left="567" w:right="2835" w:firstLine="3584"/>
      <w:spacing w:after="60"/>
    </w:pPr>
    <w:rPr>
      <w:rFonts w:ascii="Calibri" w:hAnsi="Calibri"/>
    </w:rPr>
  </w:style>
  <w:style w:type="paragraph" w:styleId="1384" w:customStyle="1">
    <w:name w:val="font6"/>
    <w:basedOn w:val="1000"/>
    <w:next w:val="1385"/>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qFormat/>
    <w:pPr>
      <w:ind w:left="200" w:firstLine="3784"/>
      <w:jc w:val="center"/>
      <w:spacing w:after="120" w:line="360" w:lineRule="auto"/>
    </w:pPr>
    <w:rPr>
      <w:rFonts w:ascii="Calibri" w:hAnsi="Calibri"/>
    </w:rPr>
  </w:style>
  <w:style w:type="paragraph" w:styleId="1386" w:customStyle="1">
    <w:name w:val="Char Char"/>
    <w:next w:val="1379"/>
    <w:qFormat/>
    <w:pPr>
      <w:ind w:firstLine="14"/>
      <w:spacing w:line="360" w:lineRule="auto"/>
      <w:shd w:val="clear" w:color="000000" w:fill="000080"/>
    </w:pPr>
    <w:rPr>
      <w:rFonts w:ascii="Calibri" w:hAnsi="Calibri"/>
    </w:rPr>
  </w:style>
  <w:style w:type="paragraph" w:styleId="1387" w:customStyle="1">
    <w:name w:val="正文_0_0"/>
    <w:next w:val="1219"/>
    <w:qFormat/>
    <w:pPr>
      <w:ind w:firstLine="3584"/>
      <w:jc w:val="both"/>
      <w:widowControl w:val="off"/>
    </w:pPr>
    <w:rPr>
      <w:rFonts w:ascii="Calibri" w:hAnsi="Calibri"/>
    </w:rPr>
  </w:style>
  <w:style w:type="paragraph" w:styleId="1388" w:customStyle="1">
    <w:name w:val="font7"/>
    <w:basedOn w:val="1000"/>
    <w:next w:val="1389"/>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0"/>
    <w:next w:val="1390"/>
    <w:qFormat/>
    <w:pPr>
      <w:ind w:left="0" w:firstLine="2560"/>
      <w:spacing w:before="0" w:after="0" w:line="240" w:lineRule="auto"/>
    </w:pPr>
    <w:rPr>
      <w:rFonts w:ascii="Times New Roman" w:hAnsi="Times New Roman" w:cs="Times New Roman"/>
    </w:rPr>
  </w:style>
  <w:style w:type="paragraph" w:styleId="1390" w:customStyle="1">
    <w:name w:val="xl64"/>
    <w:basedOn w:val="1000"/>
    <w:next w:val="1357"/>
    <w:qFormat/>
    <w:pPr>
      <w:ind w:left="0" w:firstLine="3584"/>
      <w:spacing w:before="280" w:after="280" w:line="240" w:lineRule="auto"/>
    </w:pPr>
    <w:rPr>
      <w:rFonts w:ascii="Times New Roman" w:hAnsi="Times New Roman" w:cs="Times New Roman"/>
    </w:rPr>
  </w:style>
  <w:style w:type="paragraph" w:styleId="1391" w:customStyle="1">
    <w:name w:val="style16"/>
    <w:basedOn w:val="1000"/>
    <w:next w:val="1384"/>
    <w:qFormat/>
    <w:pPr>
      <w:ind w:left="0" w:firstLine="2048"/>
      <w:spacing w:before="280" w:after="280" w:line="240" w:lineRule="auto"/>
    </w:pPr>
    <w:rPr>
      <w:rFonts w:ascii="Times New Roman" w:hAnsi="Times New Roman" w:cs="Times New Roman"/>
    </w:rPr>
  </w:style>
  <w:style w:type="paragraph" w:styleId="1392" w:customStyle="1">
    <w:name w:val="索引 11"/>
    <w:basedOn w:val="1000"/>
    <w:next w:val="999"/>
    <w:qFormat/>
    <w:pPr>
      <w:ind w:left="0" w:firstLine="3584"/>
      <w:spacing w:before="0" w:after="0" w:line="240" w:lineRule="auto"/>
    </w:pPr>
    <w:rPr>
      <w:rFonts w:ascii="Times New Roman" w:hAnsi="Times New Roman" w:cs="Times New Roman"/>
    </w:rPr>
  </w:style>
  <w:style w:type="paragraph" w:styleId="1393" w:customStyle="1">
    <w:name w:val="H 3"/>
    <w:basedOn w:val="1003"/>
    <w:next w:val="1394"/>
    <w:qFormat/>
    <w:pPr>
      <w:ind w:left="1429" w:firstLine="18"/>
      <w:spacing w:before="0" w:after="0" w:line="360" w:lineRule="auto"/>
      <w:outlineLvl w:val="2"/>
    </w:pPr>
  </w:style>
  <w:style w:type="paragraph" w:styleId="1394" w:customStyle="1">
    <w:name w:val="xl83"/>
    <w:basedOn w:val="1000"/>
    <w:next w:val="1375"/>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0"/>
    <w:next w:val="1391"/>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0"/>
    <w:next w:val="1378"/>
    <w:qFormat/>
    <w:pPr>
      <w:ind w:left="200" w:firstLine="3784"/>
      <w:spacing w:before="0" w:after="0" w:line="360" w:lineRule="auto"/>
    </w:pPr>
    <w:rPr>
      <w:rFonts w:ascii="Times New Roman" w:hAnsi="Times New Roman" w:cs="Times New Roman"/>
    </w:rPr>
  </w:style>
  <w:style w:type="paragraph" w:styleId="1397" w:customStyle="1">
    <w:name w:val="1"/>
    <w:basedOn w:val="1000"/>
    <w:next w:val="1033"/>
    <w:qFormat/>
    <w:pPr>
      <w:ind w:left="0" w:firstLine="2048"/>
      <w:spacing w:before="0" w:after="0" w:line="240" w:lineRule="auto"/>
    </w:pPr>
    <w:rPr>
      <w:rFonts w:ascii="Times New Roman" w:hAnsi="Times New Roman" w:cs="Times New Roman"/>
    </w:rPr>
  </w:style>
  <w:style w:type="paragraph" w:styleId="1398" w:customStyle="1">
    <w:name w:val="_Style 398"/>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999"/>
    <w:uiPriority w:val="1"/>
    <w:qFormat/>
    <w:rPr>
      <w:rFonts w:ascii="宋体" w:hAnsi="宋体"/>
      <w:lang w:val="zh-CN" w:bidi="zh-CN"/>
    </w:rPr>
  </w:style>
  <w:style w:type="paragraph" w:styleId="1400" w:customStyle="1">
    <w:name w:val="_Style 400"/>
    <w:qFormat/>
    <w:rPr>
      <w:rFonts w:ascii="Calibri" w:hAnsi="Calibri"/>
    </w:rPr>
  </w:style>
  <w:style w:type="paragraph" w:styleId="1401" w:customStyle="1">
    <w:name w:val="Style1"/>
    <w:basedOn w:val="999"/>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0"/>
    <w:next w:val="1267"/>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0"/>
    <w:next w:val="1404"/>
    <w:qFormat/>
    <w:pPr>
      <w:ind w:left="0" w:firstLine="2560"/>
      <w:spacing w:before="0" w:after="0" w:line="240" w:lineRule="auto"/>
    </w:pPr>
    <w:rPr>
      <w:rFonts w:ascii="Times New Roman" w:hAnsi="Times New Roman" w:cs="Times New Roman"/>
    </w:rPr>
  </w:style>
  <w:style w:type="paragraph" w:styleId="1404" w:customStyle="1">
    <w:name w:val="xl24"/>
    <w:basedOn w:val="1000"/>
    <w:next w:val="1349"/>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qFormat/>
    <w:pPr>
      <w:ind w:firstLine="3584"/>
    </w:pPr>
    <w:rPr>
      <w:rFonts w:ascii="Calibri" w:hAnsi="Calibri"/>
    </w:rPr>
  </w:style>
  <w:style w:type="paragraph" w:styleId="1406" w:customStyle="1">
    <w:name w:val="xl72"/>
    <w:basedOn w:val="1000"/>
    <w:next w:val="1262"/>
    <w:qFormat/>
    <w:pPr>
      <w:ind w:left="0" w:firstLine="3584"/>
      <w:spacing w:before="280" w:after="280" w:line="240" w:lineRule="auto"/>
    </w:pPr>
    <w:rPr>
      <w:rFonts w:ascii="Times New Roman" w:hAnsi="Times New Roman" w:cs="Times New Roman"/>
    </w:rPr>
  </w:style>
  <w:style w:type="paragraph" w:styleId="1407" w:customStyle="1">
    <w:name w:val="插图"/>
    <w:next w:val="999"/>
    <w:qFormat/>
    <w:pPr>
      <w:ind w:firstLine="4608"/>
      <w:jc w:val="center"/>
    </w:pPr>
    <w:rPr>
      <w:rFonts w:ascii="Calibri" w:hAnsi="Calibri"/>
    </w:rPr>
  </w:style>
  <w:style w:type="paragraph" w:styleId="1408" w:customStyle="1">
    <w:name w:val="列出段落3"/>
    <w:basedOn w:val="1000"/>
    <w:next w:val="1302"/>
    <w:qFormat/>
    <w:pPr>
      <w:ind w:left="420" w:firstLine="3748"/>
      <w:spacing w:before="0" w:after="0" w:line="240" w:lineRule="auto"/>
    </w:pPr>
    <w:rPr>
      <w:rFonts w:ascii="Times New Roman" w:hAnsi="Times New Roman" w:cs="Times New Roman"/>
    </w:rPr>
  </w:style>
  <w:style w:type="paragraph" w:styleId="1409" w:customStyle="1">
    <w:name w:val="目录标题"/>
    <w:basedOn w:val="1000"/>
    <w:next w:val="999"/>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0"/>
    <w:next w:val="1305"/>
    <w:qFormat/>
    <w:pPr>
      <w:ind w:left="0" w:firstLine="2560"/>
      <w:spacing w:before="0" w:after="0" w:line="240" w:lineRule="auto"/>
    </w:pPr>
    <w:rPr>
      <w:rFonts w:ascii="Times New Roman" w:hAnsi="Times New Roman" w:cs="Times New Roman"/>
    </w:rPr>
  </w:style>
  <w:style w:type="paragraph" w:styleId="1411" w:customStyle="1">
    <w:name w:val="WPSOffice手动目录 2"/>
    <w:qFormat/>
    <w:pPr>
      <w:ind w:left="200"/>
    </w:pPr>
  </w:style>
  <w:style w:type="paragraph" w:styleId="1412" w:customStyle="1">
    <w:name w:val="表内文字"/>
    <w:basedOn w:val="1000"/>
    <w:next w:val="1041"/>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0"/>
    <w:next w:val="1395"/>
    <w:qFormat/>
    <w:pPr>
      <w:ind w:left="0" w:firstLine="3584"/>
      <w:spacing w:before="280" w:after="280" w:line="240" w:lineRule="auto"/>
    </w:pPr>
    <w:rPr>
      <w:rFonts w:ascii="Times New Roman" w:hAnsi="Times New Roman" w:cs="Times New Roman"/>
    </w:rPr>
  </w:style>
  <w:style w:type="paragraph" w:styleId="1414" w:customStyle="1">
    <w:name w:val="*正文"/>
    <w:basedOn w:val="999"/>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0"/>
    <w:next w:val="1308"/>
    <w:qFormat/>
    <w:pPr>
      <w:ind w:left="0" w:firstLine="2815"/>
      <w:spacing w:before="0" w:after="0" w:line="360" w:lineRule="auto"/>
    </w:pPr>
    <w:rPr>
      <w:rFonts w:ascii="Times New Roman" w:hAnsi="Times New Roman" w:cs="Times New Roman"/>
    </w:rPr>
  </w:style>
  <w:style w:type="table" w:styleId="1416" w:customStyle="1">
    <w:name w:val="网格型1"/>
    <w:basedOn w:val="101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qFormat/>
    <w:rPr>
      <w:rFonts w:hint="default" w:ascii="Times New Roman" w:hAnsi="Times New Roman" w:cs="Times New Roman"/>
      <w:b/>
      <w:bCs/>
      <w:color w:val="000000"/>
      <w:sz w:val="24"/>
      <w:szCs w:val="24"/>
      <w:u w:val="none"/>
    </w:rPr>
  </w:style>
  <w:style w:type="character" w:styleId="1418" w:customStyle="1">
    <w:name w:val="正文文本首行缩进 2 字符"/>
    <w:basedOn w:val="1009"/>
    <w:link w:val="1059"/>
    <w:qFormat/>
    <w:rPr>
      <w:rFonts w:ascii="Times New Roman" w:hAnsi="Times New Roman" w:cs="Times New Roman"/>
    </w:rPr>
  </w:style>
  <w:style w:type="table" w:styleId="1419" w:customStyle="1">
    <w:name w:val="网格型2"/>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0" w:customStyle="1">
    <w:name w:val="网格型3"/>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819C7A-CE94-45A6-9BF3-BC30B0A3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28</cp:revision>
  <dcterms:created xsi:type="dcterms:W3CDTF">2026-07-27T06:15:00Z</dcterms:created>
  <dcterms:modified xsi:type="dcterms:W3CDTF">2026-08-04T01:59:25Z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