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8F778F">
      <w:pPr>
        <w:pStyle w:val="202"/>
        <w:ind w:firstLine="0"/>
        <w:jc w:val="center"/>
        <w:rPr>
          <w:rFonts w:hint="eastAsia" w:ascii="宋体" w:hAnsi="宋体"/>
          <w:b/>
          <w:bCs/>
          <w:sz w:val="72"/>
          <w:szCs w:val="72"/>
        </w:rPr>
      </w:pPr>
    </w:p>
    <w:p w14:paraId="707A76C9">
      <w:pPr>
        <w:pStyle w:val="202"/>
        <w:ind w:firstLine="0"/>
        <w:jc w:val="center"/>
        <w:rPr>
          <w:rStyle w:val="201"/>
          <w:rFonts w:hint="eastAsia"/>
          <w:color w:val="000000"/>
        </w:rPr>
      </w:pPr>
      <w:r>
        <w:rPr>
          <w:rFonts w:hint="eastAsia" w:ascii="宋体" w:hAnsi="宋体"/>
          <w:b/>
          <w:bCs/>
          <w:sz w:val="72"/>
          <w:szCs w:val="72"/>
        </w:rPr>
        <w:t>招　标　文　件</w:t>
      </w:r>
    </w:p>
    <w:p w14:paraId="6EF528B1">
      <w:pPr>
        <w:spacing w:before="120" w:after="120" w:line="360" w:lineRule="auto"/>
        <w:jc w:val="center"/>
        <w:rPr>
          <w:rFonts w:hint="eastAsia" w:ascii="宋体" w:hAnsi="宋体"/>
          <w:b/>
          <w:bCs/>
          <w:sz w:val="84"/>
          <w:szCs w:val="84"/>
        </w:rPr>
      </w:pPr>
      <w:r>
        <w:rPr>
          <w:rFonts w:hint="eastAsia" w:ascii="宋体" w:hAnsi="宋体"/>
          <w:b/>
          <w:bCs/>
          <w:sz w:val="84"/>
          <w:szCs w:val="84"/>
        </w:rPr>
        <w:t> </w:t>
      </w:r>
    </w:p>
    <w:p w14:paraId="361B1534">
      <w:pPr>
        <w:pStyle w:val="202"/>
        <w:ind w:firstLine="0"/>
        <w:jc w:val="center"/>
        <w:rPr>
          <w:rFonts w:hint="eastAsia" w:ascii="宋体" w:hAnsi="宋体"/>
          <w:b/>
          <w:bCs/>
          <w:color w:val="auto"/>
          <w:sz w:val="32"/>
          <w:szCs w:val="32"/>
          <w:highlight w:val="none"/>
        </w:rPr>
      </w:pPr>
    </w:p>
    <w:p w14:paraId="4417C19D">
      <w:pPr>
        <w:pStyle w:val="202"/>
        <w:ind w:firstLine="0"/>
        <w:jc w:val="center"/>
        <w:rPr>
          <w:rFonts w:hint="default" w:ascii="宋体" w:hAnsi="宋体" w:eastAsia="宋体"/>
          <w:b/>
          <w:bCs/>
          <w:color w:val="auto"/>
          <w:sz w:val="32"/>
          <w:szCs w:val="32"/>
          <w:highlight w:val="none"/>
          <w:lang w:val="en-US" w:eastAsia="zh-CN"/>
        </w:rPr>
      </w:pPr>
      <w:r>
        <w:rPr>
          <w:rFonts w:hint="eastAsia" w:ascii="宋体" w:hAnsi="宋体"/>
          <w:b/>
          <w:bCs/>
          <w:color w:val="auto"/>
          <w:sz w:val="32"/>
          <w:szCs w:val="32"/>
          <w:highlight w:val="none"/>
        </w:rPr>
        <w:t>项目名称：</w:t>
      </w:r>
      <w:r>
        <w:rPr>
          <w:rFonts w:hint="eastAsia" w:ascii="宋体" w:hAnsi="宋体"/>
          <w:b/>
          <w:bCs/>
          <w:color w:val="auto"/>
          <w:sz w:val="32"/>
          <w:szCs w:val="32"/>
          <w:highlight w:val="none"/>
          <w:lang w:val="en-US" w:eastAsia="zh-CN"/>
        </w:rPr>
        <w:t>西二环高架智能化设施项目</w:t>
      </w:r>
    </w:p>
    <w:p w14:paraId="33021627">
      <w:pPr>
        <w:pStyle w:val="202"/>
        <w:ind w:firstLine="0"/>
        <w:jc w:val="center"/>
        <w:rPr>
          <w:rFonts w:hint="default" w:ascii="宋体" w:hAnsi="宋体" w:eastAsia="宋体"/>
          <w:b/>
          <w:color w:val="auto"/>
          <w:sz w:val="32"/>
          <w:szCs w:val="32"/>
          <w:highlight w:val="none"/>
          <w:lang w:val="en-US" w:eastAsia="zh-CN"/>
        </w:rPr>
      </w:pPr>
      <w:r>
        <w:rPr>
          <w:rFonts w:hint="eastAsia" w:ascii="宋体" w:hAnsi="宋体"/>
          <w:b/>
          <w:color w:val="auto"/>
          <w:sz w:val="32"/>
          <w:szCs w:val="32"/>
          <w:highlight w:val="none"/>
        </w:rPr>
        <w:t>项目编号：</w:t>
      </w:r>
      <w:r>
        <w:rPr>
          <w:rFonts w:hint="eastAsia" w:ascii="宋体" w:hAnsi="宋体"/>
          <w:b/>
          <w:color w:val="auto"/>
          <w:sz w:val="32"/>
          <w:szCs w:val="32"/>
          <w:highlight w:val="none"/>
          <w:lang w:val="en-US" w:eastAsia="zh-CN"/>
        </w:rPr>
        <w:t xml:space="preserve"> JSZC-320582-JZCG-G2026-0024</w:t>
      </w:r>
    </w:p>
    <w:p w14:paraId="0A908D92">
      <w:pPr>
        <w:pStyle w:val="202"/>
        <w:spacing w:before="0" w:after="0"/>
        <w:ind w:firstLine="0"/>
        <w:rPr>
          <w:rFonts w:hint="eastAsia" w:ascii="宋体" w:hAnsi="宋体"/>
          <w:color w:val="auto"/>
          <w:sz w:val="32"/>
          <w:szCs w:val="32"/>
          <w:highlight w:val="none"/>
        </w:rPr>
      </w:pPr>
      <w:r>
        <w:rPr>
          <w:rFonts w:hint="eastAsia" w:ascii="宋体" w:hAnsi="宋体"/>
          <w:color w:val="auto"/>
          <w:sz w:val="32"/>
          <w:szCs w:val="32"/>
          <w:highlight w:val="none"/>
        </w:rPr>
        <w:t xml:space="preserve">                        </w:t>
      </w:r>
      <w:r>
        <w:rPr>
          <w:rFonts w:hint="eastAsia" w:ascii="宋体" w:hAnsi="宋体"/>
          <w:b/>
          <w:color w:val="auto"/>
          <w:sz w:val="32"/>
          <w:szCs w:val="32"/>
          <w:highlight w:val="none"/>
        </w:rPr>
        <w:t>项目属性：货物</w:t>
      </w:r>
    </w:p>
    <w:p w14:paraId="2DDB3163">
      <w:pPr>
        <w:pStyle w:val="202"/>
        <w:spacing w:before="0" w:after="0"/>
        <w:ind w:firstLine="0"/>
        <w:rPr>
          <w:rFonts w:hint="eastAsia" w:ascii="宋体" w:hAnsi="宋体"/>
          <w:color w:val="auto"/>
          <w:sz w:val="32"/>
          <w:szCs w:val="32"/>
          <w:highlight w:val="none"/>
        </w:rPr>
      </w:pPr>
    </w:p>
    <w:p w14:paraId="085B3192">
      <w:pPr>
        <w:pStyle w:val="202"/>
        <w:spacing w:before="0" w:after="0"/>
        <w:ind w:firstLine="0"/>
        <w:rPr>
          <w:rFonts w:hint="eastAsia" w:ascii="宋体" w:hAnsi="宋体"/>
          <w:color w:val="auto"/>
          <w:sz w:val="32"/>
          <w:szCs w:val="32"/>
          <w:highlight w:val="none"/>
        </w:rPr>
      </w:pPr>
    </w:p>
    <w:p w14:paraId="17F28684">
      <w:pPr>
        <w:pStyle w:val="202"/>
        <w:spacing w:before="0" w:after="0"/>
        <w:ind w:firstLine="0"/>
        <w:rPr>
          <w:rFonts w:hint="eastAsia" w:ascii="宋体" w:hAnsi="宋体"/>
          <w:color w:val="auto"/>
          <w:sz w:val="32"/>
          <w:szCs w:val="32"/>
          <w:highlight w:val="none"/>
        </w:rPr>
      </w:pPr>
    </w:p>
    <w:p w14:paraId="4C8ACFFB">
      <w:pPr>
        <w:pStyle w:val="202"/>
        <w:spacing w:before="0" w:after="0"/>
        <w:ind w:firstLine="0"/>
        <w:rPr>
          <w:rFonts w:hint="eastAsia" w:ascii="宋体" w:hAnsi="宋体"/>
          <w:color w:val="auto"/>
          <w:sz w:val="32"/>
          <w:szCs w:val="32"/>
          <w:highlight w:val="none"/>
        </w:rPr>
      </w:pPr>
    </w:p>
    <w:p w14:paraId="6FEBAA0F">
      <w:pPr>
        <w:pStyle w:val="202"/>
        <w:spacing w:before="0" w:after="0"/>
        <w:ind w:firstLine="0"/>
        <w:rPr>
          <w:rFonts w:hint="eastAsia" w:ascii="宋体" w:hAnsi="宋体"/>
          <w:color w:val="auto"/>
          <w:sz w:val="32"/>
          <w:szCs w:val="32"/>
          <w:highlight w:val="none"/>
        </w:rPr>
      </w:pPr>
    </w:p>
    <w:p w14:paraId="324C7747">
      <w:pPr>
        <w:pStyle w:val="202"/>
        <w:spacing w:before="0" w:after="0"/>
        <w:ind w:firstLine="0"/>
        <w:rPr>
          <w:rFonts w:hint="eastAsia" w:ascii="宋体" w:hAnsi="宋体"/>
          <w:color w:val="auto"/>
          <w:sz w:val="32"/>
          <w:szCs w:val="32"/>
          <w:highlight w:val="none"/>
        </w:rPr>
      </w:pPr>
    </w:p>
    <w:p w14:paraId="46F397B5">
      <w:pPr>
        <w:pStyle w:val="203"/>
        <w:spacing w:line="360" w:lineRule="auto"/>
        <w:jc w:val="center"/>
        <w:rPr>
          <w:rFonts w:hint="eastAsia" w:ascii="宋体" w:hAnsi="宋体"/>
          <w:b/>
          <w:bCs/>
          <w:color w:val="auto"/>
          <w:sz w:val="32"/>
          <w:szCs w:val="32"/>
          <w:highlight w:val="none"/>
        </w:rPr>
      </w:pPr>
      <w:bookmarkStart w:id="0" w:name="EB8ecef8d8d20b42199abb5fc67b67d8bb"/>
      <w:r>
        <w:rPr>
          <w:rFonts w:hint="eastAsia" w:ascii="宋体" w:hAnsi="宋体"/>
          <w:b/>
          <w:bCs/>
          <w:color w:val="auto"/>
          <w:sz w:val="32"/>
          <w:szCs w:val="32"/>
          <w:highlight w:val="none"/>
        </w:rPr>
        <w:t>苏州市公共资源交易中心张家港分中心</w:t>
      </w:r>
      <w:bookmarkEnd w:id="0"/>
    </w:p>
    <w:p w14:paraId="11683A6D">
      <w:pPr>
        <w:pStyle w:val="202"/>
        <w:ind w:firstLine="0"/>
        <w:jc w:val="center"/>
        <w:rPr>
          <w:rFonts w:hint="eastAsia" w:ascii="宋体" w:hAnsi="宋体"/>
          <w:b/>
          <w:bCs/>
          <w:color w:val="auto"/>
          <w:sz w:val="32"/>
          <w:highlight w:val="none"/>
        </w:rPr>
      </w:pPr>
      <w:bookmarkStart w:id="1" w:name="EB52307051e0d04806912e5842f73c8551"/>
      <w:r>
        <w:rPr>
          <w:rFonts w:hint="eastAsia" w:ascii="宋体" w:hAnsi="宋体"/>
          <w:b/>
          <w:bCs/>
          <w:color w:val="auto"/>
          <w:sz w:val="32"/>
          <w:highlight w:val="none"/>
        </w:rPr>
        <w:t>202</w:t>
      </w:r>
      <w:r>
        <w:rPr>
          <w:rFonts w:hint="eastAsia" w:ascii="宋体" w:hAnsi="宋体"/>
          <w:b/>
          <w:bCs/>
          <w:color w:val="auto"/>
          <w:sz w:val="32"/>
          <w:highlight w:val="none"/>
          <w:lang w:val="en-US" w:eastAsia="zh-CN"/>
        </w:rPr>
        <w:t>6</w:t>
      </w:r>
      <w:r>
        <w:rPr>
          <w:rFonts w:hint="eastAsia" w:ascii="宋体" w:hAnsi="宋体"/>
          <w:b/>
          <w:bCs/>
          <w:color w:val="auto"/>
          <w:sz w:val="32"/>
          <w:highlight w:val="none"/>
        </w:rPr>
        <w:t>年</w:t>
      </w:r>
      <w:r>
        <w:rPr>
          <w:rFonts w:hint="eastAsia" w:ascii="宋体" w:hAnsi="宋体"/>
          <w:b/>
          <w:bCs/>
          <w:color w:val="auto"/>
          <w:sz w:val="32"/>
          <w:highlight w:val="none"/>
          <w:lang w:val="en-US" w:eastAsia="zh-CN"/>
        </w:rPr>
        <w:t>7</w:t>
      </w:r>
      <w:r>
        <w:rPr>
          <w:rFonts w:hint="eastAsia" w:ascii="宋体" w:hAnsi="宋体"/>
          <w:b/>
          <w:bCs/>
          <w:color w:val="auto"/>
          <w:sz w:val="32"/>
          <w:highlight w:val="none"/>
        </w:rPr>
        <w:t>月</w:t>
      </w:r>
      <w:bookmarkEnd w:id="1"/>
    </w:p>
    <w:p w14:paraId="158D1DA5">
      <w:pPr>
        <w:spacing w:before="120" w:after="120" w:line="360" w:lineRule="auto"/>
        <w:jc w:val="both"/>
        <w:rPr>
          <w:rFonts w:hint="eastAsia" w:ascii="宋体" w:hAnsi="宋体"/>
          <w:color w:val="auto"/>
          <w:sz w:val="24"/>
          <w:highlight w:val="none"/>
        </w:rPr>
      </w:pPr>
    </w:p>
    <w:p w14:paraId="133EDF2D">
      <w:pPr>
        <w:spacing w:line="360" w:lineRule="auto"/>
        <w:jc w:val="center"/>
        <w:rPr>
          <w:rFonts w:hint="eastAsia" w:ascii="宋体" w:hAnsi="宋体"/>
          <w:b/>
          <w:bCs/>
          <w:color w:val="auto"/>
          <w:sz w:val="44"/>
          <w:szCs w:val="44"/>
          <w:highlight w:val="none"/>
        </w:rPr>
        <w:sectPr>
          <w:headerReference r:id="rId3" w:type="default"/>
          <w:footerReference r:id="rId4" w:type="default"/>
          <w:footerReference r:id="rId5" w:type="even"/>
          <w:pgSz w:w="11906" w:h="16838"/>
          <w:pgMar w:top="1440" w:right="737" w:bottom="1440" w:left="1077" w:header="851" w:footer="992" w:gutter="0"/>
          <w:pgBorders>
            <w:top w:val="none" w:sz="0" w:space="0"/>
            <w:left w:val="none" w:sz="0" w:space="0"/>
            <w:bottom w:val="none" w:sz="0" w:space="0"/>
            <w:right w:val="none" w:sz="0" w:space="0"/>
          </w:pgBorders>
          <w:cols w:space="720" w:num="1"/>
          <w:titlePg/>
          <w:docGrid w:linePitch="360" w:charSpace="0"/>
        </w:sectPr>
      </w:pPr>
    </w:p>
    <w:p w14:paraId="2178E4E9">
      <w:pPr>
        <w:spacing w:line="360" w:lineRule="auto"/>
        <w:jc w:val="center"/>
        <w:rPr>
          <w:rFonts w:hint="eastAsia" w:ascii="宋体" w:hAnsi="宋体"/>
          <w:b/>
          <w:bCs/>
          <w:color w:val="auto"/>
          <w:sz w:val="44"/>
          <w:szCs w:val="44"/>
          <w:highlight w:val="none"/>
        </w:rPr>
      </w:pPr>
      <w:r>
        <w:rPr>
          <w:rFonts w:hint="eastAsia" w:ascii="宋体" w:hAnsi="宋体"/>
          <w:b/>
          <w:bCs/>
          <w:color w:val="auto"/>
          <w:sz w:val="44"/>
          <w:szCs w:val="44"/>
          <w:highlight w:val="none"/>
        </w:rPr>
        <w:t>总  目  录</w:t>
      </w:r>
    </w:p>
    <w:p w14:paraId="092181A4">
      <w:pPr>
        <w:jc w:val="center"/>
        <w:rPr>
          <w:color w:val="auto"/>
          <w:highlight w:val="none"/>
        </w:rPr>
      </w:pPr>
    </w:p>
    <w:p w14:paraId="3177C4EF">
      <w:pPr>
        <w:pStyle w:val="21"/>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_Toc2781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第一章  投标邀请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_Toc2781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74FFC444">
      <w:pPr>
        <w:pStyle w:val="21"/>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_Toc10079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_Toc10079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5</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7EB72C78">
      <w:pPr>
        <w:pStyle w:val="21"/>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_Toc31775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第三章 合同条款及格式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_Toc31775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6C4048B4">
      <w:pPr>
        <w:pStyle w:val="21"/>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_Toc31993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第四章 项目需求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_Toc31993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5EA80AC">
      <w:pPr>
        <w:pStyle w:val="21"/>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_Toc17224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第五章 评标方法与评标标准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_Toc17224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227</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46DB1263">
      <w:pPr>
        <w:pStyle w:val="21"/>
        <w:keepNext w:val="0"/>
        <w:keepLines w:val="0"/>
        <w:pageBreakBefore w:val="0"/>
        <w:widowControl w:val="0"/>
        <w:tabs>
          <w:tab w:val="right" w:leader="dot" w:pos="10092"/>
        </w:tabs>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color w:val="auto"/>
          <w:sz w:val="28"/>
          <w:szCs w:val="28"/>
          <w:highlight w:val="none"/>
        </w:rPr>
        <w:instrText xml:space="preserve"> HYPERLINK \l _Toc822 </w:instrText>
      </w:r>
      <w:r>
        <w:rPr>
          <w:rFonts w:hint="eastAsia" w:ascii="宋体" w:hAnsi="宋体" w:eastAsia="宋体" w:cs="宋体"/>
          <w:bCs/>
          <w:color w:val="auto"/>
          <w:sz w:val="28"/>
          <w:szCs w:val="28"/>
          <w:highlight w:val="none"/>
        </w:rPr>
        <w:fldChar w:fldCharType="separate"/>
      </w:r>
      <w:r>
        <w:rPr>
          <w:rFonts w:hint="eastAsia" w:ascii="宋体" w:hAnsi="宋体" w:eastAsia="宋体" w:cs="宋体"/>
          <w:color w:val="auto"/>
          <w:sz w:val="28"/>
          <w:szCs w:val="28"/>
          <w:highlight w:val="none"/>
        </w:rPr>
        <w:t>第六章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_Toc822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229</w:t>
      </w:r>
      <w:r>
        <w:rPr>
          <w:rFonts w:hint="eastAsia" w:ascii="宋体" w:hAnsi="宋体" w:eastAsia="宋体" w:cs="宋体"/>
          <w:color w:val="auto"/>
          <w:sz w:val="28"/>
          <w:szCs w:val="28"/>
          <w:highlight w:val="none"/>
        </w:rPr>
        <w:fldChar w:fldCharType="end"/>
      </w:r>
      <w:r>
        <w:rPr>
          <w:rFonts w:hint="eastAsia" w:ascii="宋体" w:hAnsi="宋体" w:eastAsia="宋体" w:cs="宋体"/>
          <w:bCs/>
          <w:color w:val="auto"/>
          <w:sz w:val="28"/>
          <w:szCs w:val="28"/>
          <w:highlight w:val="none"/>
        </w:rPr>
        <w:fldChar w:fldCharType="end"/>
      </w:r>
    </w:p>
    <w:p w14:paraId="124624DA">
      <w:pPr>
        <w:keepNext w:val="0"/>
        <w:keepLines w:val="0"/>
        <w:pageBreakBefore w:val="0"/>
        <w:widowControl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Cs/>
          <w:color w:val="auto"/>
          <w:sz w:val="28"/>
          <w:szCs w:val="28"/>
          <w:highlight w:val="none"/>
        </w:rPr>
        <w:fldChar w:fldCharType="end"/>
      </w:r>
    </w:p>
    <w:p w14:paraId="063037FB">
      <w:pPr>
        <w:pStyle w:val="204"/>
        <w:tabs>
          <w:tab w:val="right" w:leader="dot" w:pos="10092"/>
        </w:tabs>
        <w:rPr>
          <w:color w:val="auto"/>
          <w:highlight w:val="none"/>
        </w:rPr>
      </w:pPr>
    </w:p>
    <w:p w14:paraId="2A4DA3C3">
      <w:pPr>
        <w:rPr>
          <w:color w:val="auto"/>
          <w:highlight w:val="none"/>
        </w:rPr>
      </w:pPr>
    </w:p>
    <w:p w14:paraId="2369C94C">
      <w:pPr>
        <w:rPr>
          <w:color w:val="auto"/>
          <w:highlight w:val="none"/>
        </w:rPr>
      </w:pPr>
    </w:p>
    <w:p w14:paraId="30308D61">
      <w:pPr>
        <w:rPr>
          <w:color w:val="auto"/>
          <w:highlight w:val="none"/>
        </w:rPr>
      </w:pPr>
    </w:p>
    <w:p w14:paraId="6C2F53D0">
      <w:pPr>
        <w:rPr>
          <w:color w:val="auto"/>
          <w:highlight w:val="none"/>
        </w:rPr>
      </w:pPr>
    </w:p>
    <w:p w14:paraId="193B214C">
      <w:pPr>
        <w:tabs>
          <w:tab w:val="center" w:pos="5046"/>
        </w:tabs>
        <w:jc w:val="left"/>
        <w:rPr>
          <w:rFonts w:hint="eastAsia"/>
          <w:color w:val="auto"/>
          <w:highlight w:val="none"/>
        </w:rPr>
        <w:sectPr>
          <w:footerReference r:id="rId7" w:type="first"/>
          <w:footerReference r:id="rId6" w:type="default"/>
          <w:pgSz w:w="11906" w:h="16838"/>
          <w:pgMar w:top="1440" w:right="737" w:bottom="1440" w:left="1077" w:header="851" w:footer="992" w:gutter="0"/>
          <w:pgBorders>
            <w:top w:val="none" w:sz="0" w:space="0"/>
            <w:left w:val="none" w:sz="0" w:space="0"/>
            <w:bottom w:val="none" w:sz="0" w:space="0"/>
            <w:right w:val="none" w:sz="0" w:space="0"/>
          </w:pgBorders>
          <w:cols w:space="720" w:num="1"/>
          <w:titlePg/>
          <w:docGrid w:linePitch="360" w:charSpace="0"/>
        </w:sectPr>
      </w:pPr>
      <w:r>
        <w:rPr>
          <w:rFonts w:hint="eastAsia"/>
          <w:color w:val="auto"/>
          <w:highlight w:val="none"/>
        </w:rPr>
        <w:tab/>
      </w:r>
    </w:p>
    <w:p w14:paraId="5A79C132">
      <w:pPr>
        <w:pStyle w:val="205"/>
        <w:spacing w:line="440" w:lineRule="exact"/>
        <w:rPr>
          <w:rStyle w:val="199"/>
          <w:rFonts w:hint="eastAsia" w:ascii="宋体" w:hAnsi="宋体"/>
          <w:color w:val="auto"/>
          <w:spacing w:val="7"/>
          <w:highlight w:val="none"/>
        </w:rPr>
      </w:pPr>
    </w:p>
    <w:p w14:paraId="480EA4CF">
      <w:pPr>
        <w:pStyle w:val="186"/>
        <w:keepNext w:val="0"/>
        <w:keepLines w:val="0"/>
        <w:widowControl/>
        <w:tabs>
          <w:tab w:val="left" w:pos="0"/>
        </w:tabs>
        <w:spacing w:before="0" w:after="0" w:line="580" w:lineRule="exact"/>
        <w:ind w:firstLine="961"/>
        <w:jc w:val="center"/>
        <w:rPr>
          <w:rStyle w:val="197"/>
          <w:rFonts w:hint="eastAsia" w:ascii="华文中宋" w:hAnsi="华文中宋" w:eastAsia="华文中宋"/>
          <w:color w:val="auto"/>
          <w:sz w:val="48"/>
          <w:szCs w:val="48"/>
          <w:highlight w:val="none"/>
        </w:rPr>
      </w:pPr>
      <w:bookmarkStart w:id="2" w:name="_Toc21529"/>
      <w:bookmarkStart w:id="3" w:name="_Toc2781"/>
      <w:r>
        <w:rPr>
          <w:rStyle w:val="197"/>
          <w:rFonts w:hint="eastAsia" w:ascii="华文中宋" w:hAnsi="华文中宋" w:eastAsia="华文中宋"/>
          <w:color w:val="auto"/>
          <w:sz w:val="48"/>
          <w:szCs w:val="48"/>
          <w:highlight w:val="none"/>
        </w:rPr>
        <w:t>第一章  投标邀请</w:t>
      </w:r>
      <w:bookmarkEnd w:id="2"/>
      <w:bookmarkEnd w:id="3"/>
    </w:p>
    <w:p w14:paraId="66D2075F">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lang w:eastAsia="zh-CN"/>
        </w:rPr>
        <w:t>张家港市公安局西二环高架智能化设施项目</w:t>
      </w:r>
      <w:r>
        <w:rPr>
          <w:rFonts w:hint="eastAsia" w:ascii="宋体" w:hAnsi="宋体"/>
          <w:color w:val="auto"/>
          <w:szCs w:val="24"/>
          <w:highlight w:val="none"/>
          <w:lang w:val="en-US" w:eastAsia="zh-CN"/>
        </w:rPr>
        <w:t>JSZC-320582-JZCG-G2026-0024</w:t>
      </w:r>
      <w:r>
        <w:rPr>
          <w:rFonts w:hint="eastAsia" w:ascii="宋体" w:hAnsi="宋体"/>
          <w:color w:val="auto"/>
          <w:szCs w:val="24"/>
          <w:highlight w:val="none"/>
        </w:rPr>
        <w:t>招标项目的潜在投标人应在苏采云政府采购一体化平台（网址：http://jszfcg.jsczt.cn/） 获取招标文件，并于202</w:t>
      </w:r>
      <w:r>
        <w:rPr>
          <w:rFonts w:hint="eastAsia" w:ascii="宋体" w:hAnsi="宋体"/>
          <w:color w:val="auto"/>
          <w:szCs w:val="24"/>
          <w:highlight w:val="none"/>
          <w:lang w:val="en-US" w:eastAsia="zh-CN"/>
        </w:rPr>
        <w:t>6</w:t>
      </w:r>
      <w:r>
        <w:rPr>
          <w:rFonts w:hint="eastAsia" w:ascii="宋体" w:hAnsi="宋体"/>
          <w:color w:val="auto"/>
          <w:szCs w:val="24"/>
          <w:highlight w:val="none"/>
        </w:rPr>
        <w:t>-</w:t>
      </w:r>
      <w:r>
        <w:rPr>
          <w:rFonts w:hint="eastAsia" w:ascii="宋体" w:hAnsi="宋体"/>
          <w:color w:val="auto"/>
          <w:szCs w:val="24"/>
          <w:highlight w:val="none"/>
          <w:lang w:val="en-US" w:eastAsia="zh-CN"/>
        </w:rPr>
        <w:t>08</w:t>
      </w:r>
      <w:r>
        <w:rPr>
          <w:rFonts w:hint="eastAsia" w:ascii="宋体" w:hAnsi="宋体"/>
          <w:color w:val="auto"/>
          <w:szCs w:val="24"/>
          <w:highlight w:val="none"/>
        </w:rPr>
        <w:t>-</w:t>
      </w:r>
      <w:r>
        <w:rPr>
          <w:rFonts w:hint="eastAsia" w:ascii="宋体" w:hAnsi="宋体"/>
          <w:color w:val="auto"/>
          <w:szCs w:val="24"/>
          <w:highlight w:val="none"/>
          <w:lang w:val="en-US" w:eastAsia="zh-CN"/>
        </w:rPr>
        <w:t>25</w:t>
      </w:r>
      <w:r>
        <w:rPr>
          <w:rFonts w:hint="eastAsia" w:ascii="宋体" w:hAnsi="宋体"/>
          <w:color w:val="auto"/>
          <w:szCs w:val="24"/>
          <w:highlight w:val="none"/>
        </w:rPr>
        <w:t xml:space="preserve"> 09:30（北京时间）前递交投标文件。</w:t>
      </w:r>
    </w:p>
    <w:p w14:paraId="036BC799">
      <w:pPr>
        <w:pStyle w:val="194"/>
        <w:widowControl/>
        <w:spacing w:beforeAutospacing="0" w:afterAutospacing="0" w:line="440" w:lineRule="exact"/>
        <w:ind w:firstLine="482"/>
        <w:outlineLvl w:val="1"/>
        <w:rPr>
          <w:rFonts w:hint="eastAsia" w:ascii="宋体" w:hAnsi="宋体"/>
          <w:b/>
          <w:bCs/>
          <w:color w:val="auto"/>
          <w:szCs w:val="24"/>
          <w:highlight w:val="none"/>
        </w:rPr>
      </w:pPr>
      <w:bookmarkStart w:id="4" w:name="_Toc28831"/>
      <w:r>
        <w:rPr>
          <w:rFonts w:hint="eastAsia" w:ascii="宋体" w:hAnsi="宋体"/>
          <w:b/>
          <w:bCs/>
          <w:color w:val="auto"/>
          <w:szCs w:val="24"/>
          <w:highlight w:val="none"/>
        </w:rPr>
        <w:t>一、项目基本情况</w:t>
      </w:r>
      <w:bookmarkEnd w:id="4"/>
    </w:p>
    <w:p w14:paraId="0B789C87">
      <w:pPr>
        <w:pStyle w:val="194"/>
        <w:widowControl/>
        <w:spacing w:beforeAutospacing="0" w:afterAutospacing="0" w:line="440" w:lineRule="exact"/>
        <w:ind w:firstLine="480"/>
        <w:rPr>
          <w:rFonts w:hint="default" w:ascii="宋体" w:hAnsi="宋体"/>
          <w:color w:val="auto"/>
          <w:szCs w:val="24"/>
          <w:highlight w:val="none"/>
          <w:lang w:val="en-US"/>
        </w:rPr>
      </w:pPr>
      <w:r>
        <w:rPr>
          <w:rFonts w:hint="eastAsia" w:ascii="宋体" w:hAnsi="宋体"/>
          <w:color w:val="auto"/>
          <w:szCs w:val="24"/>
          <w:highlight w:val="none"/>
        </w:rPr>
        <w:t>项目编号：</w:t>
      </w:r>
      <w:r>
        <w:rPr>
          <w:rStyle w:val="199"/>
          <w:rFonts w:hint="eastAsia" w:ascii="宋体" w:hAnsi="宋体"/>
          <w:color w:val="auto"/>
          <w:spacing w:val="7"/>
          <w:sz w:val="24"/>
          <w:szCs w:val="24"/>
          <w:highlight w:val="none"/>
          <w:lang w:val="en-US"/>
        </w:rPr>
        <w:t>JSZC-320582-JZCG-G2026-0024</w:t>
      </w:r>
    </w:p>
    <w:p w14:paraId="531D3905">
      <w:pPr>
        <w:pStyle w:val="194"/>
        <w:widowControl/>
        <w:spacing w:beforeAutospacing="0" w:afterAutospacing="0" w:line="440" w:lineRule="exact"/>
        <w:ind w:firstLine="480"/>
        <w:rPr>
          <w:rFonts w:hint="eastAsia" w:ascii="宋体" w:hAnsi="宋体" w:eastAsia="宋体"/>
          <w:color w:val="auto"/>
          <w:szCs w:val="24"/>
          <w:highlight w:val="none"/>
          <w:lang w:eastAsia="zh-CN"/>
        </w:rPr>
      </w:pPr>
      <w:r>
        <w:rPr>
          <w:rFonts w:hint="eastAsia" w:ascii="宋体" w:hAnsi="宋体"/>
          <w:color w:val="auto"/>
          <w:szCs w:val="24"/>
          <w:highlight w:val="none"/>
        </w:rPr>
        <w:t>项目名称：</w:t>
      </w:r>
      <w:r>
        <w:rPr>
          <w:rFonts w:hint="eastAsia" w:ascii="宋体" w:hAnsi="宋体"/>
          <w:color w:val="auto"/>
          <w:szCs w:val="24"/>
          <w:highlight w:val="none"/>
          <w:lang w:eastAsia="zh-CN"/>
        </w:rPr>
        <w:t>西二环高架智能化设施项目</w:t>
      </w:r>
    </w:p>
    <w:p w14:paraId="0C8C8368">
      <w:pPr>
        <w:pStyle w:val="194"/>
        <w:widowControl/>
        <w:spacing w:beforeAutospacing="0" w:afterAutospacing="0" w:line="440" w:lineRule="exact"/>
        <w:ind w:firstLine="480"/>
        <w:rPr>
          <w:rFonts w:hint="eastAsia" w:ascii="宋体" w:hAnsi="宋体" w:eastAsia="宋体"/>
          <w:color w:val="auto"/>
          <w:szCs w:val="24"/>
          <w:highlight w:val="none"/>
          <w:lang w:eastAsia="zh-CN"/>
        </w:rPr>
      </w:pPr>
      <w:bookmarkStart w:id="5" w:name="OLE_LINK3"/>
      <w:r>
        <w:rPr>
          <w:rFonts w:hint="eastAsia" w:ascii="宋体" w:hAnsi="宋体"/>
          <w:color w:val="auto"/>
          <w:szCs w:val="24"/>
          <w:highlight w:val="none"/>
        </w:rPr>
        <w:t>预算金额：</w:t>
      </w:r>
      <w:r>
        <w:rPr>
          <w:rFonts w:hint="eastAsia" w:ascii="宋体" w:hAnsi="宋体"/>
          <w:color w:val="auto"/>
          <w:szCs w:val="24"/>
          <w:highlight w:val="none"/>
          <w:lang w:val="en-US" w:eastAsia="zh-CN"/>
        </w:rPr>
        <w:t>5602万元</w:t>
      </w:r>
    </w:p>
    <w:p w14:paraId="6A59CF0C">
      <w:pPr>
        <w:pStyle w:val="194"/>
        <w:widowControl/>
        <w:spacing w:beforeAutospacing="0" w:afterAutospacing="0" w:line="440" w:lineRule="exact"/>
        <w:ind w:firstLine="480"/>
        <w:rPr>
          <w:rFonts w:hint="eastAsia" w:ascii="宋体" w:hAnsi="宋体"/>
          <w:color w:val="auto"/>
          <w:szCs w:val="24"/>
          <w:highlight w:val="none"/>
          <w:lang w:val="en-US" w:eastAsia="zh-CN"/>
        </w:rPr>
      </w:pPr>
      <w:r>
        <w:rPr>
          <w:rFonts w:hint="eastAsia" w:ascii="宋体" w:hAnsi="宋体"/>
          <w:color w:val="auto"/>
          <w:szCs w:val="24"/>
          <w:highlight w:val="none"/>
        </w:rPr>
        <w:t>最高限价（如有）：</w:t>
      </w:r>
      <w:bookmarkEnd w:id="5"/>
      <w:r>
        <w:rPr>
          <w:rFonts w:hint="eastAsia" w:ascii="宋体" w:hAnsi="宋体"/>
          <w:color w:val="auto"/>
          <w:szCs w:val="24"/>
          <w:highlight w:val="none"/>
          <w:lang w:val="en-US" w:eastAsia="zh-CN"/>
        </w:rPr>
        <w:t>5602万元</w:t>
      </w:r>
    </w:p>
    <w:p w14:paraId="20CE0DC2">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采购方式：公开招标</w:t>
      </w:r>
    </w:p>
    <w:p w14:paraId="6FD83134">
      <w:pPr>
        <w:spacing w:line="440" w:lineRule="exact"/>
        <w:ind w:firstLine="480"/>
        <w:rPr>
          <w:rFonts w:hint="eastAsia" w:ascii="宋体" w:hAnsi="宋体"/>
          <w:color w:val="auto"/>
          <w:sz w:val="24"/>
          <w:szCs w:val="24"/>
          <w:highlight w:val="none"/>
          <w:lang w:val="en-US" w:eastAsia="zh-CN"/>
        </w:rPr>
      </w:pPr>
      <w:r>
        <w:rPr>
          <w:rFonts w:hint="eastAsia" w:ascii="宋体" w:hAnsi="宋体"/>
          <w:color w:val="auto"/>
          <w:sz w:val="24"/>
          <w:szCs w:val="24"/>
          <w:highlight w:val="none"/>
        </w:rPr>
        <w:t>采购需求：</w:t>
      </w:r>
      <w:bookmarkStart w:id="6" w:name="OLE_LINK24"/>
      <w:bookmarkStart w:id="7" w:name="OLE_LINK18"/>
      <w:r>
        <w:rPr>
          <w:rFonts w:hint="eastAsia" w:ascii="宋体" w:hAnsi="宋体"/>
          <w:color w:val="auto"/>
          <w:sz w:val="24"/>
          <w:szCs w:val="24"/>
          <w:highlight w:val="none"/>
          <w:lang w:val="en-US" w:eastAsia="zh-CN"/>
        </w:rPr>
        <w:t>本项目是对西二环--杨新公路快速路配套建设智能交通设施，包括标前现场踏勘、设备采购、安装、系统调试和运维。</w:t>
      </w:r>
      <w:bookmarkEnd w:id="6"/>
    </w:p>
    <w:bookmarkEnd w:id="7"/>
    <w:p w14:paraId="2A56CCD6">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合同履行期限：</w:t>
      </w:r>
      <w:bookmarkStart w:id="8" w:name="OLE_LINK25"/>
      <w:bookmarkStart w:id="9" w:name="OLE_LINK20"/>
      <w:r>
        <w:rPr>
          <w:rFonts w:hint="eastAsia" w:ascii="宋体" w:hAnsi="宋体"/>
          <w:color w:val="auto"/>
          <w:sz w:val="24"/>
          <w:szCs w:val="24"/>
          <w:highlight w:val="none"/>
        </w:rPr>
        <w:t>在合同生效后90日内供货安装调试结束。</w:t>
      </w:r>
      <w:bookmarkEnd w:id="8"/>
    </w:p>
    <w:bookmarkEnd w:id="9"/>
    <w:p w14:paraId="61AD59B2">
      <w:pPr>
        <w:pStyle w:val="194"/>
        <w:widowControl/>
        <w:spacing w:beforeAutospacing="0" w:afterAutospacing="0" w:line="440" w:lineRule="exact"/>
        <w:ind w:firstLine="480"/>
        <w:rPr>
          <w:rFonts w:hint="eastAsia" w:ascii="宋体" w:hAnsi="宋体"/>
          <w:color w:val="auto"/>
          <w:szCs w:val="24"/>
          <w:highlight w:val="yellow"/>
        </w:rPr>
      </w:pPr>
      <w:r>
        <w:rPr>
          <w:rFonts w:hint="eastAsia" w:ascii="宋体" w:hAnsi="宋体"/>
          <w:color w:val="auto"/>
          <w:szCs w:val="24"/>
          <w:highlight w:val="none"/>
        </w:rPr>
        <w:t>本项目（是/否）接受联合体投标：</w:t>
      </w:r>
      <w:r>
        <w:rPr>
          <w:rFonts w:hint="eastAsia" w:ascii="宋体" w:hAnsi="宋体"/>
          <w:color w:val="auto"/>
          <w:szCs w:val="24"/>
          <w:highlight w:val="yellow"/>
        </w:rPr>
        <w:t>接受联合体</w:t>
      </w:r>
    </w:p>
    <w:p w14:paraId="3FBDD325">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二、申请人的资格要求</w:t>
      </w:r>
    </w:p>
    <w:p w14:paraId="7824B970">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（一）满足《中华人民共和国政府采购法》第二十二条规定；</w:t>
      </w:r>
    </w:p>
    <w:p w14:paraId="3DB8ED26">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olor w:val="auto"/>
          <w:szCs w:val="24"/>
          <w:highlight w:val="none"/>
          <w:lang w:eastAsia="zh-CN"/>
        </w:rPr>
        <w:t>；</w:t>
      </w:r>
      <w:r>
        <w:rPr>
          <w:rFonts w:hint="eastAsia" w:ascii="宋体" w:hAnsi="宋体"/>
          <w:color w:val="auto"/>
          <w:szCs w:val="24"/>
          <w:highlight w:val="yellow"/>
          <w:lang w:eastAsia="zh-CN"/>
        </w:rPr>
        <w:t>如为联合体参加投标的，联合体各方均须提供</w:t>
      </w:r>
      <w:r>
        <w:rPr>
          <w:rFonts w:hint="eastAsia" w:ascii="宋体" w:hAnsi="宋体"/>
          <w:color w:val="auto"/>
          <w:szCs w:val="24"/>
          <w:highlight w:val="none"/>
        </w:rPr>
        <w:t>）</w:t>
      </w:r>
    </w:p>
    <w:p w14:paraId="2C6B030C">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2.财务状况报告（成立不满一年不需提供；</w:t>
      </w:r>
      <w:r>
        <w:rPr>
          <w:rFonts w:hint="eastAsia" w:ascii="宋体" w:hAnsi="宋体"/>
          <w:color w:val="auto"/>
          <w:szCs w:val="24"/>
          <w:highlight w:val="yellow"/>
        </w:rPr>
        <w:t>如</w:t>
      </w:r>
      <w:r>
        <w:rPr>
          <w:rFonts w:hint="eastAsia" w:ascii="宋体" w:hAnsi="宋体"/>
          <w:color w:val="auto"/>
          <w:szCs w:val="24"/>
          <w:highlight w:val="yellow"/>
          <w:lang w:eastAsia="zh-CN"/>
        </w:rPr>
        <w:t>为</w:t>
      </w:r>
      <w:r>
        <w:rPr>
          <w:rFonts w:hint="eastAsia" w:ascii="宋体" w:hAnsi="宋体"/>
          <w:color w:val="auto"/>
          <w:szCs w:val="24"/>
          <w:highlight w:val="yellow"/>
        </w:rPr>
        <w:t>联合体参加投标的，联合体各方均须提供</w:t>
      </w:r>
      <w:r>
        <w:rPr>
          <w:rFonts w:hint="eastAsia" w:ascii="宋体" w:hAnsi="宋体"/>
          <w:color w:val="auto"/>
          <w:szCs w:val="24"/>
          <w:highlight w:val="none"/>
        </w:rPr>
        <w:t>）</w:t>
      </w:r>
    </w:p>
    <w:p w14:paraId="51388DA0">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3.依法缴纳税收和社会保障资金的相关材料（如依法享受缓缴、免缴税收、社会保障资金的，应提供相关证明材料；</w:t>
      </w:r>
      <w:r>
        <w:rPr>
          <w:rFonts w:hint="eastAsia" w:ascii="宋体" w:hAnsi="宋体"/>
          <w:color w:val="auto"/>
          <w:szCs w:val="24"/>
          <w:highlight w:val="yellow"/>
        </w:rPr>
        <w:t>如</w:t>
      </w:r>
      <w:r>
        <w:rPr>
          <w:rFonts w:hint="eastAsia" w:ascii="宋体" w:hAnsi="宋体"/>
          <w:color w:val="auto"/>
          <w:szCs w:val="24"/>
          <w:highlight w:val="yellow"/>
          <w:lang w:eastAsia="zh-CN"/>
        </w:rPr>
        <w:t>为</w:t>
      </w:r>
      <w:r>
        <w:rPr>
          <w:rFonts w:hint="eastAsia" w:ascii="宋体" w:hAnsi="宋体"/>
          <w:color w:val="auto"/>
          <w:szCs w:val="24"/>
          <w:highlight w:val="yellow"/>
        </w:rPr>
        <w:t>联合体参加投标的，联合体各方均须提供</w:t>
      </w:r>
      <w:r>
        <w:rPr>
          <w:rFonts w:hint="eastAsia" w:ascii="宋体" w:hAnsi="宋体"/>
          <w:color w:val="auto"/>
          <w:szCs w:val="24"/>
          <w:highlight w:val="none"/>
        </w:rPr>
        <w:t>）；</w:t>
      </w:r>
    </w:p>
    <w:p w14:paraId="2455A371">
      <w:pPr>
        <w:pStyle w:val="194"/>
        <w:widowControl/>
        <w:spacing w:beforeAutospacing="0" w:afterAutospacing="0" w:line="440" w:lineRule="exact"/>
        <w:ind w:firstLine="480"/>
        <w:rPr>
          <w:rFonts w:hint="eastAsia" w:ascii="宋体" w:hAnsi="宋体" w:eastAsia="宋体"/>
          <w:color w:val="auto"/>
          <w:szCs w:val="24"/>
          <w:highlight w:val="none"/>
          <w:lang w:eastAsia="zh-CN"/>
        </w:rPr>
      </w:pPr>
      <w:r>
        <w:rPr>
          <w:rFonts w:hint="eastAsia" w:ascii="宋体" w:hAnsi="宋体"/>
          <w:color w:val="auto"/>
          <w:szCs w:val="24"/>
          <w:highlight w:val="none"/>
        </w:rPr>
        <w:t>4.具备履行合同所必需的设备和专业技术能力的书面声明（</w:t>
      </w:r>
      <w:r>
        <w:rPr>
          <w:rFonts w:hint="eastAsia" w:ascii="宋体" w:hAnsi="宋体"/>
          <w:color w:val="auto"/>
          <w:szCs w:val="24"/>
          <w:highlight w:val="yellow"/>
        </w:rPr>
        <w:t>如</w:t>
      </w:r>
      <w:r>
        <w:rPr>
          <w:rFonts w:hint="eastAsia" w:ascii="宋体" w:hAnsi="宋体"/>
          <w:color w:val="auto"/>
          <w:szCs w:val="24"/>
          <w:highlight w:val="yellow"/>
          <w:lang w:eastAsia="zh-CN"/>
        </w:rPr>
        <w:t>为</w:t>
      </w:r>
      <w:r>
        <w:rPr>
          <w:rFonts w:hint="eastAsia" w:ascii="宋体" w:hAnsi="宋体"/>
          <w:color w:val="auto"/>
          <w:szCs w:val="24"/>
          <w:highlight w:val="yellow"/>
        </w:rPr>
        <w:t>联合体参加投标的，联合体各方均须提供</w:t>
      </w:r>
      <w:r>
        <w:rPr>
          <w:rFonts w:hint="eastAsia" w:ascii="宋体" w:hAnsi="宋体"/>
          <w:color w:val="auto"/>
          <w:szCs w:val="24"/>
          <w:highlight w:val="none"/>
        </w:rPr>
        <w:t>）</w:t>
      </w:r>
      <w:r>
        <w:rPr>
          <w:rFonts w:hint="eastAsia" w:ascii="宋体" w:hAnsi="宋体"/>
          <w:color w:val="auto"/>
          <w:szCs w:val="24"/>
          <w:highlight w:val="none"/>
          <w:lang w:eastAsia="zh-CN"/>
        </w:rPr>
        <w:t>；</w:t>
      </w:r>
    </w:p>
    <w:p w14:paraId="2447D41F">
      <w:pPr>
        <w:pStyle w:val="194"/>
        <w:widowControl/>
        <w:spacing w:beforeAutospacing="0" w:afterAutospacing="0" w:line="440" w:lineRule="exact"/>
        <w:ind w:firstLine="480"/>
        <w:rPr>
          <w:rFonts w:hint="eastAsia" w:ascii="宋体" w:hAnsi="宋体" w:eastAsia="宋体"/>
          <w:color w:val="auto"/>
          <w:szCs w:val="24"/>
          <w:highlight w:val="none"/>
          <w:lang w:eastAsia="zh-CN"/>
        </w:rPr>
      </w:pPr>
      <w:r>
        <w:rPr>
          <w:rFonts w:hint="eastAsia" w:ascii="宋体" w:hAnsi="宋体"/>
          <w:color w:val="auto"/>
          <w:szCs w:val="24"/>
          <w:highlight w:val="none"/>
        </w:rPr>
        <w:t>5.参加政府采购活动前3年内在经营活动中没有重大违法记录的书面声明（</w:t>
      </w:r>
      <w:r>
        <w:rPr>
          <w:rFonts w:hint="eastAsia" w:ascii="宋体" w:hAnsi="宋体"/>
          <w:color w:val="auto"/>
          <w:szCs w:val="24"/>
          <w:highlight w:val="yellow"/>
        </w:rPr>
        <w:t>如</w:t>
      </w:r>
      <w:r>
        <w:rPr>
          <w:rFonts w:hint="eastAsia" w:ascii="宋体" w:hAnsi="宋体"/>
          <w:color w:val="auto"/>
          <w:szCs w:val="24"/>
          <w:highlight w:val="yellow"/>
          <w:lang w:eastAsia="zh-CN"/>
        </w:rPr>
        <w:t>为</w:t>
      </w:r>
      <w:r>
        <w:rPr>
          <w:rFonts w:hint="eastAsia" w:ascii="宋体" w:hAnsi="宋体"/>
          <w:color w:val="auto"/>
          <w:szCs w:val="24"/>
          <w:highlight w:val="yellow"/>
        </w:rPr>
        <w:t>联合体参加投标的，联合体各方均须提供</w:t>
      </w:r>
      <w:r>
        <w:rPr>
          <w:rFonts w:hint="eastAsia" w:ascii="宋体" w:hAnsi="宋体"/>
          <w:color w:val="auto"/>
          <w:szCs w:val="24"/>
          <w:highlight w:val="none"/>
        </w:rPr>
        <w:t>）</w:t>
      </w:r>
      <w:r>
        <w:rPr>
          <w:rFonts w:hint="eastAsia" w:ascii="宋体" w:hAnsi="宋体"/>
          <w:color w:val="auto"/>
          <w:szCs w:val="24"/>
          <w:highlight w:val="none"/>
          <w:lang w:eastAsia="zh-CN"/>
        </w:rPr>
        <w:t>；</w:t>
      </w:r>
    </w:p>
    <w:p w14:paraId="4E8380A8">
      <w:pPr>
        <w:pStyle w:val="194"/>
        <w:widowControl/>
        <w:spacing w:beforeAutospacing="0" w:afterAutospacing="0" w:line="440" w:lineRule="exact"/>
        <w:ind w:firstLine="480"/>
        <w:rPr>
          <w:rFonts w:hint="eastAsia" w:ascii="宋体" w:hAnsi="宋体" w:eastAsia="宋体"/>
          <w:color w:val="auto"/>
          <w:szCs w:val="24"/>
          <w:highlight w:val="none"/>
          <w:lang w:eastAsia="zh-CN"/>
        </w:rPr>
      </w:pPr>
      <w:r>
        <w:rPr>
          <w:rFonts w:hint="eastAsia" w:ascii="宋体" w:hAnsi="宋体"/>
          <w:color w:val="auto"/>
          <w:szCs w:val="24"/>
          <w:highlight w:val="none"/>
        </w:rPr>
        <w:t>6.资格证明文件的书面承诺（</w:t>
      </w:r>
      <w:r>
        <w:rPr>
          <w:rFonts w:hint="eastAsia" w:ascii="宋体" w:hAnsi="宋体"/>
          <w:color w:val="auto"/>
          <w:szCs w:val="24"/>
          <w:highlight w:val="yellow"/>
        </w:rPr>
        <w:t>如</w:t>
      </w:r>
      <w:r>
        <w:rPr>
          <w:rFonts w:hint="eastAsia" w:ascii="宋体" w:hAnsi="宋体"/>
          <w:color w:val="auto"/>
          <w:szCs w:val="24"/>
          <w:highlight w:val="yellow"/>
          <w:lang w:eastAsia="zh-CN"/>
        </w:rPr>
        <w:t>为</w:t>
      </w:r>
      <w:r>
        <w:rPr>
          <w:rFonts w:hint="eastAsia" w:ascii="宋体" w:hAnsi="宋体"/>
          <w:color w:val="auto"/>
          <w:szCs w:val="24"/>
          <w:highlight w:val="yellow"/>
        </w:rPr>
        <w:t>联合体参加投标的，联合体各方均须提供</w:t>
      </w:r>
      <w:r>
        <w:rPr>
          <w:rFonts w:hint="eastAsia" w:ascii="宋体" w:hAnsi="宋体"/>
          <w:color w:val="auto"/>
          <w:szCs w:val="24"/>
          <w:highlight w:val="none"/>
        </w:rPr>
        <w:t>）</w:t>
      </w:r>
      <w:r>
        <w:rPr>
          <w:rFonts w:hint="eastAsia" w:ascii="宋体" w:hAnsi="宋体"/>
          <w:color w:val="auto"/>
          <w:szCs w:val="24"/>
          <w:highlight w:val="none"/>
          <w:lang w:eastAsia="zh-CN"/>
        </w:rPr>
        <w:t>；</w:t>
      </w:r>
    </w:p>
    <w:p w14:paraId="31BB713D">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7.授权委托书（被授权人非法定代表人的，应提供授权委托书；被授权人是法定代表人的，应提供授权委托书或法定代表人身份证明书</w:t>
      </w:r>
      <w:r>
        <w:rPr>
          <w:rFonts w:hint="eastAsia" w:ascii="宋体" w:hAnsi="宋体"/>
          <w:color w:val="auto"/>
          <w:szCs w:val="24"/>
          <w:highlight w:val="none"/>
          <w:lang w:eastAsia="zh-CN"/>
        </w:rPr>
        <w:t>；</w:t>
      </w:r>
      <w:r>
        <w:rPr>
          <w:rFonts w:hint="eastAsia" w:ascii="宋体" w:hAnsi="宋体"/>
          <w:color w:val="auto"/>
          <w:szCs w:val="24"/>
          <w:highlight w:val="yellow"/>
          <w:lang w:eastAsia="zh-CN"/>
        </w:rPr>
        <w:t>如为联合体参加投标的，则联合体牵头方须提供</w:t>
      </w:r>
      <w:r>
        <w:rPr>
          <w:rFonts w:hint="eastAsia" w:ascii="宋体" w:hAnsi="宋体"/>
          <w:color w:val="auto"/>
          <w:szCs w:val="24"/>
          <w:highlight w:val="none"/>
        </w:rPr>
        <w:t>）</w:t>
      </w:r>
    </w:p>
    <w:p w14:paraId="04F388DE">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（二）未被“信用中国”网站（www.creditchina.gov.cn）列入失信被执行人、重大税收违法案件当事人名单、政府采购严重失信行为记录名单。</w:t>
      </w:r>
    </w:p>
    <w:p w14:paraId="0341E6D8">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（三）落实政府采购政策需满足的资格要求：</w:t>
      </w:r>
    </w:p>
    <w:p w14:paraId="3724C677">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无</w:t>
      </w:r>
    </w:p>
    <w:p w14:paraId="6516539E">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（四）本项目的特定资格要求： </w:t>
      </w:r>
    </w:p>
    <w:p w14:paraId="15E3D995">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无</w:t>
      </w:r>
    </w:p>
    <w:p w14:paraId="43751AAB">
      <w:pPr>
        <w:pStyle w:val="29"/>
        <w:widowControl/>
        <w:spacing w:before="0" w:beforeAutospacing="0" w:after="0" w:afterAutospacing="0" w:line="440" w:lineRule="exact"/>
        <w:ind w:firstLine="480" w:firstLineChars="200"/>
        <w:rPr>
          <w:rFonts w:hint="eastAsia" w:ascii="宋体" w:hAnsi="宋体" w:eastAsia="宋体"/>
          <w:color w:val="auto"/>
          <w:szCs w:val="24"/>
          <w:highlight w:val="none"/>
          <w:lang w:eastAsia="zh-CN"/>
        </w:rPr>
      </w:pPr>
      <w:r>
        <w:rPr>
          <w:rFonts w:hint="eastAsia" w:ascii="宋体" w:hAnsi="宋体"/>
          <w:color w:val="auto"/>
          <w:szCs w:val="24"/>
          <w:highlight w:val="none"/>
          <w:lang w:eastAsia="zh-CN"/>
        </w:rPr>
        <w:t>（五）</w:t>
      </w:r>
      <w:r>
        <w:rPr>
          <w:rFonts w:hint="eastAsia" w:ascii="宋体" w:hAnsi="宋体" w:cs="宋体"/>
          <w:color w:val="auto"/>
          <w:szCs w:val="24"/>
          <w:highlight w:val="yellow"/>
          <w:lang w:eastAsia="zh-CN"/>
        </w:rPr>
        <w:t>采用联合体投标的，联合体各成员之间应签订《联合体协议书》及《联合体授权委托书》。联合体各成员之间签订的《联合体协议书》及《联合体授权委托书》应与投标文件一起递交。参加联合体的各成员不得再以自己名义单独投标，也不得参加其他联合体参与本项目的招标活动。以联合体名义参加投标的，联合体牵头人</w:t>
      </w:r>
      <w:r>
        <w:rPr>
          <w:rFonts w:hint="eastAsia" w:cs="宋体"/>
          <w:color w:val="auto"/>
          <w:szCs w:val="24"/>
          <w:highlight w:val="yellow"/>
          <w:lang w:val="en-US" w:eastAsia="zh-CN"/>
        </w:rPr>
        <w:t>须</w:t>
      </w:r>
      <w:r>
        <w:rPr>
          <w:rFonts w:hint="eastAsia" w:ascii="宋体" w:hAnsi="宋体" w:cs="宋体"/>
          <w:color w:val="auto"/>
          <w:szCs w:val="24"/>
          <w:highlight w:val="yellow"/>
          <w:lang w:eastAsia="zh-CN"/>
        </w:rPr>
        <w:t>进行登记领取招标文件。联合体成员不允许超过两家。</w:t>
      </w:r>
    </w:p>
    <w:p w14:paraId="59AA1296">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三、获取招标文件</w:t>
      </w:r>
    </w:p>
    <w:p w14:paraId="3A3C604F">
      <w:pPr>
        <w:widowControl/>
        <w:spacing w:line="440" w:lineRule="exact"/>
        <w:ind w:firstLine="480"/>
        <w:jc w:val="left"/>
        <w:rPr>
          <w:rFonts w:hint="eastAsia" w:ascii="宋体" w:hAnsi="宋体"/>
          <w:color w:val="auto"/>
          <w:sz w:val="24"/>
          <w:szCs w:val="24"/>
          <w:highlight w:val="none"/>
          <w:lang w:bidi="ar"/>
        </w:rPr>
      </w:pPr>
      <w:r>
        <w:rPr>
          <w:rFonts w:hint="eastAsia" w:ascii="宋体" w:hAnsi="宋体"/>
          <w:color w:val="auto"/>
          <w:sz w:val="24"/>
          <w:szCs w:val="24"/>
          <w:highlight w:val="none"/>
          <w:lang w:bidi="ar"/>
        </w:rPr>
        <w:t>时间：自招标文件公告发布之日起5个工作日</w:t>
      </w:r>
    </w:p>
    <w:p w14:paraId="63D1B138">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地点：苏采云政府采购一体化平台（网址http://jszfcg.jsczt.cn/） </w:t>
      </w:r>
    </w:p>
    <w:p w14:paraId="7F71E28F">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方式：苏采云政府采购一体化平台（网址http://jszfcg.jsczt.cn/） </w:t>
      </w:r>
    </w:p>
    <w:p w14:paraId="161C0887">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售价：0.00元 </w:t>
      </w:r>
    </w:p>
    <w:p w14:paraId="78EED629">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四、提交投标文件截止时间、开标时间和地点</w:t>
      </w:r>
    </w:p>
    <w:p w14:paraId="48002203">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202</w:t>
      </w:r>
      <w:r>
        <w:rPr>
          <w:rFonts w:hint="eastAsia" w:ascii="宋体" w:hAnsi="宋体"/>
          <w:color w:val="auto"/>
          <w:szCs w:val="24"/>
          <w:highlight w:val="none"/>
          <w:lang w:val="en-US" w:eastAsia="zh-CN"/>
        </w:rPr>
        <w:t>6</w:t>
      </w:r>
      <w:r>
        <w:rPr>
          <w:rFonts w:hint="eastAsia" w:ascii="宋体" w:hAnsi="宋体"/>
          <w:color w:val="auto"/>
          <w:szCs w:val="24"/>
          <w:highlight w:val="none"/>
        </w:rPr>
        <w:t>-</w:t>
      </w:r>
      <w:r>
        <w:rPr>
          <w:rFonts w:hint="eastAsia" w:ascii="宋体" w:hAnsi="宋体"/>
          <w:color w:val="auto"/>
          <w:szCs w:val="24"/>
          <w:highlight w:val="none"/>
          <w:lang w:val="en-US" w:eastAsia="zh-CN"/>
        </w:rPr>
        <w:t>08</w:t>
      </w:r>
      <w:r>
        <w:rPr>
          <w:rFonts w:hint="eastAsia" w:ascii="宋体" w:hAnsi="宋体"/>
          <w:color w:val="auto"/>
          <w:szCs w:val="24"/>
          <w:highlight w:val="none"/>
        </w:rPr>
        <w:t>-</w:t>
      </w:r>
      <w:r>
        <w:rPr>
          <w:rFonts w:hint="eastAsia" w:ascii="宋体" w:hAnsi="宋体"/>
          <w:color w:val="auto"/>
          <w:szCs w:val="24"/>
          <w:highlight w:val="none"/>
          <w:lang w:val="en-US" w:eastAsia="zh-CN"/>
        </w:rPr>
        <w:t xml:space="preserve">25 </w:t>
      </w:r>
      <w:r>
        <w:rPr>
          <w:rFonts w:hint="eastAsia" w:ascii="宋体" w:hAnsi="宋体"/>
          <w:color w:val="auto"/>
          <w:szCs w:val="24"/>
          <w:highlight w:val="none"/>
        </w:rPr>
        <w:t xml:space="preserve"> 09:30（北京时间）</w:t>
      </w:r>
    </w:p>
    <w:p w14:paraId="529A745D">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地点：苏采云系统 </w:t>
      </w:r>
    </w:p>
    <w:p w14:paraId="18300C2E">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五、公告期限</w:t>
      </w:r>
    </w:p>
    <w:p w14:paraId="64D12895">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自本公告发布之日起5个工作日。</w:t>
      </w:r>
    </w:p>
    <w:p w14:paraId="756B89A0">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六、其他补充事宜</w:t>
      </w:r>
    </w:p>
    <w:p w14:paraId="15F78CEF">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1.CA证书办理</w:t>
      </w:r>
    </w:p>
    <w:p w14:paraId="248C2E90">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0A4EDB31">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2.参与采购活动</w:t>
      </w:r>
    </w:p>
    <w:p w14:paraId="7F317D23">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17324FC3">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3.电子投标准备</w:t>
      </w:r>
    </w:p>
    <w:p w14:paraId="389F0B67">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4789BCB0">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在系统操作过程中如有疑问，请按以下方式联系：</w:t>
      </w:r>
    </w:p>
    <w:p w14:paraId="7D81EC9D">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注册咨询：18261002950；</w:t>
      </w:r>
    </w:p>
    <w:p w14:paraId="31B84E2C">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CA技术咨询电话：400-608-6099；</w:t>
      </w:r>
    </w:p>
    <w:p w14:paraId="5BB8A6F9">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签章使用问题：025-83633811、025-83633812、15380932027、15371015030；</w:t>
      </w:r>
    </w:p>
    <w:p w14:paraId="5D2D0382">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系统使用指导与咨询：18261002950、</w:t>
      </w:r>
      <w:r>
        <w:rPr>
          <w:rFonts w:hint="eastAsia" w:ascii="宋体" w:hAnsi="宋体"/>
          <w:color w:val="auto"/>
          <w:szCs w:val="24"/>
          <w:highlight w:val="none"/>
          <w:lang w:val="en-US" w:eastAsia="zh-CN"/>
        </w:rPr>
        <w:t>13914088964</w:t>
      </w:r>
      <w:r>
        <w:rPr>
          <w:rFonts w:hint="eastAsia" w:ascii="宋体" w:hAnsi="宋体"/>
          <w:color w:val="auto"/>
          <w:szCs w:val="24"/>
          <w:highlight w:val="none"/>
        </w:rPr>
        <w:t>；QQ：3048755361、1315179389、895706745。</w:t>
      </w:r>
    </w:p>
    <w:p w14:paraId="75A4ECAD">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7DBE6A27">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20018D7A">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请供应商确保电脑、系统及其他设备（视频输入输出设备等）无误，且开标直至项目结束始终保持系统在线状态。</w:t>
      </w:r>
    </w:p>
    <w:p w14:paraId="5D47E2E0">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6.招标文件澄清或者修改内容的告知方式：招标文件的实质性变动或修改将在政府采购公告媒体网通知，投标人可自行下载。</w:t>
      </w:r>
    </w:p>
    <w:p w14:paraId="0C7F01CE">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7.本次招标不收取投标保证金。</w:t>
      </w:r>
    </w:p>
    <w:p w14:paraId="18FAABEF">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8.本项目不允许进口产品投标。</w:t>
      </w:r>
    </w:p>
    <w:p w14:paraId="01EAB1A7">
      <w:pPr>
        <w:pStyle w:val="194"/>
        <w:widowControl/>
        <w:spacing w:beforeAutospacing="0" w:afterAutospacing="0" w:line="440" w:lineRule="exact"/>
        <w:ind w:firstLine="482"/>
        <w:rPr>
          <w:rStyle w:val="197"/>
          <w:rFonts w:hint="eastAsia" w:ascii="宋体" w:hAnsi="宋体"/>
          <w:color w:val="auto"/>
          <w:szCs w:val="24"/>
          <w:highlight w:val="none"/>
        </w:rPr>
      </w:pPr>
      <w:r>
        <w:rPr>
          <w:rStyle w:val="197"/>
          <w:rFonts w:hint="eastAsia" w:ascii="宋体" w:hAnsi="宋体"/>
          <w:color w:val="auto"/>
          <w:szCs w:val="24"/>
          <w:highlight w:val="none"/>
        </w:rPr>
        <w:t>七、对本次招标提出询问，请按以下方式联系</w:t>
      </w:r>
    </w:p>
    <w:p w14:paraId="3EE8C31A">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1.采购人信息 </w:t>
      </w:r>
    </w:p>
    <w:p w14:paraId="14C66E08">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单位名称：张家港市公安局</w:t>
      </w:r>
    </w:p>
    <w:p w14:paraId="3E8D06B5">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单位地址：张家港市港城大道180号</w:t>
      </w:r>
    </w:p>
    <w:p w14:paraId="469B2BF6">
      <w:pPr>
        <w:pStyle w:val="194"/>
        <w:widowControl/>
        <w:spacing w:beforeAutospacing="0" w:afterAutospacing="0" w:line="440" w:lineRule="exact"/>
        <w:ind w:firstLine="480"/>
        <w:rPr>
          <w:rFonts w:hint="default" w:ascii="宋体" w:hAnsi="宋体" w:eastAsia="宋体"/>
          <w:color w:val="auto"/>
          <w:szCs w:val="24"/>
          <w:highlight w:val="none"/>
          <w:lang w:val="en-US" w:eastAsia="zh-CN"/>
        </w:rPr>
      </w:pPr>
      <w:r>
        <w:rPr>
          <w:rFonts w:hint="eastAsia" w:ascii="宋体" w:hAnsi="宋体"/>
          <w:color w:val="auto"/>
          <w:szCs w:val="24"/>
          <w:highlight w:val="none"/>
        </w:rPr>
        <w:t>联系人：</w:t>
      </w:r>
      <w:r>
        <w:rPr>
          <w:rFonts w:hint="eastAsia" w:ascii="宋体" w:hAnsi="宋体"/>
          <w:color w:val="auto"/>
          <w:szCs w:val="24"/>
          <w:highlight w:val="none"/>
          <w:lang w:val="en-US" w:eastAsia="zh-CN"/>
        </w:rPr>
        <w:t>张皓彦</w:t>
      </w:r>
    </w:p>
    <w:p w14:paraId="76600242">
      <w:pPr>
        <w:pStyle w:val="194"/>
        <w:widowControl/>
        <w:spacing w:beforeAutospacing="0" w:afterAutospacing="0" w:line="440" w:lineRule="exact"/>
        <w:ind w:firstLine="480"/>
        <w:rPr>
          <w:rFonts w:hint="default" w:ascii="宋体" w:hAnsi="宋体" w:eastAsia="宋体"/>
          <w:color w:val="auto"/>
          <w:szCs w:val="24"/>
          <w:highlight w:val="none"/>
          <w:lang w:val="en-US" w:eastAsia="zh-CN"/>
        </w:rPr>
      </w:pPr>
      <w:r>
        <w:rPr>
          <w:rFonts w:hint="eastAsia" w:ascii="宋体" w:hAnsi="宋体"/>
          <w:color w:val="auto"/>
          <w:szCs w:val="24"/>
          <w:highlight w:val="none"/>
        </w:rPr>
        <w:t>联系电话：</w:t>
      </w:r>
      <w:r>
        <w:rPr>
          <w:rFonts w:hint="eastAsia" w:ascii="宋体" w:hAnsi="宋体"/>
          <w:color w:val="auto"/>
          <w:szCs w:val="24"/>
          <w:highlight w:val="none"/>
          <w:lang w:val="en-US" w:eastAsia="zh-CN"/>
        </w:rPr>
        <w:t>0512-55371239</w:t>
      </w:r>
    </w:p>
    <w:p w14:paraId="0344F0B3">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2.采购代理机构信息（如有）</w:t>
      </w:r>
    </w:p>
    <w:p w14:paraId="693162D4">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单位名称：苏州市公共资源交易中心张家港分中心</w:t>
      </w:r>
    </w:p>
    <w:p w14:paraId="0ED8E812">
      <w:pPr>
        <w:pStyle w:val="194"/>
        <w:widowControl/>
        <w:spacing w:beforeAutospacing="0" w:afterAutospacing="0" w:line="440" w:lineRule="exact"/>
        <w:ind w:firstLine="480"/>
        <w:rPr>
          <w:rFonts w:hint="eastAsia" w:ascii="宋体" w:hAnsi="宋体"/>
          <w:color w:val="auto"/>
          <w:szCs w:val="24"/>
          <w:highlight w:val="none"/>
        </w:rPr>
      </w:pPr>
      <w:r>
        <w:rPr>
          <w:rFonts w:hint="eastAsia" w:ascii="宋体" w:hAnsi="宋体"/>
          <w:color w:val="auto"/>
          <w:szCs w:val="24"/>
          <w:highlight w:val="none"/>
        </w:rPr>
        <w:t>单位地址：张家港市杨舍镇滨河路1号(国泰金融广场C座)</w:t>
      </w:r>
    </w:p>
    <w:p w14:paraId="45D45930">
      <w:pPr>
        <w:widowControl/>
        <w:spacing w:line="44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联系人：</w:t>
      </w:r>
      <w:r>
        <w:rPr>
          <w:rFonts w:hint="eastAsia" w:ascii="宋体" w:hAnsi="宋体" w:cs="宋体"/>
          <w:color w:val="auto"/>
          <w:sz w:val="24"/>
          <w:szCs w:val="24"/>
          <w:highlight w:val="none"/>
          <w:lang w:eastAsia="zh-CN"/>
        </w:rPr>
        <w:t>孙玮泽</w:t>
      </w:r>
    </w:p>
    <w:p w14:paraId="14FD0430">
      <w:pPr>
        <w:widowControl/>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联系电话：0512-589153</w:t>
      </w:r>
      <w:r>
        <w:rPr>
          <w:rFonts w:hint="eastAsia" w:ascii="宋体" w:hAnsi="宋体" w:cs="宋体"/>
          <w:color w:val="auto"/>
          <w:sz w:val="24"/>
          <w:szCs w:val="24"/>
          <w:highlight w:val="none"/>
          <w:lang w:val="en-US" w:eastAsia="zh-CN" w:bidi="ar"/>
        </w:rPr>
        <w:t>81</w:t>
      </w:r>
    </w:p>
    <w:p w14:paraId="352A49F0">
      <w:pPr>
        <w:widowControl/>
        <w:spacing w:line="44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3.项目联系方式</w:t>
      </w:r>
    </w:p>
    <w:p w14:paraId="6CDABD2E">
      <w:pPr>
        <w:widowControl/>
        <w:spacing w:line="440" w:lineRule="exact"/>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bidi="ar"/>
        </w:rPr>
        <w:t>项目联系人：</w:t>
      </w:r>
      <w:r>
        <w:rPr>
          <w:rFonts w:hint="eastAsia" w:ascii="宋体" w:hAnsi="宋体" w:cs="宋体"/>
          <w:color w:val="auto"/>
          <w:sz w:val="24"/>
          <w:szCs w:val="24"/>
          <w:highlight w:val="none"/>
          <w:lang w:eastAsia="zh-CN" w:bidi="ar"/>
        </w:rPr>
        <w:t>孙玮泽</w:t>
      </w:r>
    </w:p>
    <w:p w14:paraId="0BAEAC0F">
      <w:pPr>
        <w:widowControl/>
        <w:spacing w:line="440" w:lineRule="exact"/>
        <w:ind w:firstLine="480"/>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bidi="ar"/>
        </w:rPr>
        <w:t>电话：0512-589153</w:t>
      </w:r>
      <w:r>
        <w:rPr>
          <w:rFonts w:hint="eastAsia" w:ascii="宋体" w:hAnsi="宋体" w:cs="宋体"/>
          <w:color w:val="auto"/>
          <w:sz w:val="24"/>
          <w:szCs w:val="24"/>
          <w:highlight w:val="none"/>
          <w:lang w:val="en-US" w:eastAsia="zh-CN" w:bidi="ar"/>
        </w:rPr>
        <w:t>81</w:t>
      </w:r>
    </w:p>
    <w:p w14:paraId="3FEEC10B">
      <w:pPr>
        <w:pStyle w:val="205"/>
        <w:spacing w:line="440" w:lineRule="exact"/>
        <w:ind w:firstLine="500"/>
        <w:rPr>
          <w:rStyle w:val="199"/>
          <w:rFonts w:hint="eastAsia" w:ascii="宋体" w:hAnsi="宋体"/>
          <w:color w:val="auto"/>
          <w:spacing w:val="7"/>
          <w:highlight w:val="none"/>
        </w:rPr>
      </w:pPr>
    </w:p>
    <w:p w14:paraId="59190647">
      <w:pPr>
        <w:pStyle w:val="205"/>
        <w:spacing w:line="440" w:lineRule="exact"/>
        <w:ind w:firstLine="500"/>
        <w:rPr>
          <w:rStyle w:val="199"/>
          <w:rFonts w:hint="eastAsia" w:ascii="宋体" w:hAnsi="宋体"/>
          <w:color w:val="auto"/>
          <w:spacing w:val="7"/>
          <w:highlight w:val="none"/>
        </w:rPr>
      </w:pPr>
    </w:p>
    <w:p w14:paraId="769B25A3">
      <w:pPr>
        <w:pStyle w:val="206"/>
        <w:pageBreakBefore/>
        <w:spacing w:line="360" w:lineRule="auto"/>
        <w:rPr>
          <w:rFonts w:hint="eastAsia" w:ascii="宋体" w:hAnsi="宋体" w:eastAsia="宋体"/>
          <w:color w:val="auto"/>
          <w:highlight w:val="none"/>
        </w:rPr>
      </w:pPr>
      <w:bookmarkStart w:id="10" w:name="_Toc4059"/>
      <w:bookmarkStart w:id="11" w:name="_Toc10079"/>
      <w:r>
        <w:rPr>
          <w:rFonts w:hint="eastAsia" w:ascii="宋体" w:hAnsi="宋体" w:eastAsia="宋体"/>
          <w:color w:val="auto"/>
          <w:highlight w:val="none"/>
        </w:rPr>
        <w:t xml:space="preserve">第二章  </w:t>
      </w:r>
      <w:bookmarkStart w:id="12" w:name="_Toc120614213"/>
      <w:bookmarkStart w:id="13" w:name="_Toc513029202"/>
      <w:bookmarkStart w:id="14" w:name="_Toc16938518"/>
      <w:bookmarkStart w:id="15" w:name="_Toc20823274"/>
      <w:r>
        <w:rPr>
          <w:rFonts w:hint="eastAsia" w:ascii="宋体" w:hAnsi="宋体" w:eastAsia="宋体"/>
          <w:color w:val="auto"/>
          <w:highlight w:val="none"/>
        </w:rPr>
        <w:t>投标人须知</w:t>
      </w:r>
      <w:bookmarkEnd w:id="10"/>
      <w:bookmarkEnd w:id="11"/>
      <w:bookmarkEnd w:id="12"/>
      <w:bookmarkEnd w:id="13"/>
      <w:bookmarkEnd w:id="14"/>
      <w:bookmarkEnd w:id="15"/>
    </w:p>
    <w:p w14:paraId="64A1887C">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16" w:name="_Toc513029203"/>
      <w:bookmarkStart w:id="17" w:name="_Toc35266020"/>
      <w:bookmarkStart w:id="18" w:name="_Toc20823275"/>
      <w:bookmarkStart w:id="19" w:name="_Toc29619"/>
      <w:bookmarkStart w:id="20" w:name="_Toc38368120"/>
      <w:bookmarkStart w:id="21" w:name="_Toc16938519"/>
      <w:bookmarkStart w:id="22" w:name="_Toc54615239"/>
      <w:bookmarkStart w:id="23" w:name="_Toc120614214"/>
      <w:r>
        <w:rPr>
          <w:rStyle w:val="208"/>
          <w:rFonts w:hint="eastAsia" w:ascii="宋体" w:hAnsi="宋体"/>
          <w:b w:val="0"/>
          <w:bCs w:val="0"/>
          <w:color w:val="auto"/>
          <w:sz w:val="24"/>
          <w:szCs w:val="24"/>
          <w:highlight w:val="none"/>
        </w:rPr>
        <w:t>一、总则</w:t>
      </w:r>
      <w:bookmarkEnd w:id="16"/>
      <w:bookmarkEnd w:id="17"/>
      <w:bookmarkEnd w:id="18"/>
      <w:bookmarkEnd w:id="19"/>
      <w:bookmarkEnd w:id="20"/>
      <w:bookmarkEnd w:id="21"/>
      <w:bookmarkEnd w:id="22"/>
      <w:bookmarkEnd w:id="23"/>
    </w:p>
    <w:p w14:paraId="0290C0DA">
      <w:pPr>
        <w:keepNext/>
        <w:keepLines/>
        <w:spacing w:line="440" w:lineRule="exact"/>
        <w:ind w:firstLine="482"/>
        <w:outlineLvl w:val="3"/>
        <w:rPr>
          <w:rFonts w:hint="eastAsia" w:ascii="宋体" w:hAnsi="宋体"/>
          <w:b/>
          <w:bCs/>
          <w:color w:val="auto"/>
          <w:sz w:val="24"/>
          <w:szCs w:val="24"/>
          <w:highlight w:val="none"/>
        </w:rPr>
      </w:pPr>
      <w:bookmarkStart w:id="24" w:name="_Hlt16619475"/>
      <w:bookmarkEnd w:id="24"/>
      <w:bookmarkStart w:id="25" w:name="_Toc458694821"/>
      <w:bookmarkStart w:id="26" w:name="_Toc513029204"/>
      <w:bookmarkStart w:id="27" w:name="_Toc20823276"/>
      <w:bookmarkStart w:id="28" w:name="_Toc16938520"/>
      <w:r>
        <w:rPr>
          <w:rFonts w:hint="eastAsia" w:ascii="宋体" w:hAnsi="宋体"/>
          <w:b/>
          <w:bCs/>
          <w:color w:val="auto"/>
          <w:sz w:val="24"/>
          <w:szCs w:val="24"/>
          <w:highlight w:val="none"/>
        </w:rPr>
        <w:t>1</w:t>
      </w:r>
      <w:bookmarkEnd w:id="25"/>
      <w:r>
        <w:rPr>
          <w:rFonts w:hint="eastAsia" w:ascii="宋体" w:hAnsi="宋体"/>
          <w:b/>
          <w:bCs/>
          <w:color w:val="auto"/>
          <w:sz w:val="24"/>
          <w:szCs w:val="24"/>
          <w:highlight w:val="none"/>
        </w:rPr>
        <w:t>.招标方式</w:t>
      </w:r>
      <w:bookmarkEnd w:id="26"/>
      <w:bookmarkEnd w:id="27"/>
      <w:bookmarkEnd w:id="28"/>
    </w:p>
    <w:p w14:paraId="486CE02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 本次招标采取公开招标方式，本招标文件仅适用于招标公告中所述项目。</w:t>
      </w:r>
    </w:p>
    <w:p w14:paraId="3FD74ACE">
      <w:pPr>
        <w:keepNext/>
        <w:keepLines/>
        <w:spacing w:line="440" w:lineRule="exact"/>
        <w:ind w:firstLine="482"/>
        <w:outlineLvl w:val="3"/>
        <w:rPr>
          <w:rFonts w:hint="eastAsia" w:ascii="宋体" w:hAnsi="宋体"/>
          <w:b/>
          <w:bCs/>
          <w:color w:val="auto"/>
          <w:sz w:val="24"/>
          <w:szCs w:val="24"/>
          <w:highlight w:val="none"/>
        </w:rPr>
      </w:pPr>
      <w:bookmarkStart w:id="29" w:name="_Toc16938521"/>
      <w:bookmarkStart w:id="30" w:name="_Toc513029205"/>
      <w:bookmarkStart w:id="31" w:name="_Toc20823277"/>
      <w:r>
        <w:rPr>
          <w:rFonts w:hint="eastAsia" w:ascii="宋体" w:hAnsi="宋体"/>
          <w:b/>
          <w:bCs/>
          <w:color w:val="auto"/>
          <w:sz w:val="24"/>
          <w:szCs w:val="24"/>
          <w:highlight w:val="none"/>
        </w:rPr>
        <w:t>2.合格的投标人</w:t>
      </w:r>
      <w:bookmarkEnd w:id="29"/>
      <w:bookmarkEnd w:id="30"/>
      <w:bookmarkEnd w:id="31"/>
    </w:p>
    <w:p w14:paraId="2CBA035B">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2.1满足招标公告中投标人的资格要求的规定。</w:t>
      </w:r>
    </w:p>
    <w:p w14:paraId="730F6BA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满足本文件实质性要求的规定</w:t>
      </w:r>
      <w:r>
        <w:rPr>
          <w:rFonts w:hint="eastAsia" w:ascii="宋体" w:hAnsi="宋体"/>
          <w:b/>
          <w:color w:val="auto"/>
          <w:sz w:val="24"/>
          <w:szCs w:val="24"/>
          <w:highlight w:val="none"/>
        </w:rPr>
        <w:t>（本招标文件中斜体且有下划线部分为实质性要求）。</w:t>
      </w:r>
    </w:p>
    <w:p w14:paraId="4964272A">
      <w:pPr>
        <w:keepNext/>
        <w:keepLines/>
        <w:spacing w:line="440" w:lineRule="exact"/>
        <w:ind w:firstLine="420"/>
        <w:outlineLvl w:val="3"/>
        <w:rPr>
          <w:rFonts w:hint="eastAsia" w:ascii="宋体" w:hAnsi="宋体"/>
          <w:b/>
          <w:bCs/>
          <w:color w:val="auto"/>
          <w:sz w:val="24"/>
          <w:szCs w:val="24"/>
          <w:highlight w:val="none"/>
        </w:rPr>
      </w:pPr>
      <w:bookmarkStart w:id="32" w:name="_Toc20823278"/>
      <w:bookmarkStart w:id="33" w:name="_Toc513029206"/>
      <w:bookmarkStart w:id="34" w:name="_Toc16938522"/>
      <w:r>
        <w:rPr>
          <w:rFonts w:hint="eastAsia" w:ascii="宋体" w:hAnsi="宋体"/>
          <w:b/>
          <w:bCs/>
          <w:color w:val="auto"/>
          <w:sz w:val="24"/>
          <w:szCs w:val="24"/>
          <w:highlight w:val="none"/>
        </w:rPr>
        <w:t>3.适用法律</w:t>
      </w:r>
      <w:bookmarkEnd w:id="32"/>
      <w:bookmarkEnd w:id="33"/>
      <w:bookmarkEnd w:id="34"/>
    </w:p>
    <w:p w14:paraId="385EFCF1">
      <w:pPr>
        <w:spacing w:line="440" w:lineRule="exact"/>
        <w:ind w:firstLine="420"/>
        <w:rPr>
          <w:rFonts w:hint="eastAsia" w:ascii="宋体" w:hAnsi="宋体"/>
          <w:color w:val="auto"/>
          <w:sz w:val="24"/>
          <w:szCs w:val="24"/>
          <w:highlight w:val="none"/>
        </w:rPr>
      </w:pPr>
      <w:r>
        <w:rPr>
          <w:rFonts w:hint="eastAsia" w:ascii="宋体" w:hAnsi="宋体"/>
          <w:color w:val="auto"/>
          <w:sz w:val="24"/>
          <w:szCs w:val="24"/>
          <w:highlight w:val="none"/>
        </w:rPr>
        <w:t>3.1本次招标及由此产生的合同受中华人民共和国有关的法律法规制约和保护。</w:t>
      </w:r>
    </w:p>
    <w:p w14:paraId="5A3C0417">
      <w:pPr>
        <w:keepNext/>
        <w:keepLines/>
        <w:spacing w:line="440" w:lineRule="exact"/>
        <w:ind w:firstLine="482"/>
        <w:outlineLvl w:val="3"/>
        <w:rPr>
          <w:rFonts w:hint="eastAsia" w:ascii="宋体" w:hAnsi="宋体"/>
          <w:b/>
          <w:bCs/>
          <w:color w:val="auto"/>
          <w:sz w:val="24"/>
          <w:szCs w:val="24"/>
          <w:highlight w:val="none"/>
        </w:rPr>
      </w:pPr>
      <w:bookmarkStart w:id="35" w:name="_Toc513029207"/>
      <w:bookmarkStart w:id="36" w:name="_Toc462564067"/>
      <w:bookmarkStart w:id="37" w:name="_Toc16938523"/>
      <w:bookmarkStart w:id="38" w:name="_Toc20823279"/>
      <w:r>
        <w:rPr>
          <w:rFonts w:hint="eastAsia" w:ascii="宋体" w:hAnsi="宋体"/>
          <w:b/>
          <w:bCs/>
          <w:color w:val="auto"/>
          <w:sz w:val="24"/>
          <w:szCs w:val="24"/>
          <w:highlight w:val="none"/>
        </w:rPr>
        <w:t>4.投标费用</w:t>
      </w:r>
      <w:bookmarkEnd w:id="35"/>
      <w:bookmarkEnd w:id="36"/>
      <w:bookmarkEnd w:id="37"/>
      <w:bookmarkEnd w:id="38"/>
    </w:p>
    <w:p w14:paraId="72BD081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4.1</w:t>
      </w:r>
      <w:r>
        <w:rPr>
          <w:rFonts w:hint="eastAsia" w:ascii="宋体" w:hAnsi="宋体"/>
          <w:color w:val="auto"/>
          <w:sz w:val="24"/>
          <w:szCs w:val="24"/>
          <w:highlight w:val="none"/>
        </w:rPr>
        <w:t xml:space="preserve"> 投标人应自行承担所有与参加投标有关的费用，无论投标过程中的做法和结果如何，</w:t>
      </w:r>
      <w:bookmarkStart w:id="39" w:name="EBb149e03d16f547ac9a9b50964f44d5b2"/>
      <w:r>
        <w:rPr>
          <w:rFonts w:hint="eastAsia" w:ascii="宋体" w:hAnsi="宋体"/>
          <w:color w:val="auto"/>
          <w:sz w:val="24"/>
          <w:szCs w:val="24"/>
          <w:highlight w:val="none"/>
        </w:rPr>
        <w:t>苏州市公共资源交易中心张家港分中心(以下简称公共资源交易中心)</w:t>
      </w:r>
      <w:bookmarkEnd w:id="39"/>
      <w:r>
        <w:rPr>
          <w:rFonts w:hint="eastAsia" w:ascii="宋体" w:hAnsi="宋体"/>
          <w:color w:val="auto"/>
          <w:sz w:val="24"/>
          <w:szCs w:val="24"/>
          <w:highlight w:val="none"/>
        </w:rPr>
        <w:t>在任何情况下均无义务和责任承担这些费用。</w:t>
      </w:r>
    </w:p>
    <w:p w14:paraId="16EBFE42">
      <w:pPr>
        <w:spacing w:line="440" w:lineRule="exact"/>
        <w:ind w:firstLine="508"/>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4.2本次招标公共资源交易中心和采购人不收取标书工本费与中标服务费。</w:t>
      </w:r>
      <w:bookmarkStart w:id="40" w:name="EB4bef91ec166246f78c716ddc8194a87a"/>
      <w:bookmarkEnd w:id="40"/>
    </w:p>
    <w:p w14:paraId="2837143F">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5.招标文件的约束力</w:t>
      </w:r>
    </w:p>
    <w:p w14:paraId="12CC513A">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投标人一旦在“苏采云”系统下载本招标文件决定参加投标，即被认为接受了本招标文件的规定和约束，并且视为已经知道或应当知道自身权益是否受到了损害。</w:t>
      </w:r>
    </w:p>
    <w:p w14:paraId="7A1CC3C1">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41" w:name="_Toc54615240"/>
      <w:bookmarkStart w:id="42" w:name="_Toc38368121"/>
      <w:bookmarkStart w:id="43" w:name="_Toc513029209"/>
      <w:bookmarkStart w:id="44" w:name="_Toc20823281"/>
      <w:bookmarkStart w:id="45" w:name="_Toc120614215"/>
      <w:bookmarkStart w:id="46" w:name="_Toc35266021"/>
      <w:bookmarkStart w:id="47" w:name="_Toc12536"/>
      <w:bookmarkStart w:id="48" w:name="_Toc16938525"/>
      <w:r>
        <w:rPr>
          <w:rStyle w:val="208"/>
          <w:rFonts w:hint="eastAsia" w:ascii="宋体" w:hAnsi="宋体"/>
          <w:b w:val="0"/>
          <w:bCs w:val="0"/>
          <w:color w:val="auto"/>
          <w:sz w:val="24"/>
          <w:szCs w:val="24"/>
          <w:highlight w:val="none"/>
        </w:rPr>
        <w:t>二、招标文件</w:t>
      </w:r>
      <w:bookmarkEnd w:id="41"/>
      <w:bookmarkEnd w:id="42"/>
      <w:bookmarkEnd w:id="43"/>
      <w:bookmarkEnd w:id="44"/>
      <w:bookmarkEnd w:id="45"/>
      <w:bookmarkEnd w:id="46"/>
      <w:bookmarkEnd w:id="47"/>
      <w:bookmarkEnd w:id="48"/>
    </w:p>
    <w:p w14:paraId="54C09C54">
      <w:pPr>
        <w:keepNext/>
        <w:keepLines/>
        <w:spacing w:line="440" w:lineRule="exact"/>
        <w:ind w:firstLine="482"/>
        <w:outlineLvl w:val="3"/>
        <w:rPr>
          <w:rFonts w:hint="eastAsia" w:ascii="宋体" w:hAnsi="宋体"/>
          <w:b/>
          <w:bCs/>
          <w:color w:val="auto"/>
          <w:sz w:val="24"/>
          <w:szCs w:val="24"/>
          <w:highlight w:val="none"/>
        </w:rPr>
      </w:pPr>
      <w:bookmarkStart w:id="49" w:name="_Toc20823282"/>
      <w:bookmarkStart w:id="50" w:name="_Toc16938526"/>
      <w:bookmarkStart w:id="51" w:name="_Toc513029210"/>
      <w:r>
        <w:rPr>
          <w:rFonts w:hint="eastAsia" w:ascii="宋体" w:hAnsi="宋体"/>
          <w:b/>
          <w:bCs/>
          <w:color w:val="auto"/>
          <w:sz w:val="24"/>
          <w:szCs w:val="24"/>
          <w:highlight w:val="none"/>
        </w:rPr>
        <w:t>6.招标文件构成</w:t>
      </w:r>
      <w:bookmarkEnd w:id="49"/>
      <w:bookmarkEnd w:id="50"/>
      <w:bookmarkEnd w:id="51"/>
    </w:p>
    <w:p w14:paraId="5883B19D">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6.1</w:t>
      </w:r>
      <w:r>
        <w:rPr>
          <w:rFonts w:hint="eastAsia" w:ascii="宋体" w:hAnsi="宋体"/>
          <w:color w:val="auto"/>
          <w:sz w:val="24"/>
          <w:szCs w:val="24"/>
          <w:highlight w:val="none"/>
        </w:rPr>
        <w:t xml:space="preserve"> 招标文件有以下部分组成：</w:t>
      </w:r>
    </w:p>
    <w:p w14:paraId="0A872DC5">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（1）投标邀请</w:t>
      </w:r>
    </w:p>
    <w:p w14:paraId="5BF4F950">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0C6D4926">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（3）合同条款及格式</w:t>
      </w:r>
    </w:p>
    <w:p w14:paraId="544A3BE3">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（4）项目需求</w:t>
      </w:r>
    </w:p>
    <w:p w14:paraId="04060E2A">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08C0B917">
      <w:pPr>
        <w:spacing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57C87255">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请仔细检查招标文件是否齐全，如有缺漏请立即与</w:t>
      </w:r>
      <w:bookmarkStart w:id="52" w:name="EBbdde166065d14b62851231a61e89e609"/>
      <w:r>
        <w:rPr>
          <w:rFonts w:hint="eastAsia" w:ascii="宋体" w:hAnsi="宋体"/>
          <w:color w:val="auto"/>
          <w:sz w:val="24"/>
          <w:szCs w:val="24"/>
          <w:highlight w:val="none"/>
        </w:rPr>
        <w:t>公共资源交易中心</w:t>
      </w:r>
      <w:bookmarkEnd w:id="52"/>
      <w:r>
        <w:rPr>
          <w:rFonts w:hint="eastAsia" w:ascii="宋体" w:hAnsi="宋体"/>
          <w:color w:val="auto"/>
          <w:sz w:val="24"/>
          <w:szCs w:val="24"/>
          <w:highlight w:val="none"/>
        </w:rPr>
        <w:t>联系解决。</w:t>
      </w:r>
    </w:p>
    <w:p w14:paraId="7533381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0CC1F10">
      <w:pPr>
        <w:keepNext/>
        <w:keepLines/>
        <w:spacing w:line="440" w:lineRule="exact"/>
        <w:ind w:firstLine="482"/>
        <w:outlineLvl w:val="3"/>
        <w:rPr>
          <w:rFonts w:hint="eastAsia" w:ascii="宋体" w:hAnsi="宋体"/>
          <w:b/>
          <w:bCs/>
          <w:color w:val="auto"/>
          <w:sz w:val="24"/>
          <w:szCs w:val="24"/>
          <w:highlight w:val="none"/>
        </w:rPr>
      </w:pPr>
      <w:bookmarkStart w:id="53" w:name="_Toc16938528"/>
      <w:bookmarkStart w:id="54" w:name="_Toc462564071"/>
      <w:bookmarkStart w:id="55" w:name="_Toc20823284"/>
      <w:bookmarkStart w:id="56" w:name="_Toc513029212"/>
      <w:r>
        <w:rPr>
          <w:rFonts w:hint="eastAsia" w:ascii="宋体" w:hAnsi="宋体"/>
          <w:b/>
          <w:bCs/>
          <w:color w:val="auto"/>
          <w:sz w:val="24"/>
          <w:szCs w:val="24"/>
          <w:highlight w:val="none"/>
        </w:rPr>
        <w:t>7.招标文件的澄清或修改</w:t>
      </w:r>
      <w:bookmarkEnd w:id="53"/>
      <w:bookmarkEnd w:id="54"/>
      <w:bookmarkEnd w:id="55"/>
      <w:bookmarkEnd w:id="56"/>
    </w:p>
    <w:p w14:paraId="006CB07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7.1</w:t>
      </w:r>
      <w:r>
        <w:rPr>
          <w:rFonts w:hint="eastAsia" w:ascii="宋体" w:hAnsi="宋体"/>
          <w:color w:val="auto"/>
          <w:sz w:val="24"/>
          <w:szCs w:val="24"/>
          <w:highlight w:val="none"/>
        </w:rPr>
        <w:t>在投标截止时间前</w:t>
      </w:r>
      <w:bookmarkStart w:id="57" w:name="EBeec936f32a574d52a4992a8b94773f89"/>
      <w:r>
        <w:rPr>
          <w:rFonts w:hint="eastAsia" w:ascii="宋体" w:hAnsi="宋体"/>
          <w:color w:val="auto"/>
          <w:sz w:val="24"/>
          <w:szCs w:val="24"/>
          <w:highlight w:val="none"/>
        </w:rPr>
        <w:t>，公共资源交易中心</w:t>
      </w:r>
      <w:bookmarkEnd w:id="57"/>
      <w:r>
        <w:rPr>
          <w:rFonts w:hint="eastAsia" w:ascii="宋体" w:hAnsi="宋体"/>
          <w:color w:val="auto"/>
          <w:sz w:val="24"/>
          <w:szCs w:val="24"/>
          <w:highlight w:val="none"/>
        </w:rPr>
        <w:t>可以对招标文件进行澄清或修改。</w:t>
      </w:r>
    </w:p>
    <w:p w14:paraId="7D3BA3EF">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7.2</w:t>
      </w:r>
      <w:bookmarkStart w:id="58" w:name="EB14f04c7329d342c2b5d53bfcbbeaa167"/>
      <w:r>
        <w:rPr>
          <w:rFonts w:hint="eastAsia" w:ascii="宋体" w:hAnsi="宋体"/>
          <w:bCs/>
          <w:color w:val="auto"/>
          <w:sz w:val="24"/>
          <w:szCs w:val="24"/>
          <w:highlight w:val="none"/>
        </w:rPr>
        <w:t>公共资源交易中心</w:t>
      </w:r>
      <w:bookmarkEnd w:id="58"/>
      <w:r>
        <w:rPr>
          <w:rFonts w:hint="eastAsia" w:ascii="宋体" w:hAnsi="宋体"/>
          <w:color w:val="auto"/>
          <w:sz w:val="24"/>
          <w:szCs w:val="24"/>
          <w:highlight w:val="none"/>
        </w:rPr>
        <w:t>有权按照法定的要求推迟投标截止日期和开标日期。</w:t>
      </w:r>
    </w:p>
    <w:p w14:paraId="285D59C1">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7.3</w:t>
      </w:r>
      <w:r>
        <w:rPr>
          <w:rFonts w:hint="eastAsia" w:ascii="宋体" w:hAnsi="宋体"/>
          <w:color w:val="auto"/>
          <w:sz w:val="24"/>
          <w:szCs w:val="24"/>
          <w:highlight w:val="none"/>
        </w:rPr>
        <w:t>招标文件的实质性变动或修改将在政府采购公告媒体网通知，投标人可自行下载。补充文件将作为招标文件的组成部分，并对投标人具有约束力。</w:t>
      </w:r>
    </w:p>
    <w:p w14:paraId="1AF7E7B9">
      <w:pPr>
        <w:pStyle w:val="207"/>
        <w:spacing w:before="0" w:after="0" w:line="440" w:lineRule="exact"/>
        <w:ind w:firstLine="480"/>
        <w:jc w:val="left"/>
        <w:rPr>
          <w:rStyle w:val="208"/>
          <w:rFonts w:hint="eastAsia" w:ascii="宋体" w:hAnsi="宋体"/>
          <w:b w:val="0"/>
          <w:bCs w:val="0"/>
          <w:color w:val="auto"/>
          <w:sz w:val="24"/>
          <w:szCs w:val="24"/>
          <w:highlight w:val="none"/>
        </w:rPr>
      </w:pPr>
      <w:bookmarkStart w:id="59" w:name="_Toc462564072"/>
      <w:bookmarkStart w:id="60" w:name="_Toc38368122"/>
      <w:bookmarkStart w:id="61" w:name="_Toc120614216"/>
      <w:bookmarkStart w:id="62" w:name="_Toc35266022"/>
      <w:bookmarkStart w:id="63" w:name="_Toc12827"/>
      <w:bookmarkStart w:id="64" w:name="_Toc513029213"/>
      <w:bookmarkStart w:id="65" w:name="_Toc54615241"/>
      <w:bookmarkStart w:id="66" w:name="_Toc20823285"/>
      <w:bookmarkStart w:id="67" w:name="_Toc16938529"/>
      <w:r>
        <w:rPr>
          <w:rStyle w:val="208"/>
          <w:rFonts w:hint="eastAsia" w:ascii="宋体" w:hAnsi="宋体"/>
          <w:b w:val="0"/>
          <w:bCs w:val="0"/>
          <w:color w:val="auto"/>
          <w:sz w:val="24"/>
          <w:szCs w:val="24"/>
          <w:highlight w:val="none"/>
        </w:rPr>
        <w:t>三、投标文件的编制</w:t>
      </w:r>
      <w:bookmarkEnd w:id="59"/>
      <w:bookmarkEnd w:id="60"/>
      <w:bookmarkEnd w:id="61"/>
      <w:bookmarkEnd w:id="62"/>
      <w:bookmarkEnd w:id="63"/>
      <w:bookmarkEnd w:id="64"/>
      <w:bookmarkEnd w:id="65"/>
      <w:bookmarkEnd w:id="66"/>
      <w:bookmarkEnd w:id="67"/>
    </w:p>
    <w:p w14:paraId="7ADF5958">
      <w:pPr>
        <w:keepNext/>
        <w:keepLines/>
        <w:spacing w:line="440" w:lineRule="exact"/>
        <w:ind w:firstLine="482"/>
        <w:outlineLvl w:val="3"/>
        <w:rPr>
          <w:rFonts w:hint="eastAsia" w:ascii="宋体" w:hAnsi="宋体"/>
          <w:b/>
          <w:bCs/>
          <w:color w:val="auto"/>
          <w:sz w:val="24"/>
          <w:szCs w:val="24"/>
          <w:highlight w:val="none"/>
        </w:rPr>
      </w:pPr>
      <w:bookmarkStart w:id="68" w:name="_Toc462564073"/>
      <w:bookmarkStart w:id="69" w:name="_Toc20823286"/>
      <w:bookmarkStart w:id="70" w:name="_Toc513029214"/>
      <w:bookmarkStart w:id="71" w:name="_Toc16938530"/>
      <w:r>
        <w:rPr>
          <w:rFonts w:hint="eastAsia" w:ascii="宋体" w:hAnsi="宋体"/>
          <w:b/>
          <w:bCs/>
          <w:color w:val="auto"/>
          <w:sz w:val="24"/>
          <w:szCs w:val="24"/>
          <w:highlight w:val="none"/>
        </w:rPr>
        <w:t>8.投标文件的语言及度量衡单位</w:t>
      </w:r>
      <w:bookmarkEnd w:id="68"/>
      <w:bookmarkEnd w:id="69"/>
      <w:bookmarkEnd w:id="70"/>
      <w:bookmarkEnd w:id="71"/>
    </w:p>
    <w:p w14:paraId="08569638">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w:t>
      </w:r>
      <w:r>
        <w:rPr>
          <w:rFonts w:hint="eastAsia" w:ascii="宋体" w:hAnsi="宋体"/>
          <w:color w:val="auto"/>
          <w:sz w:val="24"/>
          <w:szCs w:val="24"/>
          <w:highlight w:val="none"/>
        </w:rPr>
        <w:t xml:space="preserve"> 投标人提交的投标文件以及投标人与</w:t>
      </w:r>
      <w:bookmarkStart w:id="72" w:name="EB93850d2cac274df984aa2f93878c3cfe"/>
      <w:r>
        <w:rPr>
          <w:rFonts w:hint="eastAsia" w:ascii="宋体" w:hAnsi="宋体"/>
          <w:color w:val="auto"/>
          <w:sz w:val="24"/>
          <w:szCs w:val="24"/>
          <w:highlight w:val="none"/>
        </w:rPr>
        <w:t>公共资源交易中心</w:t>
      </w:r>
      <w:bookmarkEnd w:id="72"/>
      <w:r>
        <w:rPr>
          <w:rFonts w:hint="eastAsia" w:ascii="宋体" w:hAnsi="宋体"/>
          <w:color w:val="auto"/>
          <w:sz w:val="24"/>
          <w:szCs w:val="24"/>
          <w:highlight w:val="none"/>
        </w:rPr>
        <w:t>就有关投标的所有来往通知、函件和文件均应使用</w:t>
      </w:r>
      <w:r>
        <w:rPr>
          <w:rFonts w:hint="eastAsia" w:ascii="宋体" w:hAnsi="宋体"/>
          <w:b/>
          <w:bCs/>
          <w:color w:val="auto"/>
          <w:sz w:val="24"/>
          <w:szCs w:val="24"/>
          <w:highlight w:val="none"/>
        </w:rPr>
        <w:t>简体中文</w:t>
      </w:r>
      <w:r>
        <w:rPr>
          <w:rFonts w:hint="eastAsia" w:ascii="宋体" w:hAnsi="宋体"/>
          <w:color w:val="auto"/>
          <w:sz w:val="24"/>
          <w:szCs w:val="24"/>
          <w:highlight w:val="none"/>
        </w:rPr>
        <w:t>。</w:t>
      </w:r>
    </w:p>
    <w:p w14:paraId="363E4A1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8.2</w:t>
      </w:r>
      <w:r>
        <w:rPr>
          <w:rFonts w:hint="eastAsia" w:ascii="宋体" w:hAnsi="宋体"/>
          <w:color w:val="auto"/>
          <w:sz w:val="24"/>
          <w:szCs w:val="24"/>
          <w:highlight w:val="none"/>
        </w:rPr>
        <w:t xml:space="preserve"> 除技术性能另有规定外，投标文件所使用的度量衡单位，均须采用国家法定计量单位。</w:t>
      </w:r>
    </w:p>
    <w:p w14:paraId="731D2948">
      <w:pPr>
        <w:keepNext/>
        <w:keepLines/>
        <w:spacing w:line="440" w:lineRule="exact"/>
        <w:ind w:firstLine="482"/>
        <w:outlineLvl w:val="3"/>
        <w:rPr>
          <w:rFonts w:hint="eastAsia" w:ascii="宋体" w:hAnsi="宋体"/>
          <w:b/>
          <w:bCs/>
          <w:color w:val="auto"/>
          <w:sz w:val="24"/>
          <w:szCs w:val="24"/>
          <w:highlight w:val="none"/>
        </w:rPr>
      </w:pPr>
      <w:bookmarkStart w:id="73" w:name="_Toc20823287"/>
      <w:bookmarkStart w:id="74" w:name="_Toc513029215"/>
      <w:bookmarkStart w:id="75" w:name="_Toc16938531"/>
      <w:bookmarkStart w:id="76" w:name="_Toc462564074"/>
      <w:r>
        <w:rPr>
          <w:rFonts w:hint="eastAsia" w:ascii="宋体" w:hAnsi="宋体"/>
          <w:b/>
          <w:bCs/>
          <w:color w:val="auto"/>
          <w:sz w:val="24"/>
          <w:szCs w:val="24"/>
          <w:highlight w:val="none"/>
        </w:rPr>
        <w:t>9.投标文件构成</w:t>
      </w:r>
      <w:bookmarkEnd w:id="73"/>
      <w:bookmarkEnd w:id="74"/>
      <w:bookmarkEnd w:id="75"/>
      <w:bookmarkEnd w:id="76"/>
    </w:p>
    <w:p w14:paraId="38703024">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9.1</w:t>
      </w:r>
      <w:r>
        <w:rPr>
          <w:rFonts w:hint="eastAsia" w:ascii="宋体" w:hAnsi="宋体"/>
          <w:color w:val="auto"/>
          <w:sz w:val="24"/>
          <w:szCs w:val="24"/>
          <w:highlight w:val="none"/>
        </w:rPr>
        <w:t xml:space="preserve"> 投标人编写的投标文件应包括投标函、开标一览表、资格证明文件、技术人员介绍、第四章项目需求中实质性要求响应对照表、技术及服务方案、投标人情况介绍等部分。</w:t>
      </w:r>
    </w:p>
    <w:p w14:paraId="3FE16EA8">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9.2</w:t>
      </w: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特别提醒：投标人必须在投标文件接收截止时间之前在系统中提交所有与开评标相关的资料。开评标现场不接收任何资料。</w:t>
      </w:r>
    </w:p>
    <w:p w14:paraId="54AD1C03">
      <w:pPr>
        <w:keepNext/>
        <w:keepLines/>
        <w:spacing w:line="440" w:lineRule="exact"/>
        <w:ind w:firstLine="482"/>
        <w:outlineLvl w:val="3"/>
        <w:rPr>
          <w:rFonts w:hint="eastAsia" w:ascii="宋体" w:hAnsi="宋体"/>
          <w:b/>
          <w:bCs/>
          <w:color w:val="auto"/>
          <w:sz w:val="24"/>
          <w:szCs w:val="24"/>
          <w:highlight w:val="none"/>
        </w:rPr>
      </w:pPr>
      <w:bookmarkStart w:id="77" w:name="_Hlt26670360"/>
      <w:bookmarkEnd w:id="77"/>
      <w:bookmarkStart w:id="78" w:name="_Hlt26668975"/>
      <w:bookmarkEnd w:id="78"/>
      <w:bookmarkStart w:id="79" w:name="_Hlt26954838"/>
      <w:bookmarkEnd w:id="79"/>
      <w:r>
        <w:rPr>
          <w:rFonts w:hint="eastAsia" w:ascii="宋体" w:hAnsi="宋体"/>
          <w:b/>
          <w:bCs/>
          <w:color w:val="auto"/>
          <w:sz w:val="24"/>
          <w:szCs w:val="24"/>
          <w:highlight w:val="none"/>
        </w:rPr>
        <w:t>10.投标函和开标一览表</w:t>
      </w:r>
    </w:p>
    <w:p w14:paraId="73A0A59C">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10.1</w:t>
      </w:r>
      <w:r>
        <w:rPr>
          <w:rFonts w:hint="eastAsia" w:ascii="宋体" w:hAnsi="宋体"/>
          <w:color w:val="auto"/>
          <w:sz w:val="24"/>
          <w:szCs w:val="24"/>
          <w:highlight w:val="none"/>
        </w:rPr>
        <w:t>投标人应按照招标文件中提供的格式完整、正确填写投标函、开标一览表。</w:t>
      </w:r>
    </w:p>
    <w:p w14:paraId="7CDFE103">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10.2开标一览表中的价格应与投标文件中投标配置与分项报价表（或经费测算表）中的价格一致，若出现价格不一致的情况，评标时一律按开标一览表中价格为准</w:t>
      </w:r>
      <w:r>
        <w:rPr>
          <w:rFonts w:hint="eastAsia" w:ascii="宋体" w:hAnsi="宋体"/>
          <w:b/>
          <w:bCs/>
          <w:color w:val="auto"/>
          <w:sz w:val="24"/>
          <w:szCs w:val="24"/>
          <w:highlight w:val="none"/>
        </w:rPr>
        <w:t>。</w:t>
      </w:r>
    </w:p>
    <w:p w14:paraId="24593CFA">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11.投标人资格证明文件</w:t>
      </w:r>
    </w:p>
    <w:p w14:paraId="7B3F813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w:t>
      </w:r>
      <w:bookmarkStart w:id="80" w:name="_Hlt26668999"/>
      <w:bookmarkEnd w:id="80"/>
      <w:r>
        <w:rPr>
          <w:rFonts w:hint="eastAsia" w:ascii="宋体" w:hAnsi="宋体"/>
          <w:color w:val="auto"/>
          <w:sz w:val="24"/>
          <w:szCs w:val="24"/>
          <w:highlight w:val="none"/>
        </w:rPr>
        <w:t>投标人应按招标文件的要求提交资格证明文件。</w:t>
      </w:r>
    </w:p>
    <w:p w14:paraId="488265CA">
      <w:pPr>
        <w:keepNext/>
        <w:keepLines/>
        <w:spacing w:line="440" w:lineRule="exact"/>
        <w:ind w:firstLine="482"/>
        <w:outlineLvl w:val="3"/>
        <w:rPr>
          <w:rFonts w:hint="eastAsia" w:ascii="宋体" w:hAnsi="宋体"/>
          <w:b/>
          <w:bCs/>
          <w:color w:val="auto"/>
          <w:sz w:val="24"/>
          <w:szCs w:val="24"/>
          <w:highlight w:val="none"/>
        </w:rPr>
      </w:pPr>
      <w:bookmarkStart w:id="81" w:name="_Toc14577355"/>
      <w:bookmarkStart w:id="82" w:name="_Toc49090508"/>
      <w:r>
        <w:rPr>
          <w:rFonts w:hint="eastAsia" w:ascii="宋体" w:hAnsi="宋体"/>
          <w:b/>
          <w:bCs/>
          <w:color w:val="auto"/>
          <w:sz w:val="24"/>
          <w:szCs w:val="24"/>
          <w:highlight w:val="none"/>
        </w:rPr>
        <w:t>12.投标配置与分项报价</w:t>
      </w:r>
      <w:bookmarkStart w:id="83" w:name="_Hlt26670373"/>
      <w:bookmarkEnd w:id="83"/>
      <w:r>
        <w:rPr>
          <w:rFonts w:hint="eastAsia" w:ascii="宋体" w:hAnsi="宋体"/>
          <w:b/>
          <w:bCs/>
          <w:color w:val="auto"/>
          <w:sz w:val="24"/>
          <w:szCs w:val="24"/>
          <w:highlight w:val="none"/>
        </w:rPr>
        <w:t>表</w:t>
      </w:r>
      <w:bookmarkEnd w:id="81"/>
      <w:bookmarkEnd w:id="82"/>
      <w:r>
        <w:rPr>
          <w:rFonts w:hint="eastAsia" w:ascii="宋体" w:hAnsi="宋体"/>
          <w:b/>
          <w:bCs/>
          <w:color w:val="auto"/>
          <w:sz w:val="24"/>
          <w:szCs w:val="24"/>
          <w:highlight w:val="none"/>
        </w:rPr>
        <w:t>（或经费测算表）</w:t>
      </w:r>
    </w:p>
    <w:p w14:paraId="5EB6E64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12.1</w:t>
      </w:r>
      <w:r>
        <w:rPr>
          <w:rFonts w:hint="eastAsia" w:ascii="宋体" w:hAnsi="宋体"/>
          <w:b/>
          <w:color w:val="auto"/>
          <w:sz w:val="24"/>
          <w:szCs w:val="24"/>
          <w:highlight w:val="none"/>
        </w:rPr>
        <w:t>投标人应按照招标文件规定格式填报。每项货物和服务等只允许有一个报价。</w:t>
      </w:r>
    </w:p>
    <w:p w14:paraId="52AF51D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 标的物</w:t>
      </w:r>
    </w:p>
    <w:p w14:paraId="42BD5E0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12.2.1采购人需求的有关</w:t>
      </w:r>
      <w:r>
        <w:rPr>
          <w:rFonts w:hint="eastAsia" w:ascii="宋体" w:hAnsi="宋体"/>
          <w:color w:val="auto"/>
          <w:sz w:val="24"/>
          <w:szCs w:val="24"/>
          <w:highlight w:val="none"/>
          <w:lang w:eastAsia="zh-CN"/>
        </w:rPr>
        <w:t>货物</w:t>
      </w:r>
      <w:r>
        <w:rPr>
          <w:rFonts w:hint="eastAsia" w:ascii="宋体" w:hAnsi="宋体"/>
          <w:color w:val="auto"/>
          <w:sz w:val="24"/>
          <w:szCs w:val="24"/>
          <w:highlight w:val="none"/>
        </w:rPr>
        <w:t>等。</w:t>
      </w:r>
    </w:p>
    <w:p w14:paraId="2B72283F">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121639C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12.3投标货币</w:t>
      </w:r>
    </w:p>
    <w:p w14:paraId="0CA46A7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投标文件中的货物单价和总价无特殊规定的采用人民币报价，以元为</w:t>
      </w:r>
      <w:r>
        <w:rPr>
          <w:rFonts w:hint="eastAsia" w:ascii="宋体" w:hAnsi="宋体"/>
          <w:bCs/>
          <w:color w:val="auto"/>
          <w:sz w:val="24"/>
          <w:szCs w:val="24"/>
          <w:highlight w:val="none"/>
        </w:rPr>
        <w:t>单位标注。招标文件中另有规定的按规定执行。</w:t>
      </w:r>
    </w:p>
    <w:p w14:paraId="4839514D">
      <w:pPr>
        <w:spacing w:before="120" w:after="120" w:line="440" w:lineRule="exact"/>
        <w:ind w:firstLine="472"/>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12.4项目总价应包括但不限于</w:t>
      </w:r>
      <w:r>
        <w:rPr>
          <w:rFonts w:hint="eastAsia" w:ascii="宋体" w:hAnsi="宋体"/>
          <w:color w:val="auto"/>
          <w:sz w:val="24"/>
          <w:szCs w:val="24"/>
          <w:highlight w:val="none"/>
        </w:rPr>
        <w:t xml:space="preserve">货物、配件、附件、备品备件、专用工具、耗品、辅材、包装、运输、装卸、安装、调试、检测、验收、人员培训、售后服务、保修、政策性文件规定及合同包含的所有风险责任的各项费用、技术指导、利润、税金等全部费用。 </w:t>
      </w:r>
      <w:bookmarkStart w:id="84" w:name="EB8486dd9157984dc9aa62437fb6aa6f0f"/>
      <w:bookmarkEnd w:id="84"/>
    </w:p>
    <w:p w14:paraId="03C3C4D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12.5本报价必须充分考虑所有可能影响到报价的价格因素，一旦投标结束最终成交，如发生漏、缺、少项，都将被认为是中标人的报价让利行为。</w:t>
      </w:r>
      <w:bookmarkStart w:id="85" w:name="_Hlt26670486"/>
      <w:bookmarkEnd w:id="85"/>
      <w:bookmarkStart w:id="86" w:name="_Hlt26670482"/>
      <w:bookmarkEnd w:id="86"/>
      <w:bookmarkStart w:id="87" w:name="_Hlt26954731"/>
      <w:bookmarkEnd w:id="87"/>
      <w:bookmarkStart w:id="88" w:name="_Hlt26954846"/>
      <w:bookmarkEnd w:id="88"/>
      <w:bookmarkStart w:id="89" w:name="_Hlt26954848"/>
      <w:bookmarkEnd w:id="89"/>
    </w:p>
    <w:p w14:paraId="7181150A">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13.技术及服务方案</w:t>
      </w:r>
    </w:p>
    <w:p w14:paraId="4610C1A2">
      <w:pPr>
        <w:pStyle w:val="209"/>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13.1根据自己对需求的理解撰写需求分析和服务方案。</w:t>
      </w:r>
    </w:p>
    <w:p w14:paraId="4E55438D">
      <w:pPr>
        <w:pStyle w:val="209"/>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13.2根据自己对项目需求的分析，提出人员配备方案，并详细介绍拟参加本项目服务的人员的资历和持有相关证书情况，特别要详细介绍该项目负责人的学历、资质和所从事过类似案例管理情况。</w:t>
      </w:r>
    </w:p>
    <w:p w14:paraId="1C20CDBA">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14.投标人情况介绍</w:t>
      </w:r>
    </w:p>
    <w:p w14:paraId="5391E09C">
      <w:pPr>
        <w:keepNext/>
        <w:keepLines/>
        <w:spacing w:line="440" w:lineRule="exact"/>
        <w:ind w:firstLine="508"/>
        <w:outlineLvl w:val="3"/>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14.1 投标人的总体情况应在电子投标文件中作出说明。</w:t>
      </w:r>
      <w:bookmarkStart w:id="90" w:name="EBf6e5e332cb7245ab8f3a9801503c122b"/>
      <w:bookmarkEnd w:id="90"/>
      <w:bookmarkStart w:id="91" w:name="_Hlt26670489"/>
      <w:bookmarkEnd w:id="91"/>
      <w:bookmarkStart w:id="92" w:name="_Hlt26954850"/>
      <w:bookmarkEnd w:id="92"/>
      <w:bookmarkStart w:id="93" w:name="_Hlt26954734"/>
      <w:bookmarkEnd w:id="93"/>
    </w:p>
    <w:p w14:paraId="3482F0CB">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15.投标保证金</w:t>
      </w:r>
    </w:p>
    <w:p w14:paraId="26AF5AE1">
      <w:pPr>
        <w:pStyle w:val="209"/>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15.1本次招标不收取投标保证金。</w:t>
      </w:r>
    </w:p>
    <w:p w14:paraId="5A7BEC8A">
      <w:pPr>
        <w:pStyle w:val="209"/>
        <w:spacing w:line="44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16.投标有效期</w:t>
      </w:r>
    </w:p>
    <w:p w14:paraId="0F4B136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16.1</w:t>
      </w:r>
      <w:r>
        <w:rPr>
          <w:rFonts w:hint="eastAsia" w:ascii="宋体" w:hAnsi="宋体"/>
          <w:bCs/>
          <w:color w:val="auto"/>
          <w:sz w:val="24"/>
          <w:szCs w:val="24"/>
          <w:highlight w:val="none"/>
        </w:rPr>
        <w:t>投标有效期为</w:t>
      </w:r>
      <w:bookmarkStart w:id="94" w:name="EB42bffacbc3774d8f9be92be41fabfc13"/>
      <w:r>
        <w:rPr>
          <w:rFonts w:hint="eastAsia" w:ascii="宋体" w:hAnsi="宋体"/>
          <w:bCs/>
          <w:color w:val="auto"/>
          <w:sz w:val="24"/>
          <w:szCs w:val="24"/>
          <w:highlight w:val="none"/>
        </w:rPr>
        <w:t>公共资源交易中心</w:t>
      </w:r>
      <w:bookmarkEnd w:id="94"/>
      <w:r>
        <w:rPr>
          <w:rFonts w:hint="eastAsia" w:ascii="宋体" w:hAnsi="宋体"/>
          <w:bCs/>
          <w:color w:val="auto"/>
          <w:sz w:val="24"/>
          <w:szCs w:val="24"/>
          <w:highlight w:val="none"/>
        </w:rPr>
        <w:t>规定的开标之日后</w:t>
      </w:r>
      <w:r>
        <w:rPr>
          <w:rFonts w:hint="eastAsia" w:ascii="宋体" w:hAnsi="宋体"/>
          <w:b/>
          <w:bCs/>
          <w:color w:val="auto"/>
          <w:sz w:val="24"/>
          <w:szCs w:val="24"/>
          <w:highlight w:val="none"/>
        </w:rPr>
        <w:t>九十（90）天</w:t>
      </w:r>
      <w:r>
        <w:rPr>
          <w:rFonts w:hint="eastAsia" w:ascii="宋体" w:hAnsi="宋体"/>
          <w:bCs/>
          <w:color w:val="auto"/>
          <w:sz w:val="24"/>
          <w:szCs w:val="24"/>
          <w:highlight w:val="none"/>
        </w:rPr>
        <w:t>。投标有效期比规定短的将被视为非响应性投标而予以拒绝。</w:t>
      </w:r>
    </w:p>
    <w:p w14:paraId="43AA7EC9">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16.2</w:t>
      </w:r>
      <w:r>
        <w:rPr>
          <w:rFonts w:hint="eastAsia" w:ascii="宋体" w:hAnsi="宋体"/>
          <w:bCs/>
          <w:color w:val="auto"/>
          <w:sz w:val="24"/>
          <w:szCs w:val="24"/>
          <w:highlight w:val="none"/>
        </w:rPr>
        <w:t>在特殊情况下，</w:t>
      </w:r>
      <w:bookmarkStart w:id="95" w:name="EB1a73f2f6d8ff43b6a705c8d1929594b0"/>
      <w:r>
        <w:rPr>
          <w:rFonts w:hint="eastAsia" w:ascii="宋体" w:hAnsi="宋体"/>
          <w:bCs/>
          <w:color w:val="auto"/>
          <w:sz w:val="24"/>
          <w:szCs w:val="24"/>
          <w:highlight w:val="none"/>
        </w:rPr>
        <w:t>公共资源交易中心</w:t>
      </w:r>
      <w:bookmarkEnd w:id="95"/>
      <w:r>
        <w:rPr>
          <w:rFonts w:hint="eastAsia" w:ascii="宋体" w:hAnsi="宋体"/>
          <w:bCs/>
          <w:color w:val="auto"/>
          <w:sz w:val="24"/>
          <w:szCs w:val="24"/>
          <w:highlight w:val="none"/>
        </w:rPr>
        <w:t>于原投标有效期满之前，可向投标人提出延长投标有效期的要求。这种要求与答复均应采用书面形式。投标人可以拒绝</w:t>
      </w:r>
      <w:bookmarkStart w:id="96" w:name="EBcd0282bdfe9441e3bba982eac64d1aaa"/>
      <w:r>
        <w:rPr>
          <w:rFonts w:hint="eastAsia" w:ascii="宋体" w:hAnsi="宋体"/>
          <w:bCs/>
          <w:color w:val="auto"/>
          <w:sz w:val="24"/>
          <w:szCs w:val="24"/>
          <w:highlight w:val="none"/>
        </w:rPr>
        <w:t>公共资源交易中心</w:t>
      </w:r>
      <w:bookmarkEnd w:id="96"/>
      <w:r>
        <w:rPr>
          <w:rFonts w:hint="eastAsia" w:ascii="宋体" w:hAnsi="宋体"/>
          <w:bCs/>
          <w:color w:val="auto"/>
          <w:sz w:val="24"/>
          <w:szCs w:val="24"/>
          <w:highlight w:val="none"/>
        </w:rPr>
        <w:t>的这一要求而放弃投标</w:t>
      </w:r>
      <w:r>
        <w:rPr>
          <w:rFonts w:hint="eastAsia" w:ascii="宋体" w:hAnsi="宋体"/>
          <w:color w:val="auto"/>
          <w:sz w:val="24"/>
          <w:szCs w:val="24"/>
          <w:highlight w:val="none"/>
        </w:rPr>
        <w:t>。</w:t>
      </w:r>
      <w:r>
        <w:rPr>
          <w:rFonts w:hint="eastAsia" w:ascii="宋体" w:hAnsi="宋体"/>
          <w:bCs/>
          <w:color w:val="auto"/>
          <w:sz w:val="24"/>
          <w:szCs w:val="24"/>
          <w:highlight w:val="none"/>
        </w:rPr>
        <w:t>同意延长投标有效期的投标人既不能要求也不允许修改其投标文件。</w:t>
      </w:r>
    </w:p>
    <w:p w14:paraId="4C55E45B">
      <w:pPr>
        <w:spacing w:line="440" w:lineRule="exact"/>
        <w:ind w:firstLine="482"/>
        <w:rPr>
          <w:rFonts w:hint="eastAsia" w:ascii="宋体" w:hAnsi="宋体"/>
          <w:b/>
          <w:bCs/>
          <w:color w:val="auto"/>
          <w:sz w:val="24"/>
          <w:szCs w:val="24"/>
          <w:highlight w:val="none"/>
        </w:rPr>
      </w:pPr>
      <w:r>
        <w:rPr>
          <w:rFonts w:hint="eastAsia" w:ascii="宋体" w:hAnsi="宋体"/>
          <w:b/>
          <w:bCs/>
          <w:color w:val="auto"/>
          <w:sz w:val="24"/>
          <w:szCs w:val="24"/>
          <w:highlight w:val="none"/>
        </w:rPr>
        <w:t>17.投标文件的签署</w:t>
      </w:r>
    </w:p>
    <w:p w14:paraId="4D9FA404">
      <w:pPr>
        <w:spacing w:line="440" w:lineRule="exact"/>
        <w:ind w:firstLine="508"/>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17.1本招标文件所表述（指定）的公章是指法定名称章，不包括合同专用章、业务专用章等印章。</w:t>
      </w:r>
      <w:bookmarkStart w:id="97" w:name="_Hlt26954852"/>
      <w:bookmarkEnd w:id="97"/>
      <w:bookmarkStart w:id="98" w:name="EBfdb2e00cf1ee477a9cdb47d13b603829"/>
      <w:bookmarkEnd w:id="98"/>
      <w:bookmarkStart w:id="99" w:name="_Hlt26954739"/>
      <w:bookmarkEnd w:id="99"/>
    </w:p>
    <w:p w14:paraId="2F0B3089">
      <w:pPr>
        <w:pStyle w:val="210"/>
        <w:spacing w:line="440" w:lineRule="exact"/>
        <w:ind w:firstLine="482"/>
        <w:rPr>
          <w:rStyle w:val="208"/>
          <w:rFonts w:hint="eastAsia" w:ascii="宋体" w:hAnsi="宋体"/>
          <w:color w:val="auto"/>
          <w:sz w:val="24"/>
          <w:szCs w:val="24"/>
          <w:highlight w:val="none"/>
        </w:rPr>
      </w:pPr>
      <w:r>
        <w:rPr>
          <w:rStyle w:val="208"/>
          <w:rFonts w:hint="eastAsia" w:ascii="宋体" w:hAnsi="宋体"/>
          <w:color w:val="auto"/>
          <w:sz w:val="24"/>
          <w:szCs w:val="24"/>
          <w:highlight w:val="none"/>
        </w:rPr>
        <w:t>四、投标文件的制作、上传、递交</w:t>
      </w:r>
    </w:p>
    <w:p w14:paraId="40571E9C">
      <w:pPr>
        <w:pStyle w:val="211"/>
        <w:spacing w:line="440" w:lineRule="exact"/>
        <w:ind w:firstLine="500"/>
        <w:outlineLvl w:val="3"/>
        <w:rPr>
          <w:rStyle w:val="199"/>
          <w:rFonts w:hint="eastAsia" w:ascii="宋体" w:hAnsi="宋体"/>
          <w:b/>
          <w:bCs/>
          <w:color w:val="auto"/>
          <w:spacing w:val="7"/>
          <w:sz w:val="24"/>
          <w:szCs w:val="24"/>
          <w:highlight w:val="none"/>
        </w:rPr>
      </w:pPr>
      <w:r>
        <w:rPr>
          <w:rStyle w:val="199"/>
          <w:rFonts w:hint="eastAsia" w:ascii="宋体" w:hAnsi="宋体"/>
          <w:b/>
          <w:bCs/>
          <w:color w:val="auto"/>
          <w:spacing w:val="7"/>
          <w:sz w:val="24"/>
          <w:szCs w:val="24"/>
          <w:highlight w:val="none"/>
        </w:rPr>
        <w:t>18.投标文件的递交</w:t>
      </w:r>
    </w:p>
    <w:p w14:paraId="0706FB6F">
      <w:pPr>
        <w:pStyle w:val="211"/>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18.1电子投标文件的递交</w:t>
      </w:r>
    </w:p>
    <w:p w14:paraId="500DE87A">
      <w:pPr>
        <w:pStyle w:val="211"/>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投标人应当按照《苏采云系统供应商操作手册》规定，在投标截止时间前制作并上传电子投标文件。</w:t>
      </w:r>
      <w:bookmarkStart w:id="100" w:name="EB5e78b12e89984a20ab881c475623475b"/>
      <w:bookmarkEnd w:id="100"/>
    </w:p>
    <w:p w14:paraId="5B0C5E35">
      <w:pPr>
        <w:pStyle w:val="211"/>
        <w:spacing w:line="440" w:lineRule="exact"/>
        <w:ind w:firstLine="500"/>
        <w:rPr>
          <w:rFonts w:hint="eastAsia" w:ascii="宋体" w:hAnsi="宋体" w:eastAsia="宋体"/>
          <w:b/>
          <w:bCs/>
          <w:color w:val="auto"/>
          <w:highlight w:val="none"/>
        </w:rPr>
      </w:pPr>
      <w:r>
        <w:rPr>
          <w:rFonts w:hint="eastAsia" w:ascii="宋体" w:hAnsi="宋体" w:eastAsia="宋体"/>
          <w:b/>
          <w:bCs/>
          <w:color w:val="auto"/>
          <w:highlight w:val="none"/>
        </w:rPr>
        <w:t>19.投标截止日期</w:t>
      </w:r>
    </w:p>
    <w:p w14:paraId="2ABC3297">
      <w:pPr>
        <w:pStyle w:val="212"/>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19.1投标人上传电子投标文件的时间不得迟于招标公告中规定的投标截止时间。</w:t>
      </w:r>
    </w:p>
    <w:p w14:paraId="039E8895">
      <w:pPr>
        <w:pStyle w:val="212"/>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投标人应充分考虑到网络环境、网络带宽等风险因素，如因投标人自身原因造成的电子投标文件上传不成功由投标人自行承担全部责任。</w:t>
      </w:r>
      <w:bookmarkStart w:id="101" w:name="EB4c6421107b4c4e38bf2769d0237905a7"/>
      <w:bookmarkEnd w:id="101"/>
    </w:p>
    <w:p w14:paraId="13D3E2C3">
      <w:pPr>
        <w:pStyle w:val="212"/>
        <w:spacing w:line="440" w:lineRule="exact"/>
        <w:ind w:firstLine="482"/>
        <w:rPr>
          <w:rFonts w:hint="eastAsia" w:ascii="宋体" w:hAnsi="宋体" w:eastAsia="宋体"/>
          <w:b/>
          <w:bCs/>
          <w:color w:val="auto"/>
          <w:highlight w:val="none"/>
        </w:rPr>
      </w:pPr>
      <w:r>
        <w:rPr>
          <w:rFonts w:hint="eastAsia" w:ascii="宋体" w:hAnsi="宋体" w:eastAsia="宋体"/>
          <w:b/>
          <w:bCs/>
          <w:color w:val="auto"/>
          <w:highlight w:val="none"/>
        </w:rPr>
        <w:t>20.投标文件的递交</w:t>
      </w:r>
    </w:p>
    <w:p w14:paraId="4B7D1A7E">
      <w:pPr>
        <w:pStyle w:val="212"/>
        <w:spacing w:line="440" w:lineRule="exact"/>
        <w:ind w:firstLine="480"/>
        <w:rPr>
          <w:rFonts w:hint="eastAsia" w:ascii="宋体" w:hAnsi="宋体" w:eastAsia="宋体"/>
          <w:color w:val="auto"/>
          <w:highlight w:val="none"/>
        </w:rPr>
      </w:pPr>
      <w:r>
        <w:rPr>
          <w:rFonts w:hint="eastAsia" w:ascii="宋体" w:hAnsi="宋体" w:eastAsia="宋体"/>
          <w:color w:val="auto"/>
          <w:highlight w:val="none"/>
        </w:rPr>
        <w:t>20.1</w:t>
      </w:r>
      <w:bookmarkStart w:id="102" w:name="EBfffe463a2deb4e7cad93cb8e37ffda5e"/>
      <w:r>
        <w:rPr>
          <w:rFonts w:hint="eastAsia" w:ascii="宋体" w:hAnsi="宋体" w:eastAsia="宋体"/>
          <w:color w:val="auto"/>
          <w:highlight w:val="none"/>
        </w:rPr>
        <w:t>公共资源交易中心</w:t>
      </w:r>
      <w:bookmarkEnd w:id="102"/>
      <w:r>
        <w:rPr>
          <w:rFonts w:hint="eastAsia" w:ascii="宋体" w:hAnsi="宋体" w:eastAsia="宋体"/>
          <w:color w:val="auto"/>
          <w:highlight w:val="none"/>
        </w:rPr>
        <w:t>拒绝接收在其规定的投标截止时间后递交的任何投标文件。</w:t>
      </w:r>
    </w:p>
    <w:p w14:paraId="6592FAEC">
      <w:pPr>
        <w:pStyle w:val="212"/>
        <w:spacing w:line="440" w:lineRule="exact"/>
        <w:ind w:left="500"/>
        <w:rPr>
          <w:rFonts w:hint="eastAsia" w:ascii="宋体" w:hAnsi="宋体" w:eastAsia="宋体"/>
          <w:b/>
          <w:bCs/>
          <w:color w:val="auto"/>
          <w:highlight w:val="none"/>
        </w:rPr>
      </w:pPr>
      <w:r>
        <w:rPr>
          <w:rFonts w:hint="eastAsia" w:ascii="宋体" w:hAnsi="宋体" w:eastAsia="宋体"/>
          <w:b/>
          <w:bCs/>
          <w:color w:val="auto"/>
          <w:highlight w:val="none"/>
        </w:rPr>
        <w:t>21.投标文件的修改和撤回</w:t>
      </w:r>
    </w:p>
    <w:p w14:paraId="7A76EB5B">
      <w:pPr>
        <w:pStyle w:val="212"/>
        <w:spacing w:line="440" w:lineRule="exact"/>
        <w:ind w:firstLine="508"/>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21.1 投标人在递交投标文件后，可以修改或撤回其投标文件，但这种修改和撤回，必须在规定的投标截止时间前，具体操作方法见《苏采云系统供应商操作手册》。</w:t>
      </w:r>
    </w:p>
    <w:p w14:paraId="5399BAC6">
      <w:pPr>
        <w:pStyle w:val="213"/>
        <w:spacing w:line="440" w:lineRule="exact"/>
        <w:ind w:firstLine="500"/>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21.2 投标人撤回电子投标文件，则认为其不再参与本项目投标活动。</w:t>
      </w:r>
    </w:p>
    <w:p w14:paraId="2C813CBE">
      <w:pPr>
        <w:pStyle w:val="213"/>
        <w:spacing w:line="440" w:lineRule="exact"/>
        <w:ind w:firstLine="500"/>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21.3 在投标截止时间之后，投标人不得对其电子投标文件作任何修改。</w:t>
      </w:r>
    </w:p>
    <w:p w14:paraId="64A77C74">
      <w:pPr>
        <w:pStyle w:val="213"/>
        <w:spacing w:line="440" w:lineRule="exact"/>
        <w:ind w:firstLine="500"/>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21.4 在投标截止时间至招标文件中规定的投标有效期满之间的这段时间内，投标人不得撤销其投标。</w:t>
      </w:r>
    </w:p>
    <w:p w14:paraId="7830182E">
      <w:pPr>
        <w:pStyle w:val="213"/>
        <w:spacing w:line="440" w:lineRule="exact"/>
        <w:ind w:firstLine="500"/>
        <w:rPr>
          <w:rStyle w:val="199"/>
          <w:rFonts w:hint="eastAsia" w:ascii="宋体" w:hAnsi="宋体"/>
          <w:color w:val="auto"/>
          <w:spacing w:val="7"/>
          <w:sz w:val="24"/>
          <w:szCs w:val="28"/>
          <w:highlight w:val="none"/>
        </w:rPr>
      </w:pPr>
      <w:r>
        <w:rPr>
          <w:rStyle w:val="199"/>
          <w:rFonts w:hint="eastAsia" w:ascii="宋体" w:hAnsi="宋体"/>
          <w:color w:val="auto"/>
          <w:spacing w:val="7"/>
          <w:sz w:val="24"/>
          <w:szCs w:val="28"/>
          <w:highlight w:val="none"/>
        </w:rPr>
        <w:t>21.5 不论投标人中标与否，投标文件均不退回。</w:t>
      </w:r>
    </w:p>
    <w:p w14:paraId="7634612C">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103" w:name="EB7c302f080cf342679641097daf23b42b"/>
      <w:bookmarkEnd w:id="103"/>
      <w:bookmarkStart w:id="104" w:name="_Toc16938545"/>
      <w:bookmarkStart w:id="105" w:name="_Toc513029229"/>
      <w:bookmarkStart w:id="106" w:name="_Toc38368124"/>
      <w:bookmarkStart w:id="107" w:name="_Toc120614218"/>
      <w:bookmarkStart w:id="108" w:name="_Toc20823301"/>
      <w:bookmarkStart w:id="109" w:name="_Toc35266024"/>
      <w:bookmarkStart w:id="110" w:name="_Toc17299"/>
      <w:bookmarkStart w:id="111" w:name="_Toc54615243"/>
      <w:r>
        <w:rPr>
          <w:rStyle w:val="208"/>
          <w:rFonts w:hint="eastAsia" w:ascii="宋体" w:hAnsi="宋体"/>
          <w:b w:val="0"/>
          <w:bCs w:val="0"/>
          <w:color w:val="auto"/>
          <w:sz w:val="24"/>
          <w:szCs w:val="24"/>
          <w:highlight w:val="none"/>
        </w:rPr>
        <w:t>五、开标与评标</w:t>
      </w:r>
      <w:bookmarkEnd w:id="104"/>
      <w:bookmarkEnd w:id="105"/>
      <w:bookmarkEnd w:id="106"/>
      <w:bookmarkEnd w:id="107"/>
      <w:bookmarkEnd w:id="108"/>
      <w:bookmarkEnd w:id="109"/>
      <w:bookmarkEnd w:id="110"/>
      <w:bookmarkEnd w:id="111"/>
    </w:p>
    <w:p w14:paraId="43E7AA14">
      <w:pPr>
        <w:keepNext/>
        <w:keepLines/>
        <w:spacing w:line="440" w:lineRule="exact"/>
        <w:ind w:firstLine="482"/>
        <w:outlineLvl w:val="3"/>
        <w:rPr>
          <w:rFonts w:hint="eastAsia" w:ascii="宋体" w:hAnsi="宋体"/>
          <w:b/>
          <w:bCs/>
          <w:color w:val="auto"/>
          <w:sz w:val="24"/>
          <w:szCs w:val="24"/>
          <w:highlight w:val="none"/>
        </w:rPr>
      </w:pPr>
      <w:bookmarkStart w:id="112" w:name="_Toc20823302"/>
      <w:bookmarkStart w:id="113" w:name="_Toc16938546"/>
      <w:bookmarkStart w:id="114" w:name="_Toc513029230"/>
      <w:r>
        <w:rPr>
          <w:rFonts w:hint="eastAsia" w:ascii="宋体" w:hAnsi="宋体"/>
          <w:b/>
          <w:bCs/>
          <w:color w:val="auto"/>
          <w:sz w:val="24"/>
          <w:szCs w:val="24"/>
          <w:highlight w:val="none"/>
        </w:rPr>
        <w:t>22.开标</w:t>
      </w:r>
      <w:bookmarkEnd w:id="112"/>
      <w:bookmarkEnd w:id="113"/>
      <w:bookmarkEnd w:id="114"/>
    </w:p>
    <w:p w14:paraId="515EC0E8">
      <w:pPr>
        <w:spacing w:line="440" w:lineRule="exact"/>
        <w:ind w:firstLine="480"/>
        <w:rPr>
          <w:rStyle w:val="199"/>
          <w:rFonts w:hint="eastAsia" w:ascii="宋体" w:hAnsi="宋体"/>
          <w:color w:val="auto"/>
          <w:spacing w:val="7"/>
          <w:sz w:val="24"/>
          <w:szCs w:val="24"/>
          <w:highlight w:val="none"/>
        </w:rPr>
      </w:pPr>
      <w:bookmarkStart w:id="115" w:name="EB45a41a7a147945c0bb92535f2d40058d"/>
      <w:bookmarkEnd w:id="115"/>
      <w:r>
        <w:rPr>
          <w:rStyle w:val="199"/>
          <w:rFonts w:hint="eastAsia" w:ascii="宋体" w:hAnsi="宋体"/>
          <w:color w:val="auto"/>
          <w:spacing w:val="7"/>
          <w:sz w:val="24"/>
          <w:szCs w:val="24"/>
          <w:highlight w:val="none"/>
        </w:rPr>
        <w:t>22.1开标由采购代理机构在线主持，邀请投标人在线参加。投标人应当按照《苏采云系统供应商操作手册》规定，参加开标活动和在“苏采云”系统规定的时间内对投标文件进行解密。评标委员会成员不得参加开标活动。</w:t>
      </w:r>
    </w:p>
    <w:p w14:paraId="39020CFA">
      <w:pPr>
        <w:spacing w:line="440" w:lineRule="exact"/>
        <w:ind w:firstLine="48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6785D58A">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23.评标委员会</w:t>
      </w:r>
    </w:p>
    <w:p w14:paraId="47ACBB6A">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23.1开标后，</w:t>
      </w:r>
      <w:bookmarkStart w:id="116" w:name="EBd93f728e80de47e5afd77299c0ffdfa6"/>
      <w:r>
        <w:rPr>
          <w:rFonts w:hint="eastAsia" w:ascii="宋体" w:hAnsi="宋体"/>
          <w:color w:val="auto"/>
          <w:sz w:val="24"/>
          <w:szCs w:val="24"/>
          <w:highlight w:val="none"/>
        </w:rPr>
        <w:t>公共资源交易中心</w:t>
      </w:r>
      <w:bookmarkEnd w:id="116"/>
      <w:r>
        <w:rPr>
          <w:rFonts w:hint="eastAsia" w:ascii="宋体" w:hAnsi="宋体"/>
          <w:color w:val="auto"/>
          <w:sz w:val="24"/>
          <w:szCs w:val="24"/>
          <w:highlight w:val="none"/>
        </w:rPr>
        <w:t>将立即组织评标委员会（以下简称评委会）进行评标。</w:t>
      </w:r>
    </w:p>
    <w:p w14:paraId="6A6AE4D6">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23.2评委会由评审专家、采购人代表组成，且人员构成符合政府采购有关规定。</w:t>
      </w:r>
    </w:p>
    <w:p w14:paraId="2ACDAB19">
      <w:pPr>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color w:val="auto"/>
          <w:sz w:val="24"/>
          <w:szCs w:val="24"/>
          <w:highlight w:val="none"/>
        </w:rPr>
        <w:t xml:space="preserve"> 23.3评委会应以科学、公正的态度参加评审工作并推荐中标候选人。评审专家和采购人代表在评审过程中不受任何干扰，独立、负责地提出评审意见，并对自己的评审意见承担责任。</w:t>
      </w:r>
    </w:p>
    <w:p w14:paraId="0B5D81C6">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23.4评委会将对投标人的商业、技术秘密予以保密。</w:t>
      </w:r>
    </w:p>
    <w:p w14:paraId="5F79D862">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24．评标过程的保密与公正</w:t>
      </w:r>
    </w:p>
    <w:p w14:paraId="3E142EE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24.1</w:t>
      </w:r>
      <w:r>
        <w:rPr>
          <w:rFonts w:hint="eastAsia" w:ascii="宋体" w:hAnsi="宋体"/>
          <w:bCs/>
          <w:color w:val="auto"/>
          <w:sz w:val="24"/>
          <w:szCs w:val="24"/>
          <w:highlight w:val="none"/>
        </w:rPr>
        <w:t>公开开标后，直至向中标的投标人授予合同时止，凡是与审查、澄清、评价和比较投标的有关资料以及授标建议等，均不得向投标人或与评标无关的其他人员透露。</w:t>
      </w:r>
    </w:p>
    <w:p w14:paraId="50D4B94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24.2在评标过程中，如果投标人试图向</w:t>
      </w:r>
      <w:bookmarkStart w:id="117" w:name="EB8495c46e8cb146ec80ae8c0f7928221c"/>
      <w:r>
        <w:rPr>
          <w:rFonts w:hint="eastAsia" w:ascii="宋体" w:hAnsi="宋体"/>
          <w:color w:val="auto"/>
          <w:sz w:val="24"/>
          <w:szCs w:val="24"/>
          <w:highlight w:val="none"/>
        </w:rPr>
        <w:t>公共资源交易中心</w:t>
      </w:r>
      <w:bookmarkEnd w:id="117"/>
      <w:r>
        <w:rPr>
          <w:rFonts w:hint="eastAsia" w:ascii="宋体" w:hAnsi="宋体"/>
          <w:color w:val="auto"/>
          <w:sz w:val="24"/>
          <w:szCs w:val="24"/>
          <w:highlight w:val="none"/>
        </w:rPr>
        <w:t>和参与评标的人员施加任何影响，都将会导致其投标被拒绝。</w:t>
      </w:r>
    </w:p>
    <w:p w14:paraId="1BC53264">
      <w:pPr>
        <w:keepNext/>
        <w:keepLines/>
        <w:spacing w:line="440" w:lineRule="exact"/>
        <w:ind w:firstLine="482"/>
        <w:outlineLvl w:val="3"/>
        <w:rPr>
          <w:rFonts w:hint="eastAsia" w:ascii="宋体" w:hAnsi="宋体"/>
          <w:b/>
          <w:bCs/>
          <w:color w:val="auto"/>
          <w:sz w:val="24"/>
          <w:szCs w:val="24"/>
          <w:highlight w:val="none"/>
        </w:rPr>
      </w:pPr>
      <w:bookmarkStart w:id="118" w:name="_Toc20823304"/>
      <w:bookmarkStart w:id="119" w:name="_Toc513029232"/>
      <w:bookmarkStart w:id="120" w:name="_Toc16938548"/>
      <w:r>
        <w:rPr>
          <w:rFonts w:hint="eastAsia" w:ascii="宋体" w:hAnsi="宋体"/>
          <w:b/>
          <w:bCs/>
          <w:color w:val="auto"/>
          <w:sz w:val="24"/>
          <w:szCs w:val="24"/>
          <w:highlight w:val="none"/>
        </w:rPr>
        <w:t>25．投标的澄清</w:t>
      </w:r>
      <w:bookmarkEnd w:id="118"/>
      <w:bookmarkEnd w:id="119"/>
      <w:bookmarkEnd w:id="120"/>
    </w:p>
    <w:p w14:paraId="73E7579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25.1评标期间，为有助于对投标文件的审查、评价和比较，评委会有权要求投标人对其投标文件进行澄清，但并非对每个投标人都作澄清要求。</w:t>
      </w:r>
    </w:p>
    <w:p w14:paraId="4F1773A5">
      <w:pPr>
        <w:pStyle w:val="214"/>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73BC4EE2">
      <w:pPr>
        <w:spacing w:line="440" w:lineRule="exact"/>
        <w:ind w:firstLine="510"/>
        <w:rPr>
          <w:rStyle w:val="199"/>
          <w:rFonts w:hint="eastAsia" w:ascii="宋体" w:hAnsi="宋体"/>
          <w:b/>
          <w:bCs/>
          <w:color w:val="auto"/>
          <w:spacing w:val="7"/>
          <w:sz w:val="24"/>
          <w:szCs w:val="24"/>
          <w:highlight w:val="none"/>
          <w:lang w:val="zh-CN"/>
        </w:rPr>
      </w:pPr>
      <w:r>
        <w:rPr>
          <w:rStyle w:val="199"/>
          <w:rFonts w:hint="eastAsia" w:ascii="宋体" w:hAnsi="宋体"/>
          <w:b/>
          <w:bCs/>
          <w:color w:val="auto"/>
          <w:spacing w:val="7"/>
          <w:sz w:val="24"/>
          <w:szCs w:val="24"/>
          <w:highlight w:val="none"/>
          <w:lang w:val="zh-CN"/>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99"/>
          <w:rFonts w:hint="eastAsia" w:ascii="宋体" w:hAnsi="宋体"/>
          <w:color w:val="auto"/>
          <w:spacing w:val="7"/>
          <w:sz w:val="24"/>
          <w:szCs w:val="24"/>
          <w:highlight w:val="none"/>
          <w:lang w:val="zh-CN"/>
        </w:rPr>
        <w:t>(此处规定时间的计算以系统中的倒计时间为准，供应商应随时保持系统在线，如因供应商自身原因未在规定时间内提交澄清确认资料的，导致的不利后果由供应商自行承担。）</w:t>
      </w:r>
      <w:bookmarkStart w:id="121" w:name="EB3164982f155e42e086cd4685f4d2aafa"/>
      <w:bookmarkEnd w:id="121"/>
    </w:p>
    <w:p w14:paraId="24B57A35">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25.3接到评委会澄清要求的投标人如未按规定做出澄清，其风险由投标人自行承担。</w:t>
      </w:r>
    </w:p>
    <w:p w14:paraId="6DD2DF08">
      <w:pPr>
        <w:keepNext/>
        <w:keepLines/>
        <w:spacing w:line="440" w:lineRule="exact"/>
        <w:ind w:firstLine="482"/>
        <w:outlineLvl w:val="3"/>
        <w:rPr>
          <w:rFonts w:hint="eastAsia" w:ascii="宋体" w:hAnsi="宋体"/>
          <w:b/>
          <w:bCs/>
          <w:color w:val="auto"/>
          <w:sz w:val="24"/>
          <w:szCs w:val="24"/>
          <w:highlight w:val="none"/>
        </w:rPr>
      </w:pPr>
      <w:bookmarkStart w:id="122" w:name="_Toc20823305"/>
      <w:bookmarkStart w:id="123" w:name="_Toc513029233"/>
      <w:bookmarkStart w:id="124" w:name="_Toc16938549"/>
      <w:r>
        <w:rPr>
          <w:rFonts w:hint="eastAsia" w:ascii="宋体" w:hAnsi="宋体"/>
          <w:b/>
          <w:bCs/>
          <w:color w:val="auto"/>
          <w:sz w:val="24"/>
          <w:szCs w:val="24"/>
          <w:highlight w:val="none"/>
        </w:rPr>
        <w:t>26</w:t>
      </w:r>
      <w:bookmarkEnd w:id="122"/>
      <w:bookmarkEnd w:id="123"/>
      <w:bookmarkEnd w:id="124"/>
      <w:r>
        <w:rPr>
          <w:rFonts w:hint="eastAsia" w:ascii="宋体" w:hAnsi="宋体"/>
          <w:b/>
          <w:bCs/>
          <w:color w:val="auto"/>
          <w:sz w:val="24"/>
          <w:szCs w:val="24"/>
          <w:highlight w:val="none"/>
        </w:rPr>
        <w:t>.对投标文件的初审</w:t>
      </w:r>
    </w:p>
    <w:p w14:paraId="74FB4165">
      <w:pPr>
        <w:spacing w:line="44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26.1</w:t>
      </w:r>
      <w:r>
        <w:rPr>
          <w:rFonts w:hint="eastAsia" w:ascii="宋体" w:hAnsi="宋体"/>
          <w:bCs/>
          <w:color w:val="auto"/>
          <w:sz w:val="24"/>
          <w:szCs w:val="24"/>
          <w:highlight w:val="none"/>
        </w:rPr>
        <w:t>投标文件初审分为资格审查和符合性审查。</w:t>
      </w:r>
    </w:p>
    <w:p w14:paraId="4184097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26.1.1</w:t>
      </w:r>
      <w:r>
        <w:rPr>
          <w:rFonts w:hint="eastAsia" w:ascii="宋体" w:hAnsi="宋体"/>
          <w:bCs/>
          <w:color w:val="auto"/>
          <w:sz w:val="24"/>
          <w:szCs w:val="24"/>
          <w:highlight w:val="none"/>
        </w:rPr>
        <w:t>资格性审查</w:t>
      </w:r>
    </w:p>
    <w:p w14:paraId="6FABCC5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采购人或者采购代理机构依法对投标人的资格进行审查。</w:t>
      </w:r>
    </w:p>
    <w:p w14:paraId="345F6C0A">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w:t>
      </w:r>
      <w:r>
        <w:rPr>
          <w:rFonts w:hint="eastAsia" w:ascii="宋体" w:hAnsi="宋体"/>
          <w:color w:val="auto"/>
          <w:sz w:val="24"/>
          <w:szCs w:val="24"/>
          <w:highlight w:val="none"/>
        </w:rPr>
        <w:t>1.1</w:t>
      </w:r>
      <w:r>
        <w:rPr>
          <w:rFonts w:hint="eastAsia" w:ascii="宋体" w:hAnsi="宋体"/>
          <w:color w:val="auto"/>
          <w:sz w:val="24"/>
          <w:szCs w:val="24"/>
          <w:highlight w:val="none"/>
          <w:lang w:val="zh-CN"/>
        </w:rPr>
        <w:t>关于信用查询：</w:t>
      </w:r>
    </w:p>
    <w:p w14:paraId="1BD7622F">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.1.1.1.1根据政府采购法及相关法规，以及苏州市财政局《关于印发苏州市市级政府采购信用记录查询和使用工作试行办法的通知》（苏财购（2017）11号）文件的规定，将对供应商进行信用查询。</w:t>
      </w:r>
    </w:p>
    <w:p w14:paraId="0E4F0426">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w:t>
      </w:r>
      <w:r>
        <w:rPr>
          <w:rFonts w:hint="eastAsia" w:ascii="宋体" w:hAnsi="宋体"/>
          <w:color w:val="auto"/>
          <w:sz w:val="24"/>
          <w:szCs w:val="24"/>
          <w:highlight w:val="none"/>
        </w:rPr>
        <w:t>1.1.2</w:t>
      </w:r>
      <w:r>
        <w:rPr>
          <w:rFonts w:hint="eastAsia" w:ascii="宋体" w:hAnsi="宋体"/>
          <w:color w:val="auto"/>
          <w:sz w:val="24"/>
          <w:szCs w:val="24"/>
          <w:highlight w:val="none"/>
          <w:lang w:val="zh-CN"/>
        </w:rPr>
        <w:t>查询时间：投标文件递交截止时间。</w:t>
      </w:r>
    </w:p>
    <w:p w14:paraId="5C59A083">
      <w:pPr>
        <w:spacing w:line="440" w:lineRule="exact"/>
        <w:ind w:firstLine="505"/>
        <w:rPr>
          <w:rFonts w:hint="eastAsia" w:ascii="宋体" w:hAnsi="宋体"/>
          <w:color w:val="auto"/>
          <w:sz w:val="24"/>
          <w:szCs w:val="24"/>
          <w:highlight w:val="none"/>
          <w:lang w:val="zh-CN"/>
        </w:rPr>
      </w:pPr>
      <w:r>
        <w:rPr>
          <w:rFonts w:hint="eastAsia" w:ascii="宋体" w:hAnsi="宋体"/>
          <w:color w:val="auto"/>
          <w:sz w:val="24"/>
          <w:szCs w:val="24"/>
          <w:highlight w:val="none"/>
          <w:lang w:val="zh-CN"/>
        </w:rPr>
        <w:t>2</w:t>
      </w:r>
      <w:r>
        <w:rPr>
          <w:rFonts w:hint="eastAsia" w:ascii="宋体" w:hAnsi="宋体"/>
          <w:color w:val="auto"/>
          <w:sz w:val="24"/>
          <w:szCs w:val="24"/>
          <w:highlight w:val="none"/>
        </w:rPr>
        <w:t>6</w:t>
      </w:r>
      <w:r>
        <w:rPr>
          <w:rFonts w:hint="eastAsia" w:ascii="宋体" w:hAnsi="宋体"/>
          <w:color w:val="auto"/>
          <w:sz w:val="24"/>
          <w:szCs w:val="24"/>
          <w:highlight w:val="none"/>
          <w:lang w:val="zh-CN"/>
        </w:rPr>
        <w:t>.1.1.1.</w:t>
      </w:r>
      <w:r>
        <w:rPr>
          <w:rFonts w:hint="eastAsia" w:ascii="宋体" w:hAnsi="宋体"/>
          <w:color w:val="auto"/>
          <w:sz w:val="24"/>
          <w:szCs w:val="24"/>
          <w:highlight w:val="none"/>
        </w:rPr>
        <w:t>3</w:t>
      </w:r>
      <w:r>
        <w:rPr>
          <w:rFonts w:hint="eastAsia" w:ascii="宋体" w:hAnsi="宋体"/>
          <w:color w:val="auto"/>
          <w:sz w:val="24"/>
          <w:szCs w:val="24"/>
          <w:highlight w:val="none"/>
          <w:lang w:val="zh-CN"/>
        </w:rPr>
        <w:t>查询渠道：通过“信用中国”网站等渠道查询相关主体信用记录。</w:t>
      </w:r>
    </w:p>
    <w:p w14:paraId="6F7B263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26.1.2</w:t>
      </w:r>
      <w:r>
        <w:rPr>
          <w:rFonts w:hint="eastAsia" w:ascii="宋体" w:hAnsi="宋体"/>
          <w:bCs/>
          <w:color w:val="auto"/>
          <w:sz w:val="24"/>
          <w:szCs w:val="24"/>
          <w:highlight w:val="none"/>
        </w:rPr>
        <w:t>符合性审查：</w:t>
      </w:r>
    </w:p>
    <w:p w14:paraId="4DA6197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依据招标文件的规定，由评委会对投标文件进行审查，以确定是否对招标文件的实质性要求作出响应。</w:t>
      </w:r>
    </w:p>
    <w:p w14:paraId="39383CA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26.2在详细评标之前，评委会将首先审查每份投标文件是否实质性响应了招标文件的要求。实质性响应的投标应该是与招标文件要求的全部条款、条件和规格相符，没有重大偏离或保留的投标。</w:t>
      </w:r>
    </w:p>
    <w:p w14:paraId="22FADCA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auto"/>
          <w:sz w:val="24"/>
          <w:szCs w:val="24"/>
          <w:highlight w:val="none"/>
        </w:rPr>
        <w:t>评委会决定投标文件的响应性只根据投标文件本身的内容，而不寻求外部的证据。</w:t>
      </w:r>
    </w:p>
    <w:p w14:paraId="070599B1">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26.3</w:t>
      </w:r>
      <w:r>
        <w:rPr>
          <w:rFonts w:hint="eastAsia" w:ascii="宋体" w:hAnsi="宋体"/>
          <w:bCs/>
          <w:color w:val="auto"/>
          <w:sz w:val="24"/>
          <w:szCs w:val="24"/>
          <w:highlight w:val="none"/>
        </w:rPr>
        <w:t>如果投标文件实质上没有响应招标文件的要求，评委会将予以拒绝，投标人不得通过修改或撤销不合要求的偏离或保留而使其投标成为实质性响应的投标。</w:t>
      </w:r>
    </w:p>
    <w:p w14:paraId="4CBEEBAB">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26.4 投标文件报价出现前后不一致的，按下列规定修正：</w:t>
      </w:r>
      <w:r>
        <w:rPr>
          <w:rFonts w:hint="eastAsia" w:ascii="宋体" w:hAnsi="宋体"/>
          <w:bCs/>
          <w:color w:val="auto"/>
          <w:sz w:val="24"/>
          <w:szCs w:val="24"/>
          <w:highlight w:val="none"/>
        </w:rPr>
        <w:t xml:space="preserve"> </w:t>
      </w:r>
    </w:p>
    <w:p w14:paraId="6AFBC53E">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xml:space="preserve">  （1）投标文件中开标一览表（报价表）内容与投标文件中相应内容不一致的，以开标一览表（报价表）为准；</w:t>
      </w:r>
    </w:p>
    <w:p w14:paraId="7C7902F9">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（2）大写金额和小写金额不一致的，以大写金额为准；</w:t>
      </w:r>
    </w:p>
    <w:p w14:paraId="2F941093">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（3）单价金额小数点或者百分比有明显错位的，以开标一览表的总价为准，并修改单价；</w:t>
      </w:r>
    </w:p>
    <w:p w14:paraId="3D5657B2">
      <w:pPr>
        <w:spacing w:line="440" w:lineRule="exact"/>
        <w:jc w:val="left"/>
        <w:rPr>
          <w:rFonts w:hint="eastAsia" w:ascii="宋体" w:hAnsi="宋体"/>
          <w:color w:val="auto"/>
          <w:sz w:val="24"/>
          <w:szCs w:val="24"/>
          <w:highlight w:val="none"/>
        </w:rPr>
      </w:pPr>
      <w:r>
        <w:rPr>
          <w:rFonts w:hint="eastAsia" w:ascii="宋体" w:hAnsi="宋体"/>
          <w:color w:val="auto"/>
          <w:sz w:val="24"/>
          <w:szCs w:val="24"/>
          <w:highlight w:val="none"/>
        </w:rPr>
        <w:t>　　（4）总价金额与按单价汇总金额不一致的，以单价金额计算结果为准。</w:t>
      </w:r>
    </w:p>
    <w:p w14:paraId="16D62A9C">
      <w:pPr>
        <w:spacing w:line="440" w:lineRule="exact"/>
        <w:ind w:firstLine="480"/>
        <w:jc w:val="left"/>
        <w:rPr>
          <w:rFonts w:hint="eastAsia" w:ascii="宋体" w:hAnsi="宋体"/>
          <w:color w:val="auto"/>
          <w:sz w:val="24"/>
          <w:szCs w:val="24"/>
          <w:highlight w:val="none"/>
        </w:rPr>
      </w:pPr>
      <w:r>
        <w:rPr>
          <w:rFonts w:hint="eastAsia" w:ascii="宋体" w:hAnsi="宋体"/>
          <w:color w:val="auto"/>
          <w:sz w:val="24"/>
          <w:szCs w:val="24"/>
          <w:highlight w:val="none"/>
        </w:rPr>
        <w:t>同时出现两种以上不一致的，按照前款规定的顺序修正。修正后的报价按照财政部87号令第五十一条第二款的规定经投标人确认后产生约束力。</w:t>
      </w:r>
    </w:p>
    <w:p w14:paraId="24A6186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26.5评委会将允许修正投标文件中不构成重大偏离的、微小的、非正规的、不一致的或不规则的地方，但这些修改不能影响任何投标人相应的名次排列。</w:t>
      </w:r>
      <w:bookmarkStart w:id="125" w:name="EB8e3ec86c09a94dac9cc9034e6027ee19"/>
      <w:bookmarkEnd w:id="125"/>
    </w:p>
    <w:p w14:paraId="3FE70377">
      <w:pPr>
        <w:pStyle w:val="2"/>
        <w:spacing w:line="440" w:lineRule="exact"/>
        <w:rPr>
          <w:rFonts w:hint="eastAsia"/>
          <w:b/>
          <w:bCs/>
          <w:color w:val="auto"/>
          <w:highlight w:val="none"/>
        </w:rPr>
      </w:pPr>
      <w:r>
        <w:rPr>
          <w:rFonts w:hint="eastAsia"/>
          <w:b/>
          <w:bCs/>
          <w:color w:val="auto"/>
          <w:highlight w:val="none"/>
        </w:rPr>
        <w:t>26.6 异常低价投标审查</w:t>
      </w:r>
    </w:p>
    <w:p w14:paraId="36ABDF54">
      <w:pPr>
        <w:pStyle w:val="2"/>
        <w:spacing w:line="440" w:lineRule="exact"/>
        <w:rPr>
          <w:rFonts w:hint="eastAsia" w:ascii="宋体" w:hAnsi="宋体" w:eastAsia="宋体" w:cs="宋体"/>
          <w:sz w:val="24"/>
          <w:szCs w:val="28"/>
          <w:highlight w:val="none"/>
        </w:rPr>
      </w:pPr>
      <w:bookmarkStart w:id="126" w:name="_Toc16938550"/>
      <w:bookmarkStart w:id="127" w:name="_Toc20823306"/>
      <w:bookmarkStart w:id="128" w:name="_Toc513029234"/>
      <w:r>
        <w:rPr>
          <w:rFonts w:hint="eastAsia"/>
          <w:highlight w:val="none"/>
        </w:rPr>
        <w:t>26.6.1</w:t>
      </w:r>
      <w:r>
        <w:rPr>
          <w:rFonts w:hint="eastAsia" w:ascii="宋体" w:hAnsi="宋体" w:eastAsia="宋体" w:cs="宋体"/>
          <w:sz w:val="24"/>
          <w:szCs w:val="28"/>
          <w:highlight w:val="none"/>
        </w:rPr>
        <w:t>评审过程中出现下列情形之一的，评审委员会应当启动异常低价投标审查程序：</w:t>
      </w:r>
    </w:p>
    <w:p w14:paraId="2C03ED5B">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1.投标（响应）报价低于全部通过符合性审查供应商投标（响应）报价平均50%的，即投标（响应）报价&lt;全部通过符合性审查供应商投标（响应）报价平均值×50%；</w:t>
      </w:r>
    </w:p>
    <w:p w14:paraId="13209F0C">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2.投标（响应）报价低于通过符合性审查的次低报价供应商投标（响应）报价50%的，即投标（响应）报价&lt;通过符合性审查的次低报价供应商投标（响应）报价×50%；</w:t>
      </w:r>
    </w:p>
    <w:p w14:paraId="784691DE">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3.投标（响应）报价低于采购项目最高限价45%的，即投标（响应）报价&lt;采购项目最高限价×45%；</w:t>
      </w:r>
    </w:p>
    <w:p w14:paraId="34DD16C2">
      <w:pPr>
        <w:spacing w:line="360" w:lineRule="auto"/>
        <w:ind w:firstLine="420"/>
        <w:rPr>
          <w:rFonts w:hint="eastAsia" w:ascii="宋体" w:hAnsi="宋体" w:eastAsia="宋体" w:cs="宋体"/>
          <w:sz w:val="24"/>
          <w:szCs w:val="28"/>
        </w:rPr>
      </w:pPr>
      <w:r>
        <w:rPr>
          <w:rFonts w:hint="eastAsia" w:ascii="宋体" w:hAnsi="宋体" w:eastAsia="宋体" w:cs="宋体"/>
          <w:sz w:val="24"/>
          <w:szCs w:val="28"/>
        </w:rPr>
        <w:t>4.评审委员会基于专业判断，认为供应商报价过低，有可能影响产品质量或者不能诚信履约的其他情形。</w:t>
      </w:r>
    </w:p>
    <w:p w14:paraId="070A5E12">
      <w:pPr>
        <w:spacing w:line="360" w:lineRule="auto"/>
        <w:ind w:firstLine="420"/>
        <w:rPr>
          <w:rFonts w:hint="eastAsia" w:ascii="宋体" w:hAnsi="宋体" w:eastAsia="宋体" w:cs="宋体"/>
          <w:color w:val="000000"/>
          <w:sz w:val="24"/>
          <w:szCs w:val="24"/>
        </w:rPr>
      </w:pPr>
      <w:r>
        <w:rPr>
          <w:rFonts w:hint="eastAsia" w:ascii="宋体" w:hAnsi="宋体" w:eastAsia="宋体" w:cs="宋体"/>
          <w:sz w:val="24"/>
          <w:szCs w:val="28"/>
        </w:rPr>
        <w:t>26.6.</w:t>
      </w:r>
      <w:r>
        <w:rPr>
          <w:rFonts w:hint="eastAsia" w:ascii="宋体" w:hAnsi="宋体" w:cs="宋体"/>
          <w:sz w:val="24"/>
          <w:szCs w:val="28"/>
          <w:lang w:val="en-US" w:eastAsia="zh-CN"/>
        </w:rPr>
        <w:t>2</w:t>
      </w:r>
      <w:r>
        <w:rPr>
          <w:rFonts w:hint="eastAsia" w:ascii="宋体" w:hAnsi="宋体" w:eastAsia="宋体" w:cs="宋体"/>
          <w:color w:val="000000"/>
          <w:sz w:val="24"/>
          <w:szCs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2E8A2A4">
      <w:pPr>
        <w:spacing w:line="360" w:lineRule="auto"/>
        <w:ind w:firstLine="420"/>
        <w:rPr>
          <w:rFonts w:hint="eastAsia"/>
          <w:highlight w:val="yellow"/>
        </w:rPr>
      </w:pPr>
      <w:r>
        <w:rPr>
          <w:rFonts w:hint="eastAsia" w:ascii="宋体" w:hAnsi="宋体" w:eastAsia="宋体" w:cs="宋体"/>
          <w:color w:val="000000"/>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F4B9AB">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27</w:t>
      </w:r>
      <w:bookmarkEnd w:id="126"/>
      <w:bookmarkEnd w:id="127"/>
      <w:bookmarkEnd w:id="128"/>
      <w:r>
        <w:rPr>
          <w:rFonts w:hint="eastAsia" w:ascii="宋体" w:hAnsi="宋体"/>
          <w:b/>
          <w:bCs/>
          <w:color w:val="auto"/>
          <w:sz w:val="24"/>
          <w:szCs w:val="24"/>
          <w:highlight w:val="none"/>
        </w:rPr>
        <w:t>.无效投标条款和废标条款</w:t>
      </w:r>
    </w:p>
    <w:p w14:paraId="43B9AF5F">
      <w:pPr>
        <w:pStyle w:val="215"/>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 无效投标条款</w:t>
      </w:r>
    </w:p>
    <w:p w14:paraId="62FFCA68">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 投标人未按照招标文件要求上传电子投标文件的；</w:t>
      </w:r>
    </w:p>
    <w:p w14:paraId="42C2D580">
      <w:pPr>
        <w:pStyle w:val="216"/>
        <w:spacing w:line="440" w:lineRule="exact"/>
        <w:ind w:firstLine="508"/>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27.1.2 投标人在规定时间内不解密投标文件或未成功解密投标文件的（因系统原因导致的除外)；</w:t>
      </w:r>
    </w:p>
    <w:p w14:paraId="7125F81E">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27.1.3 投标文件中没有《开标一览表》或《开标一览表》未加盖投标人公章的； </w:t>
      </w:r>
    </w:p>
    <w:p w14:paraId="058026AC">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27.1.4 投标文件中任何有选择的报价；</w:t>
      </w:r>
    </w:p>
    <w:p w14:paraId="144A0F0E">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27.1.5 投标文件报价出现前后不一致的，按招标文件规定修正后投标人不确认的； </w:t>
      </w:r>
    </w:p>
    <w:p w14:paraId="219161A9">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27.1.6 不同投标人的投标文件由同一单位或者个人编制； </w:t>
      </w:r>
    </w:p>
    <w:p w14:paraId="243DB261">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27.1.7 不同投标人委托同一单位或者个人办理投标事宜； </w:t>
      </w:r>
    </w:p>
    <w:p w14:paraId="0FB1669E">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27.1.8 不同投标人的投标文件制作机器码一致的；</w:t>
      </w:r>
    </w:p>
    <w:p w14:paraId="542273CA">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27.1.9 不同投标人的投标文件载明的项目管理成员或者联系人员为同一人；</w:t>
      </w:r>
    </w:p>
    <w:p w14:paraId="4DE40048">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27.1.10 不同投标人的投标文件异常一致或者投标报价呈规律性差异；</w:t>
      </w:r>
    </w:p>
    <w:p w14:paraId="60FCDB54">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27.1.11 </w:t>
      </w:r>
      <w:r>
        <w:rPr>
          <w:rStyle w:val="199"/>
          <w:rFonts w:hint="eastAsia" w:ascii="宋体" w:hAnsi="宋体"/>
          <w:b/>
          <w:bCs/>
          <w:color w:val="auto"/>
          <w:spacing w:val="7"/>
          <w:sz w:val="24"/>
          <w:szCs w:val="24"/>
          <w:highlight w:val="none"/>
        </w:rPr>
        <w:t>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rPr>
          <w:rStyle w:val="199"/>
          <w:rFonts w:hint="eastAsia" w:ascii="宋体" w:hAnsi="宋体"/>
          <w:color w:val="auto"/>
          <w:spacing w:val="7"/>
          <w:sz w:val="24"/>
          <w:szCs w:val="24"/>
          <w:highlight w:val="none"/>
        </w:rPr>
        <w:t>；</w:t>
      </w:r>
    </w:p>
    <w:p w14:paraId="74B0206E">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27.1.12 凡“节能产品政府采购品目清单”中以★标注的政府强制采购产品，投标文件中未提供国家确定的认证机构出具的、处于有效期之内的节能产品认证证书的（若证书有附件（附录）的，附件（附录）须随证书一起提供)；</w:t>
      </w:r>
    </w:p>
    <w:p w14:paraId="1D48CF25">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27.1.13 供应商被列入失信被执行人名单、重大税收违法案件当事人名单、政府采购严重违法失信行为记录名单以及其他不符合《中华人民共和国政府采购法》第二十二条规定条件的信用记录的；</w:t>
      </w:r>
    </w:p>
    <w:p w14:paraId="5CA813EF">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27.1.14 不同供应商的单位负责人为同一人或者存在直接控股、管理关系的； </w:t>
      </w:r>
    </w:p>
    <w:p w14:paraId="56BA7CE2">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27.1.15 为采购项目提供整体设计、规范编制或者项目管理、监理、检测等服务的；</w:t>
      </w:r>
    </w:p>
    <w:p w14:paraId="2C8A1D3C">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27.1.16 资格证明文件中要求加盖公章而未加盖公章的； </w:t>
      </w:r>
    </w:p>
    <w:p w14:paraId="398F4C89">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27.1.17 投标文件未按招标文件要求签署、盖章的； </w:t>
      </w:r>
    </w:p>
    <w:p w14:paraId="5C73E1F7">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27.1.18 不具备招标文件中规定的资格要求或未按招标文件规定的要求提供资格证明文件的； </w:t>
      </w:r>
    </w:p>
    <w:p w14:paraId="43EBB6F2">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27.1.19 报价超过招标文件中规定的预算金额或者最高限价的； </w:t>
      </w:r>
    </w:p>
    <w:p w14:paraId="2DB99A18">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27.1.20 投标文件含有采购人不能接受的附加条件的； </w:t>
      </w:r>
    </w:p>
    <w:p w14:paraId="78C7FFD9">
      <w:pPr>
        <w:pStyle w:val="216"/>
        <w:spacing w:line="440" w:lineRule="exact"/>
        <w:ind w:firstLine="500"/>
        <w:rPr>
          <w:rStyle w:val="199"/>
          <w:rFonts w:hint="eastAsia" w:ascii="宋体" w:hAnsi="宋体"/>
          <w:b/>
          <w:bCs/>
          <w:color w:val="auto"/>
          <w:spacing w:val="7"/>
          <w:sz w:val="24"/>
          <w:szCs w:val="24"/>
          <w:highlight w:val="none"/>
        </w:rPr>
      </w:pPr>
      <w:r>
        <w:rPr>
          <w:rStyle w:val="199"/>
          <w:rFonts w:hint="eastAsia" w:ascii="宋体" w:hAnsi="宋体"/>
          <w:b/>
          <w:bCs/>
          <w:color w:val="auto"/>
          <w:spacing w:val="7"/>
          <w:sz w:val="24"/>
          <w:szCs w:val="24"/>
          <w:highlight w:val="none"/>
        </w:rPr>
        <w:t>27.1.21 不响应招标文件中规定的实质性要求的（本招标文件中斜体且有下划线部分为实质性要求）；</w:t>
      </w:r>
      <w:r>
        <w:rPr>
          <w:rStyle w:val="199"/>
          <w:rFonts w:hint="eastAsia" w:ascii="宋体" w:hAnsi="宋体"/>
          <w:color w:val="auto"/>
          <w:spacing w:val="7"/>
          <w:sz w:val="24"/>
          <w:szCs w:val="24"/>
          <w:highlight w:val="none"/>
        </w:rPr>
        <w:t xml:space="preserve"> </w:t>
      </w:r>
    </w:p>
    <w:p w14:paraId="5145D590">
      <w:pPr>
        <w:pStyle w:val="216"/>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27.1.22 法律、法规和采购文件规定的其他无效情形; </w:t>
      </w:r>
    </w:p>
    <w:p w14:paraId="42C855D3">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27.2 废标条款：</w:t>
      </w:r>
    </w:p>
    <w:p w14:paraId="57E839F4">
      <w:pPr>
        <w:pStyle w:val="217"/>
        <w:spacing w:line="440" w:lineRule="exact"/>
        <w:ind w:firstLine="508"/>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 xml:space="preserve">(1)符合专业条件的供应商或者对招标文件作实质响应的供应商不足三家的； </w:t>
      </w:r>
    </w:p>
    <w:p w14:paraId="68451169">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(2)出现影响采购公正的违法、违规行为的；</w:t>
      </w:r>
    </w:p>
    <w:p w14:paraId="174367AF">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(3)投标人的报价均超过了采购预算，采购人不能支付的；</w:t>
      </w:r>
    </w:p>
    <w:p w14:paraId="150D08B8">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(4)因重大变故，采购任务取消的。</w:t>
      </w:r>
    </w:p>
    <w:p w14:paraId="3DAD3396">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(5)因苏采云系统系统故障原因造成开标不成功的。</w:t>
      </w:r>
    </w:p>
    <w:p w14:paraId="38275D11">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27.3 投标截止时间结束后参加投标的供应商不足三家的处理：</w:t>
      </w:r>
    </w:p>
    <w:p w14:paraId="20835A72">
      <w:pPr>
        <w:pStyle w:val="217"/>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27.3.1 如出现投标截止时间结束后参加投标的供应商或者在评标期间对招标文件做出实质响应的供应商不足三家情况，按财政部第87号令第四十三条的规定执行。</w:t>
      </w:r>
    </w:p>
    <w:p w14:paraId="2CD33F86">
      <w:pPr>
        <w:pStyle w:val="207"/>
        <w:spacing w:before="0" w:after="0" w:line="440" w:lineRule="exact"/>
        <w:ind w:firstLine="482"/>
        <w:jc w:val="left"/>
        <w:rPr>
          <w:rStyle w:val="208"/>
          <w:rFonts w:hint="eastAsia" w:ascii="宋体" w:hAnsi="宋体"/>
          <w:b w:val="0"/>
          <w:bCs w:val="0"/>
          <w:color w:val="auto"/>
          <w:sz w:val="24"/>
          <w:szCs w:val="24"/>
          <w:highlight w:val="none"/>
        </w:rPr>
      </w:pPr>
      <w:bookmarkStart w:id="129" w:name="_Toc20823307"/>
      <w:bookmarkStart w:id="130" w:name="_Toc513029235"/>
      <w:bookmarkStart w:id="131" w:name="_Toc16938551"/>
      <w:bookmarkStart w:id="132" w:name="_Toc38368125"/>
      <w:bookmarkStart w:id="133" w:name="_Toc35266025"/>
      <w:bookmarkStart w:id="134" w:name="_Toc28184"/>
      <w:bookmarkStart w:id="135" w:name="_Toc54615244"/>
      <w:bookmarkStart w:id="136" w:name="_Toc120614219"/>
      <w:r>
        <w:rPr>
          <w:rStyle w:val="208"/>
          <w:rFonts w:hint="eastAsia" w:ascii="宋体" w:hAnsi="宋体"/>
          <w:b w:val="0"/>
          <w:bCs w:val="0"/>
          <w:color w:val="auto"/>
          <w:sz w:val="24"/>
          <w:szCs w:val="24"/>
          <w:highlight w:val="none"/>
        </w:rPr>
        <w:t>六、</w:t>
      </w:r>
      <w:bookmarkEnd w:id="129"/>
      <w:bookmarkEnd w:id="130"/>
      <w:bookmarkEnd w:id="131"/>
      <w:r>
        <w:rPr>
          <w:rStyle w:val="208"/>
          <w:rFonts w:hint="eastAsia" w:ascii="宋体" w:hAnsi="宋体"/>
          <w:b w:val="0"/>
          <w:bCs w:val="0"/>
          <w:color w:val="auto"/>
          <w:sz w:val="24"/>
          <w:szCs w:val="24"/>
          <w:highlight w:val="none"/>
        </w:rPr>
        <w:t>定标</w:t>
      </w:r>
      <w:bookmarkEnd w:id="132"/>
      <w:bookmarkEnd w:id="133"/>
      <w:bookmarkEnd w:id="134"/>
      <w:bookmarkEnd w:id="135"/>
      <w:bookmarkEnd w:id="136"/>
    </w:p>
    <w:p w14:paraId="4CD68EDD">
      <w:pPr>
        <w:keepNext/>
        <w:keepLines/>
        <w:spacing w:line="440" w:lineRule="exact"/>
        <w:ind w:firstLine="482"/>
        <w:outlineLvl w:val="3"/>
        <w:rPr>
          <w:rFonts w:hint="eastAsia" w:ascii="宋体" w:hAnsi="宋体"/>
          <w:b/>
          <w:bCs/>
          <w:color w:val="auto"/>
          <w:sz w:val="24"/>
          <w:szCs w:val="24"/>
          <w:highlight w:val="none"/>
        </w:rPr>
      </w:pPr>
      <w:bookmarkStart w:id="137" w:name="_Toc513029238"/>
      <w:bookmarkStart w:id="138" w:name="_Toc20823310"/>
      <w:bookmarkStart w:id="139" w:name="_Toc16938554"/>
      <w:r>
        <w:rPr>
          <w:rFonts w:hint="eastAsia" w:ascii="宋体" w:hAnsi="宋体"/>
          <w:b/>
          <w:bCs/>
          <w:color w:val="auto"/>
          <w:sz w:val="24"/>
          <w:szCs w:val="24"/>
          <w:highlight w:val="none"/>
        </w:rPr>
        <w:t>28</w:t>
      </w:r>
      <w:bookmarkEnd w:id="137"/>
      <w:r>
        <w:rPr>
          <w:rFonts w:hint="eastAsia" w:ascii="宋体" w:hAnsi="宋体"/>
          <w:b/>
          <w:bCs/>
          <w:color w:val="auto"/>
          <w:sz w:val="24"/>
          <w:szCs w:val="24"/>
          <w:highlight w:val="none"/>
        </w:rPr>
        <w:t>.确定</w:t>
      </w:r>
      <w:bookmarkEnd w:id="138"/>
      <w:bookmarkEnd w:id="139"/>
      <w:r>
        <w:rPr>
          <w:rFonts w:hint="eastAsia" w:ascii="宋体" w:hAnsi="宋体"/>
          <w:b/>
          <w:bCs/>
          <w:color w:val="auto"/>
          <w:sz w:val="24"/>
          <w:szCs w:val="24"/>
          <w:highlight w:val="none"/>
        </w:rPr>
        <w:t>中标单位</w:t>
      </w:r>
    </w:p>
    <w:p w14:paraId="6D4E4566">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28.1评委会根据本招标文件规定评标办法与评标标准向采购人推荐出1名中标候选人。</w:t>
      </w:r>
    </w:p>
    <w:p w14:paraId="60C0E58E">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28.2采购人应根据评委会推荐的中标候选人确定中标人。</w:t>
      </w:r>
    </w:p>
    <w:p w14:paraId="7491187F">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28.3</w:t>
      </w:r>
      <w:r>
        <w:rPr>
          <w:rFonts w:hint="eastAsia" w:ascii="宋体" w:hAnsi="宋体"/>
          <w:color w:val="auto"/>
          <w:sz w:val="24"/>
          <w:szCs w:val="24"/>
          <w:highlight w:val="none"/>
        </w:rPr>
        <w:t>自中标人确定之日起2个工作日内，中标结果将在省级以上财政部门指定的媒体上进行公告，公告期限为1个工作日。</w:t>
      </w:r>
    </w:p>
    <w:p w14:paraId="0D8A41A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28.4若有充分证据证明，中标人出现下列情况之一的，一经查实，中标无效：</w:t>
      </w:r>
    </w:p>
    <w:p w14:paraId="7E1FA7AC">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（1）提供虚假材料谋取中标的；</w:t>
      </w:r>
    </w:p>
    <w:p w14:paraId="48395B41">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（2）采取不正当手段诋毁、排挤其他供应商的；</w:t>
      </w:r>
    </w:p>
    <w:p w14:paraId="2DF21716">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（3）与采购人、其他供应商或者采购代理机构恶意串通的；</w:t>
      </w:r>
    </w:p>
    <w:p w14:paraId="730A22D0">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（4）向采购人、采购代理机构行贿或者提供其他不正当利益的；</w:t>
      </w:r>
    </w:p>
    <w:p w14:paraId="4657987C">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（5）在招标采购过程中与采购人进行协商谈判的；</w:t>
      </w:r>
    </w:p>
    <w:p w14:paraId="54FC60E6">
      <w:pPr>
        <w:spacing w:line="440" w:lineRule="exact"/>
        <w:ind w:firstLine="480"/>
        <w:rPr>
          <w:rFonts w:hint="eastAsia" w:ascii="宋体" w:hAnsi="宋体"/>
          <w:color w:val="auto"/>
          <w:sz w:val="24"/>
          <w:szCs w:val="24"/>
          <w:highlight w:val="none"/>
          <w:lang w:val="zh-CN"/>
        </w:rPr>
      </w:pPr>
      <w:r>
        <w:rPr>
          <w:rFonts w:hint="eastAsia" w:ascii="宋体" w:hAnsi="宋体"/>
          <w:color w:val="auto"/>
          <w:sz w:val="24"/>
          <w:szCs w:val="24"/>
          <w:highlight w:val="none"/>
          <w:lang w:val="zh-CN"/>
        </w:rPr>
        <w:t>（6）向评标委员会行贿或者提供其他不正当利益。</w:t>
      </w:r>
    </w:p>
    <w:p w14:paraId="1753BB45">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29.质疑</w:t>
      </w:r>
    </w:p>
    <w:p w14:paraId="598FBC4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29.1质疑形式</w:t>
      </w:r>
    </w:p>
    <w:p w14:paraId="53D81E5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公共资源交易中心提出）。非书面形式、七个工作日之外提交的质疑将不予受理。</w:t>
      </w:r>
    </w:p>
    <w:p w14:paraId="3F26549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29.1.2质疑必须按《政府采购法》、《政府采购法实施条例》及财政部94号令的相关规定提交，未按上述要求提交的质疑函</w:t>
      </w:r>
      <w:bookmarkStart w:id="140" w:name="EB0a0bb8d9f8954ef79aa564dbfd72d9f1"/>
      <w:r>
        <w:rPr>
          <w:rFonts w:hint="eastAsia" w:ascii="宋体" w:hAnsi="宋体"/>
          <w:color w:val="auto"/>
          <w:sz w:val="24"/>
          <w:szCs w:val="24"/>
          <w:highlight w:val="none"/>
        </w:rPr>
        <w:t>公共资源交易中心</w:t>
      </w:r>
      <w:bookmarkEnd w:id="140"/>
      <w:r>
        <w:rPr>
          <w:rFonts w:hint="eastAsia" w:ascii="宋体" w:hAnsi="宋体"/>
          <w:color w:val="auto"/>
          <w:sz w:val="24"/>
          <w:szCs w:val="24"/>
          <w:highlight w:val="none"/>
        </w:rPr>
        <w:t>有权不予受理</w:t>
      </w:r>
    </w:p>
    <w:p w14:paraId="3878385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29.1.3质疑函应当包括下列内容：</w:t>
      </w:r>
    </w:p>
    <w:p w14:paraId="66A97AB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29.1.3.1供应商的姓名或者名称、地址、邮编、联系人及联系电话；</w:t>
      </w:r>
    </w:p>
    <w:p w14:paraId="25BD7E2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29.1.3.2质疑项目的名称、编号；</w:t>
      </w:r>
    </w:p>
    <w:p w14:paraId="58B594E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29.1.3.3具体、明确的质疑事项和与质疑事项相关的请求；</w:t>
      </w:r>
    </w:p>
    <w:p w14:paraId="55AEC18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29.1.3.4事实依据；</w:t>
      </w:r>
    </w:p>
    <w:p w14:paraId="3C8ACCC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29.1.3.5必要的法律依据；</w:t>
      </w:r>
    </w:p>
    <w:p w14:paraId="06F6CB5A">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29.1.3.6提出质疑的日期。</w:t>
      </w:r>
    </w:p>
    <w:p w14:paraId="77EDAD4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29.1.4质疑函应当由法定代表人、主要负责人，或者其授权代表签字或者盖章，并加盖公章。匿名提交的质疑将不予受理。</w:t>
      </w:r>
    </w:p>
    <w:p w14:paraId="26E1F10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29.1.5质疑的送达方式</w:t>
      </w:r>
    </w:p>
    <w:p w14:paraId="6D88C12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29.1.5.1质疑函应采用邮寄送达或直接送达的方式递交，采用其他方式送达（含传真、电子邮件等）的，公共资源交易中心有权不予受理。</w:t>
      </w:r>
    </w:p>
    <w:p w14:paraId="4AC7D7A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29.2特别提示</w:t>
      </w:r>
    </w:p>
    <w:p w14:paraId="1F72E91B">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29.2.1根据财政部94号令第十一条规定，提出质疑的供应商应当是参与所质疑项目采购活动的供应商。</w:t>
      </w:r>
      <w:r>
        <w:rPr>
          <w:rFonts w:hint="eastAsia" w:ascii="宋体" w:hAnsi="宋体"/>
          <w:b/>
          <w:bCs/>
          <w:color w:val="auto"/>
          <w:sz w:val="24"/>
          <w:szCs w:val="24"/>
          <w:highlight w:val="none"/>
        </w:rPr>
        <w:t>因此凡是对招标文件提出质疑的供应商，必须是依法获取招标文件，请将合法获取招标文件的证明材料（即《投标供应商确认函》）与质疑函一起递交，否则不予受理。</w:t>
      </w:r>
    </w:p>
    <w:p w14:paraId="32AB97CC">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29.2.2供应商在法定质疑期内应一次性提出针对同一采购程序环节的质疑。</w:t>
      </w:r>
    </w:p>
    <w:p w14:paraId="1C3BE318">
      <w:pPr>
        <w:spacing w:line="440" w:lineRule="exact"/>
        <w:ind w:firstLine="240"/>
        <w:rPr>
          <w:rFonts w:hint="eastAsia" w:ascii="宋体" w:hAnsi="宋体"/>
          <w:color w:val="auto"/>
          <w:sz w:val="24"/>
          <w:szCs w:val="24"/>
          <w:highlight w:val="none"/>
        </w:rPr>
      </w:pPr>
      <w:r>
        <w:rPr>
          <w:rFonts w:hint="eastAsia" w:ascii="宋体" w:hAnsi="宋体"/>
          <w:color w:val="auto"/>
          <w:sz w:val="24"/>
          <w:szCs w:val="24"/>
          <w:highlight w:val="none"/>
        </w:rPr>
        <w:t xml:space="preserve">  29.2.3供应商提出质疑必须有理、有据，不得恶意质疑或提交虚假质疑。否则，一经查实，采购人或</w:t>
      </w:r>
      <w:bookmarkStart w:id="141" w:name="EB099f29e99fec42e0b68e9bb29a0c4ea8"/>
      <w:r>
        <w:rPr>
          <w:rFonts w:hint="eastAsia" w:ascii="宋体" w:hAnsi="宋体"/>
          <w:color w:val="auto"/>
          <w:sz w:val="24"/>
          <w:szCs w:val="24"/>
          <w:highlight w:val="none"/>
        </w:rPr>
        <w:t>公共资源交易中心</w:t>
      </w:r>
      <w:bookmarkEnd w:id="141"/>
      <w:r>
        <w:rPr>
          <w:rFonts w:hint="eastAsia" w:ascii="宋体" w:hAnsi="宋体"/>
          <w:color w:val="auto"/>
          <w:sz w:val="24"/>
          <w:szCs w:val="24"/>
          <w:highlight w:val="none"/>
        </w:rPr>
        <w:t>有权依据政府采购的有关规定，报请政府采购监管部门对该投标人进行相应的行政处罚。</w:t>
      </w:r>
    </w:p>
    <w:p w14:paraId="06C1141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29.3其他</w:t>
      </w:r>
    </w:p>
    <w:p w14:paraId="5B85970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29.3.1采购人或</w:t>
      </w:r>
      <w:bookmarkStart w:id="142" w:name="EB8773124fd4fb4b248e75c3aa7fb3bbda"/>
      <w:r>
        <w:rPr>
          <w:rFonts w:hint="eastAsia" w:ascii="宋体" w:hAnsi="宋体"/>
          <w:color w:val="auto"/>
          <w:sz w:val="24"/>
          <w:szCs w:val="24"/>
          <w:highlight w:val="none"/>
        </w:rPr>
        <w:t>公共资源交易中心</w:t>
      </w:r>
      <w:bookmarkEnd w:id="142"/>
      <w:r>
        <w:rPr>
          <w:rFonts w:hint="eastAsia" w:ascii="宋体" w:hAnsi="宋体"/>
          <w:color w:val="auto"/>
          <w:sz w:val="24"/>
          <w:szCs w:val="24"/>
          <w:highlight w:val="none"/>
        </w:rPr>
        <w:t>将在收到供应商的质疑后七个工作日内作出答复，答复的内容不涉及商业秘密。</w:t>
      </w:r>
    </w:p>
    <w:p w14:paraId="10E2A138">
      <w:pPr>
        <w:keepNext/>
        <w:keepLines/>
        <w:spacing w:line="440" w:lineRule="exact"/>
        <w:ind w:firstLine="482"/>
        <w:outlineLvl w:val="3"/>
        <w:rPr>
          <w:rFonts w:hint="eastAsia" w:ascii="宋体" w:hAnsi="宋体"/>
          <w:b/>
          <w:bCs/>
          <w:color w:val="auto"/>
          <w:sz w:val="24"/>
          <w:szCs w:val="24"/>
          <w:highlight w:val="none"/>
        </w:rPr>
      </w:pPr>
      <w:r>
        <w:rPr>
          <w:rFonts w:hint="eastAsia" w:ascii="宋体" w:hAnsi="宋体"/>
          <w:b/>
          <w:bCs/>
          <w:color w:val="auto"/>
          <w:sz w:val="24"/>
          <w:szCs w:val="24"/>
          <w:highlight w:val="none"/>
        </w:rPr>
        <w:t>30.中标通知书</w:t>
      </w:r>
    </w:p>
    <w:p w14:paraId="0BFB76EF">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30.l在中标结果确定后2个工作日内，</w:t>
      </w:r>
      <w:bookmarkStart w:id="143" w:name="EB74ca8e7cbd0c43048dde3bacda3415fd"/>
      <w:r>
        <w:rPr>
          <w:rFonts w:hint="eastAsia" w:ascii="宋体" w:hAnsi="宋体"/>
          <w:color w:val="auto"/>
          <w:sz w:val="24"/>
          <w:szCs w:val="24"/>
          <w:highlight w:val="none"/>
        </w:rPr>
        <w:t>公共资源交易中心</w:t>
      </w:r>
      <w:bookmarkEnd w:id="143"/>
      <w:r>
        <w:rPr>
          <w:rFonts w:hint="eastAsia" w:ascii="宋体" w:hAnsi="宋体"/>
          <w:color w:val="auto"/>
          <w:sz w:val="24"/>
          <w:szCs w:val="24"/>
          <w:highlight w:val="none"/>
        </w:rPr>
        <w:t>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p>
    <w:p w14:paraId="4A24008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30.2 中标通知书将是合同的一个组成部分。对采购人和中标供应商均具有法律效力。中标通知书发出后，采购人改变中标结果的，或者中标供应商放弃中标项目的，应当依法承担法律责任。</w:t>
      </w:r>
    </w:p>
    <w:p w14:paraId="3C6B81CB">
      <w:pPr>
        <w:spacing w:line="440" w:lineRule="exact"/>
        <w:ind w:firstLine="482"/>
        <w:rPr>
          <w:rFonts w:hint="eastAsia" w:ascii="宋体" w:hAnsi="宋体"/>
          <w:b/>
          <w:color w:val="auto"/>
          <w:sz w:val="24"/>
          <w:szCs w:val="24"/>
          <w:highlight w:val="none"/>
        </w:rPr>
      </w:pPr>
      <w:r>
        <w:rPr>
          <w:rFonts w:hint="eastAsia" w:ascii="宋体" w:hAnsi="宋体"/>
          <w:b/>
          <w:color w:val="auto"/>
          <w:sz w:val="24"/>
          <w:szCs w:val="24"/>
          <w:highlight w:val="none"/>
        </w:rPr>
        <w:t>七、授予合同</w:t>
      </w:r>
    </w:p>
    <w:p w14:paraId="7935A225">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31. 签订合同</w:t>
      </w:r>
    </w:p>
    <w:p w14:paraId="052D8ED0">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31.l</w:t>
      </w:r>
      <w:r>
        <w:rPr>
          <w:rFonts w:hint="eastAsia" w:ascii="宋体" w:hAnsi="宋体"/>
          <w:b/>
          <w:color w:val="auto"/>
          <w:sz w:val="24"/>
          <w:szCs w:val="24"/>
          <w:highlight w:val="none"/>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59F7F129">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31.2 招标文件、中标人的投标文件及招标过程中有关澄清、承诺文件均应作为合同附件。</w:t>
      </w:r>
    </w:p>
    <w:p w14:paraId="2D85C9D5">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31.3 签订合同后，中标人不得将货物及其他相关服务进行转包和分包</w:t>
      </w:r>
      <w:r>
        <w:rPr>
          <w:rFonts w:hint="eastAsia" w:ascii="宋体" w:hAnsi="宋体"/>
          <w:color w:val="auto"/>
          <w:sz w:val="24"/>
          <w:szCs w:val="24"/>
          <w:highlight w:val="none"/>
        </w:rPr>
        <w:t>。</w:t>
      </w:r>
    </w:p>
    <w:p w14:paraId="492CBA6B">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32.履约保证金</w:t>
      </w:r>
    </w:p>
    <w:p w14:paraId="6F65A4C9">
      <w:pPr>
        <w:pStyle w:val="218"/>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32.1合同签订前，中标人向采购单位交付的履约保证金为合同总价款的</w:t>
      </w:r>
      <w:r>
        <w:rPr>
          <w:rStyle w:val="199"/>
          <w:rFonts w:hint="eastAsia" w:ascii="宋体" w:hAnsi="宋体"/>
          <w:color w:val="auto"/>
          <w:spacing w:val="7"/>
          <w:sz w:val="24"/>
          <w:szCs w:val="24"/>
          <w:highlight w:val="none"/>
          <w:lang w:val="en-US"/>
        </w:rPr>
        <w:t>2</w:t>
      </w:r>
      <w:r>
        <w:rPr>
          <w:rStyle w:val="199"/>
          <w:rFonts w:hint="eastAsia" w:ascii="宋体" w:hAnsi="宋体"/>
          <w:color w:val="auto"/>
          <w:spacing w:val="7"/>
          <w:sz w:val="24"/>
          <w:szCs w:val="24"/>
          <w:highlight w:val="none"/>
        </w:rPr>
        <w:t>％。</w:t>
      </w:r>
      <w:bookmarkStart w:id="144" w:name="EB8c6891da72364e93a7598f4884fbe954"/>
      <w:bookmarkEnd w:id="144"/>
      <w:r>
        <w:rPr>
          <w:rStyle w:val="199"/>
          <w:rFonts w:hint="eastAsia" w:ascii="宋体" w:hAnsi="宋体"/>
          <w:color w:val="auto"/>
          <w:spacing w:val="7"/>
          <w:sz w:val="24"/>
          <w:szCs w:val="24"/>
          <w:highlight w:val="none"/>
        </w:rPr>
        <w:t xml:space="preserve"> </w:t>
      </w:r>
    </w:p>
    <w:p w14:paraId="7F00AD99">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32.2履约保证金必须是人民币。</w:t>
      </w:r>
      <w:r>
        <w:rPr>
          <w:rFonts w:hint="eastAsia" w:ascii="宋体" w:hAnsi="宋体"/>
          <w:color w:val="auto"/>
          <w:sz w:val="24"/>
          <w:szCs w:val="24"/>
          <w:highlight w:val="none"/>
        </w:rPr>
        <w:t>履约保证金应当以支票、汇票、本票或者金融机构、担保机构出具的保函等非现金形式提交。</w:t>
      </w:r>
    </w:p>
    <w:p w14:paraId="078EAF9A">
      <w:pPr>
        <w:spacing w:line="440" w:lineRule="exact"/>
        <w:ind w:firstLine="480"/>
        <w:rPr>
          <w:rFonts w:hint="eastAsia" w:ascii="宋体" w:hAnsi="宋体"/>
          <w:bCs/>
          <w:color w:val="auto"/>
          <w:sz w:val="24"/>
          <w:highlight w:val="none"/>
        </w:rPr>
      </w:pPr>
      <w:r>
        <w:rPr>
          <w:rFonts w:hint="eastAsia" w:ascii="宋体" w:hAnsi="宋体"/>
          <w:bCs/>
          <w:color w:val="auto"/>
          <w:sz w:val="24"/>
          <w:highlight w:val="none"/>
        </w:rPr>
        <w:t>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27C25865">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33.货物和服务的追加、添购</w:t>
      </w:r>
    </w:p>
    <w:p w14:paraId="0C9839B1">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33.1政府采购合同履行中，采购人需追加与合同标的相同的货物和服务的，在不改变合同其他条款的前提下，可以与中标人协商签订补充合同，但所有补充合同的采购金额不超过原合同金额10%。</w:t>
      </w:r>
    </w:p>
    <w:p w14:paraId="67AB1C41">
      <w:pPr>
        <w:keepNext/>
        <w:keepLines/>
        <w:spacing w:line="440" w:lineRule="exact"/>
        <w:ind w:firstLine="482"/>
        <w:outlineLvl w:val="3"/>
        <w:rPr>
          <w:rFonts w:hint="eastAsia" w:ascii="宋体" w:hAnsi="宋体"/>
          <w:b/>
          <w:color w:val="auto"/>
          <w:sz w:val="24"/>
          <w:szCs w:val="24"/>
          <w:highlight w:val="none"/>
        </w:rPr>
      </w:pPr>
      <w:r>
        <w:rPr>
          <w:rFonts w:hint="eastAsia" w:ascii="宋体" w:hAnsi="宋体"/>
          <w:b/>
          <w:color w:val="auto"/>
          <w:sz w:val="24"/>
          <w:szCs w:val="24"/>
          <w:highlight w:val="none"/>
        </w:rPr>
        <w:t>34.监督和公证</w:t>
      </w:r>
    </w:p>
    <w:p w14:paraId="468544D7">
      <w:pPr>
        <w:spacing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34.1政府有关监督部门将对投标全过程进行监督。</w:t>
      </w:r>
    </w:p>
    <w:p w14:paraId="388AFAC2">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34.2 招标代理机构的采购过程将通过公证机关进行公证。</w:t>
      </w:r>
    </w:p>
    <w:p w14:paraId="1A072435">
      <w:pPr>
        <w:pStyle w:val="206"/>
        <w:pageBreakBefore/>
        <w:spacing w:line="360" w:lineRule="auto"/>
        <w:rPr>
          <w:rFonts w:hint="eastAsia" w:ascii="宋体" w:hAnsi="宋体" w:eastAsia="宋体"/>
          <w:color w:val="auto"/>
          <w:highlight w:val="none"/>
        </w:rPr>
      </w:pPr>
      <w:bookmarkStart w:id="145" w:name="_Toc38368127"/>
      <w:bookmarkStart w:id="146" w:name="_Toc35266027"/>
      <w:bookmarkStart w:id="147" w:name="_Toc31775"/>
      <w:bookmarkStart w:id="148" w:name="_Toc22460"/>
      <w:bookmarkStart w:id="149" w:name="_Toc12745"/>
      <w:bookmarkStart w:id="150" w:name="_Toc3449"/>
      <w:bookmarkStart w:id="151" w:name="_Toc54615245"/>
      <w:r>
        <w:rPr>
          <w:rFonts w:hint="eastAsia" w:ascii="宋体" w:hAnsi="宋体" w:eastAsia="宋体"/>
          <w:color w:val="auto"/>
          <w:highlight w:val="none"/>
        </w:rPr>
        <w:t>第三章 合同条款及格式</w:t>
      </w:r>
      <w:bookmarkEnd w:id="145"/>
      <w:bookmarkEnd w:id="146"/>
      <w:bookmarkEnd w:id="147"/>
      <w:bookmarkEnd w:id="148"/>
      <w:bookmarkEnd w:id="149"/>
      <w:bookmarkEnd w:id="150"/>
      <w:bookmarkEnd w:id="151"/>
    </w:p>
    <w:p w14:paraId="2276644D">
      <w:pPr>
        <w:pStyle w:val="219"/>
        <w:spacing w:line="440" w:lineRule="exact"/>
        <w:ind w:firstLine="480"/>
        <w:rPr>
          <w:rStyle w:val="199"/>
          <w:rFonts w:hAnsi="宋体" w:eastAsia="Times New Roman"/>
          <w:color w:val="auto"/>
          <w:sz w:val="24"/>
          <w:highlight w:val="none"/>
        </w:rPr>
      </w:pPr>
      <w:r>
        <w:rPr>
          <w:rStyle w:val="199"/>
          <w:rFonts w:hAnsi="宋体" w:eastAsia="Times New Roman"/>
          <w:color w:val="auto"/>
          <w:sz w:val="24"/>
          <w:highlight w:val="none"/>
        </w:rPr>
        <w:t>以下为中标</w:t>
      </w:r>
      <w:r>
        <w:rPr>
          <w:rStyle w:val="199"/>
          <w:rFonts w:hint="eastAsia" w:ascii="宋体" w:hAnsi="宋体"/>
          <w:color w:val="auto"/>
          <w:sz w:val="24"/>
          <w:highlight w:val="none"/>
        </w:rPr>
        <w:t>(</w:t>
      </w:r>
      <w:r>
        <w:rPr>
          <w:rStyle w:val="199"/>
          <w:rFonts w:hAnsi="宋体" w:eastAsia="Times New Roman"/>
          <w:color w:val="auto"/>
          <w:sz w:val="24"/>
          <w:highlight w:val="none"/>
        </w:rPr>
        <w:t>成交</w:t>
      </w:r>
      <w:r>
        <w:rPr>
          <w:rStyle w:val="199"/>
          <w:rFonts w:hint="eastAsia" w:ascii="宋体" w:hAnsi="宋体"/>
          <w:color w:val="auto"/>
          <w:sz w:val="24"/>
          <w:highlight w:val="none"/>
        </w:rPr>
        <w:t>)</w:t>
      </w:r>
      <w:r>
        <w:rPr>
          <w:rStyle w:val="199"/>
          <w:rFonts w:hAnsi="宋体" w:eastAsia="Times New Roman"/>
          <w:color w:val="auto"/>
          <w:sz w:val="24"/>
          <w:highlight w:val="none"/>
        </w:rPr>
        <w:t>后签定本项目合同的通用条款，中标</w:t>
      </w:r>
      <w:r>
        <w:rPr>
          <w:rStyle w:val="199"/>
          <w:rFonts w:hint="eastAsia" w:ascii="宋体" w:hAnsi="宋体"/>
          <w:color w:val="auto"/>
          <w:sz w:val="24"/>
          <w:highlight w:val="none"/>
        </w:rPr>
        <w:t>(</w:t>
      </w:r>
      <w:r>
        <w:rPr>
          <w:rStyle w:val="199"/>
          <w:rFonts w:hAnsi="宋体" w:eastAsia="Times New Roman"/>
          <w:color w:val="auto"/>
          <w:sz w:val="24"/>
          <w:highlight w:val="none"/>
        </w:rPr>
        <w:t>成交</w:t>
      </w:r>
      <w:r>
        <w:rPr>
          <w:rStyle w:val="199"/>
          <w:rFonts w:hint="eastAsia" w:ascii="宋体" w:hAnsi="宋体"/>
          <w:color w:val="auto"/>
          <w:sz w:val="24"/>
          <w:highlight w:val="none"/>
        </w:rPr>
        <w:t>)</w:t>
      </w:r>
      <w:r>
        <w:rPr>
          <w:rStyle w:val="199"/>
          <w:rFonts w:hAnsi="宋体" w:eastAsia="Times New Roman"/>
          <w:color w:val="auto"/>
          <w:sz w:val="24"/>
          <w:highlight w:val="none"/>
        </w:rPr>
        <w:t>供应商不得提出实质性的修改。</w:t>
      </w:r>
    </w:p>
    <w:p w14:paraId="6C08B070">
      <w:pPr>
        <w:pStyle w:val="219"/>
        <w:jc w:val="center"/>
        <w:rPr>
          <w:rStyle w:val="199"/>
          <w:rFonts w:hint="eastAsia"/>
          <w:b/>
          <w:color w:val="auto"/>
          <w:sz w:val="32"/>
          <w:highlight w:val="none"/>
        </w:rPr>
      </w:pPr>
      <w:r>
        <w:rPr>
          <w:rStyle w:val="199"/>
          <w:rFonts w:hint="eastAsia"/>
          <w:b/>
          <w:color w:val="auto"/>
          <w:sz w:val="32"/>
          <w:highlight w:val="none"/>
        </w:rPr>
        <w:t>张家港市政府采购合同</w:t>
      </w:r>
    </w:p>
    <w:p w14:paraId="59068F1C">
      <w:pPr>
        <w:pStyle w:val="219"/>
        <w:spacing w:line="440" w:lineRule="exact"/>
        <w:rPr>
          <w:rStyle w:val="199"/>
          <w:rFonts w:hint="eastAsia" w:ascii="宋体" w:hAnsi="宋体"/>
          <w:color w:val="auto"/>
          <w:sz w:val="24"/>
          <w:highlight w:val="none"/>
        </w:rPr>
      </w:pPr>
      <w:r>
        <w:rPr>
          <w:rStyle w:val="199"/>
          <w:rFonts w:hint="eastAsia" w:ascii="宋体" w:hAnsi="宋体"/>
          <w:color w:val="auto"/>
          <w:sz w:val="24"/>
          <w:highlight w:val="none"/>
        </w:rPr>
        <w:t>项目名称：</w:t>
      </w:r>
      <w:bookmarkStart w:id="152" w:name="biaoduanname_1"/>
      <w:r>
        <w:rPr>
          <w:rStyle w:val="199"/>
          <w:rFonts w:hint="eastAsia" w:ascii="宋体" w:hAnsi="宋体"/>
          <w:color w:val="auto"/>
          <w:sz w:val="24"/>
          <w:highlight w:val="none"/>
        </w:rPr>
        <w:t xml:space="preserve">                   </w:t>
      </w:r>
      <w:bookmarkEnd w:id="152"/>
      <w:r>
        <w:rPr>
          <w:rStyle w:val="199"/>
          <w:rFonts w:hint="eastAsia" w:ascii="宋体" w:hAnsi="宋体"/>
          <w:color w:val="auto"/>
          <w:sz w:val="24"/>
          <w:highlight w:val="none"/>
        </w:rPr>
        <w:t xml:space="preserve">         </w:t>
      </w:r>
    </w:p>
    <w:p w14:paraId="2788D8F4">
      <w:pPr>
        <w:pStyle w:val="219"/>
        <w:spacing w:line="440" w:lineRule="exact"/>
        <w:rPr>
          <w:rStyle w:val="199"/>
          <w:rFonts w:hint="eastAsia" w:ascii="宋体" w:hAnsi="宋体"/>
          <w:color w:val="auto"/>
          <w:sz w:val="24"/>
          <w:highlight w:val="none"/>
        </w:rPr>
      </w:pPr>
      <w:r>
        <w:rPr>
          <w:rStyle w:val="199"/>
          <w:rFonts w:hint="eastAsia" w:ascii="宋体" w:hAnsi="宋体"/>
          <w:color w:val="auto"/>
          <w:sz w:val="24"/>
          <w:highlight w:val="none"/>
        </w:rPr>
        <w:t>项目编号：</w:t>
      </w:r>
      <w:bookmarkStart w:id="153" w:name="projectno"/>
      <w:r>
        <w:rPr>
          <w:rStyle w:val="199"/>
          <w:rFonts w:hint="eastAsia" w:ascii="宋体" w:hAnsi="宋体"/>
          <w:color w:val="auto"/>
          <w:sz w:val="24"/>
          <w:highlight w:val="none"/>
        </w:rPr>
        <w:t xml:space="preserve">                  </w:t>
      </w:r>
      <w:bookmarkEnd w:id="153"/>
    </w:p>
    <w:p w14:paraId="0E29AE76">
      <w:pPr>
        <w:pStyle w:val="219"/>
        <w:spacing w:line="440" w:lineRule="exact"/>
        <w:rPr>
          <w:rStyle w:val="199"/>
          <w:rFonts w:hint="eastAsia" w:ascii="宋体" w:hAnsi="宋体"/>
          <w:color w:val="auto"/>
          <w:sz w:val="24"/>
          <w:highlight w:val="none"/>
        </w:rPr>
      </w:pPr>
      <w:r>
        <w:rPr>
          <w:rStyle w:val="199"/>
          <w:rFonts w:hint="eastAsia" w:ascii="宋体" w:hAnsi="宋体"/>
          <w:color w:val="auto"/>
          <w:sz w:val="24"/>
          <w:highlight w:val="none"/>
        </w:rPr>
        <w:t>甲方：（买方）</w:t>
      </w:r>
      <w:r>
        <w:rPr>
          <w:rStyle w:val="199"/>
          <w:rFonts w:hint="eastAsia" w:ascii="宋体" w:hAnsi="宋体"/>
          <w:color w:val="auto"/>
          <w:sz w:val="24"/>
          <w:highlight w:val="none"/>
          <w:u w:val="single"/>
        </w:rPr>
        <w:t xml:space="preserve"> </w:t>
      </w:r>
      <w:bookmarkStart w:id="154" w:name="jianshedanwei_1"/>
      <w:r>
        <w:rPr>
          <w:rStyle w:val="199"/>
          <w:rFonts w:hint="eastAsia" w:ascii="宋体" w:hAnsi="宋体"/>
          <w:color w:val="auto"/>
          <w:sz w:val="24"/>
          <w:highlight w:val="none"/>
          <w:u w:val="single"/>
        </w:rPr>
        <w:t xml:space="preserve">                  </w:t>
      </w:r>
      <w:bookmarkEnd w:id="154"/>
      <w:r>
        <w:rPr>
          <w:rStyle w:val="199"/>
          <w:rFonts w:hint="eastAsia" w:ascii="宋体" w:hAnsi="宋体"/>
          <w:color w:val="auto"/>
          <w:sz w:val="24"/>
          <w:highlight w:val="none"/>
          <w:u w:val="single"/>
        </w:rPr>
        <w:t xml:space="preserve"> </w:t>
      </w:r>
    </w:p>
    <w:p w14:paraId="05830CDA">
      <w:pPr>
        <w:pStyle w:val="219"/>
        <w:spacing w:line="440" w:lineRule="exact"/>
        <w:rPr>
          <w:rStyle w:val="199"/>
          <w:rFonts w:hint="eastAsia" w:ascii="宋体" w:hAnsi="宋体"/>
          <w:color w:val="auto"/>
          <w:sz w:val="24"/>
          <w:highlight w:val="none"/>
        </w:rPr>
      </w:pPr>
      <w:r>
        <w:rPr>
          <w:rStyle w:val="199"/>
          <w:rFonts w:hint="eastAsia" w:ascii="宋体" w:hAnsi="宋体"/>
          <w:color w:val="auto"/>
          <w:sz w:val="24"/>
          <w:highlight w:val="none"/>
        </w:rPr>
        <w:t>乙方：（卖方）</w:t>
      </w:r>
      <w:r>
        <w:rPr>
          <w:rStyle w:val="199"/>
          <w:rFonts w:hint="eastAsia" w:ascii="宋体" w:hAnsi="宋体"/>
          <w:color w:val="auto"/>
          <w:sz w:val="24"/>
          <w:highlight w:val="none"/>
          <w:u w:val="single"/>
        </w:rPr>
        <w:t xml:space="preserve"> </w:t>
      </w:r>
      <w:bookmarkStart w:id="155" w:name="zhongbiaodanweiname_1"/>
      <w:r>
        <w:rPr>
          <w:rStyle w:val="199"/>
          <w:rFonts w:hint="eastAsia" w:ascii="宋体" w:hAnsi="宋体"/>
          <w:color w:val="auto"/>
          <w:sz w:val="24"/>
          <w:highlight w:val="none"/>
          <w:u w:val="single"/>
        </w:rPr>
        <w:t xml:space="preserve">                    </w:t>
      </w:r>
      <w:bookmarkEnd w:id="155"/>
      <w:r>
        <w:rPr>
          <w:rStyle w:val="199"/>
          <w:rFonts w:hint="eastAsia" w:ascii="宋体" w:hAnsi="宋体"/>
          <w:color w:val="auto"/>
          <w:sz w:val="24"/>
          <w:highlight w:val="none"/>
          <w:u w:val="single"/>
        </w:rPr>
        <w:t xml:space="preserve"> </w:t>
      </w:r>
    </w:p>
    <w:p w14:paraId="2BC1A31C">
      <w:pPr>
        <w:pStyle w:val="219"/>
        <w:spacing w:line="440" w:lineRule="exact"/>
        <w:rPr>
          <w:rFonts w:hint="eastAsia" w:ascii="宋体" w:hAnsi="宋体"/>
          <w:color w:val="auto"/>
          <w:sz w:val="24"/>
          <w:highlight w:val="none"/>
        </w:rPr>
      </w:pPr>
      <w:r>
        <w:rPr>
          <w:rFonts w:hint="eastAsia" w:ascii="宋体" w:hAnsi="宋体"/>
          <w:color w:val="auto"/>
          <w:sz w:val="24"/>
          <w:highlight w:val="none"/>
        </w:rPr>
        <w:t xml:space="preserve">甲、乙双方根据苏州市公共资源交易中心张家港分中心 </w:t>
      </w:r>
      <w:r>
        <w:rPr>
          <w:rFonts w:hint="eastAsia" w:ascii="宋体" w:hAnsi="宋体"/>
          <w:color w:val="auto"/>
          <w:sz w:val="24"/>
          <w:highlight w:val="none"/>
          <w:u w:val="single"/>
        </w:rPr>
        <w:t xml:space="preserve">     </w:t>
      </w:r>
      <w:r>
        <w:rPr>
          <w:rFonts w:hint="eastAsia" w:ascii="宋体" w:hAnsi="宋体"/>
          <w:color w:val="auto"/>
          <w:sz w:val="24"/>
          <w:highlight w:val="none"/>
        </w:rPr>
        <w:t>项目公开招标的结果，签署本合同。</w:t>
      </w:r>
    </w:p>
    <w:p w14:paraId="3BF99912">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一、货物内容</w:t>
      </w:r>
    </w:p>
    <w:tbl>
      <w:tblPr>
        <w:tblStyle w:val="31"/>
        <w:tblW w:w="810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16"/>
        <w:gridCol w:w="2883"/>
        <w:gridCol w:w="2001"/>
      </w:tblGrid>
      <w:tr w14:paraId="5CD480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89" w:hRule="atLeast"/>
        </w:trPr>
        <w:tc>
          <w:tcPr>
            <w:tcW w:w="3216" w:type="dxa"/>
            <w:tcBorders>
              <w:bottom w:val="single" w:color="auto" w:sz="4" w:space="0"/>
              <w:right w:val="single" w:color="auto" w:sz="4" w:space="0"/>
            </w:tcBorders>
            <w:noWrap w:val="0"/>
            <w:vAlign w:val="center"/>
          </w:tcPr>
          <w:p w14:paraId="4EE4EB1B">
            <w:pPr>
              <w:spacing w:before="120" w:after="120"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投标货物名称</w:t>
            </w:r>
          </w:p>
        </w:tc>
        <w:tc>
          <w:tcPr>
            <w:tcW w:w="2883" w:type="dxa"/>
            <w:tcBorders>
              <w:left w:val="single" w:color="auto" w:sz="4" w:space="0"/>
              <w:bottom w:val="single" w:color="auto" w:sz="4" w:space="0"/>
              <w:right w:val="single" w:color="auto" w:sz="4" w:space="0"/>
            </w:tcBorders>
            <w:noWrap w:val="0"/>
            <w:vAlign w:val="center"/>
          </w:tcPr>
          <w:p w14:paraId="1FD538DB">
            <w:pPr>
              <w:spacing w:before="120" w:after="120"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总价（元）</w:t>
            </w:r>
          </w:p>
        </w:tc>
        <w:tc>
          <w:tcPr>
            <w:tcW w:w="2001" w:type="dxa"/>
            <w:tcBorders>
              <w:left w:val="single" w:color="auto" w:sz="4" w:space="0"/>
              <w:bottom w:val="single" w:color="auto" w:sz="4" w:space="0"/>
            </w:tcBorders>
            <w:noWrap w:val="0"/>
            <w:vAlign w:val="center"/>
          </w:tcPr>
          <w:p w14:paraId="5C5141E3">
            <w:pPr>
              <w:spacing w:before="120" w:after="120" w:line="440" w:lineRule="exact"/>
              <w:jc w:val="center"/>
              <w:rPr>
                <w:rFonts w:hint="eastAsia" w:ascii="宋体" w:hAnsi="宋体"/>
                <w:color w:val="auto"/>
                <w:sz w:val="24"/>
                <w:szCs w:val="24"/>
                <w:highlight w:val="none"/>
              </w:rPr>
            </w:pPr>
            <w:r>
              <w:rPr>
                <w:rFonts w:hint="eastAsia" w:ascii="宋体" w:hAnsi="宋体"/>
                <w:color w:val="auto"/>
                <w:sz w:val="24"/>
                <w:szCs w:val="24"/>
                <w:highlight w:val="none"/>
              </w:rPr>
              <w:t>备注</w:t>
            </w:r>
          </w:p>
        </w:tc>
      </w:tr>
      <w:tr w14:paraId="482461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679" w:hRule="atLeast"/>
        </w:trPr>
        <w:tc>
          <w:tcPr>
            <w:tcW w:w="3216" w:type="dxa"/>
            <w:tcBorders>
              <w:top w:val="single" w:color="auto" w:sz="4" w:space="0"/>
              <w:right w:val="single" w:color="auto" w:sz="4" w:space="0"/>
            </w:tcBorders>
            <w:noWrap w:val="0"/>
            <w:vAlign w:val="center"/>
          </w:tcPr>
          <w:p w14:paraId="759B2CDF">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6" w:name="itemname"/>
            <w:r>
              <w:rPr>
                <w:rFonts w:hint="eastAsia" w:ascii="宋体" w:hAnsi="宋体"/>
                <w:color w:val="auto"/>
                <w:sz w:val="24"/>
                <w:szCs w:val="24"/>
                <w:highlight w:val="none"/>
              </w:rPr>
              <w:t xml:space="preserve">      </w:t>
            </w:r>
            <w:bookmarkEnd w:id="156"/>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p>
        </w:tc>
        <w:tc>
          <w:tcPr>
            <w:tcW w:w="2883" w:type="dxa"/>
            <w:tcBorders>
              <w:top w:val="single" w:color="auto" w:sz="4" w:space="0"/>
              <w:left w:val="single" w:color="auto" w:sz="4" w:space="0"/>
              <w:right w:val="single" w:color="auto" w:sz="4" w:space="0"/>
            </w:tcBorders>
            <w:noWrap w:val="0"/>
            <w:vAlign w:val="center"/>
          </w:tcPr>
          <w:p w14:paraId="72C45DE1">
            <w:pPr>
              <w:spacing w:before="120" w:after="120"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w:t>
            </w:r>
            <w:bookmarkStart w:id="157" w:name="zhongbiaopricelow_1"/>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bookmarkEnd w:id="157"/>
            <w:r>
              <w:rPr>
                <w:rFonts w:ascii="宋体" w:hAnsi="宋体"/>
                <w:color w:val="auto"/>
                <w:sz w:val="24"/>
                <w:szCs w:val="24"/>
                <w:highlight w:val="none"/>
              </w:rPr>
              <w:t xml:space="preserve"> </w:t>
            </w:r>
          </w:p>
        </w:tc>
        <w:tc>
          <w:tcPr>
            <w:tcW w:w="2001" w:type="dxa"/>
            <w:tcBorders>
              <w:top w:val="single" w:color="auto" w:sz="4" w:space="0"/>
              <w:left w:val="single" w:color="auto" w:sz="4" w:space="0"/>
            </w:tcBorders>
            <w:noWrap w:val="0"/>
            <w:vAlign w:val="center"/>
          </w:tcPr>
          <w:p w14:paraId="26A7BDE4">
            <w:pPr>
              <w:spacing w:before="120" w:after="120" w:line="440" w:lineRule="exact"/>
              <w:jc w:val="center"/>
              <w:rPr>
                <w:rFonts w:ascii="宋体" w:hAnsi="宋体"/>
                <w:color w:val="auto"/>
                <w:sz w:val="24"/>
                <w:szCs w:val="24"/>
                <w:highlight w:val="none"/>
              </w:rPr>
            </w:pPr>
          </w:p>
        </w:tc>
      </w:tr>
    </w:tbl>
    <w:p w14:paraId="4EA5406B">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二、合同金额</w:t>
      </w:r>
    </w:p>
    <w:p w14:paraId="7E60DDC3">
      <w:pPr>
        <w:pStyle w:val="219"/>
        <w:spacing w:line="440" w:lineRule="exact"/>
        <w:ind w:firstLine="480"/>
        <w:rPr>
          <w:rStyle w:val="199"/>
          <w:rFonts w:hint="eastAsia" w:ascii="宋体" w:hAnsi="宋体"/>
          <w:color w:val="auto"/>
          <w:sz w:val="24"/>
          <w:highlight w:val="none"/>
        </w:rPr>
      </w:pPr>
      <w:r>
        <w:rPr>
          <w:rStyle w:val="199"/>
          <w:rFonts w:hint="eastAsia" w:ascii="宋体" w:hAnsi="宋体"/>
          <w:color w:val="auto"/>
          <w:sz w:val="24"/>
          <w:highlight w:val="none"/>
        </w:rPr>
        <w:t>2.1 本合同金额为（大写）：</w:t>
      </w:r>
      <w:r>
        <w:rPr>
          <w:rStyle w:val="199"/>
          <w:rFonts w:hint="eastAsia" w:ascii="宋体" w:hAnsi="宋体"/>
          <w:color w:val="auto"/>
          <w:sz w:val="24"/>
          <w:highlight w:val="none"/>
          <w:u w:val="single"/>
        </w:rPr>
        <w:t xml:space="preserve"> </w:t>
      </w:r>
      <w:bookmarkStart w:id="158" w:name="zhongbiaopriceup"/>
      <w:r>
        <w:rPr>
          <w:rStyle w:val="199"/>
          <w:rFonts w:hint="eastAsia" w:ascii="宋体" w:hAnsi="宋体"/>
          <w:color w:val="auto"/>
          <w:sz w:val="24"/>
          <w:highlight w:val="none"/>
          <w:u w:val="single"/>
        </w:rPr>
        <w:t xml:space="preserve">             </w:t>
      </w:r>
      <w:bookmarkEnd w:id="158"/>
      <w:r>
        <w:rPr>
          <w:rStyle w:val="199"/>
          <w:rFonts w:hint="eastAsia" w:ascii="宋体" w:hAnsi="宋体"/>
          <w:color w:val="auto"/>
          <w:sz w:val="24"/>
          <w:highlight w:val="none"/>
        </w:rPr>
        <w:t>（</w:t>
      </w:r>
      <w:r>
        <w:rPr>
          <w:rStyle w:val="199"/>
          <w:rFonts w:hint="eastAsia" w:ascii="宋体" w:hAnsi="宋体"/>
          <w:color w:val="auto"/>
          <w:sz w:val="24"/>
          <w:highlight w:val="none"/>
          <w:u w:val="single"/>
        </w:rPr>
        <w:t xml:space="preserve"> </w:t>
      </w:r>
      <w:bookmarkStart w:id="159" w:name="zhongbiaopricelow"/>
      <w:r>
        <w:rPr>
          <w:rStyle w:val="199"/>
          <w:rFonts w:hint="eastAsia" w:ascii="宋体" w:hAnsi="宋体"/>
          <w:color w:val="auto"/>
          <w:sz w:val="24"/>
          <w:highlight w:val="none"/>
          <w:u w:val="single"/>
        </w:rPr>
        <w:t xml:space="preserve">           </w:t>
      </w:r>
      <w:bookmarkEnd w:id="159"/>
      <w:r>
        <w:rPr>
          <w:rStyle w:val="199"/>
          <w:rFonts w:hint="eastAsia" w:ascii="宋体" w:hAnsi="宋体"/>
          <w:color w:val="auto"/>
          <w:sz w:val="24"/>
          <w:highlight w:val="none"/>
          <w:u w:val="single"/>
        </w:rPr>
        <w:t xml:space="preserve"> </w:t>
      </w:r>
      <w:r>
        <w:rPr>
          <w:rStyle w:val="199"/>
          <w:rFonts w:hint="eastAsia" w:ascii="宋体" w:hAnsi="宋体"/>
          <w:color w:val="auto"/>
          <w:sz w:val="24"/>
          <w:highlight w:val="none"/>
        </w:rPr>
        <w:t>元）人民币。</w:t>
      </w:r>
    </w:p>
    <w:p w14:paraId="651C7BB6">
      <w:pPr>
        <w:spacing w:before="120" w:after="120" w:line="440" w:lineRule="exact"/>
        <w:ind w:firstLine="472"/>
        <w:rPr>
          <w:rFonts w:hint="eastAsia" w:ascii="宋体" w:hAnsi="宋体"/>
          <w:color w:val="auto"/>
          <w:sz w:val="24"/>
          <w:szCs w:val="24"/>
          <w:highlight w:val="none"/>
        </w:rPr>
      </w:pPr>
      <w:r>
        <w:rPr>
          <w:rFonts w:hint="eastAsia" w:ascii="宋体" w:hAnsi="宋体"/>
          <w:color w:val="auto"/>
          <w:sz w:val="24"/>
          <w:szCs w:val="24"/>
          <w:highlight w:val="none"/>
        </w:rPr>
        <w:t xml:space="preserve">总价为综合报价，应包括但不限于：货物、配件、附件、备品备件、专用工具、耗品、辅材、包装、运输、装卸、安装、调试、检测、验收、人员培训、售后服务、保修、政策性文件规定及合同包含的所有风险责任的各项费用、技术指导、利润、税金等全部费用。 </w:t>
      </w:r>
    </w:p>
    <w:p w14:paraId="2184758D">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三、技术资料</w:t>
      </w:r>
    </w:p>
    <w:p w14:paraId="23FD6094">
      <w:pPr>
        <w:spacing w:before="120" w:after="120" w:line="440" w:lineRule="exact"/>
        <w:ind w:left="407"/>
        <w:rPr>
          <w:rFonts w:hint="eastAsia" w:ascii="宋体" w:hAnsi="宋体"/>
          <w:color w:val="auto"/>
          <w:sz w:val="24"/>
          <w:szCs w:val="24"/>
          <w:highlight w:val="none"/>
        </w:rPr>
      </w:pPr>
      <w:r>
        <w:rPr>
          <w:rFonts w:hint="eastAsia" w:ascii="宋体" w:hAnsi="宋体"/>
          <w:color w:val="auto"/>
          <w:sz w:val="24"/>
          <w:szCs w:val="24"/>
          <w:highlight w:val="none"/>
        </w:rPr>
        <w:t>3.1乙方应按招标文件规定的时间向甲方提供使用货物的有关技术资料。</w:t>
      </w:r>
    </w:p>
    <w:p w14:paraId="4521C1CE">
      <w:pPr>
        <w:spacing w:before="120" w:after="120" w:line="44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6A212BE6">
      <w:pPr>
        <w:spacing w:before="120" w:after="120" w:line="440" w:lineRule="exact"/>
        <w:ind w:left="409"/>
        <w:rPr>
          <w:rFonts w:hint="eastAsia" w:ascii="宋体" w:hAnsi="宋体"/>
          <w:b/>
          <w:bCs/>
          <w:color w:val="auto"/>
          <w:sz w:val="24"/>
          <w:szCs w:val="24"/>
          <w:highlight w:val="none"/>
        </w:rPr>
      </w:pPr>
      <w:r>
        <w:rPr>
          <w:rFonts w:hint="eastAsia" w:ascii="宋体" w:hAnsi="宋体"/>
          <w:b/>
          <w:bCs/>
          <w:color w:val="auto"/>
          <w:sz w:val="24"/>
          <w:szCs w:val="24"/>
          <w:highlight w:val="none"/>
        </w:rPr>
        <w:t>四、知识产权</w:t>
      </w:r>
    </w:p>
    <w:p w14:paraId="7B46B4FE">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649620EA">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五、产权担保</w:t>
      </w:r>
    </w:p>
    <w:p w14:paraId="29FFB89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5.1 乙方保证所交付的货物的所有权完全属于乙方且无任何抵押、查封等产权瑕疵。</w:t>
      </w:r>
    </w:p>
    <w:p w14:paraId="48E12280">
      <w:pPr>
        <w:pStyle w:val="219"/>
        <w:spacing w:line="440" w:lineRule="exact"/>
        <w:ind w:left="407"/>
        <w:rPr>
          <w:rStyle w:val="199"/>
          <w:rFonts w:hint="eastAsia" w:ascii="宋体" w:hAnsi="宋体"/>
          <w:b/>
          <w:color w:val="auto"/>
          <w:sz w:val="24"/>
          <w:highlight w:val="none"/>
        </w:rPr>
      </w:pPr>
      <w:r>
        <w:rPr>
          <w:rStyle w:val="199"/>
          <w:rFonts w:hint="eastAsia" w:ascii="宋体" w:hAnsi="宋体"/>
          <w:b/>
          <w:color w:val="auto"/>
          <w:sz w:val="24"/>
          <w:highlight w:val="none"/>
        </w:rPr>
        <w:t>六、履约保证金</w:t>
      </w:r>
    </w:p>
    <w:p w14:paraId="581A4040">
      <w:pPr>
        <w:pStyle w:val="219"/>
        <w:spacing w:line="440" w:lineRule="exact"/>
        <w:ind w:firstLine="480"/>
        <w:rPr>
          <w:rStyle w:val="199"/>
          <w:rFonts w:hint="eastAsia" w:ascii="宋体" w:hAnsi="宋体"/>
          <w:color w:val="auto"/>
          <w:sz w:val="24"/>
          <w:highlight w:val="none"/>
        </w:rPr>
      </w:pPr>
      <w:r>
        <w:rPr>
          <w:rStyle w:val="199"/>
          <w:rFonts w:hint="eastAsia" w:ascii="宋体" w:hAnsi="宋体"/>
          <w:color w:val="auto"/>
          <w:sz w:val="24"/>
          <w:highlight w:val="none"/>
        </w:rPr>
        <w:t>6.1合同签订前，乙方向采购单位交纳人民币</w:t>
      </w:r>
      <w:r>
        <w:rPr>
          <w:rStyle w:val="199"/>
          <w:rFonts w:hint="eastAsia" w:ascii="宋体" w:hAnsi="宋体"/>
          <w:color w:val="auto"/>
          <w:sz w:val="24"/>
          <w:highlight w:val="none"/>
          <w:u w:val="single"/>
        </w:rPr>
        <w:t xml:space="preserve"> </w:t>
      </w:r>
      <w:bookmarkStart w:id="160" w:name="lvbzj"/>
      <w:r>
        <w:rPr>
          <w:rStyle w:val="199"/>
          <w:rFonts w:hint="eastAsia" w:ascii="宋体" w:hAnsi="宋体"/>
          <w:color w:val="auto"/>
          <w:sz w:val="24"/>
          <w:highlight w:val="none"/>
          <w:u w:val="single"/>
        </w:rPr>
        <w:t xml:space="preserve">  </w:t>
      </w:r>
      <w:bookmarkEnd w:id="160"/>
      <w:r>
        <w:rPr>
          <w:rStyle w:val="199"/>
          <w:rFonts w:hint="eastAsia" w:ascii="宋体" w:hAnsi="宋体"/>
          <w:color w:val="auto"/>
          <w:sz w:val="24"/>
          <w:highlight w:val="none"/>
          <w:u w:val="single"/>
        </w:rPr>
        <w:t xml:space="preserve"> </w:t>
      </w:r>
      <w:r>
        <w:rPr>
          <w:rStyle w:val="199"/>
          <w:rFonts w:hint="eastAsia" w:ascii="宋体" w:hAnsi="宋体"/>
          <w:color w:val="auto"/>
          <w:sz w:val="24"/>
          <w:highlight w:val="none"/>
        </w:rPr>
        <w:t>元作为本合同的履约保证金。履约保证金应当以支票、汇票、本票或者金融机构、担保机构出具的保函等非现金形式提交。</w:t>
      </w:r>
    </w:p>
    <w:p w14:paraId="11209DD0">
      <w:pPr>
        <w:pStyle w:val="220"/>
        <w:spacing w:line="440" w:lineRule="exact"/>
        <w:rPr>
          <w:rFonts w:hint="eastAsia"/>
          <w:color w:val="auto"/>
          <w:highlight w:val="none"/>
        </w:rPr>
      </w:pPr>
      <w:r>
        <w:rPr>
          <w:rFonts w:hint="eastAsia"/>
          <w:color w:val="auto"/>
          <w:highlight w:val="none"/>
        </w:rPr>
        <w:t>6.2甲方付清全部合同金额的同时返还履约保证金。逾期退还的，应当支付逾</w:t>
      </w:r>
    </w:p>
    <w:p w14:paraId="2600ECAF">
      <w:pPr>
        <w:pStyle w:val="220"/>
        <w:spacing w:line="440" w:lineRule="exact"/>
        <w:rPr>
          <w:rFonts w:hint="eastAsia"/>
          <w:color w:val="auto"/>
          <w:highlight w:val="none"/>
        </w:rPr>
      </w:pPr>
      <w:r>
        <w:rPr>
          <w:rFonts w:hint="eastAsia"/>
          <w:color w:val="auto"/>
          <w:highlight w:val="none"/>
        </w:rPr>
        <w:t>期利息，且逾期利息的利率不得低于合同订立时 1 年期贷款市场报价利率。</w:t>
      </w:r>
    </w:p>
    <w:p w14:paraId="7A03C3DD">
      <w:pPr>
        <w:pStyle w:val="220"/>
        <w:spacing w:line="440" w:lineRule="exact"/>
        <w:rPr>
          <w:rFonts w:hint="eastAsia"/>
          <w:color w:val="auto"/>
          <w:highlight w:val="none"/>
        </w:rPr>
      </w:pPr>
      <w:r>
        <w:rPr>
          <w:rFonts w:hint="eastAsia"/>
          <w:color w:val="auto"/>
          <w:highlight w:val="none"/>
        </w:rPr>
        <w:t>6.3乙方不履行与甲方订立的合同的，履约保证金不予退还。</w:t>
      </w:r>
    </w:p>
    <w:p w14:paraId="1E29903A">
      <w:pPr>
        <w:pStyle w:val="220"/>
        <w:spacing w:line="440" w:lineRule="exact"/>
        <w:rPr>
          <w:rFonts w:hint="eastAsia"/>
          <w:color w:val="auto"/>
          <w:highlight w:val="none"/>
        </w:rPr>
      </w:pPr>
      <w:r>
        <w:rPr>
          <w:rFonts w:hint="eastAsia"/>
          <w:color w:val="auto"/>
          <w:highlight w:val="none"/>
        </w:rPr>
        <w:t>6.4按照《江苏省财政厅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281A4E0">
      <w:pPr>
        <w:pStyle w:val="220"/>
        <w:spacing w:line="440" w:lineRule="exact"/>
        <w:rPr>
          <w:rFonts w:hint="eastAsia"/>
          <w:b/>
          <w:color w:val="auto"/>
          <w:highlight w:val="none"/>
        </w:rPr>
      </w:pPr>
      <w:r>
        <w:rPr>
          <w:rFonts w:hint="eastAsia"/>
          <w:b/>
          <w:color w:val="auto"/>
          <w:highlight w:val="none"/>
        </w:rPr>
        <w:t xml:space="preserve">七、转包或分包 </w:t>
      </w:r>
    </w:p>
    <w:p w14:paraId="12924C20">
      <w:pPr>
        <w:pStyle w:val="220"/>
        <w:spacing w:line="440" w:lineRule="exact"/>
        <w:rPr>
          <w:rFonts w:hint="eastAsia"/>
          <w:color w:val="auto"/>
          <w:highlight w:val="none"/>
        </w:rPr>
      </w:pPr>
      <w:r>
        <w:rPr>
          <w:rFonts w:hint="eastAsia"/>
          <w:color w:val="auto"/>
          <w:highlight w:val="none"/>
        </w:rPr>
        <w:t>7.1 本合同范围的服务，应由乙方直接提供，不得转让他人提供；</w:t>
      </w:r>
    </w:p>
    <w:p w14:paraId="3C0EEB81">
      <w:pPr>
        <w:pStyle w:val="220"/>
        <w:spacing w:line="440" w:lineRule="exact"/>
        <w:rPr>
          <w:rFonts w:hint="eastAsia"/>
          <w:color w:val="auto"/>
          <w:highlight w:val="none"/>
        </w:rPr>
      </w:pPr>
      <w:r>
        <w:rPr>
          <w:rFonts w:hint="eastAsia"/>
          <w:color w:val="auto"/>
          <w:highlight w:val="none"/>
        </w:rPr>
        <w:t>7.2 如有转包和分包行为，甲方有权给予终止合同。</w:t>
      </w:r>
    </w:p>
    <w:p w14:paraId="39C139C9">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八、交货期、交货方式及交货地点</w:t>
      </w:r>
    </w:p>
    <w:p w14:paraId="4A968FC6">
      <w:pPr>
        <w:spacing w:before="120" w:after="120"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8.1 交货期：</w:t>
      </w:r>
      <w:r>
        <w:rPr>
          <w:rFonts w:hint="eastAsia" w:ascii="宋体" w:hAnsi="宋体"/>
          <w:color w:val="auto"/>
          <w:sz w:val="24"/>
          <w:szCs w:val="24"/>
          <w:highlight w:val="none"/>
          <w:u w:val="single"/>
        </w:rPr>
        <w:t xml:space="preserve"> </w:t>
      </w:r>
      <w:bookmarkStart w:id="161" w:name="jiaohuoqi"/>
      <w:r>
        <w:rPr>
          <w:rFonts w:hint="eastAsia" w:ascii="宋体" w:hAnsi="宋体"/>
          <w:color w:val="auto"/>
          <w:sz w:val="24"/>
          <w:szCs w:val="24"/>
          <w:highlight w:val="none"/>
          <w:u w:val="single"/>
        </w:rPr>
        <w:t xml:space="preserve">                    </w:t>
      </w:r>
      <w:bookmarkEnd w:id="161"/>
      <w:r>
        <w:rPr>
          <w:rFonts w:hint="eastAsia" w:ascii="宋体" w:hAnsi="宋体"/>
          <w:color w:val="auto"/>
          <w:sz w:val="24"/>
          <w:szCs w:val="24"/>
          <w:highlight w:val="none"/>
          <w:u w:val="single"/>
        </w:rPr>
        <w:t xml:space="preserve"> </w:t>
      </w:r>
    </w:p>
    <w:p w14:paraId="329E7EFF">
      <w:pPr>
        <w:spacing w:before="120" w:after="120"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8.2 交货方式：</w:t>
      </w:r>
      <w:r>
        <w:rPr>
          <w:rFonts w:hint="eastAsia" w:ascii="宋体" w:hAnsi="宋体"/>
          <w:color w:val="auto"/>
          <w:sz w:val="24"/>
          <w:szCs w:val="24"/>
          <w:highlight w:val="none"/>
          <w:u w:val="single"/>
        </w:rPr>
        <w:t xml:space="preserve"> </w:t>
      </w:r>
      <w:bookmarkStart w:id="162" w:name="jiaohuofangshi"/>
      <w:r>
        <w:rPr>
          <w:rFonts w:hint="eastAsia" w:ascii="宋体" w:hAnsi="宋体"/>
          <w:color w:val="auto"/>
          <w:sz w:val="24"/>
          <w:szCs w:val="24"/>
          <w:highlight w:val="none"/>
          <w:u w:val="single"/>
        </w:rPr>
        <w:t xml:space="preserve">                    </w:t>
      </w:r>
      <w:bookmarkEnd w:id="162"/>
      <w:r>
        <w:rPr>
          <w:rFonts w:hint="eastAsia" w:ascii="宋体" w:hAnsi="宋体"/>
          <w:color w:val="auto"/>
          <w:sz w:val="24"/>
          <w:szCs w:val="24"/>
          <w:highlight w:val="none"/>
          <w:u w:val="single"/>
        </w:rPr>
        <w:t xml:space="preserve"> </w:t>
      </w:r>
    </w:p>
    <w:p w14:paraId="53BCB3F8">
      <w:pPr>
        <w:spacing w:before="120" w:after="120" w:line="44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8.3 交货地点：</w:t>
      </w:r>
      <w:r>
        <w:rPr>
          <w:rFonts w:hint="eastAsia" w:ascii="宋体" w:hAnsi="宋体"/>
          <w:color w:val="auto"/>
          <w:sz w:val="24"/>
          <w:szCs w:val="24"/>
          <w:highlight w:val="none"/>
          <w:u w:val="single"/>
        </w:rPr>
        <w:t xml:space="preserve"> </w:t>
      </w:r>
      <w:bookmarkStart w:id="163" w:name="jiaohuodidian"/>
      <w:r>
        <w:rPr>
          <w:rFonts w:hint="eastAsia" w:ascii="宋体" w:hAnsi="宋体"/>
          <w:color w:val="auto"/>
          <w:sz w:val="24"/>
          <w:szCs w:val="24"/>
          <w:highlight w:val="none"/>
          <w:u w:val="single"/>
        </w:rPr>
        <w:t xml:space="preserve">                   </w:t>
      </w:r>
      <w:bookmarkEnd w:id="163"/>
      <w:r>
        <w:rPr>
          <w:rFonts w:hint="eastAsia" w:ascii="宋体" w:hAnsi="宋体"/>
          <w:color w:val="auto"/>
          <w:sz w:val="24"/>
          <w:szCs w:val="24"/>
          <w:highlight w:val="none"/>
          <w:u w:val="single"/>
        </w:rPr>
        <w:t xml:space="preserve"> </w:t>
      </w:r>
    </w:p>
    <w:p w14:paraId="2401051A">
      <w:pPr>
        <w:pStyle w:val="220"/>
        <w:spacing w:line="440" w:lineRule="exact"/>
        <w:rPr>
          <w:rFonts w:hint="eastAsia"/>
          <w:b/>
          <w:color w:val="auto"/>
          <w:highlight w:val="none"/>
        </w:rPr>
      </w:pPr>
      <w:r>
        <w:rPr>
          <w:rFonts w:hint="eastAsia"/>
          <w:b/>
          <w:color w:val="auto"/>
          <w:highlight w:val="none"/>
        </w:rPr>
        <w:t xml:space="preserve">九、货款支付 </w:t>
      </w:r>
    </w:p>
    <w:p w14:paraId="5302A83A">
      <w:pPr>
        <w:pStyle w:val="220"/>
        <w:spacing w:line="440" w:lineRule="exact"/>
        <w:rPr>
          <w:rFonts w:hint="eastAsia"/>
          <w:color w:val="auto"/>
          <w:highlight w:val="none"/>
        </w:rPr>
      </w:pPr>
      <w:r>
        <w:rPr>
          <w:rFonts w:hint="eastAsia"/>
          <w:color w:val="auto"/>
          <w:highlight w:val="none"/>
        </w:rPr>
        <w:t>9.1 结付程序：</w:t>
      </w:r>
      <w:r>
        <w:rPr>
          <w:rFonts w:hint="eastAsia"/>
          <w:color w:val="auto"/>
          <w:highlight w:val="none"/>
          <w:u w:val="single"/>
        </w:rPr>
        <w:t xml:space="preserve">       </w:t>
      </w:r>
    </w:p>
    <w:p w14:paraId="0F96850B">
      <w:pPr>
        <w:pStyle w:val="220"/>
        <w:spacing w:line="440" w:lineRule="exact"/>
        <w:rPr>
          <w:rFonts w:hint="eastAsia"/>
          <w:color w:val="auto"/>
          <w:highlight w:val="none"/>
        </w:rPr>
      </w:pPr>
      <w:r>
        <w:rPr>
          <w:rFonts w:hint="eastAsia"/>
          <w:color w:val="auto"/>
          <w:highlight w:val="none"/>
        </w:rPr>
        <w:t>9.2 结付期限：</w:t>
      </w:r>
      <w:r>
        <w:rPr>
          <w:rFonts w:hint="eastAsia"/>
          <w:color w:val="auto"/>
          <w:highlight w:val="none"/>
          <w:u w:val="single"/>
        </w:rPr>
        <w:t xml:space="preserve">      </w:t>
      </w:r>
      <w:r>
        <w:rPr>
          <w:rFonts w:hint="eastAsia"/>
          <w:color w:val="auto"/>
          <w:highlight w:val="none"/>
        </w:rPr>
        <w:t xml:space="preserve">  </w:t>
      </w:r>
    </w:p>
    <w:p w14:paraId="7A5F1BE6">
      <w:pPr>
        <w:pStyle w:val="220"/>
        <w:spacing w:line="440" w:lineRule="exact"/>
        <w:rPr>
          <w:rFonts w:hint="eastAsia"/>
          <w:color w:val="auto"/>
          <w:highlight w:val="none"/>
        </w:rPr>
      </w:pPr>
      <w:r>
        <w:rPr>
          <w:rFonts w:hint="eastAsia"/>
          <w:color w:val="auto"/>
          <w:highlight w:val="none"/>
        </w:rPr>
        <w:t>9.3 乙方收款账户：</w:t>
      </w:r>
      <w:r>
        <w:rPr>
          <w:rFonts w:hint="eastAsia"/>
          <w:color w:val="auto"/>
          <w:highlight w:val="none"/>
          <w:u w:val="single"/>
        </w:rPr>
        <w:t xml:space="preserve">      </w:t>
      </w:r>
    </w:p>
    <w:p w14:paraId="56A846C7">
      <w:pPr>
        <w:pStyle w:val="220"/>
        <w:spacing w:line="440" w:lineRule="exact"/>
        <w:rPr>
          <w:rFonts w:hint="eastAsia"/>
          <w:color w:val="auto"/>
          <w:highlight w:val="none"/>
        </w:rPr>
      </w:pPr>
      <w:r>
        <w:rPr>
          <w:rFonts w:hint="eastAsia"/>
          <w:color w:val="auto"/>
          <w:highlight w:val="none"/>
        </w:rPr>
        <w:t>9.4 甲方合同款支付方式：</w:t>
      </w:r>
      <w:r>
        <w:rPr>
          <w:rFonts w:hint="eastAsia"/>
          <w:color w:val="auto"/>
          <w:highlight w:val="none"/>
          <w:u w:val="single"/>
        </w:rPr>
        <w:t xml:space="preserve">         </w:t>
      </w:r>
      <w:r>
        <w:rPr>
          <w:rFonts w:hint="eastAsia"/>
          <w:color w:val="auto"/>
          <w:highlight w:val="none"/>
        </w:rPr>
        <w:t>（若乙方为中小企业，不得强制其接受非现金支付方式）</w:t>
      </w:r>
    </w:p>
    <w:p w14:paraId="6B36BA36">
      <w:pPr>
        <w:pStyle w:val="220"/>
        <w:spacing w:line="440" w:lineRule="exact"/>
        <w:rPr>
          <w:rFonts w:hint="eastAsia"/>
          <w:b/>
          <w:color w:val="auto"/>
          <w:highlight w:val="none"/>
        </w:rPr>
      </w:pPr>
      <w:r>
        <w:rPr>
          <w:rFonts w:hint="eastAsia"/>
          <w:b/>
          <w:color w:val="auto"/>
          <w:highlight w:val="none"/>
        </w:rPr>
        <w:t xml:space="preserve">十、税 </w:t>
      </w:r>
    </w:p>
    <w:p w14:paraId="222A53EF">
      <w:pPr>
        <w:pStyle w:val="220"/>
        <w:spacing w:line="440" w:lineRule="exact"/>
        <w:rPr>
          <w:rFonts w:hint="eastAsia"/>
          <w:color w:val="auto"/>
          <w:highlight w:val="none"/>
        </w:rPr>
      </w:pPr>
      <w:r>
        <w:rPr>
          <w:rFonts w:hint="eastAsia"/>
          <w:color w:val="auto"/>
          <w:highlight w:val="none"/>
        </w:rPr>
        <w:t>10.1 本合同执行中相关的一切税费均由乙方负担。</w:t>
      </w:r>
    </w:p>
    <w:p w14:paraId="36059AD3">
      <w:pPr>
        <w:spacing w:before="120" w:after="120" w:line="440" w:lineRule="exact"/>
        <w:ind w:left="409"/>
        <w:rPr>
          <w:rFonts w:hint="eastAsia" w:ascii="宋体" w:hAnsi="宋体"/>
          <w:b/>
          <w:bCs/>
          <w:color w:val="auto"/>
          <w:sz w:val="24"/>
          <w:szCs w:val="24"/>
          <w:highlight w:val="none"/>
        </w:rPr>
      </w:pPr>
      <w:r>
        <w:rPr>
          <w:rFonts w:hint="eastAsia" w:ascii="宋体" w:hAnsi="宋体"/>
          <w:b/>
          <w:bCs/>
          <w:color w:val="auto"/>
          <w:sz w:val="24"/>
          <w:szCs w:val="24"/>
          <w:highlight w:val="none"/>
        </w:rPr>
        <w:t>十一、质量保证及售后服务</w:t>
      </w:r>
    </w:p>
    <w:p w14:paraId="157EA86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11.1 乙方应按招标文件规定的货物性能、技术要求、质量标准向甲方提供未经使用的全新产品。</w:t>
      </w:r>
    </w:p>
    <w:p w14:paraId="16C2BCC3">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11.2 乙方提供的货物在免费质保期内因货物本身的质量问题发生故障，乙方应负责免费更换。对达不到技术要求者，根据实际情况，经双方协商，可按以下办法处理：</w:t>
      </w:r>
    </w:p>
    <w:p w14:paraId="47CF4E5F">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(1)更换：由乙方承担所发生的全部费用。</w:t>
      </w:r>
    </w:p>
    <w:p w14:paraId="08DBEDFC">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(2)贬值处理：由甲乙双方合议定价。</w:t>
      </w:r>
    </w:p>
    <w:p w14:paraId="4954A44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(3)退货处理：乙方应退还甲方支付的合同款，同时应承担该货物的直接费用（运输、保险、检验、货款利息及银行手续费等）。</w:t>
      </w:r>
    </w:p>
    <w:p w14:paraId="218D8B57">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11.3响应时间：</w:t>
      </w:r>
      <w:r>
        <w:rPr>
          <w:rFonts w:hint="eastAsia" w:ascii="宋体" w:hAnsi="宋体"/>
          <w:color w:val="auto"/>
          <w:sz w:val="24"/>
          <w:szCs w:val="24"/>
          <w:highlight w:val="none"/>
          <w:u w:val="single"/>
        </w:rPr>
        <w:t xml:space="preserve"> </w:t>
      </w:r>
      <w:bookmarkStart w:id="164" w:name="xiangyingdate"/>
      <w:r>
        <w:rPr>
          <w:rFonts w:hint="eastAsia" w:ascii="宋体" w:hAnsi="宋体"/>
          <w:color w:val="auto"/>
          <w:sz w:val="24"/>
          <w:szCs w:val="24"/>
          <w:highlight w:val="none"/>
          <w:u w:val="single"/>
        </w:rPr>
        <w:t xml:space="preserve">           </w:t>
      </w:r>
      <w:bookmarkEnd w:id="164"/>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1518B72E">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11.4 在免费质保期内，乙方应对货物出现的质量及安全问题负责处理解决并承担一切费用。</w:t>
      </w:r>
    </w:p>
    <w:p w14:paraId="263D2F2E">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11.5上述的货物免费质保期为：</w:t>
      </w:r>
      <w:r>
        <w:rPr>
          <w:rFonts w:hint="eastAsia" w:ascii="宋体" w:hAnsi="宋体"/>
          <w:color w:val="auto"/>
          <w:sz w:val="24"/>
          <w:szCs w:val="24"/>
          <w:highlight w:val="none"/>
          <w:u w:val="single"/>
        </w:rPr>
        <w:t xml:space="preserve"> </w:t>
      </w:r>
      <w:bookmarkStart w:id="165" w:name="zhibaoqi"/>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bookmarkEnd w:id="165"/>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2FAA48A3">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十二、调试和验收</w:t>
      </w:r>
    </w:p>
    <w:p w14:paraId="281C31A3">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12.1 甲方对乙方提交的货物依据招标文件上的技术规格要求和国家有关质量标准进行现场初步验收，外观、说明书符合招标文件技术要求的，给予签收，初步验收不合格的不予签收。</w:t>
      </w:r>
      <w:r>
        <w:rPr>
          <w:rFonts w:hint="eastAsia" w:ascii="宋体" w:hAnsi="宋体"/>
          <w:b/>
          <w:color w:val="auto"/>
          <w:sz w:val="24"/>
          <w:szCs w:val="24"/>
          <w:highlight w:val="none"/>
        </w:rPr>
        <w:t>货到后，甲方需在</w:t>
      </w:r>
      <w:r>
        <w:rPr>
          <w:rFonts w:hint="eastAsia" w:ascii="宋体" w:hAnsi="宋体"/>
          <w:b/>
          <w:color w:val="auto"/>
          <w:sz w:val="24"/>
          <w:szCs w:val="24"/>
          <w:highlight w:val="none"/>
          <w:u w:val="single"/>
        </w:rPr>
        <w:t xml:space="preserve"> </w:t>
      </w:r>
      <w:bookmarkStart w:id="166" w:name="wanchengyanshou"/>
      <w:r>
        <w:rPr>
          <w:rFonts w:hint="eastAsia" w:ascii="宋体" w:hAnsi="宋体"/>
          <w:b/>
          <w:color w:val="auto"/>
          <w:sz w:val="24"/>
          <w:szCs w:val="24"/>
          <w:highlight w:val="none"/>
          <w:u w:val="single"/>
        </w:rPr>
        <w:t xml:space="preserve">       </w:t>
      </w:r>
      <w:bookmarkEnd w:id="166"/>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个工作日内完成验收。</w:t>
      </w:r>
    </w:p>
    <w:p w14:paraId="43A201B6">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12.2 乙方交货前应对产品作出全面检查和对验收文件进行整理，并列出清单，作为甲方收货验收和使用的技术条件依据，检验的结果应随货物交甲方。</w:t>
      </w:r>
    </w:p>
    <w:p w14:paraId="1BC36E71">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12.3 甲方对乙方提供的货物在使用前进行调试时，乙方需负责安装并培训甲方的使用操作人员，并协助甲方一起调试，直到符合技术要求，甲方才做最终验收。</w:t>
      </w:r>
    </w:p>
    <w:p w14:paraId="471A0C47">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12.4甲方有权请国家认可的专业检测机构参与初步验收及最终验收，并由其出具质量检测报告。</w:t>
      </w:r>
    </w:p>
    <w:p w14:paraId="1493510A">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12.5 验收时乙方必须在现场，验收完毕后作出验收结果报告；验收费用由甲乙双方协商解决。</w:t>
      </w:r>
    </w:p>
    <w:p w14:paraId="75A2052F">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十三、货物包装、发运及运输</w:t>
      </w:r>
    </w:p>
    <w:p w14:paraId="294B7937">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13.1 乙方应在货物发运前对其进行满足运输距离、防潮、防震、防锈和防破损装卸等要求包装，以保证货物安全运达甲方指定地点。</w:t>
      </w:r>
    </w:p>
    <w:p w14:paraId="15DC7B1E">
      <w:pPr>
        <w:spacing w:before="120" w:after="120" w:line="440" w:lineRule="exact"/>
        <w:ind w:left="479"/>
        <w:rPr>
          <w:rFonts w:hint="eastAsia" w:ascii="宋体" w:hAnsi="宋体"/>
          <w:color w:val="auto"/>
          <w:sz w:val="24"/>
          <w:szCs w:val="24"/>
          <w:highlight w:val="none"/>
        </w:rPr>
      </w:pPr>
      <w:r>
        <w:rPr>
          <w:rFonts w:hint="eastAsia" w:ascii="宋体" w:hAnsi="宋体"/>
          <w:color w:val="auto"/>
          <w:sz w:val="24"/>
          <w:szCs w:val="24"/>
          <w:highlight w:val="none"/>
        </w:rPr>
        <w:t>13.2 使用说明书、质量检验证明书、随配附件和工具以及清单一并附于货物内。</w:t>
      </w:r>
    </w:p>
    <w:p w14:paraId="59045FB3">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13.3 乙方在货物发运手续办理完毕后24小时内或货到甲方48小时前通知甲方，以准备接货。</w:t>
      </w:r>
    </w:p>
    <w:p w14:paraId="70C32379">
      <w:pPr>
        <w:spacing w:before="120" w:after="120" w:line="440" w:lineRule="exact"/>
        <w:ind w:left="479"/>
        <w:rPr>
          <w:rFonts w:hint="eastAsia" w:ascii="宋体" w:hAnsi="宋体"/>
          <w:color w:val="auto"/>
          <w:sz w:val="24"/>
          <w:szCs w:val="24"/>
          <w:highlight w:val="none"/>
        </w:rPr>
      </w:pPr>
      <w:r>
        <w:rPr>
          <w:rFonts w:hint="eastAsia" w:ascii="宋体" w:hAnsi="宋体"/>
          <w:color w:val="auto"/>
          <w:sz w:val="24"/>
          <w:szCs w:val="24"/>
          <w:highlight w:val="none"/>
        </w:rPr>
        <w:t>13.4 货物在交付甲方前发生的风险均由乙方负责。</w:t>
      </w:r>
    </w:p>
    <w:p w14:paraId="003AFF03">
      <w:pPr>
        <w:spacing w:before="120" w:after="120" w:line="440" w:lineRule="exact"/>
        <w:ind w:right="26" w:firstLine="480"/>
        <w:rPr>
          <w:rFonts w:hint="eastAsia" w:ascii="宋体" w:hAnsi="宋体"/>
          <w:color w:val="auto"/>
          <w:sz w:val="24"/>
          <w:szCs w:val="24"/>
          <w:highlight w:val="none"/>
        </w:rPr>
      </w:pPr>
      <w:r>
        <w:rPr>
          <w:rFonts w:hint="eastAsia" w:ascii="宋体" w:hAnsi="宋体"/>
          <w:color w:val="auto"/>
          <w:sz w:val="24"/>
          <w:szCs w:val="24"/>
          <w:highlight w:val="none"/>
        </w:rPr>
        <w:t>13.5 货物在规定的交付期限内由乙方送达甲方指定的地点视为交付，乙方同时需通知甲方货物已送达。</w:t>
      </w:r>
    </w:p>
    <w:p w14:paraId="2F0B32E1">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十四、违约责任</w:t>
      </w:r>
    </w:p>
    <w:p w14:paraId="522FFB2C">
      <w:pPr>
        <w:spacing w:before="120" w:after="120" w:line="440" w:lineRule="exact"/>
        <w:ind w:left="407"/>
        <w:rPr>
          <w:rFonts w:hint="eastAsia" w:ascii="宋体" w:hAnsi="宋体"/>
          <w:color w:val="auto"/>
          <w:sz w:val="24"/>
          <w:szCs w:val="24"/>
          <w:highlight w:val="none"/>
        </w:rPr>
      </w:pPr>
      <w:r>
        <w:rPr>
          <w:rFonts w:hint="eastAsia" w:ascii="宋体" w:hAnsi="宋体"/>
          <w:color w:val="auto"/>
          <w:sz w:val="24"/>
          <w:szCs w:val="24"/>
          <w:highlight w:val="none"/>
        </w:rPr>
        <w:t>14.1 甲方无正当理由拒收货物的，甲方向乙方偿付拒收货款总值的百分之五违约金。</w:t>
      </w:r>
    </w:p>
    <w:p w14:paraId="2EDEC08E">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14.2 甲方逾期办理货款支付的,应当支付逾期利息，且逾期利息的利率不得低于合同订立时1年期贷款市场报价利率。</w:t>
      </w:r>
    </w:p>
    <w:p w14:paraId="12666FD6">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0A3E4C82">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32E63B44">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十五、不可抗力事件处理</w:t>
      </w:r>
    </w:p>
    <w:p w14:paraId="2A5BAF46">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15.1 在合同有效期内，任何一方因不可抗力事件导致不能履行合同，则合同履行期可延长，其延长期与不可抗力影响期相同。</w:t>
      </w:r>
    </w:p>
    <w:p w14:paraId="56278D6D">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15.2 不可抗力事件发生后，应立即通知对方，并寄送有关权威机构出具的证明。</w:t>
      </w:r>
    </w:p>
    <w:p w14:paraId="674A926B">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15.3 不可抗力事件延续120天以上，双方应通过友好协商，确定是否继续履行合同。</w:t>
      </w:r>
    </w:p>
    <w:p w14:paraId="70E7B3AF">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十六、诉讼</w:t>
      </w:r>
    </w:p>
    <w:p w14:paraId="62377A1C">
      <w:pPr>
        <w:spacing w:before="120" w:after="120"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16.1 双方在执行合同中所发生的一切争议，应通过协商解决。如协商不成，可向合同签订地法院起诉，合同签订地在此约定为张家港市。</w:t>
      </w:r>
    </w:p>
    <w:p w14:paraId="6A124EFB">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十七、合同其他文件</w:t>
      </w:r>
    </w:p>
    <w:p w14:paraId="5D0E8DCB">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17.1下列文件为本合同不可分割部份，与本合同具有同等效力。</w:t>
      </w:r>
    </w:p>
    <w:p w14:paraId="66CB2904">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)中标通知书；</w:t>
      </w:r>
    </w:p>
    <w:p w14:paraId="406E1FB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2</w:t>
      </w:r>
      <w:r>
        <w:rPr>
          <w:rFonts w:hint="eastAsia" w:ascii="宋体" w:hAnsi="宋体"/>
          <w:color w:val="auto"/>
          <w:sz w:val="24"/>
          <w:szCs w:val="24"/>
          <w:highlight w:val="none"/>
        </w:rPr>
        <w:t>)供方中标的投标书；</w:t>
      </w:r>
    </w:p>
    <w:p w14:paraId="1A7BB787">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)招标文件；</w:t>
      </w:r>
    </w:p>
    <w:p w14:paraId="189BD151">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w:t>
      </w:r>
      <w:r>
        <w:rPr>
          <w:rFonts w:ascii="宋体" w:hAnsi="宋体"/>
          <w:color w:val="auto"/>
          <w:sz w:val="24"/>
          <w:szCs w:val="24"/>
          <w:highlight w:val="none"/>
        </w:rPr>
        <w:t>4</w:t>
      </w:r>
      <w:r>
        <w:rPr>
          <w:rFonts w:hint="eastAsia" w:ascii="宋体" w:hAnsi="宋体"/>
          <w:color w:val="auto"/>
          <w:sz w:val="24"/>
          <w:szCs w:val="24"/>
          <w:highlight w:val="none"/>
        </w:rPr>
        <w:t>)供方在招投标过程中所作的其他承诺、声明、书面澄清等。</w:t>
      </w:r>
    </w:p>
    <w:p w14:paraId="6F2D9B47">
      <w:pPr>
        <w:spacing w:before="120" w:after="120" w:line="440" w:lineRule="exact"/>
        <w:ind w:firstLine="472"/>
        <w:rPr>
          <w:rFonts w:hint="eastAsia" w:ascii="宋体" w:hAnsi="宋体"/>
          <w:b/>
          <w:bCs/>
          <w:color w:val="auto"/>
          <w:sz w:val="24"/>
          <w:szCs w:val="24"/>
          <w:highlight w:val="none"/>
        </w:rPr>
      </w:pPr>
      <w:r>
        <w:rPr>
          <w:rFonts w:hint="eastAsia" w:ascii="宋体" w:hAnsi="宋体"/>
          <w:b/>
          <w:bCs/>
          <w:color w:val="auto"/>
          <w:sz w:val="24"/>
          <w:szCs w:val="24"/>
          <w:highlight w:val="none"/>
        </w:rPr>
        <w:t>十八、合同生效及其它</w:t>
      </w:r>
    </w:p>
    <w:p w14:paraId="56F0C14E">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18.1合同经双方法定代表人</w:t>
      </w:r>
      <w:r>
        <w:rPr>
          <w:rFonts w:hint="eastAsia" w:ascii="宋体" w:hAnsi="宋体"/>
          <w:bCs/>
          <w:color w:val="auto"/>
          <w:sz w:val="24"/>
          <w:szCs w:val="24"/>
          <w:highlight w:val="none"/>
        </w:rPr>
        <w:t>（或负责人）</w:t>
      </w:r>
      <w:r>
        <w:rPr>
          <w:rFonts w:hint="eastAsia" w:ascii="宋体" w:hAnsi="宋体"/>
          <w:color w:val="auto"/>
          <w:sz w:val="24"/>
          <w:szCs w:val="24"/>
          <w:highlight w:val="none"/>
        </w:rPr>
        <w:t>或授权委托代表人签字并加盖单位公章后生效,生效后至张家港市政府采购管理中心备案。</w:t>
      </w:r>
    </w:p>
    <w:p w14:paraId="39BC295D">
      <w:pPr>
        <w:spacing w:line="44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18.2 本合同未尽事宜，遵照《民法典》合同编有关条文执行。</w:t>
      </w:r>
    </w:p>
    <w:p w14:paraId="49489339">
      <w:pPr>
        <w:pStyle w:val="220"/>
        <w:spacing w:line="440" w:lineRule="exact"/>
        <w:rPr>
          <w:rFonts w:hint="eastAsia"/>
          <w:color w:val="auto"/>
          <w:highlight w:val="none"/>
        </w:rPr>
      </w:pPr>
    </w:p>
    <w:p w14:paraId="12342886">
      <w:pPr>
        <w:pStyle w:val="220"/>
        <w:spacing w:line="440" w:lineRule="exact"/>
        <w:rPr>
          <w:rFonts w:hint="eastAsia"/>
          <w:color w:val="auto"/>
          <w:highlight w:val="none"/>
        </w:rPr>
      </w:pPr>
      <w:r>
        <w:rPr>
          <w:rFonts w:hint="eastAsia"/>
          <w:color w:val="auto"/>
          <w:highlight w:val="none"/>
        </w:rPr>
        <w:t xml:space="preserve">甲方： </w:t>
      </w:r>
    </w:p>
    <w:p w14:paraId="13847ECD">
      <w:pPr>
        <w:pStyle w:val="220"/>
        <w:spacing w:line="440" w:lineRule="exact"/>
        <w:rPr>
          <w:rFonts w:hint="eastAsia"/>
          <w:color w:val="auto"/>
          <w:highlight w:val="none"/>
        </w:rPr>
      </w:pPr>
      <w:r>
        <w:rPr>
          <w:rFonts w:hint="eastAsia"/>
          <w:color w:val="auto"/>
          <w:highlight w:val="none"/>
        </w:rPr>
        <w:t xml:space="preserve">地址： </w:t>
      </w:r>
    </w:p>
    <w:p w14:paraId="28D7B595">
      <w:pPr>
        <w:pStyle w:val="220"/>
        <w:spacing w:line="440" w:lineRule="exact"/>
        <w:rPr>
          <w:rFonts w:hint="eastAsia"/>
          <w:color w:val="auto"/>
          <w:highlight w:val="none"/>
        </w:rPr>
      </w:pPr>
      <w:r>
        <w:rPr>
          <w:rFonts w:hint="eastAsia"/>
          <w:color w:val="auto"/>
          <w:highlight w:val="none"/>
        </w:rPr>
        <w:t xml:space="preserve">法定代表人或授权代表： </w:t>
      </w:r>
    </w:p>
    <w:p w14:paraId="48FBA04F">
      <w:pPr>
        <w:pStyle w:val="220"/>
        <w:spacing w:line="440" w:lineRule="exact"/>
        <w:rPr>
          <w:rFonts w:hint="eastAsia"/>
          <w:color w:val="auto"/>
          <w:highlight w:val="none"/>
        </w:rPr>
      </w:pPr>
      <w:r>
        <w:rPr>
          <w:rFonts w:hint="eastAsia"/>
          <w:color w:val="auto"/>
          <w:highlight w:val="none"/>
        </w:rPr>
        <w:t xml:space="preserve">联系电话： </w:t>
      </w:r>
    </w:p>
    <w:p w14:paraId="33D69AF6">
      <w:pPr>
        <w:pStyle w:val="220"/>
        <w:spacing w:line="440" w:lineRule="exact"/>
        <w:rPr>
          <w:rFonts w:hint="eastAsia"/>
          <w:color w:val="auto"/>
          <w:highlight w:val="none"/>
        </w:rPr>
      </w:pPr>
      <w:r>
        <w:rPr>
          <w:rFonts w:hint="eastAsia"/>
          <w:color w:val="auto"/>
          <w:highlight w:val="none"/>
        </w:rPr>
        <w:t xml:space="preserve">签订日期： 年 月 日 </w:t>
      </w:r>
    </w:p>
    <w:p w14:paraId="397B9450">
      <w:pPr>
        <w:pStyle w:val="220"/>
        <w:spacing w:line="440" w:lineRule="exact"/>
        <w:rPr>
          <w:color w:val="auto"/>
          <w:highlight w:val="none"/>
        </w:rPr>
      </w:pPr>
    </w:p>
    <w:p w14:paraId="5B853AE4">
      <w:pPr>
        <w:pStyle w:val="220"/>
        <w:spacing w:line="440" w:lineRule="exact"/>
        <w:rPr>
          <w:rFonts w:hint="eastAsia"/>
          <w:color w:val="auto"/>
          <w:highlight w:val="none"/>
        </w:rPr>
      </w:pPr>
      <w:r>
        <w:rPr>
          <w:rFonts w:hint="eastAsia"/>
          <w:color w:val="auto"/>
          <w:highlight w:val="none"/>
        </w:rPr>
        <w:t xml:space="preserve">乙方： </w:t>
      </w:r>
    </w:p>
    <w:p w14:paraId="13584CBF">
      <w:pPr>
        <w:pStyle w:val="220"/>
        <w:spacing w:line="440" w:lineRule="exact"/>
        <w:rPr>
          <w:rFonts w:hint="eastAsia"/>
          <w:color w:val="auto"/>
          <w:highlight w:val="none"/>
        </w:rPr>
      </w:pPr>
      <w:r>
        <w:rPr>
          <w:rFonts w:hint="eastAsia"/>
          <w:color w:val="auto"/>
          <w:highlight w:val="none"/>
        </w:rPr>
        <w:t xml:space="preserve">地址： </w:t>
      </w:r>
    </w:p>
    <w:p w14:paraId="3454A4AC">
      <w:pPr>
        <w:pStyle w:val="220"/>
        <w:spacing w:line="440" w:lineRule="exact"/>
        <w:rPr>
          <w:rFonts w:hint="eastAsia"/>
          <w:color w:val="auto"/>
          <w:highlight w:val="none"/>
        </w:rPr>
      </w:pPr>
      <w:r>
        <w:rPr>
          <w:rFonts w:hint="eastAsia"/>
          <w:color w:val="auto"/>
          <w:highlight w:val="none"/>
        </w:rPr>
        <w:t xml:space="preserve">法定代表人（或负责人）或授权代表： </w:t>
      </w:r>
    </w:p>
    <w:p w14:paraId="3511A32A">
      <w:pPr>
        <w:pStyle w:val="220"/>
        <w:spacing w:line="440" w:lineRule="exact"/>
        <w:rPr>
          <w:rFonts w:hint="eastAsia"/>
          <w:color w:val="auto"/>
          <w:highlight w:val="none"/>
        </w:rPr>
      </w:pPr>
      <w:r>
        <w:rPr>
          <w:rFonts w:hint="eastAsia"/>
          <w:color w:val="auto"/>
          <w:highlight w:val="none"/>
        </w:rPr>
        <w:t xml:space="preserve">联系电话： </w:t>
      </w:r>
    </w:p>
    <w:p w14:paraId="2D7D1870">
      <w:pPr>
        <w:pStyle w:val="220"/>
        <w:spacing w:line="440" w:lineRule="exact"/>
        <w:rPr>
          <w:rFonts w:hint="eastAsia"/>
          <w:color w:val="auto"/>
          <w:highlight w:val="none"/>
        </w:rPr>
      </w:pPr>
      <w:r>
        <w:rPr>
          <w:rFonts w:hint="eastAsia"/>
          <w:color w:val="auto"/>
          <w:highlight w:val="none"/>
        </w:rPr>
        <w:t>签订日期： 年 月 日</w:t>
      </w:r>
    </w:p>
    <w:p w14:paraId="1BDE6382">
      <w:pPr>
        <w:pStyle w:val="206"/>
        <w:pageBreakBefore/>
        <w:spacing w:line="360" w:lineRule="auto"/>
        <w:rPr>
          <w:rFonts w:hint="eastAsia" w:ascii="宋体" w:hAnsi="宋体" w:eastAsia="宋体"/>
          <w:color w:val="auto"/>
          <w:highlight w:val="none"/>
        </w:rPr>
      </w:pPr>
      <w:bookmarkStart w:id="167" w:name="_Toc31993"/>
      <w:r>
        <w:rPr>
          <w:rFonts w:hint="eastAsia" w:ascii="宋体" w:hAnsi="宋体" w:eastAsia="宋体"/>
          <w:color w:val="auto"/>
          <w:highlight w:val="none"/>
        </w:rPr>
        <w:t>第四章 项目需求</w:t>
      </w:r>
      <w:bookmarkEnd w:id="167"/>
      <w:bookmarkStart w:id="168" w:name="_Toc319429198"/>
      <w:bookmarkEnd w:id="168"/>
      <w:bookmarkStart w:id="169" w:name="_Toc274321794"/>
      <w:bookmarkEnd w:id="169"/>
    </w:p>
    <w:p w14:paraId="7E9F657F">
      <w:pPr>
        <w:spacing w:line="360" w:lineRule="auto"/>
        <w:outlineLvl w:val="1"/>
        <w:rPr>
          <w:rFonts w:hint="eastAsia" w:ascii="宋体" w:hAnsi="宋体"/>
          <w:b/>
          <w:color w:val="auto"/>
          <w:sz w:val="28"/>
          <w:szCs w:val="28"/>
          <w:highlight w:val="none"/>
        </w:rPr>
      </w:pPr>
      <w:r>
        <w:rPr>
          <w:rFonts w:hint="eastAsia" w:ascii="宋体" w:hAnsi="宋体"/>
          <w:b/>
          <w:color w:val="auto"/>
          <w:sz w:val="28"/>
          <w:szCs w:val="28"/>
          <w:highlight w:val="none"/>
        </w:rPr>
        <w:t>一、清单</w:t>
      </w:r>
    </w:p>
    <w:p w14:paraId="2F05D647">
      <w:pPr>
        <w:spacing w:line="440" w:lineRule="exact"/>
        <w:ind w:firstLine="500"/>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1.清单</w:t>
      </w:r>
    </w:p>
    <w:tbl>
      <w:tblPr>
        <w:tblStyle w:val="31"/>
        <w:tblW w:w="843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11"/>
        <w:gridCol w:w="1984"/>
        <w:gridCol w:w="638"/>
        <w:gridCol w:w="675"/>
        <w:gridCol w:w="2701"/>
        <w:gridCol w:w="874"/>
        <w:gridCol w:w="851"/>
      </w:tblGrid>
      <w:tr w14:paraId="7F617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9EF593B">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序号</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69B0DC0">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项目名称</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06ECF37">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单位</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8CE0FE4">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lang w:val="en-US" w:eastAsia="zh-CN"/>
              </w:rPr>
            </w:pPr>
            <w:r>
              <w:rPr>
                <w:rFonts w:hint="eastAsia" w:ascii="书宋-简" w:hAnsi="书宋-简" w:eastAsia="书宋-简" w:cs="书宋-简"/>
                <w:b/>
                <w:bCs/>
                <w:i w:val="0"/>
                <w:iCs w:val="0"/>
                <w:color w:val="auto"/>
                <w:sz w:val="24"/>
                <w:szCs w:val="24"/>
                <w:highlight w:val="none"/>
                <w:u w:val="none"/>
                <w:lang w:val="en-US" w:eastAsia="zh-CN"/>
              </w:rPr>
              <w:t>数量</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351E80C">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lang w:val="en-US" w:eastAsia="zh-CN"/>
              </w:rPr>
            </w:pPr>
            <w:r>
              <w:rPr>
                <w:rFonts w:hint="eastAsia" w:ascii="宋体" w:hAnsi="宋体" w:eastAsia="宋体" w:cs="宋体"/>
                <w:b/>
                <w:bCs/>
                <w:i w:val="0"/>
                <w:iCs w:val="0"/>
                <w:color w:val="auto"/>
                <w:kern w:val="0"/>
                <w:sz w:val="24"/>
                <w:szCs w:val="24"/>
                <w:u w:val="none"/>
                <w:lang w:val="en-US" w:eastAsia="zh-CN" w:bidi="ar"/>
              </w:rPr>
              <w:t>所属行业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AA061BB">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lang w:val="en-US" w:eastAsia="zh-CN"/>
              </w:rPr>
            </w:pPr>
            <w:r>
              <w:rPr>
                <w:rFonts w:hint="eastAsia" w:ascii="宋体" w:hAnsi="宋体" w:eastAsia="宋体" w:cs="宋体"/>
                <w:b/>
                <w:bCs/>
                <w:i w:val="0"/>
                <w:iCs w:val="0"/>
                <w:color w:val="auto"/>
                <w:kern w:val="0"/>
                <w:sz w:val="24"/>
                <w:szCs w:val="24"/>
                <w:u w:val="none"/>
                <w:lang w:val="en-US" w:eastAsia="zh-CN" w:bidi="ar"/>
              </w:rPr>
              <w:t>标的类型</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F054428">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lang w:val="en-US" w:eastAsia="zh-CN"/>
              </w:rPr>
            </w:pPr>
            <w:r>
              <w:rPr>
                <w:rFonts w:hint="eastAsia" w:ascii="宋体" w:hAnsi="宋体" w:eastAsia="宋体" w:cs="宋体"/>
                <w:b/>
                <w:bCs/>
                <w:i w:val="0"/>
                <w:iCs w:val="0"/>
                <w:color w:val="auto"/>
                <w:kern w:val="0"/>
                <w:sz w:val="24"/>
                <w:szCs w:val="24"/>
                <w:u w:val="none"/>
                <w:lang w:val="en-US" w:eastAsia="zh-CN" w:bidi="ar"/>
              </w:rPr>
              <w:t>标的属性</w:t>
            </w:r>
          </w:p>
        </w:tc>
      </w:tr>
      <w:tr w14:paraId="007F8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18627A3B">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一、交通信号控制系统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27FAA9C">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CBB149">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FCC8480">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9C9AD81">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490807B">
            <w:pPr>
              <w:jc w:val="center"/>
              <w:rPr>
                <w:rFonts w:hint="eastAsia" w:ascii="书宋-简" w:hAnsi="书宋-简" w:eastAsia="书宋-简" w:cs="书宋-简"/>
                <w:i w:val="0"/>
                <w:iCs w:val="0"/>
                <w:color w:val="auto"/>
                <w:sz w:val="24"/>
                <w:szCs w:val="24"/>
                <w:highlight w:val="none"/>
                <w:u w:val="none"/>
              </w:rPr>
            </w:pPr>
          </w:p>
        </w:tc>
      </w:tr>
      <w:tr w14:paraId="7ABDD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050ED34">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391C97">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西二环-杨新公路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3890F3C">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8A96C91">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0B201F3">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60D7A3D">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D1E63B2">
            <w:pPr>
              <w:jc w:val="center"/>
              <w:rPr>
                <w:rFonts w:hint="eastAsia" w:ascii="书宋-简" w:hAnsi="书宋-简" w:eastAsia="书宋-简" w:cs="书宋-简"/>
                <w:i w:val="0"/>
                <w:iCs w:val="0"/>
                <w:color w:val="auto"/>
                <w:sz w:val="24"/>
                <w:szCs w:val="24"/>
                <w:highlight w:val="none"/>
                <w:u w:val="none"/>
              </w:rPr>
            </w:pPr>
          </w:p>
        </w:tc>
      </w:tr>
      <w:tr w14:paraId="4C611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F7CA2A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9B55FF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机动车圆盘信号灯（400mm）</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766FCB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1F40ED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C19551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5A3F2B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E5765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货物类</w:t>
            </w:r>
          </w:p>
        </w:tc>
      </w:tr>
      <w:tr w14:paraId="3E47A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4644C7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8D1C80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机动车箭头信号灯（400mm）</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D53940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9FEC6F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46D7F3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115C7B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42FC48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54D1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49EC4E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F567AF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机动车圆盘信号灯（300mm）</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5EA311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F9677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EA177C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0C85EC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47923A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7CA0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8A73FE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1C1032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机动车箭头信号灯（300mm）</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21294E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95D756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A75614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22B164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F9F08B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AEB0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1DBBF2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987107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非机动车左转信号灯（400mm）</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1BA59B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76CB4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E26B75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C41830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4730EA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D007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35909A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9C5EF8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非机动车信号灯（400mm）</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94B90E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5DBB35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89339D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CF3E2A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B652F3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5F7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2718E6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AF1E61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非机动车左转信号灯（300mm）</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6896CF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18A359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9CA93A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49BF14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804DC3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BA09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FD0D77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52C786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非机动车信号灯（300mm）</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BB138E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E0B29C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93BE1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FA4720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205E2D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74EC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26C760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8D2278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人行信号灯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1245F5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776D4D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218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046A91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C0CDE2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B10E81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413B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269B5F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6432A2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人行信号灯立杆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278498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BED1BE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056200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1D7C16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1AC6A6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41F4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A492FC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8156D0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人行信号灯立杆基础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EB6DDB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84D531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EE75E9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0C9881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EAB25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5DC47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703B04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FA6DFB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单柱式机动车信号灯立杆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E320C4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1A54D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4E40CF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EC5E6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BBF62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F41F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7C2299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FBE5239">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单柱式信号灯立杆基础1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695E21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FA8A46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B358FC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591BE2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B5A8BB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4BF2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5FDC80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15A93C0">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单柱式信号灯立杆基础2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1D2E33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257694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642260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E9092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95CAD5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E2A5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2D4828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6B1A3D7">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机动车信号灯立杆1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5C2ABA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3FEE2A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25CE67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E819C2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C9118C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A84B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66D6F2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9682F60">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机动车信号灯立杆2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E5D4DC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29754A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8794A3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B30C14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F9AB5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0BEC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D36E2A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7816AB6">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机动车信号灯立杆3</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77630D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3E6B3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CBD86C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4B6A24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1BC4C6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B069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40DAD7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915D65B">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机动车信号灯立杆4</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A41D7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0AB721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31F218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C7D8C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20D586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7C86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EC39A8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25D8AE5">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机动车信号灯立杆5</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DFE788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组</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3CE77B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FD8542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80B198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926609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937FE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1FB4BB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5661168">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机动车信号灯立杆基础1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395B9F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C893FE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059B4C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327F7F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B8C819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D48EF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CC7045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3E0704D">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机动车信号灯立杆基础2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3BC76B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CB29F1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E469E0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C2677A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E67E45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CA498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8B4F72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C85E51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信号灯支架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EE5BD6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C07B75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218CCB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0183DD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6493E6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45AE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B2C296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5671164">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控制软电缆1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5C9468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B73D0C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18000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0768C1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288BB4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C45BBC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AFC1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2CF40C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CE3F333">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控制软电缆2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C742F8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4A8941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14125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97EA2F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951D88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B7A920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961A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6811E9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88038F">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控制软电缆3</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92A606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624CC4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4080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0A9956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BEFC7B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2AA94E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EAA09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97EAAC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EFF9F0C">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控制软电缆4</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548C7A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54F993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1090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096635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7B0F2E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5CE21D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3B81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09152A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39480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1492C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BB7FE1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56EDD9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ACA629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0BF77F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1E83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B07259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9DB5CC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609899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D76183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1085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ED122B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C9FF44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C3D02D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12827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9FE6CD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FD4EA6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73DCAC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DCF1F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2170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F84C77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98B4E8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D6FB36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BF8E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3757EB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766C6F8">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电力电缆1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9785B1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A646CB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4050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3886A3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41D421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5DF467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0EA1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B78CD5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923EDB3">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电力电缆2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DCC15D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F3F32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8154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B2F810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B7DADF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371D26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AFA9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F93EA7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A5B3674">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电力电缆3</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C15E2C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FBBD5C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215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E92E8A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EF0BE7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D4C863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216D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763E2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9D8DF3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配电箱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6A1EEE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4A0A32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6AE48F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20A36D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DB37BD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7B38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DDC3EE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D4309B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配电箱基础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0F400C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DE2FC7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52633E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EDF4D9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E18DD3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145C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43D72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D3E8D9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交通信号控制机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37221F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A0CB77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050824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266373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310CE2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37E3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0F86E8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BDBB64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信号机基础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F0E643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8C7E1F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171B81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9CA8AC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9AE48D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2C0F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289969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D52FE4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无线遥控手动装置</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F8D72D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D3686D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B4E052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28B8A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D73BD2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772F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0FFA19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F48C62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行人二次过街指示牌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68F630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A9939C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1670A4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1DDF93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8668D0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F2115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EEA91C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EFD60E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信号灯指示牌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B7DEC4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576BFA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C0098A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FEDB48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4F1513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041F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56B8C6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CE58AB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辅材</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8BBF36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0C39B0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5BCF6D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50ED2A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0E13B9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2111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170AFC7F">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二、高清视频监控系统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74B66C5">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6147215">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4C4287C">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264CA16">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771AB6D">
            <w:pPr>
              <w:jc w:val="center"/>
              <w:rPr>
                <w:rFonts w:hint="eastAsia" w:ascii="书宋-简" w:hAnsi="书宋-简" w:eastAsia="书宋-简" w:cs="书宋-简"/>
                <w:i w:val="0"/>
                <w:iCs w:val="0"/>
                <w:color w:val="auto"/>
                <w:sz w:val="24"/>
                <w:szCs w:val="24"/>
                <w:highlight w:val="none"/>
                <w:u w:val="none"/>
              </w:rPr>
            </w:pPr>
          </w:p>
        </w:tc>
      </w:tr>
      <w:tr w14:paraId="66EBE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55239F6">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2.1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983CB0E">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西二环-杨新公路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26879E9">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E0F7372">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C11B621">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C324A53">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FF3797">
            <w:pPr>
              <w:jc w:val="center"/>
              <w:rPr>
                <w:rFonts w:hint="eastAsia" w:ascii="书宋-简" w:hAnsi="书宋-简" w:eastAsia="书宋-简" w:cs="书宋-简"/>
                <w:i w:val="0"/>
                <w:iCs w:val="0"/>
                <w:color w:val="auto"/>
                <w:sz w:val="24"/>
                <w:szCs w:val="24"/>
                <w:highlight w:val="none"/>
                <w:u w:val="none"/>
              </w:rPr>
            </w:pPr>
          </w:p>
        </w:tc>
      </w:tr>
      <w:tr w14:paraId="1D995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ign w:val="center"/>
          </w:tcPr>
          <w:p w14:paraId="34054AF1">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2.1.1、地面监控</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13EC799">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1A1B6A2">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5CA8D90">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7D49669">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0FE6248">
            <w:pPr>
              <w:jc w:val="center"/>
              <w:rPr>
                <w:rFonts w:hint="eastAsia" w:ascii="书宋-简" w:hAnsi="书宋-简" w:eastAsia="书宋-简" w:cs="书宋-简"/>
                <w:i w:val="0"/>
                <w:iCs w:val="0"/>
                <w:color w:val="auto"/>
                <w:sz w:val="24"/>
                <w:szCs w:val="24"/>
                <w:highlight w:val="none"/>
                <w:u w:val="none"/>
              </w:rPr>
            </w:pPr>
          </w:p>
        </w:tc>
      </w:tr>
      <w:tr w14:paraId="07038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48BCF5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623559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一体化高清球型摄像机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1E67A6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69C468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C110B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C7BA6C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90FC6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2668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75D902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893449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高清枪型摄像机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F340CF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B38D3A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9521F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60D729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4443F9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D1A7F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5FADC9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F6429A3">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6E6460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06D53D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31FE6C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12D28B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D7DAC7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E174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E688F6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64B92BA">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2CA77E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22DC0B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7750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759746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212983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38B26D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6CBB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651749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64956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6FD85A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84195E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F2D881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2011AC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2DB30B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27CD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246103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6F2518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AC0628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DD8D95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7750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552EA3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39518C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2AD99D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F960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C0781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4D7276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128354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7A5019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7AD565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D33394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4E99D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89E0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AC5FC2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C313CC9">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A19BB5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D527C2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6DDD11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8611FD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EF98F5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2F27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AF377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90690C4">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立杆基础1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B374FE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94DB76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2CB8EE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77D934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14F906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5316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6FF8A1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D88069E">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B969F9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80D4AD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4D5AAE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414027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B484A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C424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57DA06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941F9F1">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立杆基础2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08E96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E7749C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41784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0DF92C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C0DF6E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5FB41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04F5BF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8480ED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10B3C6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C780CC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CE9120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598D1B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166CC5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9041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91654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540F29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C58233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6AA9E6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256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DB65B9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5F715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BA21D1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F58E8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E7C315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13455A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8FBDC5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CBAEAF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CA7843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B059C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3BEF3B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F59D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1F551D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21A229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CA42A7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BEC0B0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256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9E34F6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752BA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AC0862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748B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4915FF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C388F1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3C3E14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33EC7D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663EFB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984430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4094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463C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D8C6B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D39AE0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85A4FF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1EA7C6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65E7CE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0A6838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79B2FF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ECE2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3CBBB4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2871E9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486F89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B9FD45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190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96941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54BFA1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2E880F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9855C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805BB9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99159A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辅材</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522D7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A0330B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BBF0DF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8B9D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E5009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3E1E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ign w:val="center"/>
          </w:tcPr>
          <w:p w14:paraId="76C836A7">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2.1.2、高架监控</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1BA0691">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6B274DA">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22989FD">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1CC20F">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C59BCE7">
            <w:pPr>
              <w:jc w:val="center"/>
              <w:rPr>
                <w:rFonts w:hint="eastAsia" w:ascii="书宋-简" w:hAnsi="书宋-简" w:eastAsia="书宋-简" w:cs="书宋-简"/>
                <w:i w:val="0"/>
                <w:iCs w:val="0"/>
                <w:color w:val="auto"/>
                <w:sz w:val="24"/>
                <w:szCs w:val="24"/>
                <w:highlight w:val="none"/>
                <w:u w:val="none"/>
              </w:rPr>
            </w:pPr>
          </w:p>
        </w:tc>
      </w:tr>
      <w:tr w14:paraId="0FB68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01C657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065301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一体化高清球型摄像机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69A736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A00FE0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0344C3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5DEC33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218DC6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3D8A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F895F9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331061E">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1C8C9F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A072FA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470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5C9023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9D9145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9FC683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EA1F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64790D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B355391">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4BEE03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D8AC98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0B2AF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8817D1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5114D6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7A96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305992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7D7A2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4B67E0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CB7DF2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470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4102C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B58482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F3AD03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B936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B4F049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AEA91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FFE865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F96CCA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A1E47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0FBC71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5E2C54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7B31D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79E415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278776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012BD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0C7A2F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EAA392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2264F6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9EE408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008F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EF46A0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2A276B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88182F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D1C3EB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62D1E4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7C249F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A80D62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1FC8F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E78673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99D8D3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DEB054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9F7837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A81105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945193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2AE4B6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7AEF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8832C0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F989D6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ABFD8E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2E0818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51E861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8CB2DA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74F1A7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59F4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B089B4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280E92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4C2E93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DCC78E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FAC412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E0ECC3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1BFAA8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BCA6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3D27FB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775853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辅材</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65BCD7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4F1D04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24BC3C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F7F2F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2B800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16D7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3AE88243">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2.2、公路监控</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5846FDE">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0875436">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719DD2D">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DF03E03">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F078FC6">
            <w:pPr>
              <w:jc w:val="center"/>
              <w:rPr>
                <w:rFonts w:hint="eastAsia" w:ascii="书宋-简" w:hAnsi="书宋-简" w:eastAsia="书宋-简" w:cs="书宋-简"/>
                <w:i w:val="0"/>
                <w:iCs w:val="0"/>
                <w:color w:val="auto"/>
                <w:sz w:val="24"/>
                <w:szCs w:val="24"/>
                <w:highlight w:val="none"/>
                <w:u w:val="none"/>
              </w:rPr>
            </w:pPr>
          </w:p>
        </w:tc>
      </w:tr>
      <w:tr w14:paraId="71272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31383C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E501DE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一体化高清高倍球型摄像机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9BD310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2B3780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58DC2A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4321B6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0138FC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DAFB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A8F78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BEFD3D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防雷器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C38195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9A3F42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E0997B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675D14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95C5C5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B2CF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BBA4CF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1F310A3">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F8DA77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63433D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A76ED4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BEB339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96B59A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EB0E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9D2343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0BCD7C5">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36C58C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02FAE4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3500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1483F1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1C08DD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74E386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84C63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3437D8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4823FF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0959D8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A891DC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D2DA5C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0DAB01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B6B57B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DEDD9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1FCDB1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9101D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45FBF0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0C51DD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45B18C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D9FA5E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4332DE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6426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D55583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96627E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传输网络</w:t>
            </w:r>
            <w:r>
              <w:rPr>
                <w:rFonts w:hint="eastAsia" w:ascii="宋体" w:hAnsi="宋体" w:eastAsia="宋体" w:cs="宋体"/>
                <w:i w:val="0"/>
                <w:iCs w:val="0"/>
                <w:color w:val="auto"/>
                <w:kern w:val="0"/>
                <w:sz w:val="24"/>
                <w:szCs w:val="24"/>
                <w:highlight w:val="none"/>
                <w:u w:val="none"/>
                <w:lang w:val="en-US" w:eastAsia="zh-CN" w:bidi="ar"/>
              </w:rPr>
              <w:t>（租赁）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18D63D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457BA8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D4E9CD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8DC9CD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C9E2A0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7EB2B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C7A6F0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45754D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辅材</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4F18ED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9114DC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42A82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85F4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33828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9B3B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3B016865">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2.3、西二环监控</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AC2AB27">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62313CB">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808CDFC">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777EDC1">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2B0972F">
            <w:pPr>
              <w:jc w:val="center"/>
              <w:rPr>
                <w:rFonts w:hint="eastAsia" w:ascii="书宋-简" w:hAnsi="书宋-简" w:eastAsia="书宋-简" w:cs="书宋-简"/>
                <w:i w:val="0"/>
                <w:iCs w:val="0"/>
                <w:color w:val="auto"/>
                <w:sz w:val="24"/>
                <w:szCs w:val="24"/>
                <w:highlight w:val="none"/>
                <w:u w:val="none"/>
              </w:rPr>
            </w:pPr>
          </w:p>
        </w:tc>
      </w:tr>
      <w:tr w14:paraId="4D179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2503A0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9A3AF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一体化高清高倍球型摄像机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F55688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F8195F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8C71CE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AD2325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964CEB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85410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8835D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CDC041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防雷器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619D36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19C797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74493D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9D89B9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74654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CB2A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E67845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62C945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F1E58B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21BC59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6EEB07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05C77C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3EDC5E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DC17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F78898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1CD1649">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137BAC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C7FF7A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D9E300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894457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33857E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B35C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322538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E52DF2B">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立杆基础2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F36580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8086CF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8079C6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3FE171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C95074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F1B6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9D3BF3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808772B">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4878F0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648317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2895F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3E3A1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0275D0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28A7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3A3CBB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8202B2E">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00331D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33EE01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5500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AFAA89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C7DC77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DF7D03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BE45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E02234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70D0B1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6087BA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EBD57A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5A00CB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8959BB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9BAE63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881E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938EE4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DDA413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F3CC32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296B5E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32378D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0F9B7E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9C1917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4AAE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4C4F39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14F801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940D6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7276B5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6905A8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06BB47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88B585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2B98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EA4ED3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382CBF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7395EB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D0E3F5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0C1CC1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E0C139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D354F4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48A2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52A094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96C6B77">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传输网络</w:t>
            </w:r>
            <w:r>
              <w:rPr>
                <w:rFonts w:hint="eastAsia" w:ascii="宋体" w:hAnsi="宋体" w:eastAsia="宋体" w:cs="宋体"/>
                <w:i w:val="0"/>
                <w:iCs w:val="0"/>
                <w:color w:val="auto"/>
                <w:kern w:val="0"/>
                <w:sz w:val="24"/>
                <w:szCs w:val="24"/>
                <w:highlight w:val="none"/>
                <w:u w:val="none"/>
                <w:lang w:val="en-US" w:eastAsia="zh-CN" w:bidi="ar"/>
              </w:rPr>
              <w:t>（租赁）</w:t>
            </w:r>
            <w:r>
              <w:rPr>
                <w:rFonts w:hint="eastAsia" w:ascii="书宋-简" w:hAnsi="书宋-简" w:eastAsia="书宋-简" w:cs="书宋-简"/>
                <w:i w:val="0"/>
                <w:iCs w:val="0"/>
                <w:color w:val="auto"/>
                <w:kern w:val="0"/>
                <w:sz w:val="24"/>
                <w:szCs w:val="24"/>
                <w:highlight w:val="none"/>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802CD2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DC38D8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A863BA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E14A88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EB6FE3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618F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1D9941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E3BC70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辅材</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30BCB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566686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7ACEF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5ADAC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F247E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EEB5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20CA0DE4">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三、高清电子警察系统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87EF715">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090124">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9D5C3B9">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3AC1E75">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F76DB02">
            <w:pPr>
              <w:jc w:val="center"/>
              <w:rPr>
                <w:rFonts w:hint="eastAsia" w:ascii="书宋-简" w:hAnsi="书宋-简" w:eastAsia="书宋-简" w:cs="书宋-简"/>
                <w:i w:val="0"/>
                <w:iCs w:val="0"/>
                <w:color w:val="auto"/>
                <w:sz w:val="24"/>
                <w:szCs w:val="24"/>
                <w:highlight w:val="none"/>
                <w:u w:val="none"/>
              </w:rPr>
            </w:pPr>
          </w:p>
        </w:tc>
      </w:tr>
      <w:tr w14:paraId="38DFC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9F0E36F">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3.1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207024">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西二环-杨新公路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E59A5A2">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C2CF324">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74F13FD">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978D914">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0185F4B">
            <w:pPr>
              <w:jc w:val="center"/>
              <w:rPr>
                <w:rFonts w:hint="eastAsia" w:ascii="书宋-简" w:hAnsi="书宋-简" w:eastAsia="书宋-简" w:cs="书宋-简"/>
                <w:i w:val="0"/>
                <w:iCs w:val="0"/>
                <w:color w:val="auto"/>
                <w:sz w:val="24"/>
                <w:szCs w:val="24"/>
                <w:highlight w:val="none"/>
                <w:u w:val="none"/>
              </w:rPr>
            </w:pPr>
          </w:p>
        </w:tc>
      </w:tr>
      <w:tr w14:paraId="6F4B9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38B417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42A881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微光高清抓拍单元1（尾牌）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F39081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905647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145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2AA3AA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229C90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9FD94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73C1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1029A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A18129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微光高清抓拍单元（前牌）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4D9FD9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BE4C2C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EBEC5A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7FD6C0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EF2D08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0D7B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951DC0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7823BA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智能补光灯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8B5063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8A3DAD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264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291B03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CE31E0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0D2079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7D55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7EAE9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89E5C9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红灯信号检测器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9E6D13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BD6CE8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643F0D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CEE094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EF4734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2758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23C275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9BBC74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前端存储管理主机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0DB777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75E3A1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36640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6D6774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3177B6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43EF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D91764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2F00A0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工业级交换机1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7EC8C3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1B8348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684566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46C059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4556C2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2694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370704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AC5DE2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智能设备箱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BDBC92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1B102B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0F322E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541FBD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F535FF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2FBC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6319A0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BBBF56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设备箱基础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CAE78C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DF1DA7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791D5D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E3A0AC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AE4DC9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A38B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30322B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7C2158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0694F4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2C583E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68C9FD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190433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2FD8AA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2C1F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6590E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402B1F1">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CBAA10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1D59B5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9906C8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2E7D8D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971090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7B45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947C3F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333BFDB">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F式立杆3</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CDFABD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9CC378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A56071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9DC412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2B8B85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8E1D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4B2A79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E7692F3">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F式立杆4</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4D5439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0C9A86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7AB4F4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F53E96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C631C0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5278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9996AD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E41B999">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F式立杆5</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D5920F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011F27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DFA08A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5CF434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708311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5D593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96745A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891028C">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F式立杆6</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E36192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524BA7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A6DCB8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CAB516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D6826E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BF31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4F938F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AF65D40">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T型立杆1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913E0C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4CE7AE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648B32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424228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6EC229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2C69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59C901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C2E2CFF">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T型立杆2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C393FF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6F51DB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6B117E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8F0CC5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57F8FA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B50A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3812E3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0AAD5B9">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立杆基础1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C9B096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4FD090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66716C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62434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582612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973C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B1DA57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A01819F">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立杆基础3</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1F33AB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EC8327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4A5D1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0DCB0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1AF6CE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E365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0B5C7A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AA4F6FE">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立杆基础4</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14DFCD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035B30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8B7FA7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D6BF6C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F17ADC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24B6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53177A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9E3E31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F式立杆背包箱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03096B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BD6A09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9A44BA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C5E924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20B967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7124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3482B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170602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交通监控设备标志牌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7C940F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F1AA4E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380083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898F22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9C2D64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719F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0BFC29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BEF1CB9">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F7437E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8A77D1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5100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9ED335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8595DD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F07119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B82D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3D8D54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A2C390E">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ABB485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65FCCE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17750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8DD728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791146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83722E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8CF0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C72A9B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B843C8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控制线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6909A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4A3FFE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16240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7D5310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E6DB5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F1499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B7F8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6BE0CA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F6CF72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8AC682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74FC84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5100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F59A5E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645FB9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3BB248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BC1E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2B27F4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47D436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AF60C5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173ECD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17750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422EC7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CAADA2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E0B7D1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86A5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7C861A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1A9F5D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BEDFA0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C25F88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142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3CAC28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A3D6B5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5FE944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8F5F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E93A88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DE8757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13319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4C2A60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568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179F2C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2404D7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407F5A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17CD4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7C26D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996DA0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614D58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1AB795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284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D5CB25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F06751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23E61A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F9703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392423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92878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F71279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7AF1B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568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7BECD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59B7D3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810520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3A8C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2676B1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16A7C5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02BCF4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80D1D6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5F5FD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130BC2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1C4D37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E242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AA847A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65381A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9875D8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1B407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370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A5691F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4BADC5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BBA3B6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41C33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1DF5C9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28207B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ECFAA4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AE6C8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740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508EE5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86471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67394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456B2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48E30E93">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四、交通信息采集系统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B124EF4">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3CE36EB">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AD22083">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4A8DB98">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A657BC4">
            <w:pPr>
              <w:jc w:val="center"/>
              <w:rPr>
                <w:rFonts w:hint="eastAsia" w:ascii="书宋-简" w:hAnsi="书宋-简" w:eastAsia="书宋-简" w:cs="书宋-简"/>
                <w:i w:val="0"/>
                <w:iCs w:val="0"/>
                <w:color w:val="auto"/>
                <w:sz w:val="24"/>
                <w:szCs w:val="24"/>
                <w:highlight w:val="none"/>
                <w:u w:val="none"/>
              </w:rPr>
            </w:pPr>
          </w:p>
        </w:tc>
      </w:tr>
      <w:tr w14:paraId="08397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1882993">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4.1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AE66146">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西二环-杨新公路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950610C">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56DEC62">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4570437">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1218672">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B376E51">
            <w:pPr>
              <w:jc w:val="center"/>
              <w:rPr>
                <w:rFonts w:hint="eastAsia" w:ascii="书宋-简" w:hAnsi="书宋-简" w:eastAsia="书宋-简" w:cs="书宋-简"/>
                <w:i w:val="0"/>
                <w:iCs w:val="0"/>
                <w:color w:val="auto"/>
                <w:sz w:val="24"/>
                <w:szCs w:val="24"/>
                <w:highlight w:val="none"/>
                <w:u w:val="none"/>
              </w:rPr>
            </w:pPr>
          </w:p>
        </w:tc>
      </w:tr>
      <w:tr w14:paraId="69DDE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ign w:val="center"/>
          </w:tcPr>
          <w:p w14:paraId="450DC42F">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4.1.1、地面部分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C8AC0B4">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8FE7D26">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D60E32A">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1053F83">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48D7E5D">
            <w:pPr>
              <w:jc w:val="center"/>
              <w:rPr>
                <w:rFonts w:hint="eastAsia" w:ascii="书宋-简" w:hAnsi="书宋-简" w:eastAsia="书宋-简" w:cs="书宋-简"/>
                <w:i w:val="0"/>
                <w:iCs w:val="0"/>
                <w:color w:val="auto"/>
                <w:sz w:val="24"/>
                <w:szCs w:val="24"/>
                <w:highlight w:val="none"/>
                <w:u w:val="none"/>
              </w:rPr>
            </w:pPr>
          </w:p>
        </w:tc>
      </w:tr>
      <w:tr w14:paraId="4E105C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C581EA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094621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雷视一体机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E329BB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EDE5C0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7C4F16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EAE2F2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B5D82A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88E78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FB0491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91E82C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4B6D6A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43083E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7BDB4E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083555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DE0191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0ED3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DC4DB9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EAE9CA0">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2BEE53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4EB35C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19800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6D0CD3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9EA83A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6F64A0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53CA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D3A261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C004EFA">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62CCB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E7EB84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660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2F73D2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EEAF26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AFE828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FA22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4EB833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98D5B4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462265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659E18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660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7CB683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81DEF3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DFAF91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967E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80DF7E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F04A0B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61C38E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8C3F34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19800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6BC579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645EC5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7873D6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73DE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75584A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6D305D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3DE7E6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4F9BD3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304F81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B95707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A46EA6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8353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3FD347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522C0E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D8ECAD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956F86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512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0FB4D3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EF59C9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8AA4A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C098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316986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52948B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FB92C9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471826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256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765D06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9AF078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EEE9E3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DB41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907ADD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2FB1D2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ABA1CB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6CB008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512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341961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53907B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25BA3F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418F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ign w:val="center"/>
          </w:tcPr>
          <w:p w14:paraId="634B7D54">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4.1.2、高架部分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88689EB">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20F8211">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0A9E489">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1D15FE">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12526E5">
            <w:pPr>
              <w:jc w:val="center"/>
              <w:rPr>
                <w:rFonts w:hint="eastAsia" w:ascii="书宋-简" w:hAnsi="书宋-简" w:eastAsia="书宋-简" w:cs="书宋-简"/>
                <w:i w:val="0"/>
                <w:iCs w:val="0"/>
                <w:color w:val="auto"/>
                <w:sz w:val="24"/>
                <w:szCs w:val="24"/>
                <w:highlight w:val="none"/>
                <w:u w:val="none"/>
              </w:rPr>
            </w:pPr>
          </w:p>
        </w:tc>
      </w:tr>
      <w:tr w14:paraId="1D5C1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65F674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711930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雷视一体机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2FE29B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CD2BAB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CFD1E3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4718A3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CCA76F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09F35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C41368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34C0275">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横臂支架1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33273E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C19CA8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FDB2EA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509218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3E050F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F4E6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623222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48AF20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边缘计算单元</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1FFBBA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4E9B67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A45AA4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B1D389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C3BB7F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C4F7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14A87C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388AF5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工业级交换机1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0A4AFC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ADC76B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50EA2E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F99A76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FA6C47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9875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EEB422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61814D5">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680E86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FAC89D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29700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01D70F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38A65B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360932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E422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4F56E7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C284282">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576994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1B6E3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2520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EB05FF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30AD96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AA7622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CF47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A340D0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F264E1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BB842D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FDC2DF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2520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3DCF4B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2D413A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879F5E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3B83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D26BF4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D72C5A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74FBEF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625A70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29700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2EF33E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9E53C2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0235EB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27BC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E1FCC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9FB17E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D8F716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E0954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198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3EF57C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3C2215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8053C5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5EBC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BD6133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72ACC9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F1027A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22616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792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DB2E34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480495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55FB3E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6A1F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FBAD22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DDC9C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4AE102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B6CFBA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396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EF852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9318C9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F8264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EF6F8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76EAA6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A4CF22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B4C770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479EF7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792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90BCAB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142A7A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2366DD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A58B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81A1AE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BE0329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23847C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0AE254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1B93EA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B11BA5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026BC6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4E7BA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5B1A8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E66EF7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智能设备箱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D88B08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643ACF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23C659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E1AC27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746207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2F75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8CD456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895D5E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配电箱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13E2B2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99331A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E1337D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114D7C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E074F9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FFD0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70BFA0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704C70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配电箱基础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464549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FBA8B2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4F7205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36CE7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A5FDC0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F483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036301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22D9CB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设备箱基础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AD3165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0DE9CA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C2AF6F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8C2AD8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CC2AEE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8609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1A4EC5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D37FB7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4056BF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1558AE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BA20A9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87E80B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47E93B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0382B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75928D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95344B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7EEBA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AE3F9C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87DE6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F3FAD9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B86744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40AA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F4C4B7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20</w:t>
            </w:r>
          </w:p>
        </w:tc>
        <w:tc>
          <w:tcPr>
            <w:tcW w:w="1984" w:type="dxa"/>
            <w:tcBorders>
              <w:top w:val="single" w:color="000000" w:sz="4" w:space="0"/>
              <w:left w:val="single" w:color="000000" w:sz="4" w:space="0"/>
              <w:bottom w:val="single" w:color="000000" w:sz="4" w:space="0"/>
              <w:right w:val="single" w:color="000000" w:sz="4" w:space="0"/>
            </w:tcBorders>
            <w:noWrap/>
            <w:vAlign w:val="center"/>
          </w:tcPr>
          <w:p w14:paraId="0E17578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680912A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8B3E20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440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C87BBE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45E728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3B84CA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CDC5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11AE7BE">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4.2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CFEA229">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公路交通调查系统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99FADA9">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555042E">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9307843">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C09BA85">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B37BD95">
            <w:pPr>
              <w:jc w:val="center"/>
              <w:rPr>
                <w:rFonts w:hint="eastAsia" w:ascii="书宋-简" w:hAnsi="书宋-简" w:eastAsia="书宋-简" w:cs="书宋-简"/>
                <w:i w:val="0"/>
                <w:iCs w:val="0"/>
                <w:color w:val="auto"/>
                <w:sz w:val="24"/>
                <w:szCs w:val="24"/>
                <w:highlight w:val="none"/>
                <w:u w:val="none"/>
              </w:rPr>
            </w:pPr>
          </w:p>
        </w:tc>
      </w:tr>
      <w:tr w14:paraId="47DF51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57D61BE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ign w:val="center"/>
          </w:tcPr>
          <w:p w14:paraId="7B53B57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集成式交通气象监测仪</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2DCFA3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8A9B96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26781C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DD2332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07D787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F0B2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072BD30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05A8E2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横臂支架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462638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744DFB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B18138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0C7778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95CE03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3633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3FE5B01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B2716A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微光抓拍单元</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49F6D9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D629D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00B244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4F56E4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CA09D4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FDBE7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0BBFBE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5C6F766">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智能补光灯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54C091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F94BAC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B6673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05C494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7D3398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402A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1603C9F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56204F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防雷器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E253B8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39C00E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8646E5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DAC8C8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316D13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13FB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7D60716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9BAE8D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雷视一体化微波检测器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E45E84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EBF0B0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F65CC3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0213A6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527026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3BDB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1239138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4D322F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C0D9DD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5D8A9E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EA57F4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632C69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F9ED6D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FBF2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5C25AC1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FE344E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工业级交换机3</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162FE3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7B9D64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26840C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61B2C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065F6E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286F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7B2C9E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C3D057F">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722B52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B30D00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3BBA51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BDCFA6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641A0D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F37F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289E071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ED2488">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42E010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39F8A4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FD77B7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DE9557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A9DD89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90C3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51974C9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26231B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控制线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EC2BA2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55941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22A90B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7858D0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DC97C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2907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4BA6E5D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97B9FF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140429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D4C6F3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1C15A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79CA12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B244B5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B119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1499AF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12FA647">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传输网络</w:t>
            </w:r>
            <w:r>
              <w:rPr>
                <w:rFonts w:hint="eastAsia" w:ascii="宋体" w:hAnsi="宋体" w:eastAsia="宋体" w:cs="宋体"/>
                <w:i w:val="0"/>
                <w:iCs w:val="0"/>
                <w:color w:val="auto"/>
                <w:kern w:val="0"/>
                <w:sz w:val="24"/>
                <w:szCs w:val="24"/>
                <w:highlight w:val="none"/>
                <w:u w:val="none"/>
                <w:lang w:val="en-US" w:eastAsia="zh-CN" w:bidi="ar"/>
              </w:rPr>
              <w:t>（租赁）</w:t>
            </w:r>
            <w:r>
              <w:rPr>
                <w:rFonts w:hint="eastAsia" w:ascii="书宋-简" w:hAnsi="书宋-简" w:eastAsia="书宋-简" w:cs="书宋-简"/>
                <w:i w:val="0"/>
                <w:iCs w:val="0"/>
                <w:color w:val="auto"/>
                <w:kern w:val="0"/>
                <w:sz w:val="24"/>
                <w:szCs w:val="24"/>
                <w:highlight w:val="none"/>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605AA7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0B193A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D5439B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EF34D1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A74EC5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403A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5CD891D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D2161B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传输网络</w:t>
            </w:r>
            <w:r>
              <w:rPr>
                <w:rFonts w:hint="eastAsia" w:ascii="宋体" w:hAnsi="宋体" w:eastAsia="宋体" w:cs="宋体"/>
                <w:i w:val="0"/>
                <w:iCs w:val="0"/>
                <w:color w:val="auto"/>
                <w:kern w:val="0"/>
                <w:sz w:val="24"/>
                <w:szCs w:val="24"/>
                <w:highlight w:val="none"/>
                <w:u w:val="none"/>
                <w:lang w:val="en-US" w:eastAsia="zh-CN" w:bidi="ar"/>
              </w:rPr>
              <w:t>（租赁）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083A9B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D28547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FCCA1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294298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EF6C47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2F35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57436E3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BAABC8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辅材</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8FE084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6EBB22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C51869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20A1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89CE4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BE94B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B42A7AB">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4.3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103CA7F">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西二环交通调查系统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16BDD42">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10CEBD4">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D7F4C4">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CF795DA">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D0D6BF7">
            <w:pPr>
              <w:jc w:val="center"/>
              <w:rPr>
                <w:rFonts w:hint="eastAsia" w:ascii="书宋-简" w:hAnsi="书宋-简" w:eastAsia="书宋-简" w:cs="书宋-简"/>
                <w:i w:val="0"/>
                <w:iCs w:val="0"/>
                <w:color w:val="auto"/>
                <w:sz w:val="24"/>
                <w:szCs w:val="24"/>
                <w:highlight w:val="none"/>
                <w:u w:val="none"/>
              </w:rPr>
            </w:pPr>
          </w:p>
        </w:tc>
      </w:tr>
      <w:tr w14:paraId="7B6DF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6358F91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ign w:val="center"/>
          </w:tcPr>
          <w:p w14:paraId="4B3D314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集成式交通气象监测仪</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E9E7FF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7459B9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1AE3B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19E667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C79F31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A26A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516587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ECEB5E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横臂支架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F2BFBF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CBE2C2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35528E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CC8C1A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0F722A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9082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2434058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ign w:val="center"/>
          </w:tcPr>
          <w:p w14:paraId="505283F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sz w:val="24"/>
                <w:szCs w:val="24"/>
                <w:highlight w:val="none"/>
                <w:u w:val="none"/>
                <w:lang w:eastAsia="zh-CN"/>
              </w:rPr>
              <w:t>气象数据接收处理配套服务器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9F70C8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B78031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9DE2F9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3CF118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75134E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8364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6C7475B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F5F2D3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微光抓拍单元</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47ACB2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77995A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5DF268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36D3F6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65BA96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4D7F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54FBFC6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313519B">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智能补光灯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7E0C46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F2A6CB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B27981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0133EF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2874F3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22B2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0C4188C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9A7B4C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防雷器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8F290A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9CF2A9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6C9085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EFCCDA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75B2C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95A5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369B0ED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F1DCAA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雷视一体化微波检测器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4BE8EF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4E199A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81FD21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26C1FE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DF49F9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A3AB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749DD94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522E5A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41157C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81216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61C8E6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D27DF9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E8A9CB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A7B5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1C3BC66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1CAD497">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F式立杆3</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F58225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B171C9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5F9E64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E11ED7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495145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85CD6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28A1A67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5A108A2">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立杆基础1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260A6F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B3FE95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79A264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951EFF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25AD94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4D2D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6CDC2EB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253CC4">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73F14D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5E3079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145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30050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C2EE33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CB191A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5A846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0DFEA54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168DD65">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A48149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117AF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703831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CDAC7A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FC4D5D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BACD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2854A5B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473F31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控制线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BAD849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950CD7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208E6F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36D86D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B98D01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BDEC0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255C5A6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6EBC8C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5D3D1E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E65864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145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1B1BA8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6A2BC9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3F0D4F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BCD7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5C2C9AB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1C4BAB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C2230B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AD45F4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1C87A7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DE2E10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F071B0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7038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4478AF4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3522B3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0A58FF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1592E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595B6A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6BA357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D17410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2E90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2952F09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AC619A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72DF46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458C46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9C0926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B77879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407FF7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E3EA2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45C8E60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B85DD91">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传输网络1</w:t>
            </w:r>
            <w:r>
              <w:rPr>
                <w:rFonts w:hint="eastAsia" w:ascii="宋体" w:hAnsi="宋体" w:eastAsia="宋体" w:cs="宋体"/>
                <w:i w:val="0"/>
                <w:iCs w:val="0"/>
                <w:color w:val="auto"/>
                <w:kern w:val="0"/>
                <w:sz w:val="24"/>
                <w:szCs w:val="24"/>
                <w:highlight w:val="none"/>
                <w:u w:val="none"/>
                <w:lang w:val="en-US" w:eastAsia="zh-CN" w:bidi="ar"/>
              </w:rPr>
              <w:t>（租赁）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51FB8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CEDDE7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621B66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DC6355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E992AC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757D3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1CC0F65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E080CB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传输网络</w:t>
            </w:r>
            <w:r>
              <w:rPr>
                <w:rFonts w:hint="eastAsia" w:ascii="宋体" w:hAnsi="宋体" w:eastAsia="宋体" w:cs="宋体"/>
                <w:i w:val="0"/>
                <w:iCs w:val="0"/>
                <w:color w:val="auto"/>
                <w:kern w:val="0"/>
                <w:sz w:val="24"/>
                <w:szCs w:val="24"/>
                <w:highlight w:val="none"/>
                <w:u w:val="none"/>
                <w:lang w:val="en-US" w:eastAsia="zh-CN" w:bidi="ar"/>
              </w:rPr>
              <w:t>（租赁）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9DDB54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6B27ED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FE6B64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6704E4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431D0D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74D5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ign w:val="center"/>
          </w:tcPr>
          <w:p w14:paraId="51C24C0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8E380F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辅材</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1C85DD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E9D2AE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BB4013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565D9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356C83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CCCD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76B78447">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五、交通诱导发布系统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7E2B1DD">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2FAC3A2">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E03F591">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E76F788">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9B2266D">
            <w:pPr>
              <w:jc w:val="center"/>
              <w:rPr>
                <w:rFonts w:hint="eastAsia" w:ascii="书宋-简" w:hAnsi="书宋-简" w:eastAsia="书宋-简" w:cs="书宋-简"/>
                <w:i w:val="0"/>
                <w:iCs w:val="0"/>
                <w:color w:val="auto"/>
                <w:sz w:val="24"/>
                <w:szCs w:val="24"/>
                <w:highlight w:val="none"/>
                <w:u w:val="none"/>
              </w:rPr>
            </w:pPr>
          </w:p>
        </w:tc>
      </w:tr>
      <w:tr w14:paraId="12D95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1E3E291">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5.1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D0885D7">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西二环-杨新公路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D35A8C8">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8F13630">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38F14E1">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C058A3A">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8A9C73B">
            <w:pPr>
              <w:jc w:val="center"/>
              <w:rPr>
                <w:rFonts w:hint="eastAsia" w:ascii="书宋-简" w:hAnsi="书宋-简" w:eastAsia="书宋-简" w:cs="书宋-简"/>
                <w:i w:val="0"/>
                <w:iCs w:val="0"/>
                <w:color w:val="auto"/>
                <w:sz w:val="24"/>
                <w:szCs w:val="24"/>
                <w:highlight w:val="none"/>
                <w:u w:val="none"/>
              </w:rPr>
            </w:pPr>
          </w:p>
        </w:tc>
      </w:tr>
      <w:tr w14:paraId="53DBB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ign w:val="center"/>
          </w:tcPr>
          <w:p w14:paraId="3E6C555D">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5.1.1、地面部分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198A1DC">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C00AFA6">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C963C20">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B2191F9">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0E1271E">
            <w:pPr>
              <w:jc w:val="center"/>
              <w:rPr>
                <w:rFonts w:hint="eastAsia" w:ascii="书宋-简" w:hAnsi="书宋-简" w:eastAsia="书宋-简" w:cs="书宋-简"/>
                <w:i w:val="0"/>
                <w:iCs w:val="0"/>
                <w:color w:val="auto"/>
                <w:sz w:val="24"/>
                <w:szCs w:val="24"/>
                <w:highlight w:val="none"/>
                <w:u w:val="none"/>
              </w:rPr>
            </w:pPr>
          </w:p>
        </w:tc>
      </w:tr>
      <w:tr w14:paraId="2B099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83C1F8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A725DE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交通微诱导屏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E5B2C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9BAB5A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972797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81765D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2DBC39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3BB48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0D8E7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102846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微诱导屏支架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2344D3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5619B6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EDE826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6D9663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E67FAE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1C81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023FB1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E6FA6E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交通信息诱导屏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9D2A51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E4B5F1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5F333A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34E10F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CD9C2A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E7E8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748787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90FC6C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诱导屏立杆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4A9978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DC8203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DE6C7E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61223A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95814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E370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1C8A00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83BC16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诱导屏立杆基础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DD26C0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49574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8EC693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B0FE3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FC3F88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2060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B1C314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507B45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智能设备箱（小）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93D434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D0F28F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6E3936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ADFE11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37A274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1D71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994585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2DE01F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设备箱基础（小）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BF349B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02229B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B1705B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40D810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2D3D72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8B2F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B301AF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963A8BA">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电力电缆4</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A4EEE3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62E1F2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2EEF1E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D6D166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42DA5F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6389E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EA93FF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7C417A6">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86AEB2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092D29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5160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E75AD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B5480E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174EBC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8569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989B68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551B62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94D4A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139755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430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80975B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73EAA0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B7DAFF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4DF5B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199200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69DF10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471382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C714F8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4D604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66E24E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FFA584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CFCF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E44C63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ACB2D7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723F93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ECC960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D2DDAF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C12620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5B4ACC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7EC6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3A5A21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7F5264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B736B6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0947A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A441C9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1D1927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1357CF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56F1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3150EB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19FA07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57EB2E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BDD5CB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C2BAA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8D4302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6E59A9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E342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1E91A1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7300C4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E6CA4A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463902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08A214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F7F664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B413B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F30D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03493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F56CCF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9BE799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CCF800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88D6E1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F9D17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3EA445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5C2A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216184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DF48ED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90DF4F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EE3BC4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233CA9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02782F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B95911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CD44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EC4FE6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827B28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3E26EC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38F56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E320A0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A8D91B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E7494C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491E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ign w:val="center"/>
          </w:tcPr>
          <w:p w14:paraId="1B3C8DFC">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5.1.2、高架部分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45DA79E">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234782F">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E48F612">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ED8B6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1206E7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p>
        </w:tc>
      </w:tr>
      <w:tr w14:paraId="6FB12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1DE10B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782F2E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交通信息诱导屏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6C8867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FE7A73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61221F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E68886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73F36C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EAB3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6C44DE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6A63DD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诱导屏门架安装支架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7723AF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FA1287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A34BAC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8BA434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E4842C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E36A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7E03F2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8A6A99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可变限速显示屏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285949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1FE1A9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9AD6F0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411A22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1D862F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5E62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6D0546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66082C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借用门架安装支架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1A89CA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C6B0FB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64B3B4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998B9D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C43ED0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DAB0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F09B39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DF8AC46">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诱导屏门架式立杆2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E81F32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EA624E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F55920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869D09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97F560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89E9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132DD3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87D2789">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诱导屏门架式立杆1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460338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C5800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6DF6D7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4422E9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488219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9EB39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2FC052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98277D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57DCD7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4236F2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F91D33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AB6A3F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7F74BC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9000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12C073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F43597C">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电力电缆1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287990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685BF6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6750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BFD56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F85650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050643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E0A3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5A2D8F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E77669">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电力电缆5</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E06527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F26D2C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8500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C79479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54C124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D2441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0A5A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19B5C5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21F63DA">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962E89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CB0B4F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390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EB3051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F5707B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BC9404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48BC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95D31B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CD4655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2E0B19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8EA72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390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A3A5A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27B4FE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D34643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A7CE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C0E1A2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E8B1E6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5CA5F8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0876E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15215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1FA451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BC1699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41A31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5DDB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2047A9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53107C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766729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61A3C5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C75A6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6F7B94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B86D9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84DEC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34A99B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2DE42D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E20D3C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84574A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136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0B91B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162AFC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7BF182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0D56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DDF891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14D013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5B224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6C8AEA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FB5763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24CE66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ABD5A4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60C3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ECD741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A13110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FE1B0D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ACF6F8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136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2CEB6A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E47B94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EF7B41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E5BC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4033CF51">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六、违停抓拍系统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1B4A212">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4197CF5">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4369F4F">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D4CAFEB">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3F91389">
            <w:pPr>
              <w:jc w:val="center"/>
              <w:rPr>
                <w:rFonts w:hint="eastAsia" w:ascii="书宋-简" w:hAnsi="书宋-简" w:eastAsia="书宋-简" w:cs="书宋-简"/>
                <w:i w:val="0"/>
                <w:iCs w:val="0"/>
                <w:color w:val="auto"/>
                <w:sz w:val="24"/>
                <w:szCs w:val="24"/>
                <w:highlight w:val="none"/>
                <w:u w:val="none"/>
              </w:rPr>
            </w:pPr>
          </w:p>
        </w:tc>
      </w:tr>
      <w:tr w14:paraId="5E81A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E6E221D">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6.1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722351A">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西二环-杨新公路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DB46699">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C420C3">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657397A">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6108177">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5978445">
            <w:pPr>
              <w:jc w:val="center"/>
              <w:rPr>
                <w:rFonts w:hint="eastAsia" w:ascii="书宋-简" w:hAnsi="书宋-简" w:eastAsia="书宋-简" w:cs="书宋-简"/>
                <w:i w:val="0"/>
                <w:iCs w:val="0"/>
                <w:color w:val="auto"/>
                <w:sz w:val="24"/>
                <w:szCs w:val="24"/>
                <w:highlight w:val="none"/>
                <w:u w:val="none"/>
              </w:rPr>
            </w:pPr>
          </w:p>
        </w:tc>
      </w:tr>
      <w:tr w14:paraId="20D0F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ECBAB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E2CB2A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违停抓拍球型摄像机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56A599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B3631C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4B0858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556808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DDF7D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A951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AA2311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C8F0F9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安装支架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5D336F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23D357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D78A7B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E5CADF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C4F0FE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4C6C7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61A830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93E3CC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警告标志</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D55156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1CDC91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F9D9EB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3F3127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A941C8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9D5B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00996B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537852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交通监控设备标志牌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3E3C5F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B6E14B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D8728C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D06E7A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BC2F98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C393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ACF201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2C3C6A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975B33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2C61D3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58B4C1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C31C34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FC5090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CDFE4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764F29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494C4C8">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DB0FB5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55B8FB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6FEEAE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C71E50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CA9924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5A6B0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50FCA2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EBACD37">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立杆基础1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667B64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1EB346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5D519D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A0A6F6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9E1B8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F841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EA8D6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211376A">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556D18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A54C98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180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935321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4FD755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2FA634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46F3F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61BCBE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0750F20">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13CE8F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63EC17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5100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CF90CE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6F2808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AAE1FA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B52F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14509F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733E9F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CB35AE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CD75D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180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755402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0D2E09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B89FD4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D047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EF2AEC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99E96D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D8D823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7A4C6E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5100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600427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A0007E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53747C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6F98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AE4EC7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9ED2B8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05A326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C78502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79138C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9F3D08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1BD151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9C89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F5CB7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F9FAA2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2473E5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26AFE4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136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81963D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9E80A6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153FC4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2FCB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7788FA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7DF2E4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39B5BD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93F543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6133A8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1D41D3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8312AD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DA86C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CF896E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BFFE93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A14FE6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7E63CA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136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FCC796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EEBFFC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8EB4CA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3B9F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0D11B0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AC0B4A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3651F0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CC5A38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F84A6A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0745D1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FDAF2F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44AC5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B716BB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D0E54C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6FB20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BB75D0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563A64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814BE1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2D0A8D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9D46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4FE9D4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9AE53C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A19D10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DDB833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A1915E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1E2CAC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E3D7FB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6027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68CA8631">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七、实景指挥系统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A2F20BF">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1C61556">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196D52B">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9655831">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7E432CB">
            <w:pPr>
              <w:jc w:val="center"/>
              <w:rPr>
                <w:rFonts w:hint="eastAsia" w:ascii="书宋-简" w:hAnsi="书宋-简" w:eastAsia="书宋-简" w:cs="书宋-简"/>
                <w:i w:val="0"/>
                <w:iCs w:val="0"/>
                <w:color w:val="auto"/>
                <w:sz w:val="24"/>
                <w:szCs w:val="24"/>
                <w:highlight w:val="none"/>
                <w:u w:val="none"/>
              </w:rPr>
            </w:pPr>
          </w:p>
        </w:tc>
      </w:tr>
      <w:tr w14:paraId="77132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1A9FFC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F167C17">
            <w:pPr>
              <w:keepNext w:val="0"/>
              <w:keepLines w:val="0"/>
              <w:widowControl/>
              <w:suppressLineNumbers w:val="0"/>
              <w:jc w:val="both"/>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180°全景网络高清摄像机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626550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3920D5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AD9B62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0146C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39087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DE3A1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57FA7D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41FF8B">
            <w:pPr>
              <w:keepNext w:val="0"/>
              <w:keepLines w:val="0"/>
              <w:widowControl/>
              <w:suppressLineNumbers w:val="0"/>
              <w:jc w:val="both"/>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安装支架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5C8F49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949B16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8F2BF5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CD34E7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8EAFE5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74E6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7B443A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6FB81A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6A8C5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EE938D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5FD91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94D6C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DED7BE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1F84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B1B298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0089998">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98B89F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63E64E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F0B86F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10D968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F9A3E6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4713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8F7B83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4F2DF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85295F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56A5AD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B44EC9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697D2A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54DEB4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A49E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FC820D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290397F">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网络传输</w:t>
            </w:r>
            <w:r>
              <w:rPr>
                <w:rFonts w:hint="eastAsia" w:ascii="宋体" w:hAnsi="宋体" w:eastAsia="宋体" w:cs="宋体"/>
                <w:i w:val="0"/>
                <w:iCs w:val="0"/>
                <w:color w:val="auto"/>
                <w:kern w:val="0"/>
                <w:sz w:val="24"/>
                <w:szCs w:val="24"/>
                <w:highlight w:val="none"/>
                <w:u w:val="none"/>
                <w:lang w:val="en-US" w:eastAsia="zh-CN" w:bidi="ar"/>
              </w:rPr>
              <w:t>（租赁）</w:t>
            </w:r>
            <w:r>
              <w:rPr>
                <w:rFonts w:hint="eastAsia" w:ascii="书宋-简" w:hAnsi="书宋-简" w:eastAsia="书宋-简" w:cs="书宋-简"/>
                <w:i w:val="0"/>
                <w:iCs w:val="0"/>
                <w:color w:val="auto"/>
                <w:kern w:val="0"/>
                <w:sz w:val="24"/>
                <w:szCs w:val="24"/>
                <w:highlight w:val="none"/>
                <w:u w:val="none"/>
                <w:lang w:val="en-US" w:eastAsia="zh-CN" w:bidi="ar"/>
              </w:rPr>
              <w:t>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0C7D2C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5CE4C8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73120E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E8D8A1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77550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D4B8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5FB821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E7837B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电表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2444CF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383203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73D55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A9DE3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63FC9B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04A4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10E42320">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八、上下匝道抓拍</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BBC764C">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C668FE0">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DFCE2CE">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4B33E91">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2746726">
            <w:pPr>
              <w:jc w:val="center"/>
              <w:rPr>
                <w:rFonts w:hint="eastAsia" w:ascii="书宋-简" w:hAnsi="书宋-简" w:eastAsia="书宋-简" w:cs="书宋-简"/>
                <w:i w:val="0"/>
                <w:iCs w:val="0"/>
                <w:color w:val="auto"/>
                <w:sz w:val="24"/>
                <w:szCs w:val="24"/>
                <w:highlight w:val="none"/>
                <w:u w:val="none"/>
              </w:rPr>
            </w:pPr>
          </w:p>
        </w:tc>
      </w:tr>
      <w:tr w14:paraId="7193EA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962074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3DE979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微光高清抓拍单元1（尾牌）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0FFF7F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A7AC2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BA6B97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8CDA42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172ABB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23DA1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D92157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373E4A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微光高清抓拍单元（前牌）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44C03D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B14419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74278F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E29896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815C91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3972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377DFA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9BB5BE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全结构化摄像机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E1EEFA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283193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DC0D9A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BB3008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E7A245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B3DA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D055C3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16CEBF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智能补光灯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FEE826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52062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BE66E7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985279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FA5546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72B7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C5FB76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C124FF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前端存储管理主机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AB8731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5FC624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D5450B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91871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4D7D47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685C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DF96D4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9EFB9F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前端管理单元</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6807C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F34865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A218A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F99CF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D2BBBA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A7C7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E192C9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CB8379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预警屏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F786B3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7842CD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1BB4F6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0F50A3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8EF6E9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DA722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03B9FD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B01D18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ign w:val="center"/>
          </w:tcPr>
          <w:p w14:paraId="2E58B2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793058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E0DE67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012DE8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99F68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C731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710211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49B9E67">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F式立杆1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BA515D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7C9823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1DE2F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6B9211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01AF2D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E8EB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6C9A99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BD8E2E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交通监控设备标志牌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0F8D55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996F3E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8D6EB5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A94D09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54119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082C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843928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74C560A">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A4F724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FB4CF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2190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27FC60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A0F5F2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FB0679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146B6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D8C917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D8A02A9">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D87396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36F07F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3000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C3A77E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CE7043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20E512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46EC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6A5228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EAD65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015F5D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2EC8F4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2190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483C31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62B8FF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AC99BA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F2F1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706E69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C8B628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03A5A7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DC58D1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3000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B8756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D721B3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5D86FD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2E98A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5848C2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10A308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D79D19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333130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543A92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17D7D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42F86A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F917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796B86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FD161F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398460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7FAE7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466EC6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0F4255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6CFD97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1130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F0A8A0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D41D65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E803C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F27E2F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F72395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172108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946C6B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656B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27DEA3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CB72C0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C2FFF5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D3EE81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6C659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E22BD9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60EF15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692C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59749DED">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九、入口匝道控制系统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7CF3FA5">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D94D5CB">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58E2FAF">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4C28366">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5913F86">
            <w:pPr>
              <w:jc w:val="center"/>
              <w:rPr>
                <w:rFonts w:hint="eastAsia" w:ascii="书宋-简" w:hAnsi="书宋-简" w:eastAsia="书宋-简" w:cs="书宋-简"/>
                <w:i w:val="0"/>
                <w:iCs w:val="0"/>
                <w:color w:val="auto"/>
                <w:sz w:val="24"/>
                <w:szCs w:val="24"/>
                <w:highlight w:val="none"/>
                <w:u w:val="none"/>
              </w:rPr>
            </w:pPr>
          </w:p>
        </w:tc>
      </w:tr>
      <w:tr w14:paraId="6A241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28FE5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9A2FA8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交通信息屏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99FF1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F141F3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89FE24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DAA46F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DC3830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DA47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FDC922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761507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上匝道车道灯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5AFD2C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222C36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252C4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A460FD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807114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5C6F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85A09E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5BD718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工业级交换机2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E48743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1FBE5B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DC565C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B78EBB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377C7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444AE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02225C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339246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交通信号控制机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DA01B4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F96BA9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85B688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FE7EDA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71FD7E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1E08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C76D38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B9ED53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信号机基础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36965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351858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24E8F5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25B7D3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1E43F1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23C3D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54D6EA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F702DD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智能设备箱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DD544A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AEEF1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4FFB59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59AAF6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153A0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40D8D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B0C065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E68223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设备箱基础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594E95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A7F82D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470360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2AEA4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B87EFE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160A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3D9480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8C4E15A">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电力电缆1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D819A5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31CDE9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11B15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ACF6E1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1475AF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A3BC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4E36C8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B64A8F8">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电力电缆6</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BD88B9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6E35C9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2805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060463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3BD880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BDFD5B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7959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ED0A6F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F0BE2E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C7CD1D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765660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2805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151575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272AE1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CB1451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706C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8A6476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8BE2CA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控制软电缆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099868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2C2FAD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1440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659B1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C9235A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AD481E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3751E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A5130E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AF5EFE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81AFFE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8CC9E3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8333EC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E83FE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553F99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A50B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820F87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EA7CA9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8231DC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4E3296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C9717E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BA131A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C77CF2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26CB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FEB166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36078F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C250D0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CCAD35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701AFC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D15990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0AFDB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DE9B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2F96F340">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十、区间测速系统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F118D9D">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44571F7">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0366229">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32542DF">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497AB86">
            <w:pPr>
              <w:jc w:val="center"/>
              <w:rPr>
                <w:rFonts w:hint="eastAsia" w:ascii="书宋-简" w:hAnsi="书宋-简" w:eastAsia="书宋-简" w:cs="书宋-简"/>
                <w:i w:val="0"/>
                <w:iCs w:val="0"/>
                <w:color w:val="auto"/>
                <w:sz w:val="24"/>
                <w:szCs w:val="24"/>
                <w:highlight w:val="none"/>
                <w:u w:val="none"/>
              </w:rPr>
            </w:pPr>
          </w:p>
        </w:tc>
      </w:tr>
      <w:tr w14:paraId="36AB4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DCD9755">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10.1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1057C75">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西二环-杨新公路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5F1E1F4">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80AAF28">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CDEA023">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3360BAA">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3A8DE15">
            <w:pPr>
              <w:jc w:val="center"/>
              <w:rPr>
                <w:rFonts w:hint="eastAsia" w:ascii="书宋-简" w:hAnsi="书宋-简" w:eastAsia="书宋-简" w:cs="书宋-简"/>
                <w:i w:val="0"/>
                <w:iCs w:val="0"/>
                <w:color w:val="auto"/>
                <w:sz w:val="24"/>
                <w:szCs w:val="24"/>
                <w:highlight w:val="none"/>
                <w:u w:val="none"/>
              </w:rPr>
            </w:pPr>
          </w:p>
        </w:tc>
      </w:tr>
      <w:tr w14:paraId="1CCFC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938C96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70007B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环保生态抓拍单元（前牌）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CCBAB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8C4DE6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5EA994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47C5F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D999EA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EAE8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FB84C2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724D0F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防雷器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E91E65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D3455F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4C2DAF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CEABAC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5C579B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940A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5CCA51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4BF42E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智能补光灯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DAAB6A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D73767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333497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2C976C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5603F2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706F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64827B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D0BA5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限速标志牌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F204C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ED2408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A4B416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CE6E8E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C7674D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E002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209F05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2EB11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全程区间测速提醒标志</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71F7B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CE6185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B55364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40D8F9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A808EE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3DE1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CD19AC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F8BE9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测速距离提示标志</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237022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A78078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2DFF87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4966FF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BE406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38C5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3D65BB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A087BE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测速起终点提示标志</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E2DD0B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B9F84D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906F22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154142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43B8BE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E31B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A4FE57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FCFCB3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前端存储管理主机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40147B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B06EDE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105AAF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9A22EB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208EF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FD2E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6D5E68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D0FA44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工业级交换机3</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816B83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3CD62F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143428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7EA6A0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E7B7BA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D5B0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AC3F1D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5B2B650">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C0A13D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C77E85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7CFD34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C162BE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E697D7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9596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1B10F4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09EF8E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C93ADC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1C316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9EEE69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B556DD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7DF47E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493A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2DE3F3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121019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标定费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CFF95A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83A73F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56E53B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774A2A0">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CDEA127">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67D15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5D158C13">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十一、广播系统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38136D4">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F59F8A4">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3F04B42">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447C4E9">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EF94322">
            <w:pPr>
              <w:jc w:val="center"/>
              <w:rPr>
                <w:rFonts w:hint="eastAsia" w:ascii="书宋-简" w:hAnsi="书宋-简" w:eastAsia="书宋-简" w:cs="书宋-简"/>
                <w:i w:val="0"/>
                <w:iCs w:val="0"/>
                <w:color w:val="auto"/>
                <w:sz w:val="24"/>
                <w:szCs w:val="24"/>
                <w:highlight w:val="none"/>
                <w:u w:val="none"/>
              </w:rPr>
            </w:pPr>
          </w:p>
        </w:tc>
      </w:tr>
      <w:tr w14:paraId="10E19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D02892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8378D1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室外防水音柱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34C13E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FE072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DC511F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34D5BF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B5ADE2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621D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58502D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0BC5A0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IP网络解码带功放终端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680C95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F491E1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ED6D55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1DD0B1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410751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E3DE5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05E487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208FF6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智能设备箱（小）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E01F4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6A9821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D355D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41C925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B8B39B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BFFF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726502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EA0BC8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设备箱基础（小）</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1EF024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ADB56E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A91EA7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F2D2B4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F8E092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1D0C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A83C0B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974A14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44157F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A28BD8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480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B4E478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E3898B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DE182F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F7D3E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88E93B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2A989A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广播线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68CA66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BEDDA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3840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252C1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734BF4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2F8047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FD5C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8B4280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7DB0C93">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0B8FCF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6709AC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5B7FC8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01600F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94A7D6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7213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3B9071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6733D6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D52D5E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2F2133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B2B59E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51FA9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007D89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EEB3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55CCC2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735401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4D23EB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56114A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829D58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C90801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2C067F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5BF7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14079C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DC13E3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DBF6C6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A597E7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9223B1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C73456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C8C68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CE5A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42F2A7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8FD942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427419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13A8A2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B5FD4D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BE8697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3C8C2F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4EF6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C0EA2B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A68F6C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53FD74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9E1B8B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6DABD1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A884F8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6FB99A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36A51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1C8C08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AA6BED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接地镀锌角钢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908DC7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9EB69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7C1A9E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8963E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0B965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5265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E3E991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1CFF4F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热镀锌扁钢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70B6A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E573B4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6260B6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78ADBE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A9509F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7C71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80D077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432F42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接地连接线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3398B9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630AC4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0E38E1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FA167E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C4FD12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9DD9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ign w:val="center"/>
          </w:tcPr>
          <w:p w14:paraId="6A1EE195">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十二、鱼腹线实线变道抓拍</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8A26E34">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8A5BF4D">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98BE12C">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0515DDA">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9921060">
            <w:pPr>
              <w:jc w:val="center"/>
              <w:rPr>
                <w:rFonts w:hint="eastAsia" w:ascii="书宋-简" w:hAnsi="书宋-简" w:eastAsia="书宋-简" w:cs="书宋-简"/>
                <w:i w:val="0"/>
                <w:iCs w:val="0"/>
                <w:color w:val="auto"/>
                <w:sz w:val="24"/>
                <w:szCs w:val="24"/>
                <w:highlight w:val="none"/>
                <w:u w:val="none"/>
              </w:rPr>
            </w:pPr>
          </w:p>
        </w:tc>
      </w:tr>
      <w:tr w14:paraId="2F306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6486B9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AC3252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微光高清抓拍单元1（尾牌）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F9C124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1B74C1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BA4C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464270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CD6BAC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1DF82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48B2FE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16CC9F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微光高清抓拍单元（前牌）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8EFDC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A3F683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1BE398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048153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7E0293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0BFE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9094DA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CCE9C2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智能补光灯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D75114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671CAA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B25015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5D5529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B1D4BD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118D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37A2CB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C70648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交通监控设备标志牌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98DD75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AC235C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DDAFEF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0BB01A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7F4D0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B829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537F9A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03ADDA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9A2E6D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29D07A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9574C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47498A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E3E828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B437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CDF3A4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4A7C145">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B3E8B9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BA123B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270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DFD44D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4B107A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7F3656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9926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668B39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14B8B2D">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DBC0F1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67752B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4800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C5AA35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971954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9C833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361F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E1376B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685622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63044F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F6012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270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B695C2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7292EF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AD5A28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E70A9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B8F3B8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410529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7EEE79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C2698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4800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4174D9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AF364A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FDD6B6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447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EFEEE6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765EBF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39DB72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A8ECDD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1B00A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44B051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A41A8D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3AA6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5BD02E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7E0DBC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4EE59F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3CDDC6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56C6B8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BDE46F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0982B0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4C57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661A3D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E5279E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48A9C2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BB826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8F8419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A0DB86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F71C29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E24CE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2B08C6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4E45C9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440FFB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B7C8C5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CF5850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152F40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79CD82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0DCA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1DFDEA19">
            <w:pPr>
              <w:keepNext w:val="0"/>
              <w:keepLines w:val="0"/>
              <w:widowControl/>
              <w:suppressLineNumbers w:val="0"/>
              <w:jc w:val="left"/>
              <w:textAlignment w:val="center"/>
              <w:rPr>
                <w:rFonts w:hint="default" w:ascii="书宋-简" w:hAnsi="书宋-简" w:eastAsia="书宋-简" w:cs="书宋-简"/>
                <w:b/>
                <w:bCs/>
                <w:i w:val="0"/>
                <w:iCs w:val="0"/>
                <w:color w:val="auto"/>
                <w:sz w:val="24"/>
                <w:szCs w:val="24"/>
                <w:highlight w:val="none"/>
                <w:u w:val="none"/>
                <w:lang w:val="en-US"/>
              </w:rPr>
            </w:pPr>
            <w:r>
              <w:rPr>
                <w:rFonts w:hint="eastAsia" w:ascii="书宋-简" w:hAnsi="书宋-简" w:eastAsia="书宋-简" w:cs="书宋-简"/>
                <w:b/>
                <w:bCs/>
                <w:i w:val="0"/>
                <w:iCs w:val="0"/>
                <w:color w:val="auto"/>
                <w:kern w:val="0"/>
                <w:sz w:val="24"/>
                <w:szCs w:val="24"/>
                <w:highlight w:val="none"/>
                <w:u w:val="none"/>
                <w:lang w:val="en-US" w:eastAsia="zh-CN" w:bidi="ar"/>
              </w:rPr>
              <w:t>十三、停车收费管理系统</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1A88B3B">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F53B05A">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9376897">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5806404">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5634011">
            <w:pPr>
              <w:jc w:val="center"/>
              <w:rPr>
                <w:rFonts w:hint="eastAsia" w:ascii="书宋-简" w:hAnsi="书宋-简" w:eastAsia="书宋-简" w:cs="书宋-简"/>
                <w:i w:val="0"/>
                <w:iCs w:val="0"/>
                <w:color w:val="auto"/>
                <w:sz w:val="24"/>
                <w:szCs w:val="24"/>
                <w:highlight w:val="none"/>
                <w:u w:val="none"/>
              </w:rPr>
            </w:pPr>
          </w:p>
        </w:tc>
      </w:tr>
      <w:tr w14:paraId="1B41B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E059727">
            <w:pPr>
              <w:keepNext w:val="0"/>
              <w:keepLines w:val="0"/>
              <w:widowControl/>
              <w:suppressLineNumbers w:val="0"/>
              <w:jc w:val="center"/>
              <w:textAlignment w:val="center"/>
              <w:rPr>
                <w:rFonts w:hint="eastAsia" w:ascii="书宋-简" w:hAnsi="书宋-简" w:eastAsia="书宋-简" w:cs="书宋-简"/>
                <w:b/>
                <w:bCs/>
                <w:i w:val="0"/>
                <w:iCs w:val="0"/>
                <w:color w:val="auto"/>
                <w:sz w:val="24"/>
                <w:szCs w:val="24"/>
                <w:highlight w:val="none"/>
                <w:u w:val="none"/>
                <w:lang w:val="en-US" w:eastAsia="zh-CN"/>
              </w:rPr>
            </w:pPr>
            <w:r>
              <w:rPr>
                <w:rFonts w:hint="eastAsia" w:ascii="书宋-简" w:hAnsi="书宋-简" w:eastAsia="书宋-简" w:cs="书宋-简"/>
                <w:b/>
                <w:bCs/>
                <w:i w:val="0"/>
                <w:iCs w:val="0"/>
                <w:color w:val="auto"/>
                <w:sz w:val="24"/>
                <w:szCs w:val="24"/>
                <w:highlight w:val="none"/>
                <w:u w:val="none"/>
                <w:lang w:val="en-US" w:eastAsia="zh-CN"/>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605AAF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高位相机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DFE8DE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13751D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30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832B32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8ED6F0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8A5CBE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BD9F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64625FC">
            <w:pPr>
              <w:keepNext w:val="0"/>
              <w:keepLines w:val="0"/>
              <w:widowControl/>
              <w:suppressLineNumbers w:val="0"/>
              <w:jc w:val="center"/>
              <w:textAlignment w:val="center"/>
              <w:rPr>
                <w:rFonts w:hint="default" w:ascii="书宋-简" w:hAnsi="书宋-简" w:eastAsia="书宋-简" w:cs="书宋-简"/>
                <w:b/>
                <w:bCs/>
                <w:i w:val="0"/>
                <w:iCs w:val="0"/>
                <w:color w:val="auto"/>
                <w:kern w:val="0"/>
                <w:sz w:val="24"/>
                <w:szCs w:val="24"/>
                <w:highlight w:val="none"/>
                <w:u w:val="none"/>
                <w:lang w:val="en-US" w:eastAsia="zh-CN" w:bidi="ar"/>
              </w:rPr>
            </w:pPr>
            <w:r>
              <w:rPr>
                <w:rFonts w:hint="eastAsia" w:ascii="书宋-简" w:hAnsi="书宋-简" w:eastAsia="书宋-简" w:cs="书宋-简"/>
                <w:b/>
                <w:bCs/>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619081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立杆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323175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A9FA70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30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E8925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426F93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5A110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625F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E121CC0">
            <w:pPr>
              <w:keepNext w:val="0"/>
              <w:keepLines w:val="0"/>
              <w:widowControl/>
              <w:suppressLineNumbers w:val="0"/>
              <w:jc w:val="center"/>
              <w:textAlignment w:val="center"/>
              <w:rPr>
                <w:rFonts w:hint="default" w:ascii="书宋-简" w:hAnsi="书宋-简" w:eastAsia="书宋-简" w:cs="书宋-简"/>
                <w:b/>
                <w:bCs/>
                <w:i w:val="0"/>
                <w:iCs w:val="0"/>
                <w:color w:val="auto"/>
                <w:kern w:val="0"/>
                <w:sz w:val="24"/>
                <w:szCs w:val="24"/>
                <w:highlight w:val="none"/>
                <w:u w:val="none"/>
                <w:lang w:val="en-US" w:eastAsia="zh-CN" w:bidi="ar"/>
              </w:rPr>
            </w:pPr>
            <w:r>
              <w:rPr>
                <w:rFonts w:hint="eastAsia" w:ascii="书宋-简" w:hAnsi="书宋-简" w:eastAsia="书宋-简" w:cs="书宋-简"/>
                <w:b/>
                <w:bCs/>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BF7E88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CCCA91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2B0634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30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0CB20C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5BBC00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113FED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1AE2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CDD3791">
            <w:pPr>
              <w:keepNext w:val="0"/>
              <w:keepLines w:val="0"/>
              <w:widowControl/>
              <w:suppressLineNumbers w:val="0"/>
              <w:jc w:val="center"/>
              <w:textAlignment w:val="center"/>
              <w:rPr>
                <w:rFonts w:hint="default" w:ascii="书宋-简" w:hAnsi="书宋-简" w:eastAsia="书宋-简" w:cs="书宋-简"/>
                <w:b/>
                <w:bCs/>
                <w:i w:val="0"/>
                <w:iCs w:val="0"/>
                <w:color w:val="auto"/>
                <w:kern w:val="0"/>
                <w:sz w:val="24"/>
                <w:szCs w:val="24"/>
                <w:highlight w:val="none"/>
                <w:u w:val="none"/>
                <w:lang w:val="en-US" w:eastAsia="zh-CN" w:bidi="ar"/>
              </w:rPr>
            </w:pPr>
            <w:r>
              <w:rPr>
                <w:rFonts w:hint="eastAsia" w:ascii="书宋-简" w:hAnsi="书宋-简" w:eastAsia="书宋-简" w:cs="书宋-简"/>
                <w:b/>
                <w:bCs/>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5E582C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万向节支架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93E793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6F95E3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30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319E0E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70C60A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100929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3588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4EDB3EC">
            <w:pPr>
              <w:keepNext w:val="0"/>
              <w:keepLines w:val="0"/>
              <w:widowControl/>
              <w:suppressLineNumbers w:val="0"/>
              <w:jc w:val="center"/>
              <w:textAlignment w:val="center"/>
              <w:rPr>
                <w:rFonts w:hint="default" w:ascii="书宋-简" w:hAnsi="书宋-简" w:eastAsia="书宋-简" w:cs="书宋-简"/>
                <w:b/>
                <w:bCs/>
                <w:i w:val="0"/>
                <w:iCs w:val="0"/>
                <w:color w:val="auto"/>
                <w:kern w:val="0"/>
                <w:sz w:val="24"/>
                <w:szCs w:val="24"/>
                <w:highlight w:val="none"/>
                <w:u w:val="none"/>
                <w:lang w:val="en-US" w:eastAsia="zh-CN" w:bidi="ar"/>
              </w:rPr>
            </w:pPr>
            <w:r>
              <w:rPr>
                <w:rFonts w:hint="eastAsia" w:ascii="书宋-简" w:hAnsi="书宋-简" w:eastAsia="书宋-简" w:cs="书宋-简"/>
                <w:b/>
                <w:bCs/>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693176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电源</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2F3C78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F96F9E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30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6B5CB8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A8CC5B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AB82B1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56F2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57E60AC">
            <w:pPr>
              <w:keepNext w:val="0"/>
              <w:keepLines w:val="0"/>
              <w:widowControl/>
              <w:suppressLineNumbers w:val="0"/>
              <w:jc w:val="center"/>
              <w:textAlignment w:val="center"/>
              <w:rPr>
                <w:rFonts w:hint="default" w:ascii="书宋-简" w:hAnsi="书宋-简" w:eastAsia="书宋-简" w:cs="书宋-简"/>
                <w:b/>
                <w:bCs/>
                <w:i w:val="0"/>
                <w:iCs w:val="0"/>
                <w:color w:val="auto"/>
                <w:kern w:val="0"/>
                <w:sz w:val="24"/>
                <w:szCs w:val="24"/>
                <w:highlight w:val="none"/>
                <w:u w:val="none"/>
                <w:lang w:val="en-US" w:eastAsia="zh-CN" w:bidi="ar"/>
              </w:rPr>
            </w:pPr>
            <w:r>
              <w:rPr>
                <w:rFonts w:hint="eastAsia" w:ascii="书宋-简" w:hAnsi="书宋-简" w:eastAsia="书宋-简" w:cs="书宋-简"/>
                <w:b/>
                <w:bCs/>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60AD9D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路侧停车智能终端管理盒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91A1E5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4A72E2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121AE6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A62E2C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F2E5B3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F39FC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8DD3699">
            <w:pPr>
              <w:keepNext w:val="0"/>
              <w:keepLines w:val="0"/>
              <w:widowControl/>
              <w:suppressLineNumbers w:val="0"/>
              <w:jc w:val="center"/>
              <w:textAlignment w:val="center"/>
              <w:rPr>
                <w:rFonts w:hint="default" w:ascii="书宋-简" w:hAnsi="书宋-简" w:eastAsia="书宋-简" w:cs="书宋-简"/>
                <w:b/>
                <w:bCs/>
                <w:i w:val="0"/>
                <w:iCs w:val="0"/>
                <w:color w:val="auto"/>
                <w:kern w:val="0"/>
                <w:sz w:val="24"/>
                <w:szCs w:val="24"/>
                <w:highlight w:val="none"/>
                <w:u w:val="none"/>
                <w:lang w:val="en-US" w:eastAsia="zh-CN" w:bidi="ar"/>
              </w:rPr>
            </w:pPr>
            <w:r>
              <w:rPr>
                <w:rFonts w:hint="eastAsia" w:ascii="书宋-简" w:hAnsi="书宋-简" w:eastAsia="书宋-简" w:cs="书宋-简"/>
                <w:b/>
                <w:bCs/>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348A70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智能抱杆箱</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469E62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1A05C5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D79704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4F161B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E4D978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AD75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6F309BE3">
            <w:pPr>
              <w:jc w:val="left"/>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bCs/>
                <w:i w:val="0"/>
                <w:iCs w:val="0"/>
                <w:color w:val="auto"/>
                <w:kern w:val="0"/>
                <w:sz w:val="24"/>
                <w:szCs w:val="24"/>
                <w:highlight w:val="none"/>
                <w:u w:val="none"/>
                <w:lang w:val="en-US" w:eastAsia="zh-CN" w:bidi="ar"/>
              </w:rPr>
              <w:t>十四、中心设备扩容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483273E">
            <w:pPr>
              <w:jc w:val="center"/>
              <w:rPr>
                <w:rFonts w:hint="eastAsia" w:ascii="书宋-简" w:hAnsi="书宋-简" w:eastAsia="书宋-简" w:cs="书宋-简"/>
                <w:i w:val="0"/>
                <w:iCs w:val="0"/>
                <w:color w:val="auto"/>
                <w:sz w:val="24"/>
                <w:szCs w:val="24"/>
                <w:highlight w:val="none"/>
                <w:u w:val="none"/>
                <w:lang w:val="en-US" w:eastAsia="zh-CN" w:bidi="ar-SA"/>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26461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22E9A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9D1E41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C73D06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r>
      <w:tr w14:paraId="6A8BE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4DF89940">
            <w:pP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kern w:val="0"/>
                <w:sz w:val="24"/>
                <w:szCs w:val="24"/>
                <w:highlight w:val="none"/>
                <w:u w:val="none"/>
                <w:lang w:val="en-US" w:eastAsia="zh-CN" w:bidi="ar"/>
              </w:rPr>
              <w:t>14.1视频云存储扩容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5E8CB6A">
            <w:pPr>
              <w:rPr>
                <w:rFonts w:hint="eastAsia" w:ascii="书宋-简" w:hAnsi="书宋-简" w:eastAsia="书宋-简" w:cs="书宋-简"/>
                <w:i w:val="0"/>
                <w:iCs w:val="0"/>
                <w:color w:val="auto"/>
                <w:sz w:val="24"/>
                <w:szCs w:val="24"/>
                <w:highlight w:val="none"/>
                <w:u w:val="none"/>
                <w:lang w:val="en-US" w:eastAsia="zh-CN" w:bidi="ar-SA"/>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EEFC8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A8215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966839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492DA1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r>
      <w:tr w14:paraId="3490C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25B3AA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ACFBFA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云存储节点1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692D79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824FE0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3DC4A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428786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8FBFE8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459B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3A775A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13F1E1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管理服务器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A5B189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D2AAA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D72D26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2056F0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CA139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038AB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808730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291044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汇聚交换机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28CA0E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35659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C1AE20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A7F0F9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D0865E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AE7F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E26513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4A4DEC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管理交换机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12082B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DB6C74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22F3C6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35CA77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80A95D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3E8CA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67CA67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786768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数据库服务器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CD7167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B4C841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985B6C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64F550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C9C2D0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97B9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F5BF35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511D6F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应用服务器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562F84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796B9B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15537A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10D781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32C614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C339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0F273D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349EB0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接入服务器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DF7056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A26FED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D81395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5865FA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A7B89D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0971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60615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0B8EA8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图形工作站</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ACFE7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3A7D12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3AFACE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0F4D7F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7E4231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C1C6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0E9372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3AEDB4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云数据库一体机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59CFFD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E787BE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A72889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9A7952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6DE5F1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5A93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384AA655">
            <w:pPr>
              <w:jc w:val="left"/>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kern w:val="0"/>
                <w:sz w:val="24"/>
                <w:szCs w:val="24"/>
                <w:highlight w:val="none"/>
                <w:u w:val="none"/>
                <w:lang w:val="en-US" w:eastAsia="zh-CN" w:bidi="ar"/>
              </w:rPr>
              <w:t>14.2中心存储扩容（公路）</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63CCB74">
            <w:pPr>
              <w:jc w:val="center"/>
              <w:rPr>
                <w:rFonts w:hint="eastAsia" w:ascii="书宋-简" w:hAnsi="书宋-简" w:eastAsia="书宋-简" w:cs="书宋-简"/>
                <w:i w:val="0"/>
                <w:iCs w:val="0"/>
                <w:color w:val="auto"/>
                <w:sz w:val="24"/>
                <w:szCs w:val="24"/>
                <w:highlight w:val="none"/>
                <w:u w:val="none"/>
                <w:lang w:val="en-US" w:eastAsia="zh-CN" w:bidi="ar-SA"/>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99D14A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9141FE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116F1C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12412F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r>
      <w:tr w14:paraId="2B78A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43636B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7A54B8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云存储节点2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698371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9A91EF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44D60A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2B2A45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E4C222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D0C5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F872EB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5F6FB9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视频算法识别</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C894ED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358DF0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30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83084F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1A3967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E583ED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5730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CAD19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74A811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事件检测智能服务器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F56E11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001A12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D9E96C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A0E1B5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93140F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3072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17FE41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099496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视图智能引擎算法服务基础授权</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9C4B2D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008A53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4C1313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B6037D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9FB1FF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ABBE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465A0372">
            <w:pPr>
              <w:jc w:val="left"/>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kern w:val="0"/>
                <w:sz w:val="24"/>
                <w:szCs w:val="24"/>
                <w:highlight w:val="none"/>
                <w:u w:val="none"/>
                <w:lang w:val="en-US" w:eastAsia="zh-CN" w:bidi="ar"/>
              </w:rPr>
              <w:t>14.3西二环交通局中心存储扩容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475469F">
            <w:pPr>
              <w:jc w:val="center"/>
              <w:rPr>
                <w:rFonts w:hint="eastAsia" w:ascii="书宋-简" w:hAnsi="书宋-简" w:eastAsia="书宋-简" w:cs="书宋-简"/>
                <w:i w:val="0"/>
                <w:iCs w:val="0"/>
                <w:color w:val="auto"/>
                <w:sz w:val="24"/>
                <w:szCs w:val="24"/>
                <w:highlight w:val="none"/>
                <w:u w:val="none"/>
                <w:lang w:val="en-US" w:eastAsia="zh-CN" w:bidi="ar-SA"/>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6FDA0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03DEBE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4DE3B2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5FB880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r>
      <w:tr w14:paraId="7146D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1F3C13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AC6FB3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云存储节点2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6F201A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1FC42C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247AD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DF8D51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5E30F9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B3AF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A926DC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20674A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视频算法识别</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4EA125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F859CD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30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03EA51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CFF315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377AE8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D0AF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75D003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90C502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事件检测智能服务器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8B05BC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368285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A6F6B3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122AA5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BB95C4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46C1D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9C1858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053C21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视图智能引擎算法服务基础授权</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FB9719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14FC1B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CA9D9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148FB6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9E3F55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4509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157BC25B">
            <w:pPr>
              <w:rPr>
                <w:rFonts w:hint="eastAsia" w:ascii="书宋-简" w:hAnsi="书宋-简" w:eastAsia="书宋-简" w:cs="书宋-简"/>
                <w:b/>
                <w:bCs/>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kern w:val="0"/>
                <w:sz w:val="24"/>
                <w:szCs w:val="24"/>
                <w:highlight w:val="none"/>
                <w:u w:val="none"/>
                <w:lang w:val="en-US" w:eastAsia="zh-CN" w:bidi="ar"/>
              </w:rPr>
              <w:t>14.4 AI智能分析服务器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49CDB02">
            <w:pPr>
              <w:jc w:val="center"/>
              <w:rPr>
                <w:rFonts w:hint="eastAsia" w:ascii="书宋-简" w:hAnsi="书宋-简" w:eastAsia="书宋-简" w:cs="书宋-简"/>
                <w:b/>
                <w:bCs/>
                <w:i w:val="0"/>
                <w:iCs w:val="0"/>
                <w:color w:val="auto"/>
                <w:sz w:val="24"/>
                <w:szCs w:val="24"/>
                <w:highlight w:val="none"/>
                <w:u w:val="none"/>
                <w:lang w:val="en-US" w:eastAsia="zh-CN" w:bidi="ar-SA"/>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A92013D">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6B66B39">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FA6C785">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1E6BF02">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p>
        </w:tc>
      </w:tr>
      <w:tr w14:paraId="2859F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725D1D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85B4C5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kern w:val="0"/>
                <w:sz w:val="24"/>
                <w:szCs w:val="24"/>
                <w:highlight w:val="none"/>
                <w:u w:val="none"/>
                <w:lang w:val="en-US" w:eastAsia="zh-CN" w:bidi="ar"/>
              </w:rPr>
              <w:t>AI智能分析服务器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1213C72">
            <w:pPr>
              <w:jc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ACE3DB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F97788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5012A2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1A8756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1A16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1FE764B3">
            <w:pPr>
              <w:jc w:val="left"/>
              <w:rPr>
                <w:rFonts w:hint="eastAsia" w:ascii="书宋-简" w:hAnsi="书宋-简" w:eastAsia="书宋-简" w:cs="书宋-简"/>
                <w:b/>
                <w:bCs/>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kern w:val="0"/>
                <w:sz w:val="24"/>
                <w:szCs w:val="24"/>
                <w:highlight w:val="none"/>
                <w:u w:val="none"/>
                <w:lang w:val="en-US" w:eastAsia="zh-CN" w:bidi="ar"/>
              </w:rPr>
              <w:t>14.5车辆二次分析设备扩容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21D92CB">
            <w:pPr>
              <w:jc w:val="center"/>
              <w:rPr>
                <w:rFonts w:hint="eastAsia" w:ascii="书宋-简" w:hAnsi="书宋-简" w:eastAsia="书宋-简" w:cs="书宋-简"/>
                <w:b/>
                <w:bCs/>
                <w:i w:val="0"/>
                <w:iCs w:val="0"/>
                <w:color w:val="auto"/>
                <w:sz w:val="24"/>
                <w:szCs w:val="24"/>
                <w:highlight w:val="none"/>
                <w:u w:val="none"/>
                <w:lang w:val="en-US" w:eastAsia="zh-CN" w:bidi="ar-SA"/>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A7BC82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B457FB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D64E69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FD83A5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r>
      <w:tr w14:paraId="69C2B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9CBBAF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511A46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应用服务节点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86DAD7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22A6B2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275ADE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24761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70F685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E960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35AB7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B89703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大数据存储节点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5C65F1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3558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8D74C8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521BBA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22EFBC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CCE9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6869DF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32019E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高性能GPU分析节点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FD4C21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01DD5D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0EDE01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1F5BBB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609D65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37F66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9F7F6E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35A6EC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视频准入设备</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B31BD3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367469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AA6328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03DFA5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4975A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5680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4EB952CF">
            <w:pPr>
              <w:jc w:val="left"/>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kern w:val="0"/>
                <w:sz w:val="24"/>
                <w:szCs w:val="24"/>
                <w:highlight w:val="none"/>
                <w:u w:val="none"/>
                <w:lang w:val="en-US" w:eastAsia="zh-CN" w:bidi="ar"/>
              </w:rPr>
              <w:t>14.6虚拟化扩容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F4EA624">
            <w:pPr>
              <w:jc w:val="center"/>
              <w:rPr>
                <w:rFonts w:hint="eastAsia" w:ascii="书宋-简" w:hAnsi="书宋-简" w:eastAsia="书宋-简" w:cs="书宋-简"/>
                <w:i w:val="0"/>
                <w:iCs w:val="0"/>
                <w:color w:val="auto"/>
                <w:sz w:val="24"/>
                <w:szCs w:val="24"/>
                <w:highlight w:val="none"/>
                <w:u w:val="none"/>
                <w:lang w:val="en-US" w:eastAsia="zh-CN" w:bidi="ar-SA"/>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562BB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8454E1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FC30F6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3D4F68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r>
      <w:tr w14:paraId="3D991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132F5B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B7E65B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虚拟化节点（扩容）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8C63F1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B6078E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CEA974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00E5EB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409162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A39E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42F5BC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5645D1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虚拟化授权扩容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E4D28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7F5F02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47985C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275882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F3D77D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632D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444BB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E102C6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网卡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E9E78D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张</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E5AC76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DB90D4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C3F960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8D4E5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422B5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32014C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F77152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t>超融合万兆接入交换机</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96A088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t>台</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43A2A9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sz w:val="24"/>
                <w:szCs w:val="24"/>
                <w:highlight w:val="none"/>
                <w:u w:val="none"/>
                <w:lang w:val="en-US" w:eastAsia="zh-CN" w:bidi="ar-SA"/>
              </w:rPr>
              <w:t>2</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9F9B1A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56352B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2D245C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228D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7AEB5B6F">
            <w:pPr>
              <w:jc w:val="left"/>
              <w:rPr>
                <w:rFonts w:hint="eastAsia" w:ascii="书宋-简" w:hAnsi="书宋-简" w:eastAsia="书宋-简" w:cs="书宋-简"/>
                <w:b/>
                <w:bCs/>
                <w:i w:val="0"/>
                <w:iCs w:val="0"/>
                <w:color w:val="auto"/>
                <w:sz w:val="24"/>
                <w:szCs w:val="24"/>
                <w:highlight w:val="none"/>
                <w:u w:val="none"/>
                <w:lang w:val="en-US" w:eastAsia="zh-CN" w:bidi="ar-SA"/>
              </w:rPr>
            </w:pPr>
            <w:r>
              <w:rPr>
                <w:rFonts w:hint="eastAsia" w:ascii="书宋-简" w:hAnsi="书宋-简" w:eastAsia="书宋-简" w:cs="书宋-简"/>
                <w:b w:val="0"/>
                <w:bCs w:val="0"/>
                <w:i w:val="0"/>
                <w:iCs w:val="0"/>
                <w:color w:val="auto"/>
                <w:kern w:val="0"/>
                <w:sz w:val="24"/>
                <w:szCs w:val="24"/>
                <w:highlight w:val="none"/>
                <w:u w:val="none"/>
                <w:lang w:val="en-US" w:eastAsia="zh-CN" w:bidi="ar"/>
              </w:rPr>
              <w:t>14.7数据平台软件扩容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BEF29DC">
            <w:pPr>
              <w:jc w:val="center"/>
              <w:rPr>
                <w:rFonts w:hint="eastAsia" w:ascii="书宋-简" w:hAnsi="书宋-简" w:eastAsia="书宋-简" w:cs="书宋-简"/>
                <w:i w:val="0"/>
                <w:iCs w:val="0"/>
                <w:color w:val="auto"/>
                <w:sz w:val="24"/>
                <w:szCs w:val="24"/>
                <w:highlight w:val="none"/>
                <w:u w:val="none"/>
                <w:lang w:val="en-US" w:eastAsia="zh-CN" w:bidi="ar-SA"/>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09D0FD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743622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A704A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9F09D8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r>
      <w:tr w14:paraId="5D842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D0A48D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2C83DA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全息监管平台（扩容）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689E08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318DDA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lang w:val="en-US" w:eastAsia="zh-CN" w:bidi="ar-SA"/>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77CDD1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8D2D2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2EBAE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7F3D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038EC2E8">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lang w:val="en-US" w:eastAsia="zh-CN"/>
              </w:rPr>
            </w:pPr>
            <w:r>
              <w:rPr>
                <w:rFonts w:hint="eastAsia" w:ascii="书宋-简" w:hAnsi="书宋-简" w:eastAsia="书宋-简" w:cs="书宋-简"/>
                <w:b/>
                <w:bCs/>
                <w:i w:val="0"/>
                <w:iCs w:val="0"/>
                <w:color w:val="auto"/>
                <w:sz w:val="24"/>
                <w:szCs w:val="24"/>
                <w:highlight w:val="none"/>
                <w:u w:val="none"/>
                <w:lang w:val="en-US" w:eastAsia="zh-CN"/>
              </w:rPr>
              <w:t>十五、管道</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E3BCFE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3AFF54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9A21D1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BA7674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DF1634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p>
        </w:tc>
      </w:tr>
      <w:tr w14:paraId="063F9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24D741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E5CCC35">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BB0AF4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ECEB88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1D2C5C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F5D2B0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F0AB60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EED3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117677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306B33A">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电源线2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CB22ED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38BE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CC33AC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DC855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542852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68636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62CB9B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27060F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网线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02B63D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A507BD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D79DFF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BC01C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3A441D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D834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7551BD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871D35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CAA57C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6F38D1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2E51C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058737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C9401F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23747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9F4580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8CB397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2EBF52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EEC3C8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B73CA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FFC817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E836A2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34B6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E462EE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6035B8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光纤尾纤</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4831EF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F868FF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92EBB4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956A22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95F37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5DEB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33E47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3CEFEA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光纤跳线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DEC9AD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条</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8A54F1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477D03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F515B2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73ADB9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DD4C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838EE5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04FDF0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光纤熔接</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553909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514E8C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E431D3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5C597A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385AE0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1F9B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EF8A94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047117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水泥管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9AC7D9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8FA069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DA49AB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2C85AB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AC18EE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0FB3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CB8B532">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3A3390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镀锌钢管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C660AD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81E755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9AF545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98E09B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71699C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AECE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0B3A9A8">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6FC1DA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尼龙管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37F096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8D7B44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741D1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A34473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37F541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2B5F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BBC4C62">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0A1EF1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硅芯管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892B5D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CB3310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41250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C6DA19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C3D695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70532E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F2BB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EF9552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CF3CED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手孔井</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12428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CC93BF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274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D29F5C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F5A213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8E408E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D129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2E35A21">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B50F57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人孔井</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465D0D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8D0168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0AE313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6169B0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9BEA69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AF88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68C3E0C">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ign w:val="center"/>
          </w:tcPr>
          <w:p w14:paraId="319076D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开挖土方路面</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CC3FE3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62911B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16688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BF3D8B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D7FBBF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2A2D37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0833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CC97BF5">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ign w:val="center"/>
          </w:tcPr>
          <w:p w14:paraId="002549F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开挖人行道板</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84DCB6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FFF72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8EE668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541528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6B987F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203A6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B50FE60">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B71D61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拖拉管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B2209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0FBE09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C91235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BF10C3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ECC8EF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B6E3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DFC74A9">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A66D24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接线箱（引下型）</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75BFE9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58A789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DB9707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2B5F28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A6AC0D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7680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7054610">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19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A8879D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接线箱（普通型）</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570295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EA6D7D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0F2BBA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1D76AC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999B4D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7457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37D2992">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BF2E2D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桥架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91004A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1FBF37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800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5D0D86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52D78A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BAE405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EB916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2F41752">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2D465D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硅芯管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06D4C3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D67C8A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828287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6B334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F7CC34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33D5D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F37DF86">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DFFBB3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硅芯管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710F54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F0237B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3350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D44D21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EEC149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8DE7D8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FFA2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A56ACAA">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7F358E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DN65</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352470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A51DC8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70410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C69DB6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55CF6F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D06F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A90B50C">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E745A3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PE25</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220FFB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7C3311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B250BA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B4304F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CFC53F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B9FA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233803F">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0AFDBD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PVC管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369E08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746BB2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953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385D6E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8A514D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9090C4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4C9B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D1B9E45">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FC1275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辅材</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6CAAB0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69E226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13AE08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030B10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40ADE0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C460A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21418B1">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86AD53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200KVA箱变</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244BB0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4B588A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AA54AC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F2F129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EBBC99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C2597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BEEE606">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11364C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电缆直通井</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84EED4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7037C9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611087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0EA329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20AB98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0295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7D7A04C">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29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6706E1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电缆三通井</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BE3B29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4EC3C5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7F56E6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44396C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4BC1F8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DBFA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33842F7">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30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A35BCA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电缆转角井</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A5D014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F0479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1799EE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F98A95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9249B3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1BFD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918CD07">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31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875302C">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电力电缆7</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9C2F5F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0C3067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635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389C77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A9B4C6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994EFB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7E42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ABBBF94">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32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4286A3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两通道排管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95729E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105AFA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605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0D88B4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59FD17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28A9B6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4688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3A7DE95">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33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B6450F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牵引力拖拉管</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7F9C49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CEECC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861F6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80A8A2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EED54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0CD38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7D0F632">
            <w:pPr>
              <w:keepNext w:val="0"/>
              <w:keepLines w:val="0"/>
              <w:widowControl/>
              <w:suppressLineNumbers w:val="0"/>
              <w:jc w:val="center"/>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34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AF23B7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挖沟槽土方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658E89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米</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994B5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580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1363C9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CA46AC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6C0961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42E19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6BCB47A6">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十六、合杆杆件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5BF16F6">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6BD46D0">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AF301BC">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C8A0ED">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B75E108">
            <w:pPr>
              <w:jc w:val="center"/>
              <w:rPr>
                <w:rFonts w:hint="eastAsia" w:ascii="书宋-简" w:hAnsi="书宋-简" w:eastAsia="书宋-简" w:cs="书宋-简"/>
                <w:i w:val="0"/>
                <w:iCs w:val="0"/>
                <w:color w:val="auto"/>
                <w:sz w:val="24"/>
                <w:szCs w:val="24"/>
                <w:highlight w:val="none"/>
                <w:u w:val="none"/>
              </w:rPr>
            </w:pPr>
          </w:p>
        </w:tc>
      </w:tr>
      <w:tr w14:paraId="03945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2341DD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227371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LED单臂合杆路灯二</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（智能化单悬臂5米）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225E8D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3771E7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C6D07C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4C752C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AA449B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40AA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1751D1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DAB080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LED单臂合杆路灯二</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（智能化单悬臂9米）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E158B9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70347A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D9B597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C70EA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441CB2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E6D4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7B6846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A68036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LED单臂合杆路灯二</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（智能化单悬臂12米）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1912AD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F007BF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14A528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EE020E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242F36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6B35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E3E8EA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6E8CCD6">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LED单臂合杆路灯五</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（智能化单悬臂5米）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2B50C5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FD3DE3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D2FDB0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2CDB1A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2FD826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4B7A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B9D3E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F76BC0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LED单臂合杆路灯五</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（智能化单悬臂7米）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8B27AB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2BA7B8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12A90F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3D440E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C08FE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240D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0AB547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47FB64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LED单臂合杆路灯五</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（智能化单悬臂9米）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AC69BE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113C07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72A52A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0C26F4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A5B8E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7BD74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76CCD3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B2AAFA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LED单臂合杆路灯五</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（智能化单悬臂12米）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74B451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360135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42E83B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DDF748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82635E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614D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B1369A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DDC4CE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LED双臂合杆路灯二</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（智能化单悬臂5米）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4AC3EE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9114B6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D62EA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649D01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2BD67F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7F14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47D5B7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86CB39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LED双臂合杆路灯二</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（智能化单悬臂7米）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11530C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6AC936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508DE5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2EB791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C64D77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781F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82A66E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FDA9F0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LED双臂合杆路灯三</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（智能化单悬臂5米）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6D7847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6E15D7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161A46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FF427D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78426B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088B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A9B9AF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B96E9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LED双臂合杆路灯三</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（智能化单悬臂7米）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3DC1E7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31586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C4998F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278B85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7B7416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C1E1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2B773E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44D485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LED双臂合杆路灯三</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（智能化单悬臂12米）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FF89F9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341BD3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5C93DA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1DE078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07C8E9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69F4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510D7A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E1355D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LED双臂合杆路灯三</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（智能化单悬臂11米+3米）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7E1FC8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B7B607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EF2132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47EBBF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2E6082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285C0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D7A0A6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61700C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LED双臂合杆路灯四</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（智能化单悬臂7米）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F92BE5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0FF02B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2DBD12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C20E7B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F9CB6E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D693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C180E6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30A21A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LED双臂合杆路灯四</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（智能化单悬臂9米+3米）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847E10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A5846D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F62372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661704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F9491F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E94A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A94D55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A11B25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LED双臂合杆路灯四</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（智能化单悬臂12米+3米）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12DEE7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120B8A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A7677F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718FE0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EAF3CD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BED4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082514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3AA996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LED合杆中杆灯一</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（智能化单悬臂5米）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0A1E51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222D1F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FF0C4E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E73A4A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4AD806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B307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541239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E0ACDE0">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LED合杆中杆灯一</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（智能化单悬臂12米+3米）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ABE7D8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843964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2496E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74B6EF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35E0C6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841E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8F79A8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D6257D9">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LED合杆中杆灯一（附着）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81DCBC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F77987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24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5CDCCB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C0FC0B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C99C44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CFBF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D7865C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07E485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LED单臂合杆路灯二（附着）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B2102F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FB4128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1AA1A7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C5006B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B62BB8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1F48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D0D7FE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C924C8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LED单臂合杆路灯五（附着）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16F8FF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A9A086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C3021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E96895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76B8AD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24EA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79626D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BFAFF3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LED双臂合杆路灯四（附着）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1D4F47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0D761F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D31C5C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A9CC8D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EA289C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48A0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D7BAB2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750838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LED单臂合杆路灯二（交安单侧4.0mx2.5m标志牌）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AC44E2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B80DAF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2091CB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3C1A1E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3E96FE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006A5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879DA5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DDA4DE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LED双臂合杆路灯二（交安单侧φ1.2m×3标志牌）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1DCFF7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181D7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B372E7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309A35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F12C50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7D2DF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78A9CD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DD7F73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LED双臂合杆路灯二（交安单侧4.0mx2.5m标志牌）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003651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0BAF88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DD01BD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28342A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E6CC6C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EC96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732E49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5F5B28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LED双臂合杆路灯四（交安单侧φ1.2m×3标志牌）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FAE917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5B1DE3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BAA895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79BBFB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30A63F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156A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9DE50B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9A9B7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LED双臂合杆路灯四（交安单侧4.0mx2.5m标志牌）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78259D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0BB94C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9DBA4C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01C10D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125AFA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0EDF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8CCC46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002C0D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路灯接地极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93EA46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2DC324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7B720C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0511F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126855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7ED8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84C7BA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29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BFFDCB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路灯基础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F20566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9FFE48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16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265B29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560C33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1EE503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3B1D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0285DB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6A2763F">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综合杆基础一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409E0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CFD09A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D3FEB0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ABDB55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1F9569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BCD8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E971F0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55FB79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综合杆基础二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1835B6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6493E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128256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ABE6CC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B07975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7571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C06050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BA00488">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综合杆基础三</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5EFEA9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FDB2E8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7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799C80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7A866D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DA244B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1CD3E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24E1C0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5678DC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LED单臂合杆路灯一</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（智能化单悬臂5米）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615A11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6FF431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DA8C1B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A6E0C2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47D29D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3738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21C14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6A936E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LED单臂合杆路灯一</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（智能化单悬臂5米）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545FFE3">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09CA33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095F50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2DF7DA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E1BE0A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BFF55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3E9C03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63CBEC2">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LED单臂合杆路灯一</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（智能化单悬臂7米）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F33805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06A1CB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61E0DA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A2C1F0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E6A0C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8F7A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F34854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0C3A54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LED单臂合杆路灯一</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（智能化单悬臂9米）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549F55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DE6D34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824675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9A169F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7B7F99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2ECF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B01967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7D4070E">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LED单臂合杆路灯一</w:t>
            </w:r>
            <w:r>
              <w:rPr>
                <w:rFonts w:hint="eastAsia" w:ascii="书宋-简" w:hAnsi="书宋-简" w:eastAsia="书宋-简" w:cs="书宋-简"/>
                <w:i w:val="0"/>
                <w:iCs w:val="0"/>
                <w:color w:val="auto"/>
                <w:kern w:val="0"/>
                <w:sz w:val="24"/>
                <w:szCs w:val="24"/>
                <w:highlight w:val="none"/>
                <w:u w:val="none"/>
                <w:lang w:val="en-US" w:eastAsia="zh-CN" w:bidi="ar"/>
              </w:rPr>
              <w:br w:type="textWrapping"/>
            </w:r>
            <w:r>
              <w:rPr>
                <w:rFonts w:hint="eastAsia" w:ascii="书宋-简" w:hAnsi="书宋-简" w:eastAsia="书宋-简" w:cs="书宋-简"/>
                <w:i w:val="0"/>
                <w:iCs w:val="0"/>
                <w:color w:val="auto"/>
                <w:kern w:val="0"/>
                <w:sz w:val="24"/>
                <w:szCs w:val="24"/>
                <w:highlight w:val="none"/>
                <w:u w:val="none"/>
                <w:lang w:val="en-US" w:eastAsia="zh-CN" w:bidi="ar"/>
              </w:rPr>
              <w:t>（智能化单悬臂9米）</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27FD0F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8EA45C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5E59E4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D5B6DD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9F45DA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99AC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EB3BBC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62F97B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LED单臂合杆路灯一（附着）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586438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D359E3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129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E45AE8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9EFB00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CFC61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2F0EF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B05ED6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778B27B">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LED单臂合杆路灯一（交安单侧3.2m×3.1m标志牌）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A622C5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A95512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B4E309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40B977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D1F8EB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0D04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AC55F9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3A9550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LED单臂合杆路灯一（交安双侧3.2m×3.1m标志牌）</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EBE478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B25B2B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CAEF4D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B23B4C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8768D9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E07C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E24316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C806525">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路灯接线盒</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0FFAE9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99D0D56">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283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EA043F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2C6CFCE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9CDFB5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0AD4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21DFF0E">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47C133A">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高架双悬臂交安杆件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02451E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8C7195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67BCFA8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F83A5E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7E66D6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FBFE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C9180D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3A8F9C7">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可变限速显示屏门架式立杆</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3F47CDD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D9873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EF1851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5E6C61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68094A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386BE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419246F">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7C2C7F1">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高架上匝道门架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04AC50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1131F1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2EE304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F80489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BC09C2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C4D6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B2AA2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26C6F9D">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地面接地极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1F33BD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79F2E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12CE822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87383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7E1CDF4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04B9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70EF28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834390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门架基础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48F2A6AC">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AB22CC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58BBD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FB197F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60ED80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65F5C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8369C8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C8772FC">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地面双悬臂交安杆件</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B4781A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2E9F7A6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755B0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245CBC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645440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76E8A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AFBFCE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CE0E8E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地面双悬臂交安杆件基础</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A670930">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E05924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2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F29695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2BDCAD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4BC70C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F2288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4FB864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49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658E91B">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地面单悬臂交安杆件1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FE066C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0617CFA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18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D711EB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A735DB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EF7627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CFEB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98922A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50</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B8DF0BF">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地面单悬臂交安杆件2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3DC2F91">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A124D6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A55C07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D7FCA1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EF0D8F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40859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06703C2">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1A97CC1">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地面单悬臂交安杆件3</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48226D8">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杆</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EB67A87">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04FFDC2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AA9D3A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61F8631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16054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3F48085">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658B616">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地面单悬臂交安杆件基础1</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9BE3E0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E70DF4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19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4737FC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75831B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CAE2FD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2881F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34652BF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53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8FDDD41">
            <w:pPr>
              <w:keepNext w:val="0"/>
              <w:keepLines w:val="0"/>
              <w:widowControl/>
              <w:suppressLineNumbers w:val="0"/>
              <w:jc w:val="left"/>
              <w:textAlignment w:val="center"/>
              <w:rPr>
                <w:rFonts w:hint="default" w:ascii="书宋-简" w:hAnsi="书宋-简" w:eastAsia="书宋-简" w:cs="书宋-简"/>
                <w:i w:val="0"/>
                <w:iCs w:val="0"/>
                <w:color w:val="auto"/>
                <w:sz w:val="24"/>
                <w:szCs w:val="24"/>
                <w:highlight w:val="none"/>
                <w:u w:val="none"/>
                <w:lang w:val="en-US"/>
              </w:rPr>
            </w:pPr>
            <w:r>
              <w:rPr>
                <w:rFonts w:hint="eastAsia" w:ascii="书宋-简" w:hAnsi="书宋-简" w:eastAsia="书宋-简" w:cs="书宋-简"/>
                <w:i w:val="0"/>
                <w:iCs w:val="0"/>
                <w:color w:val="auto"/>
                <w:kern w:val="0"/>
                <w:sz w:val="24"/>
                <w:szCs w:val="24"/>
                <w:highlight w:val="none"/>
                <w:u w:val="none"/>
                <w:lang w:val="en-US" w:eastAsia="zh-CN" w:bidi="ar"/>
              </w:rPr>
              <w:t>地面单悬臂交安杆件基础2</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14ECEEA9">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个</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73268D3">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21AEC3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C352FBB">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主要采购标的</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1F42295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货物类</w:t>
            </w:r>
          </w:p>
        </w:tc>
      </w:tr>
      <w:tr w14:paraId="51D2C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2695" w:type="dxa"/>
            <w:gridSpan w:val="2"/>
            <w:tcBorders>
              <w:top w:val="single" w:color="000000" w:sz="4" w:space="0"/>
              <w:left w:val="single" w:color="000000" w:sz="4" w:space="0"/>
              <w:bottom w:val="single" w:color="000000" w:sz="4" w:space="0"/>
              <w:right w:val="single" w:color="000000" w:sz="4" w:space="0"/>
            </w:tcBorders>
            <w:noWrap w:val="0"/>
            <w:vAlign w:val="center"/>
          </w:tcPr>
          <w:p w14:paraId="6A8289D1">
            <w:pPr>
              <w:keepNext w:val="0"/>
              <w:keepLines w:val="0"/>
              <w:widowControl/>
              <w:suppressLineNumbers w:val="0"/>
              <w:jc w:val="left"/>
              <w:textAlignment w:val="center"/>
              <w:rPr>
                <w:rFonts w:hint="eastAsia" w:ascii="书宋-简" w:hAnsi="书宋-简" w:eastAsia="书宋-简" w:cs="书宋-简"/>
                <w:b/>
                <w:bCs/>
                <w:i w:val="0"/>
                <w:iCs w:val="0"/>
                <w:color w:val="auto"/>
                <w:sz w:val="24"/>
                <w:szCs w:val="24"/>
                <w:highlight w:val="none"/>
                <w:u w:val="none"/>
              </w:rPr>
            </w:pPr>
            <w:r>
              <w:rPr>
                <w:rFonts w:hint="eastAsia" w:ascii="书宋-简" w:hAnsi="书宋-简" w:eastAsia="书宋-简" w:cs="书宋-简"/>
                <w:b/>
                <w:bCs/>
                <w:i w:val="0"/>
                <w:iCs w:val="0"/>
                <w:color w:val="auto"/>
                <w:kern w:val="0"/>
                <w:sz w:val="24"/>
                <w:szCs w:val="24"/>
                <w:highlight w:val="none"/>
                <w:u w:val="none"/>
                <w:lang w:val="en-US" w:eastAsia="zh-CN" w:bidi="ar"/>
              </w:rPr>
              <w:t>十七、其他暂定费用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15F6A7E">
            <w:pPr>
              <w:jc w:val="center"/>
              <w:rPr>
                <w:rFonts w:hint="eastAsia" w:ascii="书宋-简" w:hAnsi="书宋-简" w:eastAsia="书宋-简" w:cs="书宋-简"/>
                <w:i w:val="0"/>
                <w:iCs w:val="0"/>
                <w:color w:val="auto"/>
                <w:sz w:val="24"/>
                <w:szCs w:val="24"/>
                <w:highlight w:val="none"/>
                <w:u w:val="none"/>
              </w:rPr>
            </w:pP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C9E4B6">
            <w:pPr>
              <w:jc w:val="center"/>
              <w:rPr>
                <w:rFonts w:hint="eastAsia" w:ascii="书宋-简" w:hAnsi="书宋-简" w:eastAsia="书宋-简" w:cs="书宋-简"/>
                <w:i w:val="0"/>
                <w:iCs w:val="0"/>
                <w:color w:val="auto"/>
                <w:sz w:val="24"/>
                <w:szCs w:val="24"/>
                <w:highlight w:val="none"/>
                <w:u w:val="none"/>
              </w:rPr>
            </w:pP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220D2E33">
            <w:pPr>
              <w:jc w:val="center"/>
              <w:rPr>
                <w:rFonts w:hint="eastAsia" w:ascii="书宋-简" w:hAnsi="书宋-简" w:eastAsia="书宋-简" w:cs="书宋-简"/>
                <w:i w:val="0"/>
                <w:iCs w:val="0"/>
                <w:color w:val="auto"/>
                <w:sz w:val="24"/>
                <w:szCs w:val="24"/>
                <w:highlight w:val="none"/>
                <w:u w:val="none"/>
              </w:rPr>
            </w:pP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18E3CF43">
            <w:pPr>
              <w:jc w:val="center"/>
              <w:rPr>
                <w:rFonts w:hint="eastAsia" w:ascii="书宋-简" w:hAnsi="书宋-简" w:eastAsia="书宋-简" w:cs="书宋-简"/>
                <w:i w:val="0"/>
                <w:iCs w:val="0"/>
                <w:color w:val="auto"/>
                <w:sz w:val="24"/>
                <w:szCs w:val="24"/>
                <w:highlight w:val="none"/>
                <w:u w:val="none"/>
              </w:rPr>
            </w:pP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5CFDBD3">
            <w:pPr>
              <w:jc w:val="center"/>
              <w:rPr>
                <w:rFonts w:hint="eastAsia" w:ascii="书宋-简" w:hAnsi="书宋-简" w:eastAsia="书宋-简" w:cs="书宋-简"/>
                <w:i w:val="0"/>
                <w:iCs w:val="0"/>
                <w:color w:val="auto"/>
                <w:sz w:val="24"/>
                <w:szCs w:val="24"/>
                <w:highlight w:val="none"/>
                <w:u w:val="none"/>
              </w:rPr>
            </w:pPr>
          </w:p>
        </w:tc>
      </w:tr>
      <w:tr w14:paraId="05C76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7AC50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B116054">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开挖补偿费</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C76E62B">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套</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DACE3C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1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6F8FC3D">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B87942D">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FF9805E">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5D4FD2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1EF3FAE5">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2</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EE40B64">
            <w:pPr>
              <w:keepNext w:val="0"/>
              <w:keepLines w:val="0"/>
              <w:widowControl/>
              <w:suppressLineNumbers w:val="0"/>
              <w:jc w:val="left"/>
              <w:textAlignment w:val="center"/>
              <w:rPr>
                <w:rFonts w:hint="default"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安装调试</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226350F">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72749DB">
            <w:pPr>
              <w:keepNext w:val="0"/>
              <w:keepLines w:val="0"/>
              <w:widowControl/>
              <w:suppressLineNumbers w:val="0"/>
              <w:jc w:val="center"/>
              <w:textAlignment w:val="center"/>
              <w:rPr>
                <w:rFonts w:hint="default"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1</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BB4672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02D255B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0360226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09EBB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614E896D">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3</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390E903">
            <w:pPr>
              <w:keepNext w:val="0"/>
              <w:keepLines w:val="0"/>
              <w:widowControl/>
              <w:suppressLineNumbers w:val="0"/>
              <w:jc w:val="left"/>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传输网络</w:t>
            </w:r>
            <w:r>
              <w:rPr>
                <w:rFonts w:hint="eastAsia" w:ascii="宋体" w:hAnsi="宋体" w:eastAsia="宋体" w:cs="宋体"/>
                <w:i w:val="0"/>
                <w:iCs w:val="0"/>
                <w:color w:val="auto"/>
                <w:kern w:val="0"/>
                <w:sz w:val="24"/>
                <w:szCs w:val="24"/>
                <w:highlight w:val="none"/>
                <w:u w:val="none"/>
                <w:lang w:val="en-US" w:eastAsia="zh-CN" w:bidi="ar"/>
              </w:rPr>
              <w:t>（租赁）</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E18324A">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点</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4A413154">
            <w:pPr>
              <w:keepNext w:val="0"/>
              <w:keepLines w:val="0"/>
              <w:widowControl/>
              <w:suppressLineNumbers w:val="0"/>
              <w:jc w:val="center"/>
              <w:textAlignment w:val="center"/>
              <w:rPr>
                <w:rFonts w:hint="eastAsia" w:ascii="书宋-简" w:hAnsi="书宋-简" w:eastAsia="书宋-简" w:cs="书宋-简"/>
                <w:i w:val="0"/>
                <w:iCs w:val="0"/>
                <w:color w:val="auto"/>
                <w:sz w:val="24"/>
                <w:szCs w:val="24"/>
                <w:highlight w:val="none"/>
                <w:u w:val="none"/>
              </w:rPr>
            </w:pPr>
            <w:r>
              <w:rPr>
                <w:rFonts w:hint="eastAsia" w:ascii="书宋-简" w:hAnsi="书宋-简" w:eastAsia="书宋-简" w:cs="书宋-简"/>
                <w:i w:val="0"/>
                <w:iCs w:val="0"/>
                <w:color w:val="auto"/>
                <w:kern w:val="0"/>
                <w:sz w:val="24"/>
                <w:szCs w:val="24"/>
                <w:highlight w:val="none"/>
                <w:u w:val="none"/>
                <w:lang w:val="en-US" w:eastAsia="zh-CN" w:bidi="ar"/>
              </w:rPr>
              <w:t xml:space="preserve">50 </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3E1550C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786E0E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E9C8971">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6E15B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24F1472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4</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88776F4">
            <w:pPr>
              <w:keepNext w:val="0"/>
              <w:keepLines w:val="0"/>
              <w:widowControl/>
              <w:suppressLineNumbers w:val="0"/>
              <w:jc w:val="left"/>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运维管理平台接入费用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2359925">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6AA4A42">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679</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5A8BAC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4E1BC60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EABBFB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7DFD3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77E7996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5</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10A9B4F9">
            <w:pPr>
              <w:keepNext w:val="0"/>
              <w:keepLines w:val="0"/>
              <w:widowControl/>
              <w:suppressLineNumbers w:val="0"/>
              <w:jc w:val="left"/>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信控平台接入费用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781F7A1C">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754227C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94</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52E33C0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5CC701B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4D96415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02994A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4665474E">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6</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B0890AB">
            <w:pPr>
              <w:keepNext w:val="0"/>
              <w:keepLines w:val="0"/>
              <w:widowControl/>
              <w:suppressLineNumbers w:val="0"/>
              <w:jc w:val="left"/>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视频监控平台接入费用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0769C2BA">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59FA14A8">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167</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7F734F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761FAC3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315C3CD">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04DA2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A8F2206">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7</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AC8C29A">
            <w:pPr>
              <w:keepNext w:val="0"/>
              <w:keepLines w:val="0"/>
              <w:widowControl/>
              <w:suppressLineNumbers w:val="0"/>
              <w:jc w:val="left"/>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实战应用平台接入费用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24ED237F">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697B4224">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56</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746C44D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E3C786C">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52885BA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4750C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0A76B25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8</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312D919">
            <w:pPr>
              <w:keepNext w:val="0"/>
              <w:keepLines w:val="0"/>
              <w:widowControl/>
              <w:suppressLineNumbers w:val="0"/>
              <w:jc w:val="left"/>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交通违法处理平台接入费用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55D5B980">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1E8A3C9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67</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C920E25">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62FF818F">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2EA04B3E">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r w14:paraId="540E6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711" w:type="dxa"/>
            <w:tcBorders>
              <w:top w:val="single" w:color="000000" w:sz="4" w:space="0"/>
              <w:left w:val="single" w:color="000000" w:sz="4" w:space="0"/>
              <w:bottom w:val="single" w:color="000000" w:sz="4" w:space="0"/>
              <w:right w:val="single" w:color="000000" w:sz="4" w:space="0"/>
            </w:tcBorders>
            <w:noWrap w:val="0"/>
            <w:vAlign w:val="center"/>
          </w:tcPr>
          <w:p w14:paraId="55740AE9">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9</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4C04851">
            <w:pPr>
              <w:keepNext w:val="0"/>
              <w:keepLines w:val="0"/>
              <w:widowControl/>
              <w:suppressLineNumbers w:val="0"/>
              <w:jc w:val="both"/>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全息高架平台接入费用</w:t>
            </w:r>
          </w:p>
        </w:tc>
        <w:tc>
          <w:tcPr>
            <w:tcW w:w="638" w:type="dxa"/>
            <w:tcBorders>
              <w:top w:val="single" w:color="000000" w:sz="4" w:space="0"/>
              <w:left w:val="single" w:color="000000" w:sz="4" w:space="0"/>
              <w:bottom w:val="single" w:color="000000" w:sz="4" w:space="0"/>
              <w:right w:val="single" w:color="000000" w:sz="4" w:space="0"/>
            </w:tcBorders>
            <w:noWrap w:val="0"/>
            <w:vAlign w:val="center"/>
          </w:tcPr>
          <w:p w14:paraId="60F35C77">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路</w:t>
            </w:r>
          </w:p>
        </w:tc>
        <w:tc>
          <w:tcPr>
            <w:tcW w:w="675" w:type="dxa"/>
            <w:tcBorders>
              <w:top w:val="single" w:color="000000" w:sz="4" w:space="0"/>
              <w:left w:val="single" w:color="000000" w:sz="4" w:space="0"/>
              <w:bottom w:val="single" w:color="000000" w:sz="4" w:space="0"/>
              <w:right w:val="single" w:color="000000" w:sz="4" w:space="0"/>
            </w:tcBorders>
            <w:noWrap w:val="0"/>
            <w:vAlign w:val="center"/>
          </w:tcPr>
          <w:p w14:paraId="3B8BFC03">
            <w:pPr>
              <w:keepNext w:val="0"/>
              <w:keepLines w:val="0"/>
              <w:widowControl/>
              <w:suppressLineNumbers w:val="0"/>
              <w:jc w:val="center"/>
              <w:textAlignment w:val="center"/>
              <w:rPr>
                <w:rFonts w:hint="eastAsia" w:ascii="书宋-简" w:hAnsi="书宋-简" w:eastAsia="书宋-简" w:cs="书宋-简"/>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16</w:t>
            </w:r>
          </w:p>
        </w:tc>
        <w:tc>
          <w:tcPr>
            <w:tcW w:w="2701" w:type="dxa"/>
            <w:tcBorders>
              <w:top w:val="single" w:color="000000" w:sz="4" w:space="0"/>
              <w:left w:val="single" w:color="000000" w:sz="4" w:space="0"/>
              <w:bottom w:val="single" w:color="000000" w:sz="4" w:space="0"/>
              <w:right w:val="single" w:color="000000" w:sz="4" w:space="0"/>
            </w:tcBorders>
            <w:noWrap w:val="0"/>
            <w:vAlign w:val="center"/>
          </w:tcPr>
          <w:p w14:paraId="46E27931">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工业（包括采矿业，制造业，电力、热力、燃气及水生产和供应业）</w:t>
            </w:r>
          </w:p>
        </w:tc>
        <w:tc>
          <w:tcPr>
            <w:tcW w:w="874" w:type="dxa"/>
            <w:tcBorders>
              <w:top w:val="single" w:color="000000" w:sz="4" w:space="0"/>
              <w:left w:val="single" w:color="000000" w:sz="4" w:space="0"/>
              <w:bottom w:val="single" w:color="000000" w:sz="4" w:space="0"/>
              <w:right w:val="single" w:color="000000" w:sz="4" w:space="0"/>
            </w:tcBorders>
            <w:noWrap w:val="0"/>
            <w:vAlign w:val="center"/>
          </w:tcPr>
          <w:p w14:paraId="3FE1D510">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配件辅料</w:t>
            </w:r>
          </w:p>
        </w:tc>
        <w:tc>
          <w:tcPr>
            <w:tcW w:w="851" w:type="dxa"/>
            <w:tcBorders>
              <w:top w:val="single" w:color="000000" w:sz="4" w:space="0"/>
              <w:left w:val="single" w:color="000000" w:sz="4" w:space="0"/>
              <w:bottom w:val="single" w:color="000000" w:sz="4" w:space="0"/>
              <w:right w:val="single" w:color="000000" w:sz="4" w:space="0"/>
            </w:tcBorders>
            <w:noWrap w:val="0"/>
            <w:vAlign w:val="center"/>
          </w:tcPr>
          <w:p w14:paraId="3CC7DE19">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书宋-简" w:hAnsi="书宋-简" w:eastAsia="书宋-简" w:cs="书宋-简"/>
                <w:i w:val="0"/>
                <w:iCs w:val="0"/>
                <w:color w:val="auto"/>
                <w:kern w:val="0"/>
                <w:sz w:val="24"/>
                <w:szCs w:val="24"/>
                <w:highlight w:val="none"/>
                <w:u w:val="none"/>
                <w:lang w:val="en-US" w:eastAsia="zh-CN" w:bidi="ar"/>
              </w:rPr>
              <w:t>服务类</w:t>
            </w:r>
          </w:p>
        </w:tc>
      </w:tr>
    </w:tbl>
    <w:p w14:paraId="3A5AA132">
      <w:pPr>
        <w:pStyle w:val="223"/>
        <w:spacing w:line="440" w:lineRule="exact"/>
        <w:ind w:firstLine="500"/>
        <w:rPr>
          <w:rStyle w:val="199"/>
          <w:rFonts w:ascii="宋体" w:hAnsi="宋体"/>
          <w:color w:val="auto"/>
          <w:spacing w:val="7"/>
          <w:sz w:val="24"/>
          <w:szCs w:val="24"/>
          <w:highlight w:val="none"/>
        </w:rPr>
      </w:pPr>
    </w:p>
    <w:p w14:paraId="1E00B760">
      <w:pPr>
        <w:pStyle w:val="223"/>
        <w:spacing w:line="440" w:lineRule="exact"/>
        <w:ind w:firstLine="500"/>
        <w:rPr>
          <w:rStyle w:val="199"/>
          <w:rFonts w:ascii="宋体" w:hAnsi="宋体"/>
          <w:color w:val="auto"/>
          <w:spacing w:val="7"/>
          <w:sz w:val="24"/>
          <w:szCs w:val="24"/>
          <w:highlight w:val="none"/>
        </w:rPr>
      </w:pPr>
    </w:p>
    <w:p w14:paraId="238C3214">
      <w:pPr>
        <w:pStyle w:val="223"/>
        <w:spacing w:line="440" w:lineRule="exact"/>
        <w:ind w:firstLine="500"/>
        <w:rPr>
          <w:rStyle w:val="199"/>
          <w:rFonts w:ascii="宋体" w:hAnsi="宋体"/>
          <w:color w:val="auto"/>
          <w:spacing w:val="7"/>
          <w:sz w:val="24"/>
          <w:szCs w:val="24"/>
          <w:highlight w:val="none"/>
        </w:rPr>
      </w:pPr>
      <w:r>
        <w:rPr>
          <w:rStyle w:val="199"/>
          <w:rFonts w:ascii="宋体" w:hAnsi="宋体"/>
          <w:color w:val="auto"/>
          <w:spacing w:val="7"/>
          <w:sz w:val="24"/>
          <w:szCs w:val="24"/>
          <w:highlight w:val="none"/>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32B82CE1">
      <w:pPr>
        <w:pStyle w:val="221"/>
        <w:numPr>
          <w:ilvl w:val="0"/>
          <w:numId w:val="2"/>
        </w:numPr>
        <w:spacing w:before="120" w:line="440" w:lineRule="exact"/>
        <w:ind w:firstLine="499"/>
        <w:rPr>
          <w:rStyle w:val="199"/>
          <w:rFonts w:ascii="宋体" w:hAnsi="宋体"/>
          <w:b/>
          <w:bCs/>
          <w:color w:val="auto"/>
          <w:spacing w:val="7"/>
          <w:sz w:val="24"/>
          <w:szCs w:val="24"/>
          <w:highlight w:val="none"/>
        </w:rPr>
      </w:pPr>
      <w:r>
        <w:rPr>
          <w:rStyle w:val="199"/>
          <w:rFonts w:ascii="宋体" w:hAnsi="宋体"/>
          <w:b/>
          <w:bCs/>
          <w:color w:val="auto"/>
          <w:spacing w:val="7"/>
          <w:sz w:val="24"/>
          <w:szCs w:val="24"/>
          <w:highlight w:val="none"/>
        </w:rPr>
        <w:t>核心产品清单</w:t>
      </w:r>
    </w:p>
    <w:tbl>
      <w:tblPr>
        <w:tblStyle w:val="31"/>
        <w:tblpPr w:leftFromText="180" w:rightFromText="180" w:vertAnchor="text" w:horzAnchor="page" w:tblpX="2274" w:tblpY="136"/>
        <w:tblOverlap w:val="never"/>
        <w:tblW w:w="8664" w:type="dxa"/>
        <w:tblInd w:w="0" w:type="dxa"/>
        <w:tblLayout w:type="autofit"/>
        <w:tblCellMar>
          <w:top w:w="0" w:type="dxa"/>
          <w:left w:w="108" w:type="dxa"/>
          <w:bottom w:w="0" w:type="dxa"/>
          <w:right w:w="108" w:type="dxa"/>
        </w:tblCellMar>
      </w:tblPr>
      <w:tblGrid>
        <w:gridCol w:w="1080"/>
        <w:gridCol w:w="7584"/>
      </w:tblGrid>
      <w:tr w14:paraId="08D571C7">
        <w:tblPrEx>
          <w:tblCellMar>
            <w:top w:w="0" w:type="dxa"/>
            <w:left w:w="108" w:type="dxa"/>
            <w:bottom w:w="0" w:type="dxa"/>
            <w:right w:w="108" w:type="dxa"/>
          </w:tblCellMar>
        </w:tblPrEx>
        <w:trPr>
          <w:trHeight w:val="285" w:hRule="atLeast"/>
        </w:trPr>
        <w:tc>
          <w:tcPr>
            <w:tcW w:w="1080" w:type="dxa"/>
            <w:tcBorders>
              <w:top w:val="single" w:color="000000" w:sz="4" w:space="0"/>
              <w:left w:val="single" w:color="000000" w:sz="4" w:space="0"/>
              <w:bottom w:val="single" w:color="000000" w:sz="4" w:space="0"/>
              <w:right w:val="single" w:color="000000" w:sz="4" w:space="0"/>
            </w:tcBorders>
            <w:noWrap w:val="0"/>
            <w:vAlign w:val="center"/>
          </w:tcPr>
          <w:p w14:paraId="2100567A">
            <w:pPr>
              <w:widowControl/>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序号</w:t>
            </w:r>
          </w:p>
        </w:tc>
        <w:tc>
          <w:tcPr>
            <w:tcW w:w="7584" w:type="dxa"/>
            <w:tcBorders>
              <w:top w:val="single" w:color="000000" w:sz="4" w:space="0"/>
              <w:left w:val="single" w:color="000000" w:sz="4" w:space="0"/>
              <w:bottom w:val="single" w:color="000000" w:sz="4" w:space="0"/>
              <w:right w:val="single" w:color="000000" w:sz="4" w:space="0"/>
            </w:tcBorders>
            <w:noWrap w:val="0"/>
            <w:vAlign w:val="center"/>
          </w:tcPr>
          <w:p w14:paraId="02453DCB">
            <w:pPr>
              <w:widowControl/>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名称</w:t>
            </w:r>
          </w:p>
        </w:tc>
      </w:tr>
      <w:tr w14:paraId="6E691EF8">
        <w:tblPrEx>
          <w:tblCellMar>
            <w:top w:w="0" w:type="dxa"/>
            <w:left w:w="108" w:type="dxa"/>
            <w:bottom w:w="0" w:type="dxa"/>
            <w:right w:w="108" w:type="dxa"/>
          </w:tblCellMar>
        </w:tblPrEx>
        <w:trPr>
          <w:trHeight w:val="186" w:hRule="atLeast"/>
        </w:trPr>
        <w:tc>
          <w:tcPr>
            <w:tcW w:w="1080" w:type="dxa"/>
            <w:tcBorders>
              <w:top w:val="single" w:color="000000" w:sz="4" w:space="0"/>
              <w:left w:val="single" w:color="000000" w:sz="4" w:space="0"/>
              <w:bottom w:val="single" w:color="000000" w:sz="4" w:space="0"/>
              <w:right w:val="single" w:color="000000" w:sz="4" w:space="0"/>
            </w:tcBorders>
            <w:noWrap w:val="0"/>
            <w:vAlign w:val="top"/>
          </w:tcPr>
          <w:p w14:paraId="77F8D97D">
            <w:pPr>
              <w:pStyle w:val="222"/>
              <w:jc w:val="center"/>
              <w:rPr>
                <w:rFonts w:hint="eastAsia" w:ascii="宋体" w:hAnsi="宋体" w:eastAsia="宋体" w:cs="宋体"/>
                <w:color w:val="auto"/>
                <w:sz w:val="24"/>
                <w:szCs w:val="24"/>
                <w:highlight w:val="none"/>
                <w:lang w:val="en-US" w:eastAsia="zh-CN" w:bidi="ar"/>
              </w:rPr>
            </w:pPr>
            <w:r>
              <w:rPr>
                <w:rFonts w:hint="eastAsia" w:eastAsia="宋体"/>
                <w:highlight w:val="none"/>
                <w:lang w:val="en-US" w:eastAsia="zh-CN"/>
              </w:rPr>
              <w:t>1</w:t>
            </w:r>
          </w:p>
        </w:tc>
        <w:tc>
          <w:tcPr>
            <w:tcW w:w="7584" w:type="dxa"/>
            <w:tcBorders>
              <w:top w:val="single" w:color="000000" w:sz="4" w:space="0"/>
              <w:left w:val="single" w:color="000000" w:sz="4" w:space="0"/>
              <w:bottom w:val="single" w:color="000000" w:sz="4" w:space="0"/>
              <w:right w:val="single" w:color="000000" w:sz="4" w:space="0"/>
            </w:tcBorders>
            <w:noWrap w:val="0"/>
            <w:vAlign w:val="top"/>
          </w:tcPr>
          <w:p w14:paraId="7EFE4138">
            <w:pPr>
              <w:pStyle w:val="222"/>
              <w:jc w:val="center"/>
              <w:rPr>
                <w:rFonts w:hint="default" w:ascii="宋体" w:hAnsi="宋体" w:eastAsia="宋体" w:cs="宋体"/>
                <w:color w:val="auto"/>
                <w:sz w:val="24"/>
                <w:szCs w:val="24"/>
                <w:highlight w:val="none"/>
                <w:lang w:val="en-US" w:eastAsia="zh-CN" w:bidi="ar"/>
              </w:rPr>
            </w:pPr>
            <w:r>
              <w:rPr>
                <w:rFonts w:hint="eastAsia" w:eastAsia="宋体"/>
                <w:highlight w:val="none"/>
                <w:lang w:val="en-US" w:eastAsia="zh-CN"/>
              </w:rPr>
              <w:t>微光高清抓拍单元1（尾牌）</w:t>
            </w:r>
          </w:p>
        </w:tc>
      </w:tr>
      <w:tr w14:paraId="1A254DA7">
        <w:tblPrEx>
          <w:tblCellMar>
            <w:top w:w="0" w:type="dxa"/>
            <w:left w:w="108" w:type="dxa"/>
            <w:bottom w:w="0" w:type="dxa"/>
            <w:right w:w="108" w:type="dxa"/>
          </w:tblCellMar>
        </w:tblPrEx>
        <w:trPr>
          <w:trHeight w:val="186" w:hRule="atLeast"/>
        </w:trPr>
        <w:tc>
          <w:tcPr>
            <w:tcW w:w="1080" w:type="dxa"/>
            <w:tcBorders>
              <w:top w:val="single" w:color="000000" w:sz="4" w:space="0"/>
              <w:left w:val="single" w:color="000000" w:sz="4" w:space="0"/>
              <w:bottom w:val="single" w:color="000000" w:sz="4" w:space="0"/>
              <w:right w:val="single" w:color="000000" w:sz="4" w:space="0"/>
            </w:tcBorders>
            <w:noWrap w:val="0"/>
            <w:vAlign w:val="top"/>
          </w:tcPr>
          <w:p w14:paraId="3725F202">
            <w:pPr>
              <w:pStyle w:val="222"/>
              <w:jc w:val="center"/>
              <w:rPr>
                <w:rFonts w:hint="eastAsia" w:ascii="宋体" w:hAnsi="宋体" w:eastAsia="宋体" w:cs="宋体"/>
                <w:color w:val="auto"/>
                <w:sz w:val="24"/>
                <w:szCs w:val="24"/>
                <w:highlight w:val="none"/>
                <w:lang w:val="en-US" w:eastAsia="zh-CN" w:bidi="ar"/>
              </w:rPr>
            </w:pPr>
            <w:r>
              <w:rPr>
                <w:rFonts w:hint="eastAsia" w:eastAsia="宋体"/>
                <w:highlight w:val="none"/>
                <w:lang w:val="en-US" w:eastAsia="zh-CN"/>
              </w:rPr>
              <w:t>2</w:t>
            </w:r>
          </w:p>
        </w:tc>
        <w:tc>
          <w:tcPr>
            <w:tcW w:w="7584" w:type="dxa"/>
            <w:tcBorders>
              <w:top w:val="single" w:color="000000" w:sz="4" w:space="0"/>
              <w:left w:val="single" w:color="000000" w:sz="4" w:space="0"/>
              <w:bottom w:val="single" w:color="000000" w:sz="4" w:space="0"/>
              <w:right w:val="single" w:color="000000" w:sz="4" w:space="0"/>
            </w:tcBorders>
            <w:noWrap w:val="0"/>
            <w:vAlign w:val="top"/>
          </w:tcPr>
          <w:p w14:paraId="50609E26">
            <w:pPr>
              <w:pStyle w:val="222"/>
              <w:jc w:val="center"/>
              <w:rPr>
                <w:rFonts w:hint="eastAsia" w:ascii="宋体" w:hAnsi="宋体" w:eastAsia="宋体" w:cs="宋体"/>
                <w:color w:val="auto"/>
                <w:sz w:val="24"/>
                <w:szCs w:val="24"/>
                <w:highlight w:val="none"/>
                <w:lang w:bidi="ar"/>
              </w:rPr>
            </w:pPr>
            <w:r>
              <w:rPr>
                <w:rFonts w:hint="eastAsia" w:eastAsia="宋体"/>
                <w:highlight w:val="none"/>
                <w:lang w:val="en-US" w:eastAsia="zh-CN"/>
              </w:rPr>
              <w:t>雷视一体化微波检测器</w:t>
            </w:r>
          </w:p>
        </w:tc>
      </w:tr>
      <w:tr w14:paraId="6AB94116">
        <w:tblPrEx>
          <w:tblCellMar>
            <w:top w:w="0" w:type="dxa"/>
            <w:left w:w="108" w:type="dxa"/>
            <w:bottom w:w="0" w:type="dxa"/>
            <w:right w:w="108" w:type="dxa"/>
          </w:tblCellMar>
        </w:tblPrEx>
        <w:trPr>
          <w:trHeight w:val="186" w:hRule="atLeast"/>
        </w:trPr>
        <w:tc>
          <w:tcPr>
            <w:tcW w:w="1080" w:type="dxa"/>
            <w:tcBorders>
              <w:top w:val="single" w:color="000000" w:sz="4" w:space="0"/>
              <w:left w:val="single" w:color="000000" w:sz="4" w:space="0"/>
              <w:bottom w:val="single" w:color="000000" w:sz="4" w:space="0"/>
              <w:right w:val="single" w:color="000000" w:sz="4" w:space="0"/>
            </w:tcBorders>
            <w:noWrap w:val="0"/>
            <w:vAlign w:val="top"/>
          </w:tcPr>
          <w:p w14:paraId="422639C4">
            <w:pPr>
              <w:pStyle w:val="222"/>
              <w:jc w:val="center"/>
              <w:rPr>
                <w:rFonts w:hint="eastAsia" w:ascii="宋体" w:hAnsi="宋体" w:eastAsia="宋体" w:cs="宋体"/>
                <w:color w:val="auto"/>
                <w:sz w:val="24"/>
                <w:szCs w:val="24"/>
                <w:highlight w:val="none"/>
                <w:lang w:val="en-US" w:eastAsia="zh-CN" w:bidi="ar"/>
              </w:rPr>
            </w:pPr>
            <w:r>
              <w:rPr>
                <w:rFonts w:hint="eastAsia" w:eastAsia="宋体"/>
                <w:highlight w:val="none"/>
                <w:lang w:val="en-US" w:eastAsia="zh-CN"/>
              </w:rPr>
              <w:t>3</w:t>
            </w:r>
          </w:p>
        </w:tc>
        <w:tc>
          <w:tcPr>
            <w:tcW w:w="7584" w:type="dxa"/>
            <w:tcBorders>
              <w:top w:val="single" w:color="000000" w:sz="4" w:space="0"/>
              <w:left w:val="single" w:color="000000" w:sz="4" w:space="0"/>
              <w:bottom w:val="single" w:color="000000" w:sz="4" w:space="0"/>
              <w:right w:val="single" w:color="000000" w:sz="4" w:space="0"/>
            </w:tcBorders>
            <w:noWrap w:val="0"/>
            <w:vAlign w:val="top"/>
          </w:tcPr>
          <w:p w14:paraId="028B0914">
            <w:pPr>
              <w:pStyle w:val="222"/>
              <w:jc w:val="center"/>
              <w:rPr>
                <w:rFonts w:hint="eastAsia" w:ascii="宋体" w:hAnsi="宋体" w:eastAsia="宋体" w:cs="宋体"/>
                <w:color w:val="auto"/>
                <w:sz w:val="24"/>
                <w:szCs w:val="24"/>
                <w:highlight w:val="none"/>
                <w:lang w:bidi="ar"/>
              </w:rPr>
            </w:pPr>
            <w:r>
              <w:rPr>
                <w:rFonts w:hint="eastAsia" w:eastAsia="宋体"/>
                <w:highlight w:val="none"/>
                <w:lang w:val="en-US" w:eastAsia="zh-CN"/>
              </w:rPr>
              <w:t>机动车圆盘信号灯</w:t>
            </w:r>
          </w:p>
        </w:tc>
      </w:tr>
    </w:tbl>
    <w:p w14:paraId="5FCB466A">
      <w:pPr>
        <w:pStyle w:val="227"/>
        <w:jc w:val="center"/>
        <w:rPr>
          <w:rStyle w:val="33"/>
          <w:rFonts w:ascii="宋体" w:hAnsi="宋体" w:eastAsia="宋体" w:cs="宋体"/>
          <w:color w:val="auto"/>
          <w:sz w:val="24"/>
          <w:highlight w:val="none"/>
        </w:rPr>
      </w:pPr>
    </w:p>
    <w:p w14:paraId="41B86BD3">
      <w:pPr>
        <w:pStyle w:val="221"/>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注：(1)若本次采购项目为单一产品，提供相同品牌产品且通过资格审查、符合性审查的不同投标人参加同一合同项下投标的，按一家投标人计算。对招标文件作实质响应的投标人不足三个的，将作废标处理；</w:t>
      </w:r>
    </w:p>
    <w:p w14:paraId="61953F98">
      <w:pPr>
        <w:pStyle w:val="224"/>
        <w:spacing w:line="440" w:lineRule="exact"/>
        <w:ind w:firstLine="500"/>
        <w:rPr>
          <w:rStyle w:val="199"/>
          <w:rFonts w:hint="eastAsia" w:ascii="宋体" w:hAnsi="宋体"/>
          <w:color w:val="auto"/>
          <w:spacing w:val="7"/>
          <w:sz w:val="24"/>
          <w:szCs w:val="24"/>
          <w:highlight w:val="none"/>
        </w:rPr>
      </w:pPr>
      <w:r>
        <w:rPr>
          <w:rStyle w:val="199"/>
          <w:rFonts w:hint="eastAsia" w:ascii="宋体" w:hAnsi="宋体"/>
          <w:color w:val="auto"/>
          <w:spacing w:val="7"/>
          <w:sz w:val="24"/>
          <w:szCs w:val="24"/>
          <w:highlight w:val="none"/>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120E8D0B">
      <w:pPr>
        <w:pStyle w:val="221"/>
        <w:spacing w:before="120" w:line="440" w:lineRule="exact"/>
        <w:ind w:firstLine="499"/>
        <w:rPr>
          <w:rStyle w:val="199"/>
          <w:rFonts w:ascii="宋体" w:hAnsi="宋体"/>
          <w:b/>
          <w:bCs/>
          <w:color w:val="auto"/>
          <w:spacing w:val="7"/>
          <w:sz w:val="24"/>
          <w:szCs w:val="24"/>
          <w:highlight w:val="none"/>
        </w:rPr>
      </w:pPr>
      <w:r>
        <w:rPr>
          <w:rStyle w:val="199"/>
          <w:rFonts w:ascii="宋体" w:hAnsi="宋体"/>
          <w:b/>
          <w:bCs/>
          <w:color w:val="auto"/>
          <w:spacing w:val="7"/>
          <w:sz w:val="24"/>
          <w:szCs w:val="24"/>
          <w:highlight w:val="none"/>
        </w:rPr>
        <w:t>3、节能、环境标志产品清单(请提供国家确定的认证机构出具的、处于有效期之内的节能产品、环境标志产品认证证书（若证书有附件（附录）的，附件（附录）须随证书一起提供)）</w:t>
      </w:r>
    </w:p>
    <w:p w14:paraId="2CE238DF">
      <w:pPr>
        <w:pStyle w:val="227"/>
        <w:keepNext w:val="0"/>
        <w:keepLines w:val="0"/>
        <w:pageBreakBefore w:val="0"/>
        <w:widowControl/>
        <w:kinsoku/>
        <w:wordWrap/>
        <w:overflowPunct/>
        <w:topLinePunct w:val="0"/>
        <w:autoSpaceDE/>
        <w:autoSpaceDN/>
        <w:bidi w:val="0"/>
        <w:adjustRightInd/>
        <w:snapToGrid/>
        <w:ind w:firstLine="508" w:firstLineChars="200"/>
        <w:textAlignment w:val="auto"/>
        <w:rPr>
          <w:rStyle w:val="199"/>
          <w:rFonts w:ascii="宋体" w:hAnsi="宋体"/>
          <w:color w:val="auto"/>
          <w:spacing w:val="7"/>
          <w:sz w:val="24"/>
          <w:szCs w:val="24"/>
          <w:highlight w:val="none"/>
        </w:rPr>
      </w:pPr>
      <w:r>
        <w:rPr>
          <w:rStyle w:val="199"/>
          <w:rFonts w:ascii="宋体" w:hAnsi="宋体"/>
          <w:color w:val="auto"/>
          <w:spacing w:val="7"/>
          <w:sz w:val="24"/>
          <w:szCs w:val="24"/>
          <w:highlight w:val="none"/>
        </w:rPr>
        <w:t>节能产品政府采购品目清单：</w:t>
      </w:r>
    </w:p>
    <w:p w14:paraId="245D0FE6">
      <w:pPr>
        <w:pStyle w:val="224"/>
        <w:keepNext w:val="0"/>
        <w:keepLines w:val="0"/>
        <w:pageBreakBefore w:val="0"/>
        <w:widowControl/>
        <w:kinsoku/>
        <w:wordWrap/>
        <w:overflowPunct/>
        <w:topLinePunct w:val="0"/>
        <w:autoSpaceDE/>
        <w:autoSpaceDN/>
        <w:bidi w:val="0"/>
        <w:adjustRightInd/>
        <w:snapToGrid/>
        <w:spacing w:line="440" w:lineRule="exact"/>
        <w:ind w:firstLine="508" w:firstLineChars="200"/>
        <w:textAlignment w:val="auto"/>
        <w:rPr>
          <w:rStyle w:val="199"/>
          <w:rFonts w:ascii="宋体" w:hAnsi="宋体"/>
          <w:color w:val="auto"/>
          <w:spacing w:val="7"/>
          <w:sz w:val="24"/>
          <w:szCs w:val="24"/>
          <w:highlight w:val="none"/>
        </w:rPr>
      </w:pPr>
      <w:r>
        <w:rPr>
          <w:rStyle w:val="199"/>
          <w:rFonts w:hint="eastAsia" w:ascii="宋体" w:hAnsi="宋体"/>
          <w:color w:val="auto"/>
          <w:spacing w:val="7"/>
          <w:sz w:val="24"/>
          <w:szCs w:val="24"/>
          <w:highlight w:val="none"/>
        </w:rPr>
        <w:t>无</w:t>
      </w:r>
    </w:p>
    <w:p w14:paraId="218DE08B">
      <w:pPr>
        <w:pStyle w:val="224"/>
        <w:spacing w:line="440" w:lineRule="exact"/>
        <w:ind w:firstLine="500"/>
        <w:rPr>
          <w:rStyle w:val="199"/>
          <w:rFonts w:ascii="宋体" w:hAnsi="宋体"/>
          <w:color w:val="auto"/>
          <w:spacing w:val="7"/>
          <w:sz w:val="24"/>
          <w:szCs w:val="24"/>
          <w:highlight w:val="none"/>
        </w:rPr>
      </w:pPr>
      <w:r>
        <w:rPr>
          <w:rStyle w:val="199"/>
          <w:rFonts w:ascii="宋体" w:hAnsi="宋体"/>
          <w:color w:val="auto"/>
          <w:spacing w:val="7"/>
          <w:sz w:val="24"/>
          <w:szCs w:val="24"/>
          <w:highlight w:val="none"/>
        </w:rPr>
        <w:t xml:space="preserve"> </w:t>
      </w:r>
      <w:r>
        <w:rPr>
          <w:rStyle w:val="199"/>
          <w:rFonts w:hint="eastAsia" w:ascii="宋体" w:hAnsi="宋体"/>
          <w:color w:val="auto"/>
          <w:spacing w:val="7"/>
          <w:sz w:val="24"/>
          <w:szCs w:val="24"/>
          <w:highlight w:val="none"/>
          <w:lang w:val="zh-CN"/>
        </w:rPr>
        <w:t>注：以</w:t>
      </w:r>
      <w:r>
        <w:rPr>
          <w:rStyle w:val="199"/>
          <w:rFonts w:hint="eastAsia" w:ascii="宋体" w:hAnsi="宋体"/>
          <w:color w:val="auto"/>
          <w:spacing w:val="7"/>
          <w:sz w:val="24"/>
          <w:szCs w:val="24"/>
          <w:highlight w:val="none"/>
        </w:rPr>
        <w:t>★</w:t>
      </w:r>
      <w:r>
        <w:rPr>
          <w:rStyle w:val="199"/>
          <w:rFonts w:hint="eastAsia" w:ascii="宋体" w:hAnsi="宋体"/>
          <w:color w:val="auto"/>
          <w:spacing w:val="7"/>
          <w:sz w:val="24"/>
          <w:szCs w:val="24"/>
          <w:highlight w:val="none"/>
          <w:lang w:val="zh-CN"/>
        </w:rPr>
        <w:t>标注的为政府强制采购产品</w:t>
      </w:r>
    </w:p>
    <w:p w14:paraId="338C692D">
      <w:pPr>
        <w:pStyle w:val="224"/>
        <w:spacing w:line="440" w:lineRule="exact"/>
        <w:ind w:firstLine="500"/>
        <w:rPr>
          <w:rStyle w:val="199"/>
          <w:rFonts w:ascii="宋体" w:hAnsi="宋体"/>
          <w:color w:val="auto"/>
          <w:spacing w:val="7"/>
          <w:sz w:val="24"/>
          <w:szCs w:val="24"/>
          <w:highlight w:val="none"/>
        </w:rPr>
      </w:pPr>
      <w:r>
        <w:rPr>
          <w:rStyle w:val="199"/>
          <w:rFonts w:ascii="宋体" w:hAnsi="宋体"/>
          <w:color w:val="auto"/>
          <w:spacing w:val="7"/>
          <w:sz w:val="24"/>
          <w:szCs w:val="24"/>
          <w:highlight w:val="none"/>
        </w:rPr>
        <w:t>凡“节能产品政府采购品目清单”中以★标注的为政府强制采购产品</w:t>
      </w:r>
    </w:p>
    <w:p w14:paraId="415A8F52">
      <w:pPr>
        <w:pStyle w:val="227"/>
        <w:ind w:firstLine="508"/>
        <w:rPr>
          <w:rStyle w:val="199"/>
          <w:rFonts w:ascii="宋体" w:hAnsi="宋体"/>
          <w:color w:val="auto"/>
          <w:spacing w:val="7"/>
          <w:sz w:val="24"/>
          <w:szCs w:val="24"/>
          <w:highlight w:val="none"/>
        </w:rPr>
      </w:pPr>
      <w:r>
        <w:rPr>
          <w:rStyle w:val="199"/>
          <w:rFonts w:ascii="宋体" w:hAnsi="宋体"/>
          <w:color w:val="auto"/>
          <w:spacing w:val="7"/>
          <w:sz w:val="24"/>
          <w:szCs w:val="24"/>
          <w:highlight w:val="none"/>
        </w:rPr>
        <w:t>环境标志产品政府采购品目清单:</w:t>
      </w:r>
    </w:p>
    <w:tbl>
      <w:tblPr>
        <w:tblStyle w:val="31"/>
        <w:tblpPr w:leftFromText="180" w:rightFromText="180" w:vertAnchor="text" w:horzAnchor="page" w:tblpX="2411" w:tblpY="577"/>
        <w:tblOverlap w:val="never"/>
        <w:tblW w:w="46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1231"/>
        <w:gridCol w:w="7095"/>
      </w:tblGrid>
      <w:tr w14:paraId="4DA54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739" w:type="pct"/>
            <w:noWrap w:val="0"/>
            <w:tcMar>
              <w:top w:w="100" w:type="dxa"/>
              <w:bottom w:w="100" w:type="dxa"/>
            </w:tcMar>
            <w:vAlign w:val="center"/>
          </w:tcPr>
          <w:p w14:paraId="61566BC3">
            <w:pPr>
              <w:widowControl/>
              <w:jc w:val="center"/>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序号</w:t>
            </w:r>
          </w:p>
        </w:tc>
        <w:tc>
          <w:tcPr>
            <w:tcW w:w="4260" w:type="pct"/>
            <w:noWrap w:val="0"/>
            <w:tcMar>
              <w:top w:w="100" w:type="dxa"/>
              <w:bottom w:w="100" w:type="dxa"/>
            </w:tcMar>
            <w:vAlign w:val="center"/>
          </w:tcPr>
          <w:p w14:paraId="31EA0C33">
            <w:pPr>
              <w:widowControl/>
              <w:jc w:val="center"/>
              <w:rPr>
                <w:rFonts w:hint="default" w:ascii="宋体" w:hAnsi="宋体" w:eastAsia="宋体" w:cs="Times New Roman"/>
                <w:color w:val="auto"/>
                <w:sz w:val="24"/>
                <w:szCs w:val="24"/>
                <w:lang w:val="en-US" w:eastAsia="zh-CN" w:bidi="ar-SA"/>
              </w:rPr>
            </w:pPr>
            <w:r>
              <w:rPr>
                <w:rFonts w:hint="default" w:ascii="宋体" w:hAnsi="宋体" w:eastAsia="宋体" w:cs="Times New Roman"/>
                <w:color w:val="auto"/>
                <w:sz w:val="21"/>
                <w:szCs w:val="22"/>
                <w:lang w:val="en-US" w:eastAsia="zh-CN" w:bidi="ar-SA"/>
              </w:rPr>
              <w:t>名称</w:t>
            </w:r>
          </w:p>
        </w:tc>
      </w:tr>
      <w:tr w14:paraId="2EC50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231" w:type="dxa"/>
            <w:noWrap w:val="0"/>
            <w:tcMar>
              <w:top w:w="100" w:type="dxa"/>
              <w:bottom w:w="100" w:type="dxa"/>
            </w:tcMar>
            <w:vAlign w:val="top"/>
          </w:tcPr>
          <w:p w14:paraId="14865211">
            <w:pPr>
              <w:pStyle w:val="222"/>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1</w:t>
            </w:r>
          </w:p>
        </w:tc>
        <w:tc>
          <w:tcPr>
            <w:tcW w:w="7095" w:type="dxa"/>
            <w:noWrap w:val="0"/>
            <w:tcMar>
              <w:top w:w="100" w:type="dxa"/>
              <w:bottom w:w="100" w:type="dxa"/>
            </w:tcMar>
            <w:vAlign w:val="top"/>
          </w:tcPr>
          <w:p w14:paraId="48D36563">
            <w:pPr>
              <w:pStyle w:val="222"/>
              <w:jc w:val="center"/>
              <w:rPr>
                <w:rFonts w:hint="eastAsia" w:ascii="宋体" w:hAnsi="宋体" w:cs="宋体"/>
                <w:sz w:val="24"/>
                <w:szCs w:val="24"/>
              </w:rPr>
            </w:pPr>
            <w:r>
              <w:rPr>
                <w:rFonts w:hint="eastAsia" w:eastAsia="宋体"/>
                <w:highlight w:val="none"/>
                <w:lang w:val="en-US" w:eastAsia="zh-CN"/>
              </w:rPr>
              <w:t>管理服务器</w:t>
            </w:r>
          </w:p>
        </w:tc>
      </w:tr>
      <w:tr w14:paraId="3340E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231" w:type="dxa"/>
            <w:noWrap w:val="0"/>
            <w:tcMar>
              <w:top w:w="100" w:type="dxa"/>
              <w:bottom w:w="100" w:type="dxa"/>
            </w:tcMar>
            <w:vAlign w:val="top"/>
          </w:tcPr>
          <w:p w14:paraId="7CB54861">
            <w:pPr>
              <w:pStyle w:val="222"/>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2</w:t>
            </w:r>
          </w:p>
        </w:tc>
        <w:tc>
          <w:tcPr>
            <w:tcW w:w="7095" w:type="dxa"/>
            <w:noWrap w:val="0"/>
            <w:tcMar>
              <w:top w:w="100" w:type="dxa"/>
              <w:bottom w:w="100" w:type="dxa"/>
            </w:tcMar>
            <w:vAlign w:val="top"/>
          </w:tcPr>
          <w:p w14:paraId="264DF29D">
            <w:pPr>
              <w:pStyle w:val="222"/>
              <w:jc w:val="center"/>
              <w:rPr>
                <w:rFonts w:hint="eastAsia" w:ascii="宋体" w:hAnsi="宋体" w:cs="宋体"/>
                <w:sz w:val="24"/>
                <w:szCs w:val="24"/>
              </w:rPr>
            </w:pPr>
            <w:r>
              <w:rPr>
                <w:rFonts w:hint="eastAsia" w:eastAsia="宋体"/>
                <w:highlight w:val="none"/>
                <w:lang w:val="en-US" w:eastAsia="zh-CN"/>
              </w:rPr>
              <w:t>数据库服务器</w:t>
            </w:r>
          </w:p>
        </w:tc>
      </w:tr>
      <w:tr w14:paraId="14E000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231" w:type="dxa"/>
            <w:noWrap w:val="0"/>
            <w:tcMar>
              <w:top w:w="100" w:type="dxa"/>
              <w:bottom w:w="100" w:type="dxa"/>
            </w:tcMar>
            <w:vAlign w:val="top"/>
          </w:tcPr>
          <w:p w14:paraId="173D0499">
            <w:pPr>
              <w:pStyle w:val="222"/>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3</w:t>
            </w:r>
          </w:p>
        </w:tc>
        <w:tc>
          <w:tcPr>
            <w:tcW w:w="7095" w:type="dxa"/>
            <w:noWrap w:val="0"/>
            <w:tcMar>
              <w:top w:w="100" w:type="dxa"/>
              <w:bottom w:w="100" w:type="dxa"/>
            </w:tcMar>
            <w:vAlign w:val="top"/>
          </w:tcPr>
          <w:p w14:paraId="61063A0A">
            <w:pPr>
              <w:pStyle w:val="222"/>
              <w:jc w:val="center"/>
              <w:rPr>
                <w:rFonts w:hint="eastAsia" w:ascii="宋体" w:hAnsi="宋体" w:cs="宋体"/>
                <w:sz w:val="24"/>
                <w:szCs w:val="24"/>
              </w:rPr>
            </w:pPr>
            <w:r>
              <w:rPr>
                <w:rFonts w:hint="eastAsia" w:eastAsia="宋体"/>
                <w:highlight w:val="none"/>
                <w:lang w:val="en-US" w:eastAsia="zh-CN"/>
              </w:rPr>
              <w:t>应用服务器</w:t>
            </w:r>
          </w:p>
        </w:tc>
      </w:tr>
      <w:tr w14:paraId="196039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231" w:type="dxa"/>
            <w:noWrap w:val="0"/>
            <w:tcMar>
              <w:top w:w="100" w:type="dxa"/>
              <w:bottom w:w="100" w:type="dxa"/>
            </w:tcMar>
            <w:vAlign w:val="top"/>
          </w:tcPr>
          <w:p w14:paraId="61495A18">
            <w:pPr>
              <w:pStyle w:val="222"/>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4</w:t>
            </w:r>
          </w:p>
        </w:tc>
        <w:tc>
          <w:tcPr>
            <w:tcW w:w="7095" w:type="dxa"/>
            <w:noWrap w:val="0"/>
            <w:tcMar>
              <w:top w:w="100" w:type="dxa"/>
              <w:bottom w:w="100" w:type="dxa"/>
            </w:tcMar>
            <w:vAlign w:val="top"/>
          </w:tcPr>
          <w:p w14:paraId="5359E575">
            <w:pPr>
              <w:pStyle w:val="222"/>
              <w:jc w:val="center"/>
              <w:rPr>
                <w:rFonts w:hint="eastAsia" w:ascii="宋体" w:hAnsi="宋体" w:cs="宋体"/>
                <w:sz w:val="24"/>
                <w:szCs w:val="24"/>
              </w:rPr>
            </w:pPr>
            <w:r>
              <w:rPr>
                <w:rFonts w:hint="eastAsia" w:eastAsia="宋体"/>
                <w:highlight w:val="none"/>
                <w:lang w:val="en-US" w:eastAsia="zh-CN"/>
              </w:rPr>
              <w:t>接入服务器</w:t>
            </w:r>
          </w:p>
        </w:tc>
      </w:tr>
      <w:tr w14:paraId="68746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231" w:type="dxa"/>
            <w:noWrap w:val="0"/>
            <w:tcMar>
              <w:top w:w="100" w:type="dxa"/>
              <w:bottom w:w="100" w:type="dxa"/>
            </w:tcMar>
            <w:vAlign w:val="top"/>
          </w:tcPr>
          <w:p w14:paraId="7E600248">
            <w:pPr>
              <w:pStyle w:val="222"/>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5</w:t>
            </w:r>
          </w:p>
        </w:tc>
        <w:tc>
          <w:tcPr>
            <w:tcW w:w="7095" w:type="dxa"/>
            <w:noWrap w:val="0"/>
            <w:tcMar>
              <w:top w:w="100" w:type="dxa"/>
              <w:bottom w:w="100" w:type="dxa"/>
            </w:tcMar>
            <w:vAlign w:val="top"/>
          </w:tcPr>
          <w:p w14:paraId="5E20B426">
            <w:pPr>
              <w:pStyle w:val="222"/>
              <w:jc w:val="center"/>
              <w:rPr>
                <w:rFonts w:hint="eastAsia" w:ascii="宋体" w:hAnsi="宋体" w:cs="宋体"/>
                <w:sz w:val="24"/>
                <w:szCs w:val="24"/>
              </w:rPr>
            </w:pPr>
            <w:r>
              <w:rPr>
                <w:rFonts w:hint="eastAsia" w:eastAsia="宋体"/>
                <w:highlight w:val="none"/>
                <w:lang w:val="en-US" w:eastAsia="zh-CN"/>
              </w:rPr>
              <w:t>事件检测智能服务器</w:t>
            </w:r>
          </w:p>
        </w:tc>
      </w:tr>
      <w:tr w14:paraId="6E151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231" w:type="dxa"/>
            <w:noWrap w:val="0"/>
            <w:tcMar>
              <w:top w:w="100" w:type="dxa"/>
              <w:bottom w:w="100" w:type="dxa"/>
            </w:tcMar>
            <w:vAlign w:val="top"/>
          </w:tcPr>
          <w:p w14:paraId="2B601DA1">
            <w:pPr>
              <w:pStyle w:val="222"/>
              <w:jc w:val="center"/>
              <w:rPr>
                <w:rFonts w:hint="eastAsia" w:ascii="宋体" w:hAnsi="宋体" w:eastAsia="宋体" w:cs="Times New Roman"/>
                <w:color w:val="auto"/>
                <w:sz w:val="24"/>
                <w:szCs w:val="24"/>
                <w:lang w:val="en-US" w:eastAsia="zh-CN" w:bidi="ar-SA"/>
              </w:rPr>
            </w:pPr>
            <w:r>
              <w:rPr>
                <w:rFonts w:hint="eastAsia" w:eastAsia="宋体"/>
                <w:highlight w:val="none"/>
                <w:lang w:val="en-US" w:eastAsia="zh-CN"/>
              </w:rPr>
              <w:t>6</w:t>
            </w:r>
          </w:p>
        </w:tc>
        <w:tc>
          <w:tcPr>
            <w:tcW w:w="7095" w:type="dxa"/>
            <w:noWrap w:val="0"/>
            <w:tcMar>
              <w:top w:w="100" w:type="dxa"/>
              <w:bottom w:w="100" w:type="dxa"/>
            </w:tcMar>
            <w:vAlign w:val="top"/>
          </w:tcPr>
          <w:p w14:paraId="2D8B6FE5">
            <w:pPr>
              <w:pStyle w:val="222"/>
              <w:jc w:val="center"/>
              <w:rPr>
                <w:rFonts w:hint="default" w:ascii="宋体" w:hAnsi="宋体" w:eastAsia="宋体" w:cs="Times New Roman"/>
                <w:color w:val="auto"/>
                <w:sz w:val="22"/>
                <w:szCs w:val="24"/>
                <w:lang w:val="en-US" w:eastAsia="zh-CN" w:bidi="ar"/>
              </w:rPr>
            </w:pPr>
            <w:r>
              <w:rPr>
                <w:rFonts w:hint="eastAsia" w:ascii="Times New Roman" w:hAnsi="Times New Roman" w:eastAsia="宋体" w:cs="Times New Roman"/>
                <w:iCs/>
                <w:highlight w:val="none"/>
                <w:lang w:val="en-US" w:eastAsia="zh-CN"/>
              </w:rPr>
              <w:t>AI智能分析服务器</w:t>
            </w:r>
          </w:p>
        </w:tc>
      </w:tr>
      <w:tr w14:paraId="37FDB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1231" w:type="dxa"/>
            <w:noWrap w:val="0"/>
            <w:tcMar>
              <w:top w:w="100" w:type="dxa"/>
              <w:bottom w:w="100" w:type="dxa"/>
            </w:tcMar>
            <w:vAlign w:val="top"/>
          </w:tcPr>
          <w:p w14:paraId="42AD5D19">
            <w:pPr>
              <w:pStyle w:val="222"/>
              <w:jc w:val="center"/>
              <w:rPr>
                <w:rFonts w:hint="default" w:ascii="宋体" w:hAnsi="宋体" w:eastAsia="宋体" w:cs="宋体"/>
                <w:color w:val="auto"/>
                <w:sz w:val="24"/>
                <w:szCs w:val="24"/>
                <w:lang w:val="en-US" w:eastAsia="zh-CN" w:bidi="ar-SA"/>
              </w:rPr>
            </w:pPr>
            <w:r>
              <w:rPr>
                <w:rFonts w:hint="eastAsia" w:eastAsia="宋体"/>
                <w:highlight w:val="none"/>
                <w:lang w:val="en-US" w:eastAsia="zh-CN"/>
              </w:rPr>
              <w:t>7</w:t>
            </w:r>
          </w:p>
        </w:tc>
        <w:tc>
          <w:tcPr>
            <w:tcW w:w="7095" w:type="dxa"/>
            <w:noWrap w:val="0"/>
            <w:tcMar>
              <w:top w:w="100" w:type="dxa"/>
              <w:bottom w:w="100" w:type="dxa"/>
            </w:tcMar>
            <w:vAlign w:val="top"/>
          </w:tcPr>
          <w:p w14:paraId="48BE1CF7">
            <w:pPr>
              <w:pStyle w:val="222"/>
              <w:jc w:val="center"/>
              <w:rPr>
                <w:rFonts w:hint="eastAsia" w:ascii="宋体" w:hAnsi="宋体" w:cs="宋体"/>
                <w:sz w:val="24"/>
                <w:szCs w:val="24"/>
              </w:rPr>
            </w:pPr>
            <w:r>
              <w:rPr>
                <w:rFonts w:hint="eastAsia" w:ascii="Times New Roman" w:hAnsi="Times New Roman" w:eastAsia="宋体" w:cs="Times New Roman"/>
                <w:highlight w:val="none"/>
                <w:lang w:eastAsia="zh-CN"/>
              </w:rPr>
              <w:t>气象数据接收处理配套</w:t>
            </w:r>
            <w:r>
              <w:rPr>
                <w:rFonts w:hint="eastAsia" w:eastAsia="宋体" w:cs="Times New Roman"/>
                <w:highlight w:val="none"/>
                <w:lang w:eastAsia="zh-CN"/>
              </w:rPr>
              <w:t>服务器</w:t>
            </w:r>
          </w:p>
        </w:tc>
      </w:tr>
    </w:tbl>
    <w:p w14:paraId="5F3E8F49">
      <w:pPr>
        <w:pStyle w:val="226"/>
        <w:spacing w:line="440" w:lineRule="exact"/>
        <w:ind w:firstLine="500"/>
        <w:rPr>
          <w:rFonts w:hint="eastAsia" w:ascii="宋体" w:hAnsi="宋体" w:eastAsia="宋体"/>
          <w:b/>
          <w:bCs/>
          <w:color w:val="auto"/>
          <w:spacing w:val="7"/>
          <w:szCs w:val="22"/>
          <w:highlight w:val="none"/>
        </w:rPr>
      </w:pPr>
    </w:p>
    <w:p w14:paraId="585AA72F">
      <w:pPr>
        <w:pStyle w:val="226"/>
        <w:spacing w:line="440" w:lineRule="exact"/>
        <w:ind w:firstLine="500"/>
        <w:rPr>
          <w:rFonts w:hint="eastAsia" w:ascii="宋体" w:hAnsi="宋体" w:eastAsia="宋体"/>
          <w:b/>
          <w:bCs/>
          <w:color w:val="auto"/>
          <w:spacing w:val="7"/>
          <w:szCs w:val="22"/>
          <w:highlight w:val="none"/>
        </w:rPr>
      </w:pPr>
      <w:r>
        <w:rPr>
          <w:rFonts w:hint="eastAsia" w:ascii="宋体" w:hAnsi="宋体" w:eastAsia="宋体"/>
          <w:b/>
          <w:bCs/>
          <w:color w:val="auto"/>
          <w:spacing w:val="7"/>
          <w:szCs w:val="22"/>
          <w:highlight w:val="none"/>
        </w:rPr>
        <w:t xml:space="preserve">4、绿色采购其他政策： </w:t>
      </w:r>
    </w:p>
    <w:p w14:paraId="5CBD03A0">
      <w:pPr>
        <w:pStyle w:val="226"/>
        <w:spacing w:line="440" w:lineRule="exact"/>
        <w:ind w:firstLine="500"/>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6831479">
      <w:pPr>
        <w:pStyle w:val="226"/>
        <w:spacing w:line="440" w:lineRule="exact"/>
        <w:ind w:firstLine="500"/>
        <w:rPr>
          <w:rFonts w:hint="eastAsia" w:ascii="宋体" w:hAnsi="宋体" w:eastAsia="宋体"/>
          <w:color w:val="auto"/>
          <w:spacing w:val="7"/>
          <w:szCs w:val="22"/>
          <w:highlight w:val="none"/>
        </w:rPr>
      </w:pPr>
      <w:r>
        <w:rPr>
          <w:rFonts w:hint="eastAsia" w:ascii="宋体" w:hAnsi="宋体" w:eastAsia="宋体"/>
          <w:color w:val="auto"/>
          <w:spacing w:val="7"/>
          <w:szCs w:val="22"/>
          <w:highlight w:val="none"/>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65DE43B5">
      <w:pPr>
        <w:pStyle w:val="223"/>
        <w:spacing w:line="440" w:lineRule="exact"/>
        <w:ind w:firstLine="500"/>
        <w:rPr>
          <w:rStyle w:val="199"/>
          <w:rFonts w:hint="eastAsia" w:ascii="宋体" w:hAnsi="宋体"/>
          <w:b/>
          <w:bCs/>
          <w:spacing w:val="7"/>
          <w:sz w:val="24"/>
          <w:szCs w:val="24"/>
          <w:highlight w:val="none"/>
        </w:rPr>
      </w:pPr>
      <w:bookmarkStart w:id="170" w:name="OLE_LINK22"/>
      <w:r>
        <w:rPr>
          <w:rStyle w:val="199"/>
          <w:rFonts w:hint="eastAsia" w:ascii="宋体" w:hAnsi="宋体"/>
          <w:b/>
          <w:bCs/>
          <w:spacing w:val="7"/>
          <w:sz w:val="24"/>
          <w:szCs w:val="24"/>
          <w:highlight w:val="none"/>
          <w:lang w:val="en-US"/>
        </w:rPr>
        <w:t>5、</w:t>
      </w:r>
      <w:r>
        <w:rPr>
          <w:rStyle w:val="199"/>
          <w:rFonts w:hint="eastAsia" w:ascii="宋体" w:hAnsi="宋体"/>
          <w:b/>
          <w:bCs/>
          <w:spacing w:val="7"/>
          <w:sz w:val="24"/>
          <w:szCs w:val="24"/>
          <w:highlight w:val="none"/>
        </w:rPr>
        <w:t>政府采购中实施本国产品标准及相关政策</w:t>
      </w:r>
    </w:p>
    <w:p w14:paraId="70369FF6">
      <w:pPr>
        <w:pStyle w:val="223"/>
        <w:spacing w:line="440" w:lineRule="exact"/>
        <w:ind w:firstLine="500"/>
        <w:rPr>
          <w:rStyle w:val="199"/>
          <w:rFonts w:hint="eastAsia" w:ascii="宋体" w:hAnsi="宋体"/>
          <w:spacing w:val="7"/>
          <w:sz w:val="24"/>
          <w:szCs w:val="24"/>
          <w:highlight w:val="none"/>
        </w:rPr>
      </w:pPr>
      <w:r>
        <w:rPr>
          <w:rStyle w:val="199"/>
          <w:rFonts w:hint="eastAsia" w:ascii="宋体" w:hAnsi="宋体"/>
          <w:spacing w:val="7"/>
          <w:sz w:val="24"/>
          <w:szCs w:val="24"/>
          <w:highlight w:val="none"/>
        </w:rPr>
        <w:t>（</w:t>
      </w:r>
      <w:r>
        <w:rPr>
          <w:rStyle w:val="199"/>
          <w:rFonts w:hint="eastAsia" w:ascii="宋体" w:hAnsi="宋体"/>
          <w:spacing w:val="7"/>
          <w:sz w:val="24"/>
          <w:szCs w:val="24"/>
          <w:highlight w:val="none"/>
          <w:lang w:val="en-US"/>
        </w:rPr>
        <w:t>1</w:t>
      </w:r>
      <w:r>
        <w:rPr>
          <w:rStyle w:val="199"/>
          <w:rFonts w:hint="eastAsia" w:ascii="宋体" w:hAnsi="宋体"/>
          <w:spacing w:val="7"/>
          <w:sz w:val="24"/>
          <w:szCs w:val="24"/>
          <w:highlight w:val="none"/>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C6F99AD">
      <w:pPr>
        <w:pStyle w:val="223"/>
        <w:spacing w:line="440" w:lineRule="exact"/>
        <w:ind w:firstLine="500"/>
        <w:rPr>
          <w:rFonts w:hint="eastAsia" w:ascii="宋体" w:hAnsi="宋体" w:eastAsia="宋体"/>
          <w:color w:val="auto"/>
          <w:spacing w:val="7"/>
          <w:szCs w:val="22"/>
          <w:highlight w:val="none"/>
          <w:lang w:eastAsia="zh-CN"/>
        </w:rPr>
      </w:pPr>
      <w:r>
        <w:rPr>
          <w:rStyle w:val="199"/>
          <w:rFonts w:hint="eastAsia" w:ascii="宋体" w:hAnsi="宋体"/>
          <w:spacing w:val="7"/>
          <w:sz w:val="24"/>
          <w:szCs w:val="24"/>
          <w:highlight w:val="none"/>
        </w:rPr>
        <w:t>（</w:t>
      </w:r>
      <w:r>
        <w:rPr>
          <w:rStyle w:val="199"/>
          <w:rFonts w:hint="eastAsia" w:ascii="宋体" w:hAnsi="宋体"/>
          <w:spacing w:val="7"/>
          <w:sz w:val="24"/>
          <w:szCs w:val="24"/>
          <w:highlight w:val="none"/>
          <w:lang w:val="en-US"/>
        </w:rPr>
        <w:t>2</w:t>
      </w:r>
      <w:r>
        <w:rPr>
          <w:rStyle w:val="199"/>
          <w:rFonts w:hint="eastAsia" w:ascii="宋体" w:hAnsi="宋体"/>
          <w:spacing w:val="7"/>
          <w:sz w:val="24"/>
          <w:szCs w:val="24"/>
          <w:highlight w:val="none"/>
        </w:rPr>
        <w:t>）本国产品应当在中国境内生产，即在中华人民共和国关境内实现从原材料、组件到产品的属性改变。从具体情形看，在国内保税区、综合保税区等海关特殊监管区域生产的产品，属于在中国境内生产的产品；</w:t>
      </w:r>
      <w:r>
        <w:rPr>
          <w:rStyle w:val="199"/>
          <w:rFonts w:hint="eastAsia" w:ascii="宋体" w:hAnsi="宋体"/>
          <w:spacing w:val="7"/>
          <w:sz w:val="24"/>
          <w:szCs w:val="24"/>
        </w:rPr>
        <w:t>对医疗器械产品，取得药品监督管理部门授予的准字号医疗器械注册证的，属于在中国境内生产的产品；其他产品，根据实际情况判断是否在中国境内生产。</w:t>
      </w:r>
    </w:p>
    <w:p w14:paraId="2B730DF8">
      <w:pPr>
        <w:spacing w:line="440" w:lineRule="exact"/>
        <w:ind w:firstLine="510"/>
        <w:rPr>
          <w:rFonts w:hint="eastAsia" w:ascii="宋体" w:hAnsi="宋体"/>
          <w:b/>
          <w:bCs/>
          <w:color w:val="auto"/>
          <w:spacing w:val="7"/>
          <w:sz w:val="24"/>
          <w:szCs w:val="24"/>
          <w:highlight w:val="none"/>
        </w:rPr>
      </w:pPr>
      <w:r>
        <w:rPr>
          <w:rFonts w:hint="eastAsia" w:ascii="宋体" w:hAnsi="宋体"/>
          <w:b/>
          <w:bCs/>
          <w:color w:val="auto"/>
          <w:spacing w:val="7"/>
          <w:sz w:val="24"/>
          <w:szCs w:val="24"/>
          <w:highlight w:val="none"/>
        </w:rPr>
        <w:t>注意事项：</w:t>
      </w:r>
    </w:p>
    <w:p w14:paraId="0B7D11FF">
      <w:pPr>
        <w:spacing w:line="440" w:lineRule="exact"/>
        <w:ind w:firstLine="510"/>
        <w:rPr>
          <w:rFonts w:hint="eastAsia"/>
          <w:b w:val="0"/>
          <w:bCs w:val="0"/>
          <w:color w:val="auto"/>
          <w:spacing w:val="7"/>
          <w:sz w:val="24"/>
          <w:szCs w:val="24"/>
          <w:highlight w:val="none"/>
          <w:lang w:eastAsia="zh-CN"/>
        </w:rPr>
      </w:pPr>
      <w:r>
        <w:rPr>
          <w:rFonts w:hint="eastAsia"/>
          <w:b w:val="0"/>
          <w:bCs w:val="0"/>
          <w:color w:val="auto"/>
          <w:spacing w:val="7"/>
          <w:sz w:val="24"/>
          <w:szCs w:val="24"/>
          <w:highlight w:val="none"/>
          <w:lang w:val="en-US" w:eastAsia="zh-CN"/>
        </w:rPr>
        <w:t>1.</w:t>
      </w:r>
      <w:r>
        <w:rPr>
          <w:rFonts w:hint="eastAsia"/>
          <w:b w:val="0"/>
          <w:bCs w:val="0"/>
          <w:color w:val="auto"/>
          <w:spacing w:val="7"/>
          <w:sz w:val="24"/>
          <w:szCs w:val="24"/>
          <w:highlight w:val="none"/>
          <w:lang w:eastAsia="zh-CN"/>
        </w:rPr>
        <w:t>在项目实施过程中，涉及到与第三方系统对接的，由采购单位负责与第三方系统主管单位、第三方系统供应商沟通协调，确保第三方系统接口开放。</w:t>
      </w:r>
    </w:p>
    <w:p w14:paraId="54E70690">
      <w:pPr>
        <w:spacing w:line="440" w:lineRule="exact"/>
        <w:ind w:firstLine="510"/>
        <w:rPr>
          <w:rFonts w:hint="eastAsia"/>
          <w:b w:val="0"/>
          <w:bCs w:val="0"/>
          <w:spacing w:val="7"/>
          <w:sz w:val="24"/>
          <w:szCs w:val="24"/>
          <w:highlight w:val="none"/>
          <w:lang w:eastAsia="zh-CN"/>
        </w:rPr>
      </w:pPr>
      <w:r>
        <w:rPr>
          <w:rFonts w:hint="eastAsia"/>
          <w:b w:val="0"/>
          <w:bCs w:val="0"/>
          <w:spacing w:val="7"/>
          <w:sz w:val="24"/>
          <w:szCs w:val="24"/>
          <w:highlight w:val="none"/>
          <w:lang w:val="en-US" w:eastAsia="zh-CN"/>
        </w:rPr>
        <w:t>2.</w:t>
      </w:r>
      <w:r>
        <w:rPr>
          <w:rFonts w:hint="eastAsia"/>
          <w:b w:val="0"/>
          <w:bCs w:val="0"/>
          <w:spacing w:val="7"/>
          <w:sz w:val="24"/>
          <w:szCs w:val="24"/>
          <w:highlight w:val="none"/>
          <w:lang w:eastAsia="zh-CN"/>
        </w:rPr>
        <w:t>项目需求中涉及到的各项标准如有最新标准按最新标准执行。</w:t>
      </w:r>
    </w:p>
    <w:bookmarkEnd w:id="170"/>
    <w:p w14:paraId="12DCF64D">
      <w:pPr>
        <w:spacing w:line="360" w:lineRule="auto"/>
        <w:outlineLvl w:val="1"/>
        <w:rPr>
          <w:rFonts w:hint="eastAsia" w:ascii="宋体" w:hAnsi="宋体" w:eastAsia="宋体"/>
          <w:b/>
          <w:color w:val="auto"/>
          <w:sz w:val="28"/>
          <w:szCs w:val="28"/>
          <w:highlight w:val="none"/>
        </w:rPr>
      </w:pPr>
    </w:p>
    <w:p w14:paraId="79A6B651">
      <w:pPr>
        <w:spacing w:before="120" w:after="120" w:line="440" w:lineRule="exact"/>
        <w:rPr>
          <w:rFonts w:hint="default" w:ascii="Times New Roman" w:hAnsi="Times New Roman" w:eastAsia="宋体" w:cs="Times New Roman"/>
          <w:b/>
          <w:sz w:val="28"/>
          <w:szCs w:val="28"/>
          <w:highlight w:val="none"/>
        </w:rPr>
      </w:pPr>
      <w:r>
        <w:rPr>
          <w:rFonts w:hint="eastAsia" w:ascii="宋体" w:hAnsi="宋体" w:eastAsia="宋体"/>
          <w:b/>
          <w:color w:val="auto"/>
          <w:sz w:val="28"/>
          <w:szCs w:val="28"/>
          <w:highlight w:val="none"/>
          <w:lang w:eastAsia="zh-CN"/>
        </w:rPr>
        <w:t>二、</w:t>
      </w:r>
      <w:r>
        <w:rPr>
          <w:rFonts w:hint="eastAsia" w:ascii="宋体" w:hAnsi="宋体" w:eastAsia="宋体"/>
          <w:b/>
          <w:color w:val="auto"/>
          <w:sz w:val="28"/>
          <w:szCs w:val="28"/>
          <w:highlight w:val="none"/>
        </w:rPr>
        <w:t>技术要求</w:t>
      </w:r>
    </w:p>
    <w:tbl>
      <w:tblPr>
        <w:tblStyle w:val="31"/>
        <w:tblW w:w="95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936"/>
        <w:gridCol w:w="360"/>
        <w:gridCol w:w="8275"/>
      </w:tblGrid>
      <w:tr w14:paraId="5238F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tcMar>
              <w:top w:w="100" w:type="dxa"/>
              <w:left w:w="108" w:type="dxa"/>
              <w:bottom w:w="100" w:type="dxa"/>
              <w:right w:w="108" w:type="dxa"/>
            </w:tcMar>
            <w:vAlign w:val="center"/>
          </w:tcPr>
          <w:p w14:paraId="77E46FBE">
            <w:pPr>
              <w:spacing w:line="440" w:lineRule="exact"/>
              <w:jc w:val="center"/>
              <w:rPr>
                <w:rFonts w:ascii="Times New Roman" w:hAnsi="Times New Roman" w:eastAsia="宋体" w:cs="Times New Roman"/>
                <w:color w:val="auto"/>
                <w:sz w:val="24"/>
                <w:szCs w:val="24"/>
                <w:highlight w:val="none"/>
                <w:lang w:val="en-US" w:eastAsia="zh-CN" w:bidi="ar-SA"/>
              </w:rPr>
            </w:pPr>
            <w:bookmarkStart w:id="171" w:name="_Hlk160095828"/>
            <w:r>
              <w:rPr>
                <w:rFonts w:ascii="Times New Roman" w:hAnsi="Times New Roman" w:eastAsia="宋体" w:cs="Times New Roman"/>
                <w:color w:val="auto"/>
                <w:sz w:val="24"/>
                <w:szCs w:val="24"/>
                <w:highlight w:val="none"/>
                <w:lang w:val="en-US" w:eastAsia="zh-CN" w:bidi="ar-SA"/>
              </w:rPr>
              <w:t>序号</w:t>
            </w:r>
          </w:p>
        </w:tc>
        <w:tc>
          <w:tcPr>
            <w:tcW w:w="360" w:type="dxa"/>
            <w:noWrap w:val="0"/>
            <w:tcMar>
              <w:top w:w="100" w:type="dxa"/>
              <w:left w:w="108" w:type="dxa"/>
              <w:bottom w:w="100" w:type="dxa"/>
              <w:right w:w="108" w:type="dxa"/>
            </w:tcMar>
            <w:vAlign w:val="center"/>
          </w:tcPr>
          <w:p w14:paraId="26EBE6D4">
            <w:pPr>
              <w:spacing w:line="440" w:lineRule="exact"/>
              <w:jc w:val="center"/>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名称</w:t>
            </w:r>
          </w:p>
        </w:tc>
        <w:tc>
          <w:tcPr>
            <w:tcW w:w="8275" w:type="dxa"/>
            <w:noWrap w:val="0"/>
            <w:tcMar>
              <w:top w:w="100" w:type="dxa"/>
              <w:left w:w="108" w:type="dxa"/>
              <w:bottom w:w="100" w:type="dxa"/>
              <w:right w:w="108" w:type="dxa"/>
            </w:tcMar>
            <w:vAlign w:val="center"/>
          </w:tcPr>
          <w:p w14:paraId="17746FD8">
            <w:pPr>
              <w:spacing w:line="440" w:lineRule="exact"/>
              <w:jc w:val="center"/>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内容</w:t>
            </w:r>
          </w:p>
        </w:tc>
      </w:tr>
      <w:tr w14:paraId="61B57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tcMar>
              <w:top w:w="100" w:type="dxa"/>
              <w:left w:w="108" w:type="dxa"/>
              <w:bottom w:w="100" w:type="dxa"/>
              <w:right w:w="108" w:type="dxa"/>
            </w:tcMar>
            <w:vAlign w:val="center"/>
          </w:tcPr>
          <w:p w14:paraId="4B95ACA1">
            <w:pPr>
              <w:spacing w:line="440" w:lineRule="exact"/>
              <w:jc w:val="center"/>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p>
        </w:tc>
        <w:tc>
          <w:tcPr>
            <w:tcW w:w="360" w:type="dxa"/>
            <w:noWrap w:val="0"/>
            <w:tcMar>
              <w:top w:w="100" w:type="dxa"/>
              <w:left w:w="108" w:type="dxa"/>
              <w:bottom w:w="100" w:type="dxa"/>
              <w:right w:w="108" w:type="dxa"/>
            </w:tcMar>
            <w:vAlign w:val="center"/>
          </w:tcPr>
          <w:p w14:paraId="2BE6185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项目背景</w:t>
            </w:r>
          </w:p>
        </w:tc>
        <w:tc>
          <w:tcPr>
            <w:tcW w:w="8275" w:type="dxa"/>
            <w:noWrap w:val="0"/>
            <w:tcMar>
              <w:top w:w="100" w:type="dxa"/>
              <w:left w:w="108" w:type="dxa"/>
              <w:bottom w:w="100" w:type="dxa"/>
              <w:right w:w="108" w:type="dxa"/>
            </w:tcMar>
            <w:vAlign w:val="center"/>
          </w:tcPr>
          <w:p w14:paraId="511E56A7">
            <w:pPr>
              <w:spacing w:line="440" w:lineRule="exact"/>
              <w:rPr>
                <w:rFonts w:hint="default" w:ascii="Times New Roman" w:hAnsi="Times New Roman" w:eastAsia="宋体" w:cs="Times New Roman"/>
                <w:color w:val="auto"/>
                <w:sz w:val="24"/>
                <w:highlight w:val="none"/>
              </w:rPr>
            </w:pPr>
            <w:r>
              <w:rPr>
                <w:rFonts w:hint="eastAsia" w:ascii="Times New Roman" w:hAnsi="Times New Roman" w:eastAsia="宋体" w:cs="Times New Roman"/>
                <w:bCs/>
                <w:i w:val="0"/>
                <w:iCs w:val="0"/>
                <w:color w:val="auto"/>
                <w:sz w:val="24"/>
                <w:highlight w:val="none"/>
                <w:u w:val="none"/>
                <w:lang w:val="en-US" w:eastAsia="zh-CN"/>
              </w:rPr>
              <w:t>西二环--杨新公路快速化改造工程，位于张家港城西、城北片区，是张家港市“五纵四横”快速路网布局的重要组成部分。西二环--杨新公路快速化改造工程起点位于长安南路，对既有老路采用高架形式进行快速化改造，主线高架跨越老张扬公路落地后，以隧道形式下穿南沿江铁路与晨丰公路，止于晨阳路，路线全场约8.737km。沿线设置6对上下匝道、2对地面出入口，与张扬公路交叉设全互通枢纽，并同时改造张扬公路（港城大道--疏港高速段）约4.222km。</w:t>
            </w:r>
          </w:p>
        </w:tc>
      </w:tr>
      <w:tr w14:paraId="5087F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tcMar>
              <w:top w:w="100" w:type="dxa"/>
              <w:left w:w="108" w:type="dxa"/>
              <w:bottom w:w="100" w:type="dxa"/>
              <w:right w:w="108" w:type="dxa"/>
            </w:tcMar>
            <w:vAlign w:val="center"/>
          </w:tcPr>
          <w:p w14:paraId="01370FBB">
            <w:pPr>
              <w:spacing w:line="440" w:lineRule="exact"/>
              <w:jc w:val="center"/>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w:t>
            </w:r>
          </w:p>
        </w:tc>
        <w:tc>
          <w:tcPr>
            <w:tcW w:w="360" w:type="dxa"/>
            <w:noWrap w:val="0"/>
            <w:tcMar>
              <w:top w:w="100" w:type="dxa"/>
              <w:left w:w="108" w:type="dxa"/>
              <w:bottom w:w="100" w:type="dxa"/>
              <w:right w:w="108" w:type="dxa"/>
            </w:tcMar>
            <w:vAlign w:val="center"/>
          </w:tcPr>
          <w:p w14:paraId="401F525A">
            <w:pPr>
              <w:spacing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建设内容</w:t>
            </w:r>
          </w:p>
        </w:tc>
        <w:tc>
          <w:tcPr>
            <w:tcW w:w="8275" w:type="dxa"/>
            <w:noWrap w:val="0"/>
            <w:tcMar>
              <w:top w:w="100" w:type="dxa"/>
              <w:left w:w="108" w:type="dxa"/>
              <w:bottom w:w="100" w:type="dxa"/>
              <w:right w:w="108" w:type="dxa"/>
            </w:tcMar>
            <w:vAlign w:val="center"/>
          </w:tcPr>
          <w:p w14:paraId="247D406D">
            <w:pPr>
              <w:widowControl w:val="0"/>
              <w:snapToGrid w:val="0"/>
              <w:spacing w:before="156" w:line="360" w:lineRule="auto"/>
              <w:ind w:firstLine="0" w:firstLineChars="0"/>
              <w:jc w:val="left"/>
              <w:rPr>
                <w:rFonts w:ascii="Times New Roman" w:hAnsi="Times New Roman" w:eastAsia="宋体" w:cs="Times New Roman"/>
                <w:bCs/>
                <w:i/>
                <w:iCs/>
                <w:color w:val="auto"/>
                <w:sz w:val="24"/>
                <w:szCs w:val="20"/>
                <w:highlight w:val="none"/>
                <w:u w:val="single"/>
                <w:lang w:val="en-US" w:eastAsia="zh-CN" w:bidi="ar-SA"/>
              </w:rPr>
            </w:pPr>
            <w:r>
              <w:rPr>
                <w:rFonts w:ascii="Times New Roman" w:hAnsi="Times New Roman" w:eastAsia="宋体" w:cs="Times New Roman"/>
                <w:bCs/>
                <w:i/>
                <w:iCs/>
                <w:color w:val="auto"/>
                <w:sz w:val="24"/>
                <w:szCs w:val="20"/>
                <w:highlight w:val="none"/>
                <w:u w:val="single"/>
                <w:lang w:val="en-US" w:eastAsia="zh-CN" w:bidi="ar-SA"/>
              </w:rPr>
              <w:t>1、本项目</w:t>
            </w:r>
            <w:r>
              <w:rPr>
                <w:rFonts w:hint="eastAsia" w:ascii="Times New Roman" w:hAnsi="Times New Roman" w:eastAsia="宋体" w:cs="Times New Roman"/>
                <w:bCs/>
                <w:i/>
                <w:iCs/>
                <w:color w:val="auto"/>
                <w:sz w:val="24"/>
                <w:szCs w:val="20"/>
                <w:highlight w:val="none"/>
                <w:u w:val="single"/>
                <w:lang w:val="en-US" w:eastAsia="zh-CN" w:bidi="ar-SA"/>
              </w:rPr>
              <w:t>包括</w:t>
            </w:r>
            <w:r>
              <w:rPr>
                <w:rFonts w:ascii="Times New Roman" w:hAnsi="Times New Roman" w:eastAsia="宋体" w:cs="Times New Roman"/>
                <w:bCs/>
                <w:i/>
                <w:iCs/>
                <w:color w:val="auto"/>
                <w:sz w:val="24"/>
                <w:szCs w:val="20"/>
                <w:highlight w:val="none"/>
                <w:u w:val="single"/>
                <w:lang w:val="en-US" w:eastAsia="zh-CN" w:bidi="ar-SA"/>
              </w:rPr>
              <w:t>交通信号控制系统、高清视频监控系统、高清电子警察系统、交通信息采集系统、交通诱导发布系统、违停抓拍系统、实景指挥系统、上下匝道抓拍系统、主线卡口抓拍系统、入口匝道控制系统、区间测速系统、交通广播系统、鱼腹线实线变道抓拍系统、中心软硬件扩容、合杆杆件、管道等。完成配套通信设施、供</w:t>
            </w:r>
            <w:r>
              <w:rPr>
                <w:rFonts w:hint="eastAsia" w:ascii="Times New Roman" w:hAnsi="Times New Roman" w:eastAsia="宋体" w:cs="Times New Roman"/>
                <w:bCs/>
                <w:i/>
                <w:iCs/>
                <w:color w:val="auto"/>
                <w:sz w:val="24"/>
                <w:szCs w:val="20"/>
                <w:highlight w:val="none"/>
                <w:u w:val="single"/>
                <w:lang w:val="en-US" w:eastAsia="zh-CN" w:bidi="ar-SA"/>
              </w:rPr>
              <w:t>配</w:t>
            </w:r>
            <w:r>
              <w:rPr>
                <w:rFonts w:ascii="Times New Roman" w:hAnsi="Times New Roman" w:eastAsia="宋体" w:cs="Times New Roman"/>
                <w:bCs/>
                <w:i/>
                <w:iCs/>
                <w:color w:val="auto"/>
                <w:sz w:val="24"/>
                <w:szCs w:val="20"/>
                <w:highlight w:val="none"/>
                <w:u w:val="single"/>
                <w:lang w:val="en-US" w:eastAsia="zh-CN" w:bidi="ar-SA"/>
              </w:rPr>
              <w:t>电设施、安装支架、</w:t>
            </w:r>
            <w:r>
              <w:rPr>
                <w:rFonts w:hint="eastAsia" w:ascii="Times New Roman" w:hAnsi="Times New Roman" w:eastAsia="宋体" w:cs="Times New Roman"/>
                <w:bCs/>
                <w:i/>
                <w:iCs/>
                <w:color w:val="auto"/>
                <w:sz w:val="24"/>
                <w:szCs w:val="20"/>
                <w:highlight w:val="none"/>
                <w:u w:val="single"/>
                <w:lang w:val="en-US" w:eastAsia="zh-CN" w:bidi="ar-SA"/>
              </w:rPr>
              <w:t>立杆</w:t>
            </w:r>
            <w:r>
              <w:rPr>
                <w:rFonts w:ascii="Times New Roman" w:hAnsi="Times New Roman" w:eastAsia="宋体" w:cs="Times New Roman"/>
                <w:bCs/>
                <w:i/>
                <w:iCs/>
                <w:color w:val="auto"/>
                <w:sz w:val="24"/>
                <w:szCs w:val="20"/>
                <w:highlight w:val="none"/>
                <w:u w:val="single"/>
                <w:lang w:val="en-US" w:eastAsia="zh-CN" w:bidi="ar-SA"/>
              </w:rPr>
              <w:t>等附属设施的建设。完成</w:t>
            </w:r>
            <w:r>
              <w:rPr>
                <w:rFonts w:hint="eastAsia" w:ascii="Times New Roman" w:hAnsi="Times New Roman" w:eastAsia="宋体" w:cs="Times New Roman"/>
                <w:bCs/>
                <w:i/>
                <w:iCs/>
                <w:color w:val="auto"/>
                <w:sz w:val="24"/>
                <w:szCs w:val="20"/>
                <w:highlight w:val="none"/>
                <w:u w:val="single"/>
                <w:lang w:val="en-US" w:eastAsia="zh-CN" w:bidi="ar-SA"/>
              </w:rPr>
              <w:t>张家港</w:t>
            </w:r>
            <w:r>
              <w:rPr>
                <w:rFonts w:ascii="Times New Roman" w:hAnsi="Times New Roman" w:eastAsia="宋体" w:cs="Times New Roman"/>
                <w:bCs/>
                <w:i/>
                <w:iCs/>
                <w:color w:val="auto"/>
                <w:sz w:val="24"/>
                <w:szCs w:val="20"/>
                <w:highlight w:val="none"/>
                <w:u w:val="single"/>
                <w:lang w:val="en-US" w:eastAsia="zh-CN" w:bidi="ar-SA"/>
              </w:rPr>
              <w:t>市</w:t>
            </w:r>
            <w:r>
              <w:rPr>
                <w:rFonts w:hint="eastAsia" w:ascii="Times New Roman" w:hAnsi="Times New Roman" w:eastAsia="宋体" w:cs="Times New Roman"/>
                <w:bCs/>
                <w:i/>
                <w:iCs/>
                <w:color w:val="auto"/>
                <w:sz w:val="24"/>
                <w:szCs w:val="20"/>
                <w:highlight w:val="none"/>
                <w:u w:val="single"/>
                <w:lang w:val="en-US" w:eastAsia="zh-CN" w:bidi="ar-SA"/>
              </w:rPr>
              <w:t>公安局</w:t>
            </w:r>
            <w:r>
              <w:rPr>
                <w:rFonts w:ascii="Times New Roman" w:hAnsi="Times New Roman" w:eastAsia="宋体" w:cs="Times New Roman"/>
                <w:bCs/>
                <w:i/>
                <w:iCs/>
                <w:color w:val="auto"/>
                <w:sz w:val="24"/>
                <w:szCs w:val="20"/>
                <w:highlight w:val="none"/>
                <w:u w:val="single"/>
                <w:lang w:val="en-US" w:eastAsia="zh-CN" w:bidi="ar-SA"/>
              </w:rPr>
              <w:t>交</w:t>
            </w:r>
            <w:r>
              <w:rPr>
                <w:rFonts w:hint="eastAsia" w:ascii="Times New Roman" w:hAnsi="Times New Roman" w:eastAsia="宋体" w:cs="Times New Roman"/>
                <w:bCs/>
                <w:i/>
                <w:iCs/>
                <w:color w:val="auto"/>
                <w:sz w:val="24"/>
                <w:szCs w:val="20"/>
                <w:highlight w:val="none"/>
                <w:u w:val="single"/>
                <w:lang w:val="en-US" w:eastAsia="zh-CN" w:bidi="ar-SA"/>
              </w:rPr>
              <w:t>通警察大</w:t>
            </w:r>
            <w:r>
              <w:rPr>
                <w:rFonts w:ascii="Times New Roman" w:hAnsi="Times New Roman" w:eastAsia="宋体" w:cs="Times New Roman"/>
                <w:bCs/>
                <w:i/>
                <w:iCs/>
                <w:color w:val="auto"/>
                <w:sz w:val="24"/>
                <w:szCs w:val="20"/>
                <w:highlight w:val="none"/>
                <w:u w:val="single"/>
                <w:lang w:val="en-US" w:eastAsia="zh-CN" w:bidi="ar-SA"/>
              </w:rPr>
              <w:t>队</w:t>
            </w:r>
            <w:r>
              <w:rPr>
                <w:rFonts w:hint="eastAsia" w:ascii="Times New Roman" w:hAnsi="Times New Roman" w:eastAsia="宋体" w:cs="Times New Roman"/>
                <w:bCs/>
                <w:i/>
                <w:iCs/>
                <w:color w:val="auto"/>
                <w:sz w:val="24"/>
                <w:szCs w:val="20"/>
                <w:highlight w:val="none"/>
                <w:u w:val="single"/>
                <w:lang w:val="en-US" w:eastAsia="zh-Hans" w:bidi="ar-SA"/>
              </w:rPr>
              <w:t>及交通运输局</w:t>
            </w:r>
            <w:r>
              <w:rPr>
                <w:rFonts w:hint="eastAsia" w:ascii="Times New Roman" w:hAnsi="Times New Roman" w:eastAsia="宋体" w:cs="Times New Roman"/>
                <w:bCs/>
                <w:i/>
                <w:iCs/>
                <w:color w:val="auto"/>
                <w:sz w:val="24"/>
                <w:szCs w:val="20"/>
                <w:highlight w:val="none"/>
                <w:u w:val="single"/>
                <w:lang w:val="en-US" w:eastAsia="zh-CN" w:bidi="ar-SA"/>
              </w:rPr>
              <w:t>控制</w:t>
            </w:r>
            <w:r>
              <w:rPr>
                <w:rFonts w:ascii="Times New Roman" w:hAnsi="Times New Roman" w:eastAsia="宋体" w:cs="Times New Roman"/>
                <w:bCs/>
                <w:i/>
                <w:iCs/>
                <w:color w:val="auto"/>
                <w:sz w:val="24"/>
                <w:szCs w:val="20"/>
                <w:highlight w:val="none"/>
                <w:u w:val="single"/>
                <w:lang w:val="en-US" w:eastAsia="zh-CN" w:bidi="ar-SA"/>
              </w:rPr>
              <w:t>中心内硬件设备的扩容，及应用软件</w:t>
            </w:r>
            <w:r>
              <w:rPr>
                <w:rFonts w:hint="eastAsia" w:ascii="Times New Roman" w:hAnsi="Times New Roman" w:eastAsia="宋体" w:cs="Times New Roman"/>
                <w:bCs/>
                <w:i/>
                <w:iCs/>
                <w:color w:val="auto"/>
                <w:sz w:val="24"/>
                <w:szCs w:val="20"/>
                <w:highlight w:val="none"/>
                <w:u w:val="single"/>
                <w:lang w:val="en-US" w:eastAsia="zh-CN" w:bidi="ar-SA"/>
              </w:rPr>
              <w:t>接口</w:t>
            </w:r>
            <w:r>
              <w:rPr>
                <w:rFonts w:ascii="Times New Roman" w:hAnsi="Times New Roman" w:eastAsia="宋体" w:cs="Times New Roman"/>
                <w:bCs/>
                <w:i/>
                <w:iCs/>
                <w:color w:val="auto"/>
                <w:sz w:val="24"/>
                <w:szCs w:val="20"/>
                <w:highlight w:val="none"/>
                <w:u w:val="single"/>
                <w:lang w:val="en-US" w:eastAsia="zh-CN" w:bidi="ar-SA"/>
              </w:rPr>
              <w:t>模块的开发、编制等内容。</w:t>
            </w:r>
            <w:r>
              <w:rPr>
                <w:rFonts w:hint="eastAsia" w:ascii="Times New Roman" w:hAnsi="Times New Roman" w:eastAsia="宋体" w:cs="Times New Roman"/>
                <w:bCs/>
                <w:i/>
                <w:iCs/>
                <w:color w:val="auto"/>
                <w:sz w:val="24"/>
                <w:szCs w:val="20"/>
                <w:highlight w:val="none"/>
                <w:u w:val="single"/>
                <w:lang w:val="en-US" w:eastAsia="zh-CN" w:bidi="ar-SA"/>
              </w:rPr>
              <w:t>利用本</w:t>
            </w:r>
            <w:r>
              <w:rPr>
                <w:rFonts w:ascii="Times New Roman" w:hAnsi="Times New Roman" w:eastAsia="宋体" w:cs="Times New Roman"/>
                <w:bCs/>
                <w:i/>
                <w:iCs/>
                <w:color w:val="auto"/>
                <w:sz w:val="24"/>
                <w:szCs w:val="20"/>
                <w:highlight w:val="none"/>
                <w:u w:val="single"/>
                <w:lang w:val="en-US" w:eastAsia="zh-CN" w:bidi="ar-SA"/>
              </w:rPr>
              <w:t>项目</w:t>
            </w:r>
            <w:r>
              <w:rPr>
                <w:rFonts w:hint="eastAsia" w:ascii="Times New Roman" w:hAnsi="Times New Roman" w:eastAsia="宋体" w:cs="Times New Roman"/>
                <w:bCs/>
                <w:i/>
                <w:iCs/>
                <w:color w:val="auto"/>
                <w:sz w:val="24"/>
                <w:szCs w:val="20"/>
                <w:highlight w:val="none"/>
                <w:u w:val="single"/>
                <w:lang w:val="en-US" w:eastAsia="zh-CN" w:bidi="ar-SA"/>
              </w:rPr>
              <w:t>租赁的通信设施，将各类摄像机采集的交通参数、视频、违法数据、设备工作状态等信息及交通诱导屏接入交通指挥</w:t>
            </w:r>
            <w:r>
              <w:rPr>
                <w:rFonts w:ascii="Times New Roman" w:hAnsi="Times New Roman" w:eastAsia="宋体" w:cs="Times New Roman"/>
                <w:bCs/>
                <w:i/>
                <w:iCs/>
                <w:color w:val="auto"/>
                <w:sz w:val="24"/>
                <w:szCs w:val="20"/>
                <w:highlight w:val="none"/>
                <w:u w:val="single"/>
                <w:lang w:val="en-US" w:eastAsia="zh-CN" w:bidi="ar-SA"/>
              </w:rPr>
              <w:t>中心</w:t>
            </w:r>
            <w:r>
              <w:rPr>
                <w:rFonts w:hint="eastAsia" w:ascii="Times New Roman" w:hAnsi="Times New Roman" w:eastAsia="宋体" w:cs="Times New Roman"/>
                <w:bCs/>
                <w:i/>
                <w:iCs/>
                <w:color w:val="auto"/>
                <w:sz w:val="24"/>
                <w:szCs w:val="20"/>
                <w:highlight w:val="none"/>
                <w:u w:val="single"/>
                <w:lang w:val="en-US" w:eastAsia="zh-CN" w:bidi="ar-SA"/>
              </w:rPr>
              <w:t>。交通信号系统接入交管大队现有信控平台</w:t>
            </w:r>
            <w:r>
              <w:rPr>
                <w:rFonts w:hint="eastAsia" w:ascii="Times New Roman" w:hAnsi="Times New Roman" w:eastAsia="宋体" w:cs="Times New Roman"/>
                <w:i/>
                <w:color w:val="auto"/>
                <w:sz w:val="24"/>
                <w:szCs w:val="20"/>
                <w:highlight w:val="none"/>
                <w:u w:val="single"/>
                <w:lang w:val="en-US" w:eastAsia="zh-CN" w:bidi="ar-SA"/>
              </w:rPr>
              <w:t>（信号机设备端需支持GB/T20999-2017通信协议，系统端支持GA/T 1049.2-2024通信协议）</w:t>
            </w:r>
            <w:r>
              <w:rPr>
                <w:rFonts w:hint="eastAsia" w:ascii="Times New Roman" w:hAnsi="Times New Roman" w:eastAsia="宋体" w:cs="Times New Roman"/>
                <w:bCs/>
                <w:i/>
                <w:iCs/>
                <w:color w:val="auto"/>
                <w:sz w:val="24"/>
                <w:szCs w:val="20"/>
                <w:highlight w:val="none"/>
                <w:u w:val="single"/>
                <w:lang w:val="en-US" w:eastAsia="zh-CN" w:bidi="ar-SA"/>
              </w:rPr>
              <w:t>、视频接入市局现有的视频监控平台、卡口图片接入市</w:t>
            </w:r>
            <w:r>
              <w:rPr>
                <w:rFonts w:hint="eastAsia" w:ascii="Times New Roman" w:hAnsi="Times New Roman" w:eastAsia="宋体" w:cs="Times New Roman"/>
                <w:b w:val="0"/>
                <w:bCs/>
                <w:i/>
                <w:iCs/>
                <w:color w:val="auto"/>
                <w:sz w:val="24"/>
                <w:szCs w:val="20"/>
                <w:highlight w:val="none"/>
                <w:u w:val="single"/>
                <w:lang w:val="en-US" w:eastAsia="zh-CN" w:bidi="ar-SA"/>
              </w:rPr>
              <w:t>局实战应用平台</w:t>
            </w:r>
            <w:r>
              <w:rPr>
                <w:rFonts w:hint="eastAsia" w:ascii="Times New Roman" w:hAnsi="Times New Roman" w:eastAsia="宋体" w:cs="Times New Roman"/>
                <w:bCs/>
                <w:i/>
                <w:iCs/>
                <w:color w:val="auto"/>
                <w:sz w:val="24"/>
                <w:szCs w:val="20"/>
                <w:highlight w:val="none"/>
                <w:u w:val="single"/>
                <w:lang w:val="en-US" w:eastAsia="zh-CN" w:bidi="ar-SA"/>
              </w:rPr>
              <w:t>、交通违法图片接入大队现有的交通违法处理平台、雷视一体机接入大队全息高架平台，以上设备均需接入大队运维管理系统（平台及系统接口详见附件），</w:t>
            </w:r>
            <w:r>
              <w:rPr>
                <w:rFonts w:ascii="Times New Roman" w:hAnsi="Times New Roman" w:eastAsia="宋体" w:cs="Times New Roman"/>
                <w:bCs/>
                <w:i/>
                <w:iCs/>
                <w:color w:val="auto"/>
                <w:sz w:val="24"/>
                <w:szCs w:val="20"/>
                <w:highlight w:val="none"/>
                <w:u w:val="single"/>
                <w:lang w:val="en-US" w:eastAsia="zh-CN" w:bidi="ar-SA"/>
              </w:rPr>
              <w:t>项目所涉及光纤租用、市电接电、电费、道路开挖、市政赔补等费用均包含在</w:t>
            </w:r>
            <w:r>
              <w:rPr>
                <w:rFonts w:hint="eastAsia" w:ascii="Times New Roman" w:hAnsi="Times New Roman" w:eastAsia="宋体" w:cs="Times New Roman"/>
                <w:bCs/>
                <w:i/>
                <w:iCs/>
                <w:color w:val="auto"/>
                <w:sz w:val="24"/>
                <w:szCs w:val="20"/>
                <w:highlight w:val="none"/>
                <w:u w:val="single"/>
                <w:lang w:val="en-US" w:eastAsia="zh-CN" w:bidi="ar-SA"/>
              </w:rPr>
              <w:t>项目</w:t>
            </w:r>
            <w:r>
              <w:rPr>
                <w:rFonts w:ascii="Times New Roman" w:hAnsi="Times New Roman" w:eastAsia="宋体" w:cs="Times New Roman"/>
                <w:bCs/>
                <w:i/>
                <w:iCs/>
                <w:color w:val="auto"/>
                <w:sz w:val="24"/>
                <w:szCs w:val="20"/>
                <w:highlight w:val="none"/>
                <w:u w:val="single"/>
                <w:lang w:val="en-US" w:eastAsia="zh-CN" w:bidi="ar-SA"/>
              </w:rPr>
              <w:t>内。采购人不再支付以外的任何费用。</w:t>
            </w:r>
          </w:p>
          <w:p w14:paraId="1B147B68">
            <w:pPr>
              <w:spacing w:line="440" w:lineRule="exact"/>
              <w:rPr>
                <w:rFonts w:hint="eastAsia" w:ascii="宋体" w:hAnsi="宋体" w:eastAsia="宋体" w:cs="Times New Roman"/>
                <w:color w:val="auto"/>
                <w:szCs w:val="21"/>
                <w:highlight w:val="none"/>
                <w:lang w:eastAsia="zh-CN"/>
              </w:rPr>
            </w:pPr>
            <w:r>
              <w:rPr>
                <w:rFonts w:hint="default" w:ascii="Times New Roman" w:hAnsi="Times New Roman" w:eastAsia="宋体" w:cs="Times New Roman"/>
                <w:bCs/>
                <w:i/>
                <w:iCs/>
                <w:color w:val="auto"/>
                <w:sz w:val="24"/>
                <w:highlight w:val="none"/>
                <w:u w:val="single"/>
              </w:rPr>
              <w:t>2、本招标文件提出的技术要求应视为保证项目（含平台、传输、网络、供电、运输、立杆、设备箱、开挖、设施、税率等）运行所需的最低要求，</w:t>
            </w:r>
            <w:r>
              <w:rPr>
                <w:rFonts w:hint="eastAsia" w:ascii="Times New Roman" w:hAnsi="Times New Roman" w:eastAsia="宋体" w:cs="Times New Roman"/>
                <w:bCs/>
                <w:i/>
                <w:iCs/>
                <w:color w:val="auto"/>
                <w:sz w:val="24"/>
                <w:highlight w:val="none"/>
                <w:u w:val="single"/>
                <w:lang w:val="en-US" w:eastAsia="zh-CN"/>
              </w:rPr>
              <w:t>是否满足技术要求以保证项目运行为准，技术要求</w:t>
            </w:r>
            <w:r>
              <w:rPr>
                <w:rFonts w:hint="default" w:ascii="Times New Roman" w:hAnsi="Times New Roman" w:eastAsia="宋体" w:cs="Times New Roman"/>
                <w:bCs/>
                <w:i/>
                <w:iCs/>
                <w:color w:val="auto"/>
                <w:sz w:val="24"/>
                <w:highlight w:val="none"/>
                <w:u w:val="single"/>
              </w:rPr>
              <w:t>如有遗漏，投标人应予以补充</w:t>
            </w:r>
            <w:r>
              <w:rPr>
                <w:rFonts w:hint="eastAsia" w:ascii="Times New Roman" w:hAnsi="Times New Roman" w:eastAsia="宋体" w:cs="Times New Roman"/>
                <w:bCs/>
                <w:i/>
                <w:iCs/>
                <w:color w:val="auto"/>
                <w:sz w:val="24"/>
                <w:highlight w:val="none"/>
                <w:u w:val="single"/>
                <w:lang w:eastAsia="zh-CN"/>
              </w:rPr>
              <w:t>。</w:t>
            </w:r>
            <w:r>
              <w:rPr>
                <w:rFonts w:hint="default" w:ascii="Times New Roman" w:hAnsi="Times New Roman" w:eastAsia="宋体" w:cs="Times New Roman"/>
                <w:bCs/>
                <w:i/>
                <w:iCs/>
                <w:color w:val="auto"/>
                <w:sz w:val="24"/>
                <w:highlight w:val="none"/>
                <w:u w:val="single"/>
              </w:rPr>
              <w:t>投标人的运营工作应满足但不限于本招标文件要求</w:t>
            </w:r>
            <w:r>
              <w:rPr>
                <w:rFonts w:hint="eastAsia" w:ascii="Times New Roman" w:hAnsi="Times New Roman" w:eastAsia="宋体" w:cs="Times New Roman"/>
                <w:bCs/>
                <w:i/>
                <w:iCs/>
                <w:color w:val="auto"/>
                <w:sz w:val="24"/>
                <w:highlight w:val="none"/>
                <w:u w:val="single"/>
                <w:lang w:eastAsia="zh-CN"/>
              </w:rPr>
              <w:t>。</w:t>
            </w:r>
          </w:p>
          <w:p w14:paraId="0B898B72">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3、项目所产生的数据、文件、视频等所有权归属采购人，其使用由采购人按需支配，投标人应无条件配合。</w:t>
            </w:r>
          </w:p>
        </w:tc>
      </w:tr>
      <w:tr w14:paraId="64F8A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tcMar>
              <w:top w:w="100" w:type="dxa"/>
              <w:left w:w="108" w:type="dxa"/>
              <w:bottom w:w="100" w:type="dxa"/>
              <w:right w:w="108" w:type="dxa"/>
            </w:tcMar>
            <w:vAlign w:val="center"/>
          </w:tcPr>
          <w:p w14:paraId="7208696A">
            <w:pPr>
              <w:spacing w:line="440" w:lineRule="exact"/>
              <w:jc w:val="center"/>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w:t>
            </w:r>
          </w:p>
        </w:tc>
        <w:tc>
          <w:tcPr>
            <w:tcW w:w="360" w:type="dxa"/>
            <w:noWrap w:val="0"/>
            <w:tcMar>
              <w:top w:w="100" w:type="dxa"/>
              <w:left w:w="108" w:type="dxa"/>
              <w:bottom w:w="100" w:type="dxa"/>
              <w:right w:w="108" w:type="dxa"/>
            </w:tcMar>
            <w:vAlign w:val="center"/>
          </w:tcPr>
          <w:p w14:paraId="2A49E671">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项目</w:t>
            </w:r>
            <w:r>
              <w:rPr>
                <w:rFonts w:ascii="Times New Roman" w:hAnsi="Times New Roman" w:eastAsia="宋体" w:cs="Times New Roman"/>
                <w:color w:val="auto"/>
                <w:sz w:val="24"/>
                <w:szCs w:val="24"/>
                <w:highlight w:val="none"/>
                <w:lang w:val="en-US" w:eastAsia="zh-CN" w:bidi="ar-SA"/>
              </w:rPr>
              <w:t>清单</w:t>
            </w:r>
          </w:p>
        </w:tc>
        <w:tc>
          <w:tcPr>
            <w:tcW w:w="8275" w:type="dxa"/>
            <w:noWrap w:val="0"/>
            <w:tcMar>
              <w:top w:w="100" w:type="dxa"/>
              <w:left w:w="108" w:type="dxa"/>
              <w:bottom w:w="100" w:type="dxa"/>
              <w:right w:w="108" w:type="dxa"/>
            </w:tcMar>
            <w:vAlign w:val="center"/>
          </w:tcPr>
          <w:tbl>
            <w:tblPr>
              <w:tblStyle w:val="31"/>
              <w:tblW w:w="61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9"/>
              <w:gridCol w:w="2506"/>
              <w:gridCol w:w="3096"/>
            </w:tblGrid>
            <w:tr w14:paraId="05CEC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949EDDD">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216F50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项目名称</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E1A3AC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技术参数要求</w:t>
                  </w:r>
                </w:p>
              </w:tc>
            </w:tr>
            <w:tr w14:paraId="3C3D8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7918B04F">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一、交通信号控制系统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B9F7D20">
                  <w:pPr>
                    <w:rPr>
                      <w:rFonts w:hint="eastAsia" w:ascii="宋体" w:hAnsi="宋体" w:eastAsia="宋体" w:cs="宋体"/>
                      <w:i w:val="0"/>
                      <w:iCs w:val="0"/>
                      <w:color w:val="auto"/>
                      <w:sz w:val="24"/>
                      <w:szCs w:val="24"/>
                      <w:highlight w:val="none"/>
                      <w:u w:val="none"/>
                    </w:rPr>
                  </w:pPr>
                </w:p>
              </w:tc>
            </w:tr>
            <w:tr w14:paraId="3E580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DD1324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5B582A3">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西二环-杨新公路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684BF57">
                  <w:pPr>
                    <w:rPr>
                      <w:rFonts w:hint="eastAsia" w:ascii="宋体" w:hAnsi="宋体" w:eastAsia="宋体" w:cs="宋体"/>
                      <w:i w:val="0"/>
                      <w:iCs w:val="0"/>
                      <w:color w:val="auto"/>
                      <w:sz w:val="24"/>
                      <w:szCs w:val="24"/>
                      <w:highlight w:val="none"/>
                      <w:u w:val="none"/>
                    </w:rPr>
                  </w:pPr>
                </w:p>
              </w:tc>
            </w:tr>
            <w:tr w14:paraId="459B1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6286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61AD1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机动车圆盘信号灯（400mm）</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79009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C8E9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42353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137BF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机动车箭头信号灯（400mm）</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E67A4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D751F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80907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DC09E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机动车圆盘信号灯（300mm）</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D7210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2F64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416449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C5B9A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机动车箭头信号灯（300mm）</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1A8DB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1A9331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F5EAD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0694D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非机动车左转信号灯（400mm）</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C0B53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CA0A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3E4BE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4C470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非机动车信号灯（400mm）</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09EFD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BB66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A020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ED98B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非机动车左转信号灯（300mm）</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8592C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0A13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3AE81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2B183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非机动车信号灯（300mm）</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A47662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9D80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8C531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4124A7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人行信号灯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E458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990B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CE282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5BD122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人行信号灯立杆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3B6C8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立杆3.2m，安装净高2.5M，热镀锌喷塑</w:t>
                  </w:r>
                </w:p>
              </w:tc>
            </w:tr>
            <w:tr w14:paraId="192BB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182BA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95923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人行信号灯立杆基础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38472AD">
                  <w:pPr>
                    <w:keepNext w:val="0"/>
                    <w:keepLines w:val="0"/>
                    <w:widowControl/>
                    <w:suppressLineNumbers w:val="0"/>
                    <w:jc w:val="left"/>
                    <w:textAlignment w:val="center"/>
                    <w:rPr>
                      <w:rFonts w:hint="default" w:ascii="宋体" w:hAnsi="宋体" w:eastAsia="宋体" w:cs="宋体"/>
                      <w:i/>
                      <w:iCs/>
                      <w:color w:val="auto"/>
                      <w:sz w:val="24"/>
                      <w:szCs w:val="24"/>
                      <w:highlight w:val="none"/>
                      <w:u w:val="single"/>
                      <w:lang w:val="en-US"/>
                    </w:rPr>
                  </w:pPr>
                  <w:r>
                    <w:rPr>
                      <w:rFonts w:hint="eastAsia" w:ascii="宋体" w:hAnsi="宋体" w:eastAsia="宋体" w:cs="宋体"/>
                      <w:i/>
                      <w:iCs/>
                      <w:color w:val="auto"/>
                      <w:kern w:val="0"/>
                      <w:sz w:val="24"/>
                      <w:szCs w:val="24"/>
                      <w:highlight w:val="none"/>
                      <w:u w:val="single"/>
                      <w:lang w:val="en-US" w:eastAsia="zh-CN" w:bidi="ar"/>
                    </w:rPr>
                    <w:t>500*500*1300mm</w:t>
                  </w:r>
                </w:p>
              </w:tc>
            </w:tr>
            <w:tr w14:paraId="3F6B0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332521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6DBB4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单柱式机动车信号灯立杆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22E8953">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立杆5m，安装净高3.2M，热镀锌喷塑</w:t>
                  </w:r>
                </w:p>
              </w:tc>
            </w:tr>
            <w:tr w14:paraId="0C454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F8470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A2D66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单柱式信号灯立杆基础1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9492554">
                  <w:pPr>
                    <w:keepNext w:val="0"/>
                    <w:keepLines w:val="0"/>
                    <w:widowControl/>
                    <w:suppressLineNumbers w:val="0"/>
                    <w:jc w:val="left"/>
                    <w:textAlignment w:val="center"/>
                    <w:rPr>
                      <w:rFonts w:hint="default" w:ascii="宋体" w:hAnsi="宋体" w:eastAsia="宋体" w:cs="宋体"/>
                      <w:i/>
                      <w:iCs/>
                      <w:color w:val="auto"/>
                      <w:sz w:val="24"/>
                      <w:szCs w:val="24"/>
                      <w:highlight w:val="none"/>
                      <w:u w:val="single"/>
                      <w:lang w:val="en-US"/>
                    </w:rPr>
                  </w:pPr>
                  <w:r>
                    <w:rPr>
                      <w:rFonts w:hint="eastAsia" w:ascii="宋体" w:hAnsi="宋体" w:eastAsia="宋体" w:cs="宋体"/>
                      <w:i/>
                      <w:iCs/>
                      <w:color w:val="auto"/>
                      <w:kern w:val="0"/>
                      <w:sz w:val="24"/>
                      <w:szCs w:val="24"/>
                      <w:highlight w:val="none"/>
                      <w:u w:val="single"/>
                      <w:lang w:val="en-US" w:eastAsia="zh-CN" w:bidi="ar"/>
                    </w:rPr>
                    <w:t>600*600*1500mm</w:t>
                  </w:r>
                </w:p>
              </w:tc>
            </w:tr>
            <w:tr w14:paraId="34606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366BD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EFD07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单柱式信号灯立杆基础2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0ED9508">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地面护栏预埋基础，法兰尺寸:350*250</w:t>
                  </w:r>
                </w:p>
              </w:tc>
            </w:tr>
            <w:tr w14:paraId="5C021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1B7AC4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765B8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机动车信号灯立杆1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D24C11C">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悬臂5米</w:t>
                  </w:r>
                </w:p>
              </w:tc>
            </w:tr>
            <w:tr w14:paraId="0C6CE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F2FFE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B2C37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机动车信号灯立杆2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1FD80AE">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悬臂7米</w:t>
                  </w:r>
                </w:p>
              </w:tc>
            </w:tr>
            <w:tr w14:paraId="32B3D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725D3E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CBA09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机动车信号灯立杆3</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580FAD9">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悬臂9米</w:t>
                  </w:r>
                </w:p>
              </w:tc>
            </w:tr>
            <w:tr w14:paraId="1AFAB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E2DDE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DD167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机动车信号灯立杆4</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8D55499">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悬臂10米</w:t>
                  </w:r>
                </w:p>
              </w:tc>
            </w:tr>
            <w:tr w14:paraId="68905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D522D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3EE03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机动车信号灯立杆5</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0D32894">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悬臂12米</w:t>
                  </w:r>
                </w:p>
              </w:tc>
            </w:tr>
            <w:tr w14:paraId="663D1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A0E9FD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ED8DA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机动车信号灯立杆基础1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73D42B6">
                  <w:pPr>
                    <w:keepNext w:val="0"/>
                    <w:keepLines w:val="0"/>
                    <w:widowControl/>
                    <w:suppressLineNumbers w:val="0"/>
                    <w:jc w:val="left"/>
                    <w:textAlignment w:val="center"/>
                    <w:rPr>
                      <w:rFonts w:hint="default" w:ascii="宋体" w:hAnsi="宋体" w:eastAsia="宋体" w:cs="宋体"/>
                      <w:i/>
                      <w:iCs/>
                      <w:color w:val="auto"/>
                      <w:sz w:val="24"/>
                      <w:szCs w:val="24"/>
                      <w:highlight w:val="none"/>
                      <w:u w:val="single"/>
                      <w:lang w:val="en-US"/>
                    </w:rPr>
                  </w:pPr>
                  <w:r>
                    <w:rPr>
                      <w:rFonts w:hint="eastAsia" w:ascii="宋体" w:hAnsi="宋体" w:eastAsia="宋体" w:cs="宋体"/>
                      <w:i/>
                      <w:iCs/>
                      <w:color w:val="auto"/>
                      <w:kern w:val="0"/>
                      <w:sz w:val="24"/>
                      <w:szCs w:val="24"/>
                      <w:highlight w:val="none"/>
                      <w:u w:val="single"/>
                      <w:lang w:val="en-US" w:eastAsia="zh-CN" w:bidi="ar"/>
                    </w:rPr>
                    <w:t>1200*1200*1500mm</w:t>
                  </w:r>
                </w:p>
              </w:tc>
            </w:tr>
            <w:tr w14:paraId="5EA19E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A314F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F9B54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机动车信号灯立杆基础2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539E378">
                  <w:pPr>
                    <w:keepNext w:val="0"/>
                    <w:keepLines w:val="0"/>
                    <w:widowControl/>
                    <w:suppressLineNumbers w:val="0"/>
                    <w:jc w:val="left"/>
                    <w:textAlignment w:val="center"/>
                    <w:rPr>
                      <w:rFonts w:hint="default" w:ascii="宋体" w:hAnsi="宋体" w:eastAsia="宋体" w:cs="宋体"/>
                      <w:i/>
                      <w:iCs/>
                      <w:color w:val="auto"/>
                      <w:sz w:val="24"/>
                      <w:szCs w:val="24"/>
                      <w:highlight w:val="none"/>
                      <w:u w:val="single"/>
                      <w:lang w:val="en-US"/>
                    </w:rPr>
                  </w:pPr>
                  <w:r>
                    <w:rPr>
                      <w:rFonts w:hint="eastAsia" w:ascii="宋体" w:hAnsi="宋体" w:eastAsia="宋体" w:cs="宋体"/>
                      <w:i/>
                      <w:iCs/>
                      <w:color w:val="auto"/>
                      <w:kern w:val="0"/>
                      <w:sz w:val="24"/>
                      <w:szCs w:val="24"/>
                      <w:highlight w:val="none"/>
                      <w:u w:val="single"/>
                      <w:lang w:val="en-US" w:eastAsia="zh-CN" w:bidi="ar"/>
                    </w:rPr>
                    <w:t>1400*1400*1700mm</w:t>
                  </w:r>
                </w:p>
              </w:tc>
            </w:tr>
            <w:tr w14:paraId="54287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7072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EF97D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信号灯支架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FFC30CE">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60mm*60mm*5m方管，5-7米横臂*1（长度按实调整），≥1米竖向吊臂*3（长度按实调整）；300mm*300mm*10mm固定法兰*3（每个法兰至少8个M16化学螺栓与桥体固定）</w:t>
                  </w:r>
                </w:p>
              </w:tc>
            </w:tr>
            <w:tr w14:paraId="6F556A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A84DB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5F445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控制软电缆1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F1EA1C2">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KVVR-450/750-（20X1.0mm）</w:t>
                  </w:r>
                </w:p>
              </w:tc>
            </w:tr>
            <w:tr w14:paraId="41114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016294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0A58F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控制软电缆2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764D946">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KVVR-450/750-（10X1.0mm）</w:t>
                  </w:r>
                </w:p>
              </w:tc>
            </w:tr>
            <w:tr w14:paraId="562AD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6E83F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3DB91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控制软电缆3</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CC3043F">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KVVR-450/750-（5X1.0mm）</w:t>
                  </w:r>
                </w:p>
              </w:tc>
            </w:tr>
            <w:tr w14:paraId="7947A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E7406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97333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控制软电缆4</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BF0E340">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KVVR-450/750-（4X1.0mm）</w:t>
                  </w:r>
                </w:p>
              </w:tc>
            </w:tr>
            <w:tr w14:paraId="170CD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A8E57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DEE0C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C7A9A92">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L5X5,L=2.5m</w:t>
                  </w:r>
                </w:p>
              </w:tc>
            </w:tr>
            <w:tr w14:paraId="71951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94F580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7200E4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0500C01">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07A0F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2"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0B34C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FD46C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F1922E7">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BV-10mm</w:t>
                  </w:r>
                  <w:r>
                    <w:rPr>
                      <w:rFonts w:hint="eastAsia" w:ascii="宋体" w:hAnsi="宋体" w:eastAsia="宋体" w:cs="宋体"/>
                      <w:i/>
                      <w:iCs/>
                      <w:color w:val="auto"/>
                      <w:sz w:val="24"/>
                      <w:szCs w:val="24"/>
                      <w:highlight w:val="none"/>
                      <w:u w:val="single"/>
                      <w:lang w:val="en-US" w:eastAsia="zh-CN" w:bidi="ar"/>
                    </w:rPr>
                    <w:t>²</w:t>
                  </w:r>
                </w:p>
              </w:tc>
            </w:tr>
            <w:tr w14:paraId="10585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AF3CE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F4253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电力电缆1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328D8AF">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YJV3*4mm</w:t>
                  </w:r>
                  <w:r>
                    <w:rPr>
                      <w:rFonts w:hint="eastAsia" w:ascii="宋体" w:hAnsi="宋体" w:eastAsia="宋体" w:cs="宋体"/>
                      <w:i/>
                      <w:iCs/>
                      <w:color w:val="auto"/>
                      <w:sz w:val="24"/>
                      <w:szCs w:val="24"/>
                      <w:highlight w:val="none"/>
                      <w:u w:val="single"/>
                      <w:lang w:val="en-US" w:eastAsia="zh-CN" w:bidi="ar"/>
                    </w:rPr>
                    <w:t>²</w:t>
                  </w:r>
                </w:p>
              </w:tc>
            </w:tr>
            <w:tr w14:paraId="293AE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B74B19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CD801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电力电缆2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FE837F0">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YJV5*25mm</w:t>
                  </w:r>
                  <w:r>
                    <w:rPr>
                      <w:rFonts w:hint="eastAsia" w:ascii="宋体" w:hAnsi="宋体" w:eastAsia="宋体" w:cs="宋体"/>
                      <w:i/>
                      <w:iCs/>
                      <w:color w:val="auto"/>
                      <w:sz w:val="24"/>
                      <w:szCs w:val="24"/>
                      <w:highlight w:val="none"/>
                      <w:u w:val="single"/>
                      <w:lang w:val="en-US" w:eastAsia="zh-CN" w:bidi="ar"/>
                    </w:rPr>
                    <w:t>²</w:t>
                  </w:r>
                </w:p>
              </w:tc>
            </w:tr>
            <w:tr w14:paraId="7B3D4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1DE88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0ADC6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电力电缆3</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7B584A1">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YJV5*35mm</w:t>
                  </w:r>
                  <w:r>
                    <w:rPr>
                      <w:rFonts w:hint="eastAsia" w:ascii="宋体" w:hAnsi="宋体" w:eastAsia="宋体" w:cs="宋体"/>
                      <w:i/>
                      <w:iCs/>
                      <w:color w:val="auto"/>
                      <w:sz w:val="24"/>
                      <w:szCs w:val="24"/>
                      <w:highlight w:val="none"/>
                      <w:u w:val="single"/>
                      <w:lang w:val="en-US" w:eastAsia="zh-CN" w:bidi="ar"/>
                    </w:rPr>
                    <w:t>²</w:t>
                  </w:r>
                </w:p>
              </w:tc>
            </w:tr>
            <w:tr w14:paraId="57C8C2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7A32A6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E5902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配电箱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170D64B">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外壳采用不锈钢，喷塑，厚度不小于1.5mm，含电表（支持远程抄表），空开，含自动重合闸控制器</w:t>
                  </w:r>
                </w:p>
              </w:tc>
            </w:tr>
            <w:tr w14:paraId="0186F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77529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79FF4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配电箱基础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12E5D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垫层：1060mm*800mm*100mm，C15混凝土；基础：860mm*600mm*800mm，C25混凝土；含钢筋笼、地脚螺栓等</w:t>
                  </w:r>
                </w:p>
              </w:tc>
            </w:tr>
            <w:tr w14:paraId="7601C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45192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9AEFB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交通信号控制机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D15392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15131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6C728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A5F51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信号机基础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622B2FE">
                  <w:pPr>
                    <w:keepNext w:val="0"/>
                    <w:keepLines w:val="0"/>
                    <w:widowControl/>
                    <w:suppressLineNumbers w:val="0"/>
                    <w:jc w:val="left"/>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iCs/>
                      <w:color w:val="auto"/>
                      <w:kern w:val="0"/>
                      <w:sz w:val="24"/>
                      <w:szCs w:val="24"/>
                      <w:highlight w:val="none"/>
                      <w:u w:val="single"/>
                      <w:lang w:val="en-US" w:eastAsia="zh-CN" w:bidi="ar"/>
                    </w:rPr>
                    <w:t>1000*600*900mm</w:t>
                  </w:r>
                </w:p>
              </w:tc>
            </w:tr>
            <w:tr w14:paraId="2358A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8C8A1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6E9F8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无线遥控手动装置</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973BB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8690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D0FB8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A7EE3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行人二次过街指示牌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855A4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1500*500mm</w:t>
                  </w:r>
                </w:p>
              </w:tc>
            </w:tr>
            <w:tr w14:paraId="04342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8853B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290D5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信号灯指示牌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818098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高架信号灯指示牌、地面信号灯指示牌</w:t>
                  </w:r>
                </w:p>
              </w:tc>
            </w:tr>
            <w:tr w14:paraId="0DFFC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E20CD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24373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96F0F2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含水晶头、扎带、标签、螺丝、压线端子等辅材；</w:t>
                  </w:r>
                </w:p>
              </w:tc>
            </w:tr>
            <w:tr w14:paraId="03903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40D01A1B">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二、高清视频监控系统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D7EA51B">
                  <w:pPr>
                    <w:jc w:val="left"/>
                    <w:rPr>
                      <w:rFonts w:hint="eastAsia" w:ascii="宋体" w:hAnsi="宋体" w:eastAsia="宋体" w:cs="宋体"/>
                      <w:i w:val="0"/>
                      <w:iCs w:val="0"/>
                      <w:color w:val="auto"/>
                      <w:sz w:val="24"/>
                      <w:szCs w:val="24"/>
                      <w:highlight w:val="none"/>
                      <w:u w:val="none"/>
                    </w:rPr>
                  </w:pPr>
                </w:p>
              </w:tc>
            </w:tr>
            <w:tr w14:paraId="7ACDF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BCE206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CB43242">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西二环-杨新公路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F4F79DB">
                  <w:pPr>
                    <w:rPr>
                      <w:rFonts w:hint="eastAsia" w:ascii="宋体" w:hAnsi="宋体" w:eastAsia="宋体" w:cs="宋体"/>
                      <w:i w:val="0"/>
                      <w:iCs w:val="0"/>
                      <w:color w:val="auto"/>
                      <w:sz w:val="24"/>
                      <w:szCs w:val="24"/>
                      <w:highlight w:val="none"/>
                      <w:u w:val="none"/>
                    </w:rPr>
                  </w:pPr>
                </w:p>
              </w:tc>
            </w:tr>
            <w:tr w14:paraId="7E8BC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ign w:val="center"/>
                </w:tcPr>
                <w:p w14:paraId="10FEAB3D">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2.1.1、地面监控</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4F04C8">
                  <w:pPr>
                    <w:jc w:val="left"/>
                    <w:rPr>
                      <w:rFonts w:hint="eastAsia" w:ascii="宋体" w:hAnsi="宋体" w:eastAsia="宋体" w:cs="宋体"/>
                      <w:i w:val="0"/>
                      <w:iCs w:val="0"/>
                      <w:color w:val="auto"/>
                      <w:sz w:val="24"/>
                      <w:szCs w:val="24"/>
                      <w:highlight w:val="none"/>
                      <w:u w:val="none"/>
                    </w:rPr>
                  </w:pPr>
                </w:p>
              </w:tc>
            </w:tr>
            <w:tr w14:paraId="4D971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39FDD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77304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一体化高清球型摄像机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FC4CB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347A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84F0F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8887B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高清枪型摄像机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74ABB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4D80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2DE87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5CF168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436E07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13391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624D1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C3C71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5F8954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270F2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43406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53C4F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985D98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3DB8C8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21293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F417D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49FA3D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2F328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FD0FF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B3372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0827C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0096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DA962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C01C36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856FA7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高6米，臂长5米</w:t>
                  </w:r>
                </w:p>
              </w:tc>
            </w:tr>
            <w:tr w14:paraId="360E69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837A1E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C2D56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立杆基础1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9448651">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1200*1200*1500mm</w:t>
                  </w:r>
                </w:p>
              </w:tc>
            </w:tr>
            <w:tr w14:paraId="07381E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E1B2C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BB061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2653CF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高3.5米，臂长1米</w:t>
                  </w:r>
                </w:p>
              </w:tc>
            </w:tr>
            <w:tr w14:paraId="763BE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AFE14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394AC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立杆基础2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F4214D7">
                  <w:pPr>
                    <w:keepNext w:val="0"/>
                    <w:keepLines w:val="0"/>
                    <w:widowControl/>
                    <w:suppressLineNumbers w:val="0"/>
                    <w:jc w:val="left"/>
                    <w:textAlignment w:val="center"/>
                    <w:rPr>
                      <w:rFonts w:hint="default" w:eastAsia="宋体" w:cs="Times New Roman"/>
                      <w:color w:val="auto"/>
                      <w:lang w:val="en-US" w:eastAsia="zh-CN"/>
                    </w:rPr>
                  </w:pPr>
                  <w:r>
                    <w:rPr>
                      <w:rFonts w:hint="eastAsia" w:ascii="宋体" w:hAnsi="宋体" w:eastAsia="宋体" w:cs="宋体"/>
                      <w:i/>
                      <w:iCs/>
                      <w:color w:val="auto"/>
                      <w:kern w:val="0"/>
                      <w:sz w:val="24"/>
                      <w:szCs w:val="24"/>
                      <w:highlight w:val="none"/>
                      <w:u w:val="single"/>
                      <w:lang w:val="en-US" w:eastAsia="zh-CN" w:bidi="ar"/>
                    </w:rPr>
                    <w:t>700*700*700mm</w:t>
                  </w:r>
                </w:p>
              </w:tc>
            </w:tr>
            <w:tr w14:paraId="060F2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882CB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FE517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8F5D2D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75070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A33B4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11105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2FE557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41620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371B2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18472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30ADB7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2045E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712C5B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9DC48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BABE26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7A58E2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E87DB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98E93E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4632F3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L5X5,L=2.5m</w:t>
                  </w:r>
                </w:p>
              </w:tc>
            </w:tr>
            <w:tr w14:paraId="7099B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CB703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8A972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4A7364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5732B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28A04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A80F3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5806D8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BV-10mm²</w:t>
                  </w:r>
                </w:p>
              </w:tc>
            </w:tr>
            <w:tr w14:paraId="597C4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2A646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F9B66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EB1480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含水晶头、扎带、标签、螺丝、压线端子等辅材；</w:t>
                  </w:r>
                </w:p>
              </w:tc>
            </w:tr>
            <w:tr w14:paraId="54A13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ign w:val="center"/>
                </w:tcPr>
                <w:p w14:paraId="610A0BD3">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2.1.2、高架监控</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1257B09">
                  <w:pPr>
                    <w:jc w:val="left"/>
                    <w:rPr>
                      <w:rFonts w:hint="eastAsia" w:ascii="宋体" w:hAnsi="宋体" w:eastAsia="宋体" w:cs="宋体"/>
                      <w:i w:val="0"/>
                      <w:iCs w:val="0"/>
                      <w:color w:val="auto"/>
                      <w:sz w:val="24"/>
                      <w:szCs w:val="24"/>
                      <w:highlight w:val="none"/>
                      <w:u w:val="none"/>
                    </w:rPr>
                  </w:pPr>
                </w:p>
              </w:tc>
            </w:tr>
            <w:tr w14:paraId="61B9E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C3F5E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E82B5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一体化高清球型摄像机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8CE9E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2EA9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74CD5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5D112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E34571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4B257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CEA4E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25C04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25C354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1A0A0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92003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D78A9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72EB92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4A17E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2AEB1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7844B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E1DEFC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16E87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4A30B9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F8EA8C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02FCAC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12A5B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2195A0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54815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ECB981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4B1AB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36762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D935F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5D8992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2B234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47E0F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1B886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8D8D1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6964D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43605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173EA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5F8C8E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17291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F3094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326D43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677FFC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含水晶头、扎带、标签、螺丝、压线端子等辅材；</w:t>
                  </w:r>
                </w:p>
              </w:tc>
            </w:tr>
            <w:tr w14:paraId="2C67F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16A37274">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2.2、公路监控</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BC73AD9">
                  <w:pPr>
                    <w:jc w:val="left"/>
                    <w:rPr>
                      <w:rFonts w:hint="eastAsia" w:ascii="宋体" w:hAnsi="宋体" w:eastAsia="宋体" w:cs="宋体"/>
                      <w:i w:val="0"/>
                      <w:iCs w:val="0"/>
                      <w:color w:val="auto"/>
                      <w:sz w:val="24"/>
                      <w:szCs w:val="24"/>
                      <w:highlight w:val="none"/>
                      <w:u w:val="none"/>
                    </w:rPr>
                  </w:pPr>
                </w:p>
              </w:tc>
            </w:tr>
            <w:tr w14:paraId="424BF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AF573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B13E03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一体化高清高倍球型摄像机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BF479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308E2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44161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70A6C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防雷器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64076A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二合一</w:t>
                  </w:r>
                </w:p>
              </w:tc>
            </w:tr>
            <w:tr w14:paraId="0ADD6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36E35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BA18E4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6C1037F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3979B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D5F52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60F3E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BBC960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2AFC3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2E17C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91BE2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B4E25E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12FFA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100B2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C67CFE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FFB30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E033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0F026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674FB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传输网络（租赁）</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C3E7C2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百兆/三年</w:t>
                  </w:r>
                </w:p>
              </w:tc>
            </w:tr>
            <w:tr w14:paraId="30A75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8834A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5CC06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3E26CB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含水晶头、扎带、标签、螺丝、压线端子等辅材；</w:t>
                  </w:r>
                </w:p>
              </w:tc>
            </w:tr>
            <w:tr w14:paraId="523AC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0B1E8071">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2.3、西二环监控</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D73B43B">
                  <w:pPr>
                    <w:jc w:val="left"/>
                    <w:rPr>
                      <w:rFonts w:hint="eastAsia" w:ascii="宋体" w:hAnsi="宋体" w:eastAsia="宋体" w:cs="宋体"/>
                      <w:i w:val="0"/>
                      <w:iCs w:val="0"/>
                      <w:color w:val="auto"/>
                      <w:sz w:val="24"/>
                      <w:szCs w:val="24"/>
                      <w:highlight w:val="none"/>
                      <w:u w:val="none"/>
                    </w:rPr>
                  </w:pPr>
                </w:p>
              </w:tc>
            </w:tr>
            <w:tr w14:paraId="6F3C0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C9013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96A2C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一体化高清高倍球型摄像机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24664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54DE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859A8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96E82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防雷器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B8035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二合</w:t>
                  </w:r>
                  <w:r>
                    <w:rPr>
                      <w:rFonts w:hint="eastAsia" w:ascii="宋体" w:hAnsi="宋体" w:eastAsia="宋体" w:cs="宋体"/>
                      <w:i w:val="0"/>
                      <w:iCs w:val="0"/>
                      <w:color w:val="auto"/>
                      <w:kern w:val="0"/>
                      <w:sz w:val="24"/>
                      <w:szCs w:val="24"/>
                      <w:highlight w:val="none"/>
                      <w:u w:val="none"/>
                      <w:lang w:val="en-US" w:eastAsia="zh-CN" w:bidi="ar"/>
                    </w:rPr>
                    <w:t>一</w:t>
                  </w:r>
                </w:p>
              </w:tc>
            </w:tr>
            <w:tr w14:paraId="618BB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7F978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A1B0F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47A3C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EABD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3129F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B98CA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9E3E53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高3.5米，臂长1米</w:t>
                  </w:r>
                </w:p>
              </w:tc>
            </w:tr>
            <w:tr w14:paraId="5F86B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6D299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6AB02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立杆基础2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99A4D3E">
                  <w:pPr>
                    <w:keepNext w:val="0"/>
                    <w:keepLines w:val="0"/>
                    <w:widowControl/>
                    <w:suppressLineNumbers w:val="0"/>
                    <w:jc w:val="left"/>
                    <w:textAlignment w:val="center"/>
                    <w:rPr>
                      <w:rFonts w:hint="default" w:eastAsia="宋体" w:cs="Times New Roman"/>
                      <w:color w:val="auto"/>
                      <w:lang w:val="en-US" w:eastAsia="zh-CN"/>
                    </w:rPr>
                  </w:pPr>
                  <w:r>
                    <w:rPr>
                      <w:rFonts w:hint="eastAsia" w:ascii="宋体" w:hAnsi="宋体" w:eastAsia="宋体" w:cs="宋体"/>
                      <w:i/>
                      <w:iCs/>
                      <w:color w:val="auto"/>
                      <w:kern w:val="0"/>
                      <w:sz w:val="24"/>
                      <w:szCs w:val="24"/>
                      <w:highlight w:val="none"/>
                      <w:u w:val="single"/>
                      <w:lang w:val="en-US" w:eastAsia="zh-CN" w:bidi="ar"/>
                    </w:rPr>
                    <w:t>700*700*700mm</w:t>
                  </w:r>
                </w:p>
              </w:tc>
            </w:tr>
            <w:tr w14:paraId="71959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BD113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8D8985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346F34B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65750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DDF3E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97EBF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0C3F7CE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6CBD5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7790C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038CE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65CF450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130FD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D6FE3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D96A2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AD53F4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L5X5,L=2.5m</w:t>
                  </w:r>
                </w:p>
              </w:tc>
            </w:tr>
            <w:tr w14:paraId="34945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730BA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ECFB3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CBFC8A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76747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D6213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039C13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866803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BV-10mm²</w:t>
                  </w:r>
                </w:p>
              </w:tc>
            </w:tr>
            <w:tr w14:paraId="73ECC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9EEF8F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7C2599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传输网络（租赁）1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399097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百兆/三年</w:t>
                  </w:r>
                </w:p>
              </w:tc>
            </w:tr>
            <w:tr w14:paraId="0AA2E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3426E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2C042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F7A840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含水晶头、扎带、标签、螺丝、压线端子等辅材；</w:t>
                  </w:r>
                </w:p>
              </w:tc>
            </w:tr>
            <w:tr w14:paraId="550F8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700D0CAC">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三、高清电子警察系统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94CB8A8">
                  <w:pPr>
                    <w:jc w:val="left"/>
                    <w:rPr>
                      <w:rFonts w:hint="eastAsia" w:ascii="宋体" w:hAnsi="宋体" w:eastAsia="宋体" w:cs="宋体"/>
                      <w:i w:val="0"/>
                      <w:iCs w:val="0"/>
                      <w:color w:val="auto"/>
                      <w:sz w:val="24"/>
                      <w:szCs w:val="24"/>
                      <w:highlight w:val="none"/>
                      <w:u w:val="none"/>
                    </w:rPr>
                  </w:pPr>
                </w:p>
              </w:tc>
            </w:tr>
            <w:tr w14:paraId="59FEF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A3E8CC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3.1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4F0C34E">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西二环-杨新公路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0ADB22E">
                  <w:pPr>
                    <w:rPr>
                      <w:rFonts w:hint="eastAsia" w:ascii="宋体" w:hAnsi="宋体" w:eastAsia="宋体" w:cs="宋体"/>
                      <w:i w:val="0"/>
                      <w:iCs w:val="0"/>
                      <w:color w:val="auto"/>
                      <w:sz w:val="24"/>
                      <w:szCs w:val="24"/>
                      <w:highlight w:val="none"/>
                      <w:u w:val="none"/>
                    </w:rPr>
                  </w:pPr>
                </w:p>
              </w:tc>
            </w:tr>
            <w:tr w14:paraId="3937B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6E6F6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FC469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微光高清抓拍单元1（尾牌）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8E35DC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29DA2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EFA4E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99C0A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微光高清抓拍单元（前牌）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792A81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7260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ECE496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F8DD4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智能补光灯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FA574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310DFB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BC85B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009EA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红灯信号检测器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B87D4E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0807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BCDF8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F00C0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前端存储管理主机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B3A67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1ACF1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16D33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1E59C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工业级交换机1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C67CB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BBA37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A9490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C6683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智能设备箱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F4620A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8C60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15DE6D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A708C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设备箱基础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C6B6C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垫层：1060mm*800mm*100mm，C15混凝土；基础：860mm*600mm*800mm，C25混凝土；含钢筋笼、地脚螺栓等</w:t>
                  </w:r>
                </w:p>
              </w:tc>
            </w:tr>
            <w:tr w14:paraId="424E2F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1FD8C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54D447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FE4AB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2AF1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C3FC3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80D36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71B099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高6米，臂长5米</w:t>
                  </w:r>
                </w:p>
              </w:tc>
            </w:tr>
            <w:tr w14:paraId="74645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DD8D4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90DC0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F式立杆3</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8812C9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高6米，臂长7米</w:t>
                  </w:r>
                </w:p>
              </w:tc>
            </w:tr>
            <w:tr w14:paraId="027E4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CEA70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DE4A88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F式立杆4</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895322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高6米，臂长9米</w:t>
                  </w:r>
                </w:p>
              </w:tc>
            </w:tr>
            <w:tr w14:paraId="07C18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FB8C7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BBD3D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F式立杆5</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E30CB0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高6米，臂长12米</w:t>
                  </w:r>
                </w:p>
              </w:tc>
            </w:tr>
            <w:tr w14:paraId="4730E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F53F0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B9AB6D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F式立杆6</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BFEDB7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高6米，臂长13米</w:t>
                  </w:r>
                </w:p>
              </w:tc>
            </w:tr>
            <w:tr w14:paraId="506B8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ABEA0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DF87B1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T型立杆1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117B47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高6米，臂长9米+5米</w:t>
                  </w:r>
                </w:p>
              </w:tc>
            </w:tr>
            <w:tr w14:paraId="370790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62D19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784C4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T型立杆2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99523B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高6米，臂长12米+5米</w:t>
                  </w:r>
                </w:p>
              </w:tc>
            </w:tr>
            <w:tr w14:paraId="65FCA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F6EAF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FE91A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立杆基础1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07AE2AF">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1200*1200*1500mm</w:t>
                  </w:r>
                </w:p>
              </w:tc>
            </w:tr>
            <w:tr w14:paraId="5C542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D49E1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706D6D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立杆基础3</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C40D832">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1400*1400*1700mm</w:t>
                  </w:r>
                </w:p>
              </w:tc>
            </w:tr>
            <w:tr w14:paraId="1A831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35A69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022EC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立杆基础4</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2628808">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2000*2400*2500mm</w:t>
                  </w:r>
                </w:p>
              </w:tc>
            </w:tr>
            <w:tr w14:paraId="27880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AA5C5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14E7A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F式立杆背包箱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0CC91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法兰盘：700mm*700mm*10mm；基础：890mm*（1940~1200）mm*1620mm，C40混凝土，含基础配筋、地脚螺栓等</w:t>
                  </w:r>
                </w:p>
              </w:tc>
            </w:tr>
            <w:tr w14:paraId="57E02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A1A8E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1975D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交通监控设备标志牌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FE0096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白底、蓝图形、黑边框、白色衬边，600mm*800mm,附着式安装</w:t>
                  </w:r>
                </w:p>
              </w:tc>
            </w:tr>
            <w:tr w14:paraId="469F4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35666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8F468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2D2C53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488AC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25A8DE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5E3CC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FF8CDE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5CCD2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EAE242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65F6B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控制线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CE4C08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RVSP2*1.0mm²</w:t>
                  </w:r>
                </w:p>
              </w:tc>
            </w:tr>
            <w:tr w14:paraId="1B15B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F29F0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F3D1C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2E6F54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42A0D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4909C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8DFA3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324D5B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4D538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870AA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B2871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F316D7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6A350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EC211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F9CF7B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1BBA3A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7DF20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89FB7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6B0CE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90B9A2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1A213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D1FD9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DAF23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571BBA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691F1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B2B8A4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8F7BA7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B5039A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L5X5,L=2.5m</w:t>
                  </w:r>
                </w:p>
              </w:tc>
            </w:tr>
            <w:tr w14:paraId="6BDB2C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3556C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77E61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9E9B40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01086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2CBC0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92FDD3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E59CD8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BV-10mm²</w:t>
                  </w:r>
                </w:p>
              </w:tc>
            </w:tr>
            <w:tr w14:paraId="3F2E21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6FDCF0A1">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四、交通信息采集系统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1B7A1F4">
                  <w:pPr>
                    <w:jc w:val="left"/>
                    <w:rPr>
                      <w:rFonts w:hint="eastAsia" w:ascii="宋体" w:hAnsi="宋体" w:eastAsia="宋体" w:cs="宋体"/>
                      <w:i w:val="0"/>
                      <w:iCs w:val="0"/>
                      <w:color w:val="auto"/>
                      <w:sz w:val="24"/>
                      <w:szCs w:val="24"/>
                      <w:highlight w:val="none"/>
                      <w:u w:val="none"/>
                    </w:rPr>
                  </w:pPr>
                </w:p>
              </w:tc>
            </w:tr>
            <w:tr w14:paraId="76FFE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760ADD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4.1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B9B21F9">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西二环-杨新公路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A7D6495">
                  <w:pPr>
                    <w:jc w:val="left"/>
                    <w:rPr>
                      <w:rFonts w:hint="eastAsia" w:ascii="宋体" w:hAnsi="宋体" w:eastAsia="宋体" w:cs="宋体"/>
                      <w:i w:val="0"/>
                      <w:iCs w:val="0"/>
                      <w:color w:val="auto"/>
                      <w:sz w:val="24"/>
                      <w:szCs w:val="24"/>
                      <w:highlight w:val="none"/>
                      <w:u w:val="none"/>
                    </w:rPr>
                  </w:pPr>
                </w:p>
              </w:tc>
            </w:tr>
            <w:tr w14:paraId="482B6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ign w:val="center"/>
                </w:tcPr>
                <w:p w14:paraId="236F4E00">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4.1.1、地面部分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6EC9293">
                  <w:pPr>
                    <w:jc w:val="left"/>
                    <w:rPr>
                      <w:rFonts w:hint="eastAsia" w:ascii="宋体" w:hAnsi="宋体" w:eastAsia="宋体" w:cs="宋体"/>
                      <w:i w:val="0"/>
                      <w:iCs w:val="0"/>
                      <w:color w:val="auto"/>
                      <w:sz w:val="24"/>
                      <w:szCs w:val="24"/>
                      <w:highlight w:val="none"/>
                      <w:u w:val="none"/>
                    </w:rPr>
                  </w:pPr>
                </w:p>
              </w:tc>
            </w:tr>
            <w:tr w14:paraId="5DE7D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459F6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7149C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雷视一体机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7CD77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8A5C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9B95D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9E854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4F17BF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B341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5905A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2163C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23F5B8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1B699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33673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3DBFA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506662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176DA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7F714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7BA2A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DCE775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2CEF1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FFB2B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6D998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42D39F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37489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7A5E7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E092F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E5F8C2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449D1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FBA4C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3DDAE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8404A8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5AB83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5BC0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F3590D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6E6668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47A44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0545E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F00924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A4D539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6D78E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ign w:val="center"/>
                </w:tcPr>
                <w:p w14:paraId="35C2A89C">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4.1.2、高架部分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57566C8">
                  <w:pPr>
                    <w:jc w:val="left"/>
                    <w:rPr>
                      <w:rFonts w:hint="eastAsia" w:ascii="宋体" w:hAnsi="宋体" w:eastAsia="宋体" w:cs="宋体"/>
                      <w:i w:val="0"/>
                      <w:iCs w:val="0"/>
                      <w:color w:val="auto"/>
                      <w:sz w:val="24"/>
                      <w:szCs w:val="24"/>
                      <w:highlight w:val="none"/>
                      <w:u w:val="none"/>
                    </w:rPr>
                  </w:pPr>
                </w:p>
              </w:tc>
            </w:tr>
            <w:tr w14:paraId="1DD4F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4CAD9B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75C866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雷视一体机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28FC0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08C3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30602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AB326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横臂支架1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28049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iCs/>
                      <w:color w:val="auto"/>
                      <w:kern w:val="0"/>
                      <w:sz w:val="24"/>
                      <w:szCs w:val="24"/>
                      <w:highlight w:val="none"/>
                      <w:u w:val="single"/>
                      <w:lang w:val="en-US" w:eastAsia="zh-CN" w:bidi="ar"/>
                    </w:rPr>
                    <w:t>向外延申50-80cm</w:t>
                  </w:r>
                </w:p>
              </w:tc>
            </w:tr>
            <w:tr w14:paraId="7252C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83834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AE49B7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边缘计算单元</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6696C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284E6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A7625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A3247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工业级交换机1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AEF914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F7EF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CAA19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42B64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CDF858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069E8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96FE3F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57941B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7AAF7D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58886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1E896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7793B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080B0A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1073E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24681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824F1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A6404A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21743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E5E91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FFADA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23E044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188C3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A3259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9E031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F19229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2874B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59708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E0B689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360952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50ED5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1F412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4944D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DAA322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117CEB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54D24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6FBCA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D75978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426C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414B7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F2B74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智能设备箱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D53D0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36272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34043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7DD76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配电箱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434E5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外壳采用不锈钢，喷塑，厚度不小于1.5mm，含电表（支持远程抄表），空开，含自动重合闸控制器</w:t>
                  </w:r>
                </w:p>
              </w:tc>
            </w:tr>
            <w:tr w14:paraId="0A857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FB73A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4773BC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配电箱基础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7128A4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垫层：1060mm*800mm*100mm，C15混凝土；基础：860mm*600mm*800mm，C25混凝土；含钢筋笼、地脚螺栓等</w:t>
                  </w:r>
                </w:p>
              </w:tc>
            </w:tr>
            <w:tr w14:paraId="0A9E34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B67F5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E018E7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设备箱基础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10D556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垫层：1060mm*800mm*100mm，C15混凝土；基础：860mm*600mm*800mm，C25混凝土；含钢筋笼、地脚螺栓等</w:t>
                  </w:r>
                </w:p>
              </w:tc>
            </w:tr>
            <w:tr w14:paraId="62411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8D8E6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008F2C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79636B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L5X5,L=2.5m</w:t>
                  </w:r>
                </w:p>
              </w:tc>
            </w:tr>
            <w:tr w14:paraId="0EBDB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96AB4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6E469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BF7755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31BCFF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BA8F3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506" w:type="dxa"/>
                  <w:tcBorders>
                    <w:top w:val="single" w:color="000000" w:sz="4" w:space="0"/>
                    <w:left w:val="single" w:color="000000" w:sz="4" w:space="0"/>
                    <w:bottom w:val="single" w:color="000000" w:sz="4" w:space="0"/>
                    <w:right w:val="single" w:color="000000" w:sz="4" w:space="0"/>
                  </w:tcBorders>
                  <w:noWrap/>
                  <w:vAlign w:val="center"/>
                </w:tcPr>
                <w:p w14:paraId="5F68913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ign w:val="center"/>
                </w:tcPr>
                <w:p w14:paraId="3FD3525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BV-10mm²</w:t>
                  </w:r>
                </w:p>
              </w:tc>
            </w:tr>
            <w:tr w14:paraId="69CE4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C8C3696">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4.2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24DDF74">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公路交通调查系统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1F9E699">
                  <w:pPr>
                    <w:jc w:val="left"/>
                    <w:rPr>
                      <w:rFonts w:hint="eastAsia" w:ascii="宋体" w:hAnsi="宋体" w:eastAsia="宋体" w:cs="宋体"/>
                      <w:i w:val="0"/>
                      <w:iCs w:val="0"/>
                      <w:color w:val="auto"/>
                      <w:sz w:val="24"/>
                      <w:szCs w:val="24"/>
                      <w:highlight w:val="none"/>
                      <w:u w:val="none"/>
                    </w:rPr>
                  </w:pPr>
                </w:p>
              </w:tc>
            </w:tr>
            <w:tr w14:paraId="7BBAB0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6CF73C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ign w:val="center"/>
                </w:tcPr>
                <w:p w14:paraId="11E5CD1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集成式交通气象监测仪</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E8F0D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4F30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6C12A6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5E3552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横臂支架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150E0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直径32mm，臂长不低于50cm，含抱箍等</w:t>
                  </w:r>
                </w:p>
              </w:tc>
            </w:tr>
            <w:tr w14:paraId="3463E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0DA01E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3BC91C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微光抓拍单元</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77C6B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22484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0F19810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82D7B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智能补光灯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39DE4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64FF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69E11BF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238F5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防雷器</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3BDCEDC4">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二合一</w:t>
                  </w:r>
                </w:p>
              </w:tc>
            </w:tr>
            <w:tr w14:paraId="3E09A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76C2AA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DDB8C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雷视一体化微波检测器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D600B0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F0B0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05DC50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9FDE2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543A0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详见招标技术要求</w:t>
                  </w:r>
                  <w:r>
                    <w:rPr>
                      <w:rFonts w:hint="eastAsia" w:ascii="宋体" w:hAnsi="宋体" w:eastAsia="宋体" w:cs="宋体"/>
                      <w:color w:val="auto"/>
                      <w:sz w:val="24"/>
                      <w:szCs w:val="24"/>
                      <w:highlight w:val="none"/>
                    </w:rPr>
                    <w:t>同4.2.4</w:t>
                  </w:r>
                </w:p>
              </w:tc>
            </w:tr>
            <w:tr w14:paraId="5F111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3B2227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3BF63D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工业级交换机3</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7E872DB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至少八个百兆电口，含电源</w:t>
                  </w:r>
                </w:p>
              </w:tc>
            </w:tr>
            <w:tr w14:paraId="2F5E44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78C99F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40A61E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39B29B4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4D330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679483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E089A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67FC061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2A0A3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082BE13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C6A95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控制线</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7D2468C9">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RVVSP2*1.0mm²</w:t>
                  </w:r>
                </w:p>
              </w:tc>
            </w:tr>
            <w:tr w14:paraId="717C3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498890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84684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2661644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157CB5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567979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297D4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传输网络1（租赁）</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A554B0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百兆/三年</w:t>
                  </w:r>
                </w:p>
              </w:tc>
            </w:tr>
            <w:tr w14:paraId="162683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2A78069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FBCBB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传输网络（租赁）</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FE7B1A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裸纤,三年</w:t>
                  </w:r>
                </w:p>
              </w:tc>
            </w:tr>
            <w:tr w14:paraId="25906D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74B27BD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CB580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0E194E6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含水晶头、扎带、标签、螺丝、压线端子等辅材；</w:t>
                  </w:r>
                </w:p>
              </w:tc>
            </w:tr>
            <w:tr w14:paraId="32A1B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CF46BFB">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4.3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BDFFC98">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西二环交通调查系统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7402CAD">
                  <w:pPr>
                    <w:jc w:val="left"/>
                    <w:rPr>
                      <w:rFonts w:hint="eastAsia" w:ascii="宋体" w:hAnsi="宋体" w:eastAsia="宋体" w:cs="宋体"/>
                      <w:i w:val="0"/>
                      <w:iCs w:val="0"/>
                      <w:color w:val="auto"/>
                      <w:sz w:val="24"/>
                      <w:szCs w:val="24"/>
                      <w:highlight w:val="none"/>
                      <w:u w:val="none"/>
                    </w:rPr>
                  </w:pPr>
                </w:p>
              </w:tc>
            </w:tr>
            <w:tr w14:paraId="2AB6A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69841B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ign w:val="center"/>
                </w:tcPr>
                <w:p w14:paraId="3ABB09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集成式交通气象监测仪</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CB91F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B5DC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58B05B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1B7A1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横臂支架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5FD0A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直径32mm，臂长不低于50cm，含抱箍等</w:t>
                  </w:r>
                </w:p>
              </w:tc>
            </w:tr>
            <w:tr w14:paraId="441D2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70DB15B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ign w:val="center"/>
                </w:tcPr>
                <w:p w14:paraId="0C87AD8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eastAsia="zh-CN"/>
                    </w:rPr>
                    <w:t>气象数据接收处理配套服务器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D6F00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12F1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10C243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6C55A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微光抓拍单元</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4F17F9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8C5C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0AB0F4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DAB09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智能补光灯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576A8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3B0FA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69F7B7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016976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防雷器</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2A1F8E8F">
                  <w:pPr>
                    <w:keepNext w:val="0"/>
                    <w:keepLines w:val="0"/>
                    <w:widowControl/>
                    <w:suppressLineNumbers w:val="0"/>
                    <w:jc w:val="left"/>
                    <w:textAlignment w:val="top"/>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二合一</w:t>
                  </w:r>
                </w:p>
              </w:tc>
            </w:tr>
            <w:tr w14:paraId="4688C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3614B0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92EE1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雷视一体化微波检测器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4B7AE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083E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601C577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8E8AF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2D676E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r>
                    <w:rPr>
                      <w:rFonts w:hint="eastAsia" w:ascii="宋体" w:hAnsi="宋体" w:eastAsia="宋体" w:cs="宋体"/>
                      <w:color w:val="auto"/>
                      <w:sz w:val="24"/>
                      <w:szCs w:val="24"/>
                      <w:highlight w:val="none"/>
                    </w:rPr>
                    <w:t>同4.2.4</w:t>
                  </w:r>
                </w:p>
              </w:tc>
            </w:tr>
            <w:tr w14:paraId="56260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7897FC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12C7D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F式立杆3</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42930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iCs/>
                      <w:color w:val="auto"/>
                      <w:kern w:val="0"/>
                      <w:sz w:val="24"/>
                      <w:szCs w:val="24"/>
                      <w:highlight w:val="none"/>
                      <w:u w:val="single"/>
                      <w:lang w:val="en-US" w:eastAsia="zh-CN" w:bidi="ar"/>
                    </w:rPr>
                    <w:t>高6米，臂长7米</w:t>
                  </w:r>
                </w:p>
              </w:tc>
            </w:tr>
            <w:tr w14:paraId="47BB12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66E86FA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63CC70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立杆基础1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FA41DFD">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1200*1200*1500mm</w:t>
                  </w:r>
                </w:p>
              </w:tc>
            </w:tr>
            <w:tr w14:paraId="49BBB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29B76F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051597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59EEE08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7C70E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274153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A69D9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02DEAF0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3DFD7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0D63B1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055B7B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控制线</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6509C1A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RVVSP2*1.0mm²</w:t>
                  </w:r>
                </w:p>
              </w:tc>
            </w:tr>
            <w:tr w14:paraId="713A4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1F5F0D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97B27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28AE287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5B3E5A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5A781A0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2DF777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55D236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L5X5,L=2.5m</w:t>
                  </w:r>
                </w:p>
              </w:tc>
            </w:tr>
            <w:tr w14:paraId="5E972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11C023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6000A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BDE187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248D4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1425A28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06F7A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54D281D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BV-10mm²</w:t>
                  </w:r>
                </w:p>
              </w:tc>
            </w:tr>
            <w:tr w14:paraId="42F3B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530ACA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443F6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传输网络</w:t>
                  </w:r>
                  <w:r>
                    <w:rPr>
                      <w:rFonts w:hint="eastAsia" w:eastAsia="宋体" w:cs="Times New Roman"/>
                      <w:color w:val="auto"/>
                      <w:lang w:val="en-US" w:eastAsia="zh-CN"/>
                    </w:rPr>
                    <w:t>1</w:t>
                  </w:r>
                  <w:r>
                    <w:rPr>
                      <w:rFonts w:hint="eastAsia" w:ascii="宋体" w:hAnsi="宋体" w:eastAsia="宋体" w:cs="宋体"/>
                      <w:i w:val="0"/>
                      <w:iCs w:val="0"/>
                      <w:color w:val="auto"/>
                      <w:kern w:val="0"/>
                      <w:sz w:val="24"/>
                      <w:szCs w:val="24"/>
                      <w:highlight w:val="none"/>
                      <w:u w:val="none"/>
                      <w:lang w:val="en-US" w:eastAsia="zh-CN" w:bidi="ar"/>
                    </w:rPr>
                    <w:t>（租赁）</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418AD219">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百兆/三年</w:t>
                  </w:r>
                </w:p>
              </w:tc>
            </w:tr>
            <w:tr w14:paraId="1D5DF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383D6B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6568D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传输网络（租赁）</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F26751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裸纤,三年</w:t>
                  </w:r>
                </w:p>
              </w:tc>
            </w:tr>
            <w:tr w14:paraId="445AC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ign w:val="center"/>
                </w:tcPr>
                <w:p w14:paraId="2894B9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9E33E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3096" w:type="dxa"/>
                  <w:tcBorders>
                    <w:top w:val="single" w:color="000000" w:sz="4" w:space="0"/>
                    <w:left w:val="single" w:color="000000" w:sz="4" w:space="0"/>
                    <w:bottom w:val="single" w:color="000000" w:sz="4" w:space="0"/>
                    <w:right w:val="single" w:color="000000" w:sz="4" w:space="0"/>
                  </w:tcBorders>
                  <w:noWrap w:val="0"/>
                  <w:vAlign w:val="top"/>
                </w:tcPr>
                <w:p w14:paraId="45E5A7C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含水晶头、扎带、标签、螺丝、压线端子等辅材；</w:t>
                  </w:r>
                </w:p>
              </w:tc>
            </w:tr>
            <w:tr w14:paraId="3A42F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4DEB3DD3">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五、交通诱导发布系统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A91AAFB">
                  <w:pPr>
                    <w:jc w:val="left"/>
                    <w:rPr>
                      <w:rFonts w:hint="eastAsia" w:ascii="宋体" w:hAnsi="宋体" w:eastAsia="宋体" w:cs="宋体"/>
                      <w:i w:val="0"/>
                      <w:iCs w:val="0"/>
                      <w:color w:val="auto"/>
                      <w:sz w:val="24"/>
                      <w:szCs w:val="24"/>
                      <w:highlight w:val="none"/>
                      <w:u w:val="none"/>
                    </w:rPr>
                  </w:pPr>
                </w:p>
              </w:tc>
            </w:tr>
            <w:tr w14:paraId="2478F9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BC686D1">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48406EB">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西二环-杨新公路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F645139">
                  <w:pPr>
                    <w:jc w:val="left"/>
                    <w:rPr>
                      <w:rFonts w:hint="eastAsia" w:ascii="宋体" w:hAnsi="宋体" w:eastAsia="宋体" w:cs="宋体"/>
                      <w:i w:val="0"/>
                      <w:iCs w:val="0"/>
                      <w:color w:val="auto"/>
                      <w:sz w:val="24"/>
                      <w:szCs w:val="24"/>
                      <w:highlight w:val="none"/>
                      <w:u w:val="none"/>
                    </w:rPr>
                  </w:pPr>
                </w:p>
              </w:tc>
            </w:tr>
            <w:tr w14:paraId="7C6F8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ign w:val="center"/>
                </w:tcPr>
                <w:p w14:paraId="139D9B7D">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5.1.1、地面部分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319F26C">
                  <w:pPr>
                    <w:jc w:val="left"/>
                    <w:rPr>
                      <w:rFonts w:hint="eastAsia" w:ascii="宋体" w:hAnsi="宋体" w:eastAsia="宋体" w:cs="宋体"/>
                      <w:i w:val="0"/>
                      <w:iCs w:val="0"/>
                      <w:color w:val="auto"/>
                      <w:sz w:val="24"/>
                      <w:szCs w:val="24"/>
                      <w:highlight w:val="none"/>
                      <w:u w:val="none"/>
                    </w:rPr>
                  </w:pPr>
                </w:p>
              </w:tc>
            </w:tr>
            <w:tr w14:paraId="5F51E5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A6292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2B319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交通微诱导屏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8A9F5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3189C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60740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732F44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kern w:val="0"/>
                      <w:sz w:val="24"/>
                      <w:szCs w:val="24"/>
                      <w:highlight w:val="none"/>
                      <w:u w:val="single"/>
                      <w:lang w:val="en-US" w:eastAsia="zh-CN" w:bidi="ar"/>
                    </w:rPr>
                    <w:t>微诱导屏支架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F58566B">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借用路口信号灯杆安装，每块屏至少含3对（⌀260~⌀190）mm U型抱箍支架</w:t>
                  </w:r>
                </w:p>
              </w:tc>
            </w:tr>
            <w:tr w14:paraId="0F730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8C16D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272D1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交通信息诱导屏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E6DB5B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65F2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E6CE11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64663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诱导屏立杆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1CAC55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高9米</w:t>
                  </w:r>
                </w:p>
              </w:tc>
            </w:tr>
            <w:tr w14:paraId="34D86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CC29C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CD8BC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诱导屏立杆基础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6FC7702">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1500*1500*2800mm</w:t>
                  </w:r>
                </w:p>
              </w:tc>
            </w:tr>
            <w:tr w14:paraId="4CE54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C1B94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C938B8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智能设备箱（小）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4C90BDA">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尺寸不低于400mm*350mm*670mm(长*宽*高)，详见招标技术要求</w:t>
                  </w:r>
                </w:p>
              </w:tc>
            </w:tr>
            <w:tr w14:paraId="40E66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94340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563CD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设备箱基础（小）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8775A94">
                  <w:pPr>
                    <w:keepNext w:val="0"/>
                    <w:keepLines w:val="0"/>
                    <w:widowControl/>
                    <w:suppressLineNumbers w:val="0"/>
                    <w:jc w:val="left"/>
                    <w:textAlignment w:val="center"/>
                    <w:rPr>
                      <w:rFonts w:hint="eastAsia" w:ascii="宋体" w:hAnsi="宋体" w:eastAsia="宋体" w:cs="宋体"/>
                      <w:i/>
                      <w:iCs/>
                      <w:color w:val="auto"/>
                      <w:sz w:val="24"/>
                      <w:szCs w:val="24"/>
                      <w:highlight w:val="none"/>
                      <w:u w:val="single"/>
                    </w:rPr>
                  </w:pPr>
                  <w:r>
                    <w:rPr>
                      <w:rFonts w:hint="eastAsia" w:ascii="宋体" w:hAnsi="宋体" w:eastAsia="宋体" w:cs="宋体"/>
                      <w:i/>
                      <w:iCs/>
                      <w:color w:val="auto"/>
                      <w:kern w:val="0"/>
                      <w:sz w:val="24"/>
                      <w:szCs w:val="24"/>
                      <w:highlight w:val="none"/>
                      <w:u w:val="single"/>
                      <w:lang w:val="en-US" w:eastAsia="zh-CN" w:bidi="ar"/>
                    </w:rPr>
                    <w:t>垫层：500mm*410mm*50mm，C15混凝土；基础：400mm*310mm*500mm，C25混凝土；含地脚螺栓等</w:t>
                  </w:r>
                </w:p>
              </w:tc>
            </w:tr>
            <w:tr w14:paraId="525EE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991079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4FFA5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电力电缆4</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18A3F4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YJV5*10mm2</w:t>
                  </w:r>
                </w:p>
              </w:tc>
            </w:tr>
            <w:tr w14:paraId="59E9E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EBEA50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75EB0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672F8C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5A0C05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5B9CA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81136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6ED2EF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7EFB9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FE372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1BB2A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2FF9629">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60DD9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6EE8E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58FF19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43605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20235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85977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2A34E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7B70FB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74EC3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BF28D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A9890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DA26A0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1F7A2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47E710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E669D6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E8B0B4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67D41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831E6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D8439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8A63C1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L5X5,L=2.5m</w:t>
                  </w:r>
                </w:p>
              </w:tc>
            </w:tr>
            <w:tr w14:paraId="57C48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4309C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42B14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F8CD82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06560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A30F6F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15C31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34F2D59">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BV-10mm²</w:t>
                  </w:r>
                </w:p>
              </w:tc>
            </w:tr>
            <w:tr w14:paraId="5212D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ign w:val="center"/>
                </w:tcPr>
                <w:p w14:paraId="523FB4DE">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5.1.2、高架部分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3194524">
                  <w:pPr>
                    <w:jc w:val="left"/>
                    <w:rPr>
                      <w:rFonts w:hint="eastAsia" w:ascii="宋体" w:hAnsi="宋体" w:eastAsia="宋体" w:cs="宋体"/>
                      <w:i w:val="0"/>
                      <w:iCs w:val="0"/>
                      <w:color w:val="auto"/>
                      <w:sz w:val="24"/>
                      <w:szCs w:val="24"/>
                      <w:highlight w:val="none"/>
                      <w:u w:val="none"/>
                    </w:rPr>
                  </w:pPr>
                </w:p>
              </w:tc>
            </w:tr>
            <w:tr w14:paraId="52BC41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4928B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B82087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交通信息诱导屏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68E3AA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450E4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3E2A3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42E632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诱导屏门架安装支架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7C03F1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底撑：200mm*200mm*6mm*4620mm矩形管；斜撑：100mm*100mm*5mm*3300mm方管*4，横撑：100mm*100mm*5mm*（600mm~800mm)方管*9</w:t>
                  </w:r>
                </w:p>
              </w:tc>
            </w:tr>
            <w:tr w14:paraId="64B29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67ADBB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CB17D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可变限速显示屏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1151B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4B7F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7CF498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D6EF9C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借用门架安装支架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5C529E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每块屏至少6对⌀114mmU型抱箍支架，上横臂3对，下横臂3对</w:t>
                  </w:r>
                </w:p>
              </w:tc>
            </w:tr>
            <w:tr w14:paraId="23406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290DC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D6093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诱导屏门架式立杆2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A24A22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跨度16米以下</w:t>
                  </w:r>
                </w:p>
              </w:tc>
            </w:tr>
            <w:tr w14:paraId="24BD8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E5D7B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44C4D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诱导屏门架式立杆1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3A3BB7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跨度16米以上</w:t>
                  </w:r>
                </w:p>
              </w:tc>
            </w:tr>
            <w:tr w14:paraId="11813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33CDA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9B32DF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5AEF2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0EBB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CABF5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2C272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电力电缆1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A8D1E4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YJV3*4mm2</w:t>
                  </w:r>
                </w:p>
              </w:tc>
            </w:tr>
            <w:tr w14:paraId="5BA90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786FB5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ADF2E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电力电缆5</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74C548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YJV5*16mm2</w:t>
                  </w:r>
                </w:p>
              </w:tc>
            </w:tr>
            <w:tr w14:paraId="2176F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AE1C2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7A38F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A752BB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1BD91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5A062A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386F6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8941C1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08DD20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17AEF0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3DCF9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6CB26D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760EA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AB38C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14F61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670E52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2410E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449493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B5D91B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126D8E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3C6B8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C81FF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F73D1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F2B7E9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462B5C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B71C8E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2F99D7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27DCAF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1E04C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0C070AEC">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六、违停抓拍系统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F74B197">
                  <w:pPr>
                    <w:jc w:val="left"/>
                    <w:rPr>
                      <w:rFonts w:hint="eastAsia" w:ascii="宋体" w:hAnsi="宋体" w:eastAsia="宋体" w:cs="宋体"/>
                      <w:i w:val="0"/>
                      <w:iCs w:val="0"/>
                      <w:color w:val="auto"/>
                      <w:sz w:val="24"/>
                      <w:szCs w:val="24"/>
                      <w:highlight w:val="none"/>
                      <w:u w:val="none"/>
                    </w:rPr>
                  </w:pPr>
                </w:p>
              </w:tc>
            </w:tr>
            <w:tr w14:paraId="7E3A8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1299C9C">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6.1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5DD2E86">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西二环-杨新公路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CDA1B2B">
                  <w:pPr>
                    <w:jc w:val="left"/>
                    <w:rPr>
                      <w:rFonts w:hint="eastAsia" w:ascii="宋体" w:hAnsi="宋体" w:eastAsia="宋体" w:cs="宋体"/>
                      <w:i w:val="0"/>
                      <w:iCs w:val="0"/>
                      <w:color w:val="auto"/>
                      <w:sz w:val="24"/>
                      <w:szCs w:val="24"/>
                      <w:highlight w:val="none"/>
                      <w:u w:val="none"/>
                    </w:rPr>
                  </w:pPr>
                </w:p>
              </w:tc>
            </w:tr>
            <w:tr w14:paraId="1FA10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36F37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823E0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违停抓拍球型摄像机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A27EDE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0800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CA0BC5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0D6DFF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安装支架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075B35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借助标志牌杆件安装支架，60-120cm可伸缩不对称U型支架，铝合金表面喷塑，主杆⌀45mm圆管(厚度1.5mm)，内套管⌀38mm圆管(厚度1.5mm)，⌀140mm圆形底座,⌀48mm球机接头</w:t>
                  </w:r>
                </w:p>
              </w:tc>
            </w:tr>
            <w:tr w14:paraId="50B8AB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5B764F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71F08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警告标志</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BEC34B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1200mm*900mm</w:t>
                  </w:r>
                </w:p>
              </w:tc>
            </w:tr>
            <w:tr w14:paraId="3D09E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A72F3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8341D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交通监控设备标志牌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ED51FA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白底、蓝图形、黑边框、白色衬边，600mm*800mm,附着式安装</w:t>
                  </w:r>
                </w:p>
              </w:tc>
            </w:tr>
            <w:tr w14:paraId="4F8C9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B7387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2C961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2F42AF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A656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E593B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89801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3349D6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高6米，臂长5米</w:t>
                  </w:r>
                </w:p>
              </w:tc>
            </w:tr>
            <w:tr w14:paraId="4D9B0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A2A6A5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29FCF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立杆基础1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4086F14">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1200*1200*1500mm</w:t>
                  </w:r>
                </w:p>
              </w:tc>
            </w:tr>
            <w:tr w14:paraId="19CFB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3EFBF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C68E92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6DAA37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7096B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E9F59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DD822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D10FFF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5D831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AC8F4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DA3AE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FC54BF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47A50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FAE7E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2C5C6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9C9D1A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5FA76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41A42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21A3F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CC007A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6A441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3EFFA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EF8E7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CA29FB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0C9987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494EC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E4CD4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CACCD5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306A67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B0682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C33CEA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80F9FF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6EAB2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9C0F6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C0003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8C0BB9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L5X5,L=2.5m</w:t>
                  </w:r>
                </w:p>
              </w:tc>
            </w:tr>
            <w:tr w14:paraId="1CF5B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0C06E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FE13B2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64B5B4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66D68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8B7066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BA30E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207FD9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BV-10mm²</w:t>
                  </w:r>
                </w:p>
              </w:tc>
            </w:tr>
            <w:tr w14:paraId="160CC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38D27380">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七、实景指挥系统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6E643CB">
                  <w:pPr>
                    <w:jc w:val="left"/>
                    <w:rPr>
                      <w:rFonts w:hint="eastAsia" w:ascii="宋体" w:hAnsi="宋体" w:eastAsia="宋体" w:cs="宋体"/>
                      <w:i w:val="0"/>
                      <w:iCs w:val="0"/>
                      <w:color w:val="auto"/>
                      <w:sz w:val="24"/>
                      <w:szCs w:val="24"/>
                      <w:highlight w:val="none"/>
                      <w:u w:val="none"/>
                    </w:rPr>
                  </w:pPr>
                </w:p>
              </w:tc>
            </w:tr>
            <w:tr w14:paraId="14D4C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A0581C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476416C">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180°全景网络高清摄像机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94A0A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CDD3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3D7787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A8CC8C2">
                  <w:pPr>
                    <w:keepNext w:val="0"/>
                    <w:keepLines w:val="0"/>
                    <w:widowControl/>
                    <w:suppressLineNumbers w:val="0"/>
                    <w:jc w:val="both"/>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安装支架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9A5FEA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60-120cm可伸缩不对称U型支架，铝合金表面喷塑，主杆⌀45mm圆管(厚度1.5mm)，内套管⌀38mm圆管(厚度1.5mm)，⌀140mm圆形底座,⌀48mm球机接头</w:t>
                  </w:r>
                </w:p>
              </w:tc>
            </w:tr>
            <w:tr w14:paraId="4CF1D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FA4EBB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8488D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919E2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F8F5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1D05BB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B5904F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2D96E8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6E7D4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21C21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5A36E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13D10A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1D7B9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AB81EE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F7155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网络传输（租赁）1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517C3B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百兆/三年</w:t>
                  </w:r>
                </w:p>
              </w:tc>
            </w:tr>
            <w:tr w14:paraId="4F816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047BE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BFE57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261BAD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安装于配电箱内，4G三相四线智能电能表，含10年电表流量。参比电流：3x1.5(6)A，3x5(20)A，3x10(40)A3x5(60)A，3x15(60)A 3x20(80)A3x30(100)A,3x10(100)A。特点：1、全电子式三相交流有功电能双向计量功能,反向计入总电量另外具备光伏双向两个电量独立显示。2、具有4G数据远程和控制功能。3、RS485通讯接口，支持MODBUS-RTU协议或DL/T645协议。4、远程拉合闸功能。</w:t>
                  </w:r>
                </w:p>
              </w:tc>
            </w:tr>
            <w:tr w14:paraId="381A3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37E6971E">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八、上下匝道抓拍</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5F73826">
                  <w:pPr>
                    <w:jc w:val="left"/>
                    <w:rPr>
                      <w:rFonts w:hint="eastAsia" w:ascii="宋体" w:hAnsi="宋体" w:eastAsia="宋体" w:cs="宋体"/>
                      <w:i w:val="0"/>
                      <w:iCs w:val="0"/>
                      <w:color w:val="auto"/>
                      <w:sz w:val="24"/>
                      <w:szCs w:val="24"/>
                      <w:highlight w:val="none"/>
                      <w:u w:val="none"/>
                    </w:rPr>
                  </w:pPr>
                </w:p>
              </w:tc>
            </w:tr>
            <w:tr w14:paraId="45A93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DC42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E22C0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微光高清抓拍单元1（尾牌）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BFCEF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3D6642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8CC681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19ECD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微光高清抓拍单元（前牌）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80D97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E136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9242A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9BD0C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全结构化摄像机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EB6A6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FBC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E05446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14D493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智能补光灯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B6642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3D97D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BA6C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7C21F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前端存储管理主机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4C9FC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6B83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BC2135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5C19F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前端管理单元</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AB4BFB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139D9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F19E54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003C7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预警屏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93C42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132E3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C3013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CB8413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557EE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6B08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81E08B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1A197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F式立杆1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F88F68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高6米，臂长5米</w:t>
                  </w:r>
                </w:p>
              </w:tc>
            </w:tr>
            <w:tr w14:paraId="1881D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9D3451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DE17C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交通监控设备标志牌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9DBE10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白底、绿图形、黑边框、白色衬边，600mm*800mm,附着式安装</w:t>
                  </w:r>
                </w:p>
              </w:tc>
            </w:tr>
            <w:tr w14:paraId="0FE36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29EC4F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EDF8DF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E6DBCE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5469E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511CEE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D9D5A9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50E9BA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5256D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B0B3D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64248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2D0F1D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01875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E43AC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3754BA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27401B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66EB5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B4ED38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0151A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9DF158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0EAB5A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0E788F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BE40B5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DDAE99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25163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FB1C6B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B5DDDE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DF2B0B9">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484D3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CF6C8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9E9450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713C68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0E2CC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243FF0C4">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九、入口匝道控制系统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E499124">
                  <w:pPr>
                    <w:jc w:val="left"/>
                    <w:rPr>
                      <w:rFonts w:hint="eastAsia" w:ascii="宋体" w:hAnsi="宋体" w:eastAsia="宋体" w:cs="宋体"/>
                      <w:i w:val="0"/>
                      <w:iCs w:val="0"/>
                      <w:color w:val="auto"/>
                      <w:sz w:val="24"/>
                      <w:szCs w:val="24"/>
                      <w:highlight w:val="none"/>
                      <w:u w:val="none"/>
                    </w:rPr>
                  </w:pPr>
                </w:p>
              </w:tc>
            </w:tr>
            <w:tr w14:paraId="28505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CDF7E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4D9530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交通信息屏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F9B7BE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2986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28334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7B1014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上匝道车道灯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CD90E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6AF6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1CD5B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D0CB0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工业级交换机2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A17D9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FA47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86D0B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FCD871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交通信号控制机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F6A8D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713E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5E5B0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C867E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信号机基础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D6D5468">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1000*600*900mm</w:t>
                  </w:r>
                </w:p>
              </w:tc>
            </w:tr>
            <w:tr w14:paraId="2EF980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153EA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E91B6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智能设备箱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8C133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BBE6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2D046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8E02A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设备箱基础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90EDCE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垫层：1060mm*800mm*100mm，C15混凝土；基础：860mm*600mm*800mm，C25混凝土；含钢筋笼、地脚螺栓等</w:t>
                  </w:r>
                </w:p>
              </w:tc>
            </w:tr>
            <w:tr w14:paraId="406F4C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3BD640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B2C95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电力电缆1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AD144B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YJV3*4mm²</w:t>
                  </w:r>
                </w:p>
              </w:tc>
            </w:tr>
            <w:tr w14:paraId="7E2B5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375A3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101C13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电力电缆6</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20C2E9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YJV3*6mm²</w:t>
                  </w:r>
                </w:p>
              </w:tc>
            </w:tr>
            <w:tr w14:paraId="23144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A6990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1849F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DF3EED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635CC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5354F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76C13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控制软电缆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32C068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KVVR-450/750-（4X1.0mm）</w:t>
                  </w:r>
                </w:p>
              </w:tc>
            </w:tr>
            <w:tr w14:paraId="6D7C8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9B8266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DA4F9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B4914E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L5X5,L=2.5m</w:t>
                  </w:r>
                </w:p>
              </w:tc>
            </w:tr>
            <w:tr w14:paraId="035D96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CF8A5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0FE75C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208563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4B2B7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74437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0371CD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3AABB9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BV-10mm²</w:t>
                  </w:r>
                </w:p>
              </w:tc>
            </w:tr>
            <w:tr w14:paraId="7D539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085D6D48">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十、区间测速系统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6945B68">
                  <w:pPr>
                    <w:jc w:val="left"/>
                    <w:rPr>
                      <w:rFonts w:hint="eastAsia" w:ascii="宋体" w:hAnsi="宋体" w:eastAsia="宋体" w:cs="宋体"/>
                      <w:i w:val="0"/>
                      <w:iCs w:val="0"/>
                      <w:color w:val="auto"/>
                      <w:sz w:val="24"/>
                      <w:szCs w:val="24"/>
                      <w:highlight w:val="none"/>
                      <w:u w:val="none"/>
                    </w:rPr>
                  </w:pPr>
                </w:p>
              </w:tc>
            </w:tr>
            <w:tr w14:paraId="09F31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764092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10.1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A23786E">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西二环-杨新公路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2F85025">
                  <w:pPr>
                    <w:jc w:val="left"/>
                    <w:rPr>
                      <w:rFonts w:hint="eastAsia" w:ascii="宋体" w:hAnsi="宋体" w:eastAsia="宋体" w:cs="宋体"/>
                      <w:i w:val="0"/>
                      <w:iCs w:val="0"/>
                      <w:color w:val="auto"/>
                      <w:sz w:val="24"/>
                      <w:szCs w:val="24"/>
                      <w:highlight w:val="none"/>
                      <w:u w:val="none"/>
                    </w:rPr>
                  </w:pPr>
                </w:p>
              </w:tc>
            </w:tr>
            <w:tr w14:paraId="74A6A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9363B7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06ABEA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环保生态抓拍单元（前牌）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9D4D3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3CCD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20FA4D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89B37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防雷器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AC1770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二合一</w:t>
                  </w:r>
                </w:p>
              </w:tc>
            </w:tr>
            <w:tr w14:paraId="0DD31D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E80F5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E2A995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智能补光灯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5D7B9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60A1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AA61CB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5D980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限速标志牌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7C5BB8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Φ1000mm，附着式，含抱箍等安装辅材</w:t>
                  </w:r>
                </w:p>
              </w:tc>
            </w:tr>
            <w:tr w14:paraId="6B0CE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B3777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98376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全程区间测速提醒标志</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7D55C1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700mm*1050mm，附着式，含抱箍等安装辅材</w:t>
                  </w:r>
                </w:p>
              </w:tc>
            </w:tr>
            <w:tr w14:paraId="306122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3B5C8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2F78A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测速距离提示标志</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1EE7E6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700mm*1205mm，附着式，含抱箍等安装辅材</w:t>
                  </w:r>
                </w:p>
              </w:tc>
            </w:tr>
            <w:tr w14:paraId="4DB53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0E6631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60341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测速起终点提示标志</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8F3EF3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700mm*1050mm，附着式，含抱箍等安装辅材</w:t>
                  </w:r>
                </w:p>
              </w:tc>
            </w:tr>
            <w:tr w14:paraId="4B151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3A5CF2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99575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前端存储管理主机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D642D4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852D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C6EA2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CC465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工业级交换机3</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4E9D3F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ED15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D2086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810669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BC21E1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34799F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A1017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28469A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054BD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596F3C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B9B85E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A2CE8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标定费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06F1DB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12车道，1年</w:t>
                  </w:r>
                </w:p>
              </w:tc>
            </w:tr>
            <w:tr w14:paraId="039321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0DD393CF">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十一、广播系统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71CEF1A">
                  <w:pPr>
                    <w:jc w:val="left"/>
                    <w:rPr>
                      <w:rFonts w:hint="eastAsia" w:ascii="宋体" w:hAnsi="宋体" w:eastAsia="宋体" w:cs="宋体"/>
                      <w:i w:val="0"/>
                      <w:iCs w:val="0"/>
                      <w:color w:val="auto"/>
                      <w:sz w:val="24"/>
                      <w:szCs w:val="24"/>
                      <w:highlight w:val="none"/>
                      <w:u w:val="none"/>
                    </w:rPr>
                  </w:pPr>
                </w:p>
              </w:tc>
            </w:tr>
            <w:tr w14:paraId="55A73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FE02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138235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室外防水音柱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F7AF4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1019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A4D20A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9E47EB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IP网络解码带功放终端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DC9570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C9CA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BE22F2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6F83F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智能设备箱（小）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1F5A4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尺寸不低于400mm*350mm*670mm(长*宽*高)，详见招标技术要求</w:t>
                  </w:r>
                </w:p>
              </w:tc>
            </w:tr>
            <w:tr w14:paraId="6D8C3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D5A7E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3D0543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设备箱基础（小）</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D45218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垫层：500mm*410mm*50mm，C15混凝土；基础：400mm*310mm*500mm，C25混凝土；含地脚螺栓等</w:t>
                  </w:r>
                </w:p>
              </w:tc>
            </w:tr>
            <w:tr w14:paraId="13B5E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A4263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EF540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8195549">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2C6AA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2FEAB4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9D96F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广播线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EA128B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RVS2*1.0mm²</w:t>
                  </w:r>
                </w:p>
              </w:tc>
            </w:tr>
            <w:tr w14:paraId="14748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CAD61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4ED1A5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13E452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1589E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1BF6B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4CA3F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030926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4E8974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88B1B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DA06C5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4965FA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0D591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C1AB0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12833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CEC047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3D77D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23669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1AA81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C60957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2CD350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DAC4C9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80D204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31ED63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6F500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C2717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8F2B0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接地镀锌角钢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A88B98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L5X5,L=2.5m</w:t>
                  </w:r>
                </w:p>
              </w:tc>
            </w:tr>
            <w:tr w14:paraId="68852F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576E8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F71EC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热镀锌扁钢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BF93E3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40X4热镀锌扁钢</w:t>
                  </w:r>
                </w:p>
              </w:tc>
            </w:tr>
            <w:tr w14:paraId="1A9F1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B4004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68648D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接地连接线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9652B1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BV-10mm²</w:t>
                  </w:r>
                </w:p>
              </w:tc>
            </w:tr>
            <w:tr w14:paraId="3704D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ign w:val="center"/>
                </w:tcPr>
                <w:p w14:paraId="37E69031">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十二、鱼腹线实线变道抓拍</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C8513A9">
                  <w:pPr>
                    <w:jc w:val="left"/>
                    <w:rPr>
                      <w:rFonts w:hint="eastAsia" w:ascii="宋体" w:hAnsi="宋体" w:eastAsia="宋体" w:cs="宋体"/>
                      <w:i w:val="0"/>
                      <w:iCs w:val="0"/>
                      <w:color w:val="auto"/>
                      <w:sz w:val="24"/>
                      <w:szCs w:val="24"/>
                      <w:highlight w:val="none"/>
                      <w:u w:val="none"/>
                    </w:rPr>
                  </w:pPr>
                </w:p>
              </w:tc>
            </w:tr>
            <w:tr w14:paraId="7E96E6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51A59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5A0031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微光高清抓拍单元1（尾牌）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D2742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B4BF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14D678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B386D9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微光高清抓拍单元（前牌）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79A1A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FEC3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29BC4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771F43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智能补光灯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E974DE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3392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28D07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4AE76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交通监控设备标志牌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7ABF90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白底、绿图形、黑边框、白色衬边，600mm*800mm,附着式安装</w:t>
                  </w:r>
                </w:p>
              </w:tc>
            </w:tr>
            <w:tr w14:paraId="16FCE5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968BD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023EEF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C7D5EB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EF2E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C5380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AB7809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4A4640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27882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BB62D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143DA6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8F5395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202B8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D2A9DC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67ABA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948D14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45EBE8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8286C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8B6933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23FC53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7DC5F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05E6C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368F5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9BC924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2B5E1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1781B0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79CF2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1E15F5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0FFCB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396A7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684EF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64E29A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30403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0FA4A3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ED6C39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37E9E4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08FEB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4D7E6C49">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lang w:val="en-US"/>
                    </w:rPr>
                  </w:pPr>
                  <w:r>
                    <w:rPr>
                      <w:rFonts w:hint="eastAsia" w:ascii="宋体" w:hAnsi="宋体" w:eastAsia="宋体" w:cs="宋体"/>
                      <w:b/>
                      <w:bCs/>
                      <w:i w:val="0"/>
                      <w:iCs w:val="0"/>
                      <w:color w:val="auto"/>
                      <w:kern w:val="0"/>
                      <w:sz w:val="24"/>
                      <w:szCs w:val="24"/>
                      <w:highlight w:val="none"/>
                      <w:u w:val="none"/>
                      <w:lang w:val="en-US" w:eastAsia="zh-CN" w:bidi="ar"/>
                    </w:rPr>
                    <w:t>十三、停车收费管理系统</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B9E08B2">
                  <w:pPr>
                    <w:jc w:val="left"/>
                    <w:rPr>
                      <w:rFonts w:hint="eastAsia" w:ascii="宋体" w:hAnsi="宋体" w:eastAsia="宋体" w:cs="宋体"/>
                      <w:i w:val="0"/>
                      <w:iCs w:val="0"/>
                      <w:color w:val="auto"/>
                      <w:sz w:val="24"/>
                      <w:szCs w:val="24"/>
                      <w:highlight w:val="none"/>
                      <w:u w:val="none"/>
                    </w:rPr>
                  </w:pPr>
                </w:p>
              </w:tc>
            </w:tr>
            <w:tr w14:paraId="05597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2C0FD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F79C6A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高位相机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D5E28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5B54F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AA530E2">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D01E8A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立杆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9622E4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高6米，挑臂1米</w:t>
                  </w:r>
                </w:p>
              </w:tc>
            </w:tr>
            <w:tr w14:paraId="04BFD7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A068D17">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B9C37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2A8894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1000mm*1000mm*1500mm，C25混凝土，含钢筋笼、地脚螺栓等</w:t>
                  </w:r>
                </w:p>
              </w:tc>
            </w:tr>
            <w:tr w14:paraId="67CA2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793B55">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F64A40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万向节支架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BFB432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铁质喷塑，2mm厚，整体尺寸：105*100*52mm，支持上下180°，左右360°调节</w:t>
                  </w:r>
                </w:p>
              </w:tc>
            </w:tr>
            <w:tr w14:paraId="1DFD3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85D77FF">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1270B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电源</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8C7F69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与相机配套</w:t>
                  </w:r>
                </w:p>
              </w:tc>
            </w:tr>
            <w:tr w14:paraId="23BE7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AA0B24F">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7A1E9A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路侧停车智能终端管理盒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408ACC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09C0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D5C382E">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highlight w:val="none"/>
                      <w:u w:val="none"/>
                      <w:lang w:val="en-US" w:eastAsia="zh-CN" w:bidi="ar"/>
                    </w:rPr>
                  </w:pPr>
                  <w:r>
                    <w:rPr>
                      <w:rFonts w:hint="eastAsia" w:ascii="宋体" w:hAnsi="宋体" w:eastAsia="宋体" w:cs="宋体"/>
                      <w:b/>
                      <w:bCs/>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A775BF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智能抱杆箱</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F919C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3BFA0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0F3F2301">
                  <w:pPr>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十四、中心设备扩容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6864D67">
                  <w:pPr>
                    <w:jc w:val="center"/>
                    <w:rPr>
                      <w:rFonts w:hint="eastAsia" w:ascii="宋体" w:hAnsi="宋体" w:eastAsia="宋体" w:cs="宋体"/>
                      <w:i w:val="0"/>
                      <w:iCs w:val="0"/>
                      <w:color w:val="auto"/>
                      <w:sz w:val="24"/>
                      <w:szCs w:val="24"/>
                      <w:highlight w:val="none"/>
                      <w:u w:val="none"/>
                      <w:lang w:val="en-US" w:eastAsia="zh-CN" w:bidi="ar-SA"/>
                    </w:rPr>
                  </w:pPr>
                </w:p>
              </w:tc>
            </w:tr>
            <w:tr w14:paraId="20B42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718BA349">
                  <w:pP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14.1视频云存储扩容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DE5A2D0">
                  <w:pPr>
                    <w:rPr>
                      <w:rFonts w:hint="eastAsia" w:ascii="宋体" w:hAnsi="宋体" w:eastAsia="宋体" w:cs="宋体"/>
                      <w:i w:val="0"/>
                      <w:iCs w:val="0"/>
                      <w:color w:val="auto"/>
                      <w:sz w:val="24"/>
                      <w:szCs w:val="24"/>
                      <w:highlight w:val="none"/>
                      <w:u w:val="none"/>
                      <w:lang w:val="en-US" w:eastAsia="zh-CN" w:bidi="ar-SA"/>
                    </w:rPr>
                  </w:pPr>
                </w:p>
              </w:tc>
            </w:tr>
            <w:tr w14:paraId="4AD249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2F686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17231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云存储节点1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18E3CC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BE01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1670E4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7F0CCD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管理服务器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7CE12F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73C7E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00975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C40CA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汇聚交换机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5D1A52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EF95C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332C60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0E2E6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管理交换机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0D041E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ACC71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A6AA4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272D9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数据库服务器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C4F5C5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1EEC5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77BF0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C06AB0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应用服务器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FEA662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B7E8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75D5A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C55DB8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接入服务器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1E244A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CC78B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8F0637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1B3EF8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图形工作站</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A0E50C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440D1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5643C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FB87AF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云数据库一体机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CFAD8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6D688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50B0722C">
                  <w:pPr>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14.2中心存储扩容（公路）</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B984CC2">
                  <w:pPr>
                    <w:jc w:val="center"/>
                    <w:rPr>
                      <w:rFonts w:hint="eastAsia" w:ascii="宋体" w:hAnsi="宋体" w:eastAsia="宋体" w:cs="宋体"/>
                      <w:i w:val="0"/>
                      <w:iCs w:val="0"/>
                      <w:color w:val="auto"/>
                      <w:sz w:val="24"/>
                      <w:szCs w:val="24"/>
                      <w:highlight w:val="none"/>
                      <w:u w:val="none"/>
                      <w:lang w:val="en-US" w:eastAsia="zh-CN" w:bidi="ar-SA"/>
                    </w:rPr>
                  </w:pPr>
                </w:p>
              </w:tc>
            </w:tr>
            <w:tr w14:paraId="30620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E92A4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8B7960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云存储节点2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7DE182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5F25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B18BE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D7F94B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视频算法识别</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A64BD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704566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16E4B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091909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事件检测智能服务器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BE2FA9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10760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7A4DB5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5B6D80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视图智能引擎算法服务基础授权</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5D5785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6684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0F6BA15A">
                  <w:pPr>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bCs/>
                      <w:i w:val="0"/>
                      <w:iCs w:val="0"/>
                      <w:color w:val="auto"/>
                      <w:kern w:val="0"/>
                      <w:sz w:val="24"/>
                      <w:szCs w:val="24"/>
                      <w:highlight w:val="none"/>
                      <w:u w:val="none"/>
                      <w:lang w:val="en-US" w:eastAsia="zh-CN" w:bidi="ar"/>
                    </w:rPr>
                    <w:t>14.3</w:t>
                  </w:r>
                  <w:r>
                    <w:rPr>
                      <w:rFonts w:hint="eastAsia" w:ascii="宋体" w:hAnsi="宋体" w:eastAsia="宋体" w:cs="宋体"/>
                      <w:b w:val="0"/>
                      <w:bCs w:val="0"/>
                      <w:i w:val="0"/>
                      <w:iCs w:val="0"/>
                      <w:color w:val="auto"/>
                      <w:kern w:val="0"/>
                      <w:sz w:val="24"/>
                      <w:szCs w:val="24"/>
                      <w:highlight w:val="none"/>
                      <w:u w:val="none"/>
                      <w:lang w:val="en-US" w:eastAsia="zh-CN" w:bidi="ar"/>
                    </w:rPr>
                    <w:t>西二环交通局中心存储扩容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A1CA1B0">
                  <w:pPr>
                    <w:jc w:val="center"/>
                    <w:rPr>
                      <w:rFonts w:hint="eastAsia" w:ascii="宋体" w:hAnsi="宋体" w:eastAsia="宋体" w:cs="宋体"/>
                      <w:i w:val="0"/>
                      <w:iCs w:val="0"/>
                      <w:color w:val="auto"/>
                      <w:sz w:val="24"/>
                      <w:szCs w:val="24"/>
                      <w:highlight w:val="none"/>
                      <w:u w:val="none"/>
                      <w:lang w:val="en-US" w:eastAsia="zh-CN" w:bidi="ar-SA"/>
                    </w:rPr>
                  </w:pPr>
                </w:p>
              </w:tc>
            </w:tr>
            <w:tr w14:paraId="4B15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C77155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0CFB75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云存储节点2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0282EC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140EC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9F8BE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E7A760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视频算法识别</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824A73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5129C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569DF4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4D38DC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事件检测智能服务器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88B937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8727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8CE2A3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F51E7E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视图智能引擎算法服务基础授权</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C596A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B162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3BF54571">
                  <w:pPr>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14.4 AI智能分析服务器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4644894">
                  <w:pPr>
                    <w:rPr>
                      <w:rFonts w:hint="eastAsia" w:ascii="宋体" w:hAnsi="宋体" w:eastAsia="宋体" w:cs="宋体"/>
                      <w:b/>
                      <w:bCs/>
                      <w:i w:val="0"/>
                      <w:iCs w:val="0"/>
                      <w:color w:val="auto"/>
                      <w:sz w:val="24"/>
                      <w:szCs w:val="24"/>
                      <w:highlight w:val="none"/>
                      <w:u w:val="none"/>
                      <w:lang w:val="en-US" w:eastAsia="zh-CN" w:bidi="ar-SA"/>
                    </w:rPr>
                  </w:pPr>
                </w:p>
              </w:tc>
            </w:tr>
            <w:tr w14:paraId="0A32AF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73E059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066091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 xml:space="preserve"> AI智能分析服务器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018E997">
                  <w:pPr>
                    <w:keepNext w:val="0"/>
                    <w:keepLines w:val="0"/>
                    <w:widowControl/>
                    <w:suppressLineNumbers w:val="0"/>
                    <w:jc w:val="left"/>
                    <w:textAlignment w:val="cente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B3B3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18A32895">
                  <w:pPr>
                    <w:jc w:val="left"/>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14.5车辆二次分析设备扩容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DE648A8">
                  <w:pPr>
                    <w:jc w:val="center"/>
                    <w:rPr>
                      <w:rFonts w:hint="eastAsia" w:ascii="宋体" w:hAnsi="宋体" w:eastAsia="宋体" w:cs="宋体"/>
                      <w:b/>
                      <w:bCs/>
                      <w:i w:val="0"/>
                      <w:iCs w:val="0"/>
                      <w:color w:val="auto"/>
                      <w:sz w:val="24"/>
                      <w:szCs w:val="24"/>
                      <w:highlight w:val="none"/>
                      <w:u w:val="none"/>
                      <w:lang w:val="en-US" w:eastAsia="zh-CN" w:bidi="ar-SA"/>
                    </w:rPr>
                  </w:pPr>
                </w:p>
              </w:tc>
            </w:tr>
            <w:tr w14:paraId="1B4CC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20A341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796815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应用服务节点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D3D257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48D06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B3FCC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4BCC36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大数据存储节点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55CCB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34862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4ED88F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68213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高性能GPU分析节点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F65C6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0C13A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ED695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BE955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视频准入设备</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3FBE08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4F0B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57C30ECB">
                  <w:pPr>
                    <w:jc w:val="left"/>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14.6虚拟化扩容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D3E903A">
                  <w:pPr>
                    <w:jc w:val="center"/>
                    <w:rPr>
                      <w:rFonts w:hint="eastAsia" w:ascii="宋体" w:hAnsi="宋体" w:eastAsia="宋体" w:cs="宋体"/>
                      <w:i w:val="0"/>
                      <w:iCs w:val="0"/>
                      <w:color w:val="auto"/>
                      <w:sz w:val="24"/>
                      <w:szCs w:val="24"/>
                      <w:highlight w:val="none"/>
                      <w:u w:val="none"/>
                      <w:lang w:val="en-US" w:eastAsia="zh-CN" w:bidi="ar-SA"/>
                    </w:rPr>
                  </w:pPr>
                </w:p>
              </w:tc>
            </w:tr>
            <w:tr w14:paraId="0EE0E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6EBDD2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7BA6AD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虚拟化节点（扩容）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07A671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详见招标技术要求</w:t>
                  </w:r>
                </w:p>
              </w:tc>
            </w:tr>
            <w:tr w14:paraId="255D84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8F7F4A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CC7C4E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虚拟化授权扩容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9BDF677">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虚拟化许可（4CPU），含实施服务</w:t>
                  </w:r>
                </w:p>
              </w:tc>
            </w:tr>
            <w:tr w14:paraId="6916D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261C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8894CC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网卡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A33B40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双端口万兆网卡</w:t>
                  </w:r>
                </w:p>
              </w:tc>
            </w:tr>
            <w:tr w14:paraId="2410A7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1902F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F000B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超融合万兆接入交换机</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6E2000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至少24个万兆光口，6个40/100GE光口（含一条堆叠线缆）；交换容量≥4.8Tbps，包转发率≥1620Mpps，至少包含交流电源模块2个，风扇模块2个；至少万兆多模模块24个；至少包含12条多模光纤跳线。</w:t>
                  </w:r>
                </w:p>
              </w:tc>
            </w:tr>
            <w:tr w14:paraId="7A107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614C0BA5">
                  <w:pPr>
                    <w:jc w:val="left"/>
                    <w:rPr>
                      <w:rFonts w:hint="eastAsia" w:ascii="宋体" w:hAnsi="宋体" w:eastAsia="宋体" w:cs="宋体"/>
                      <w:b/>
                      <w:bCs/>
                      <w:i w:val="0"/>
                      <w:iCs w:val="0"/>
                      <w:color w:val="auto"/>
                      <w:sz w:val="24"/>
                      <w:szCs w:val="24"/>
                      <w:highlight w:val="none"/>
                      <w:u w:val="none"/>
                      <w:lang w:val="en-US" w:eastAsia="zh-CN" w:bidi="ar-SA"/>
                    </w:rPr>
                  </w:pPr>
                  <w:r>
                    <w:rPr>
                      <w:rFonts w:hint="eastAsia" w:ascii="宋体" w:hAnsi="宋体" w:eastAsia="宋体" w:cs="宋体"/>
                      <w:b w:val="0"/>
                      <w:bCs w:val="0"/>
                      <w:i w:val="0"/>
                      <w:iCs w:val="0"/>
                      <w:color w:val="auto"/>
                      <w:kern w:val="0"/>
                      <w:sz w:val="24"/>
                      <w:szCs w:val="24"/>
                      <w:highlight w:val="none"/>
                      <w:u w:val="none"/>
                      <w:lang w:val="en-US" w:eastAsia="zh-CN" w:bidi="ar"/>
                    </w:rPr>
                    <w:t>14.7数据平台软件扩容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2396CDB">
                  <w:pPr>
                    <w:jc w:val="center"/>
                    <w:rPr>
                      <w:rFonts w:hint="eastAsia" w:ascii="宋体" w:hAnsi="宋体" w:eastAsia="宋体" w:cs="宋体"/>
                      <w:b/>
                      <w:bCs/>
                      <w:i w:val="0"/>
                      <w:iCs w:val="0"/>
                      <w:color w:val="auto"/>
                      <w:sz w:val="24"/>
                      <w:szCs w:val="24"/>
                      <w:highlight w:val="none"/>
                      <w:u w:val="none"/>
                      <w:lang w:val="en-US" w:eastAsia="zh-CN" w:bidi="ar-SA"/>
                    </w:rPr>
                  </w:pPr>
                </w:p>
              </w:tc>
            </w:tr>
            <w:tr w14:paraId="55AB5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9FD33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DA1385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全息监管平台（扩容）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75EC74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kern w:val="0"/>
                      <w:sz w:val="24"/>
                      <w:szCs w:val="24"/>
                      <w:highlight w:val="none"/>
                      <w:u w:val="none"/>
                      <w:lang w:val="en-US" w:eastAsia="zh-CN" w:bidi="ar"/>
                    </w:rPr>
                    <w:t>将西二环接入现有的全息高架平台，包括数据对接、三维地图建模（西二环全线以及东二环、南二环、西二环、张杨公路合围区域的市区道路）、数字孪生、平台接入等详见招标技术要求，</w:t>
                  </w:r>
                </w:p>
              </w:tc>
            </w:tr>
            <w:tr w14:paraId="034C34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5FE0172F">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lang w:val="en-US" w:eastAsia="zh-CN"/>
                    </w:rPr>
                  </w:pPr>
                  <w:r>
                    <w:rPr>
                      <w:rFonts w:hint="eastAsia" w:ascii="宋体" w:hAnsi="宋体" w:eastAsia="宋体" w:cs="宋体"/>
                      <w:b/>
                      <w:bCs/>
                      <w:i w:val="0"/>
                      <w:iCs w:val="0"/>
                      <w:color w:val="auto"/>
                      <w:sz w:val="24"/>
                      <w:szCs w:val="24"/>
                      <w:highlight w:val="none"/>
                      <w:u w:val="none"/>
                      <w:lang w:val="en-US" w:eastAsia="zh-CN"/>
                    </w:rPr>
                    <w:t>十五、管道</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71FBBB6">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2C4C9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BC833A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1F1CB4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606A07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KVV3*1.0mm²</w:t>
                  </w:r>
                </w:p>
              </w:tc>
            </w:tr>
            <w:tr w14:paraId="4792C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89EA5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696D2B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电源线2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540C789">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KVV3*2.5mm²</w:t>
                  </w:r>
                </w:p>
              </w:tc>
            </w:tr>
            <w:tr w14:paraId="2275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07DE8C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0B0821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网线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2E9506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室外屏蔽超五类</w:t>
                  </w:r>
                </w:p>
              </w:tc>
            </w:tr>
            <w:tr w14:paraId="1ED79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88FF6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B65759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95E463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室外单模4芯</w:t>
                  </w:r>
                </w:p>
              </w:tc>
            </w:tr>
            <w:tr w14:paraId="4CDF7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EC312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E350EE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F27092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4口</w:t>
                  </w:r>
                </w:p>
              </w:tc>
            </w:tr>
            <w:tr w14:paraId="1288C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949EA8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6985E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光纤尾纤</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1C2D02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614B91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040FCB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C2A070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光纤跳线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D03D7B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单模3米</w:t>
                  </w:r>
                </w:p>
              </w:tc>
            </w:tr>
            <w:tr w14:paraId="6C01F7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52AB6E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5051FF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光纤熔接</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617E90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国产</w:t>
                  </w:r>
                </w:p>
              </w:tc>
            </w:tr>
            <w:tr w14:paraId="1AD0E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ABBFA8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AB28B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水泥管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C42EBFD">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φ400mm</w:t>
                  </w:r>
                </w:p>
              </w:tc>
            </w:tr>
            <w:tr w14:paraId="39516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12A80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F2488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镀锌钢管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AFA6E46">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GG100mm</w:t>
                  </w:r>
                </w:p>
              </w:tc>
            </w:tr>
            <w:tr w14:paraId="755D6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AB04D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A93C66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尼龙管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FD07F97">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φ80mm</w:t>
                  </w:r>
                </w:p>
              </w:tc>
            </w:tr>
            <w:tr w14:paraId="4E703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CCA6F8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DD11BC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硅芯管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6B3BFA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HDPEφ63mm，地面预埋</w:t>
                  </w:r>
                </w:p>
              </w:tc>
            </w:tr>
            <w:tr w14:paraId="67A6E3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DD0056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181C5E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手孔井</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05F556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500*500*800mm，含井盖</w:t>
                  </w:r>
                </w:p>
              </w:tc>
            </w:tr>
            <w:tr w14:paraId="1A762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F3623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19987B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人孔井</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36C68B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800*1000*1350mm，含井盖</w:t>
                  </w:r>
                </w:p>
              </w:tc>
            </w:tr>
            <w:tr w14:paraId="13ED72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D6EDF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ign w:val="center"/>
                </w:tcPr>
                <w:p w14:paraId="4D29706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开挖土方路面</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CC475D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宽度400mm，深度600mm，土方回填</w:t>
                  </w:r>
                </w:p>
              </w:tc>
            </w:tr>
            <w:tr w14:paraId="37740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0297A8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ign w:val="center"/>
                </w:tcPr>
                <w:p w14:paraId="5A95C3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开挖人行道板</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F7011F1">
                  <w:pPr>
                    <w:rPr>
                      <w:rFonts w:hint="eastAsia" w:ascii="宋体" w:hAnsi="宋体" w:eastAsia="宋体" w:cs="宋体"/>
                      <w:i w:val="0"/>
                      <w:iCs w:val="0"/>
                      <w:color w:val="auto"/>
                      <w:sz w:val="24"/>
                      <w:szCs w:val="24"/>
                      <w:highlight w:val="none"/>
                      <w:u w:val="none"/>
                    </w:rPr>
                  </w:pPr>
                  <w:r>
                    <w:rPr>
                      <w:rFonts w:hint="eastAsia" w:eastAsia="宋体" w:cs="Times New Roman"/>
                      <w:i/>
                      <w:iCs/>
                      <w:color w:val="auto"/>
                      <w:sz w:val="22"/>
                      <w:szCs w:val="24"/>
                      <w:u w:val="single"/>
                    </w:rPr>
                    <w:t>宽度400mm，深度600mm，土方回填，5cm碎石层，10cm混凝土层，水泥砂浆找平层及道板砖面层恢复</w:t>
                  </w:r>
                </w:p>
              </w:tc>
            </w:tr>
            <w:tr w14:paraId="36A66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77C34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D3753B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拖拉管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E42A8F9">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2根HDPEφ100mm</w:t>
                  </w:r>
                </w:p>
              </w:tc>
            </w:tr>
            <w:tr w14:paraId="75820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B4944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9E4A8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接线箱（引下型）</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D680C8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2.5mm厚钢制热镀锌箱体，700mm*650mm*底深350mm，2mm厚不锈钢浅灰色哑光喷塑盖板</w:t>
                  </w:r>
                </w:p>
              </w:tc>
            </w:tr>
            <w:tr w14:paraId="56F8D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49C2D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19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87A5A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接线箱（普通型）</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3148F39">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2.5mm厚钢制热镀锌箱体，700mm*650mm*底深350mm，2mm厚不锈钢浅灰色哑光喷塑盖板</w:t>
                  </w:r>
                </w:p>
              </w:tc>
            </w:tr>
            <w:tr w14:paraId="4FDBE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779D5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7ED3F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桥架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1F0EE3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桥架300mm*100mm*1.5mm，含盖板，含安装配件</w:t>
                  </w:r>
                </w:p>
              </w:tc>
            </w:tr>
            <w:tr w14:paraId="50B1C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7E7B62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952086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硅芯管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92130C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HDPEφ63mm，护栏、挡墙内预埋</w:t>
                  </w:r>
                </w:p>
              </w:tc>
            </w:tr>
            <w:tr w14:paraId="4E1008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A07798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B555C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硅芯管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868FEF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HDPEφ32mm，接线箱至杆件基础</w:t>
                  </w:r>
                </w:p>
              </w:tc>
            </w:tr>
            <w:tr w14:paraId="7CCC8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8F81D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0DC7D0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DN65</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CA7417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DN65mm热镀锌钢管，接线箱引下管</w:t>
                  </w:r>
                </w:p>
              </w:tc>
            </w:tr>
            <w:tr w14:paraId="7701FA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FA3F9B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002E45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PE25</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17E8AA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落水管</w:t>
                  </w:r>
                </w:p>
              </w:tc>
            </w:tr>
            <w:tr w14:paraId="33A83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6439FB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4D8935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PVC管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986A81A">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PVC100mm</w:t>
                  </w:r>
                </w:p>
              </w:tc>
            </w:tr>
            <w:tr w14:paraId="2FEA5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4C5C2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55C236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辅材</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C879B3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含水晶头、扎带、标签、螺丝、压线端子等辅材；</w:t>
                  </w:r>
                </w:p>
              </w:tc>
            </w:tr>
            <w:tr w14:paraId="4B188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27BD17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BB2496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200KVA箱变</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E021A6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10.5±2x2.5%/0.4KV，D.yn11，Ud%=4.0式节能型欧式箱变，符合当地供电部门能效等级要求，箱体热镀锌钢板喷塑+防腐木，高压柜进线柜出线柜电容柜各一，四出，含土建基础，接地网</w:t>
                  </w:r>
                </w:p>
              </w:tc>
            </w:tr>
            <w:tr w14:paraId="00927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29F88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CD536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电缆直通井</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1ED005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砖砌砂浆抹面，C30钢砼圈梁，304不锈钢防盗盖板，井盖凹字宋体“路灯”，字高100mm</w:t>
                  </w:r>
                </w:p>
              </w:tc>
            </w:tr>
            <w:tr w14:paraId="77EA4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5CAE15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29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D19D44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电缆三通井</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FA8B03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砖砌砂浆抹面，C30钢砼圈梁，304不锈钢防盗盖板，井盖凹字宋体“路灯”，字高100mm</w:t>
                  </w:r>
                </w:p>
              </w:tc>
            </w:tr>
            <w:tr w14:paraId="62ECA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EA956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30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65A85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电缆转角井</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466045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砖砌砂浆抹面，C30钢砼圈梁，304不锈钢防盗盖板，井盖凹字宋体“路灯”，字高100mm</w:t>
                  </w:r>
                </w:p>
              </w:tc>
            </w:tr>
            <w:tr w14:paraId="30058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228E11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31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58C73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电力电缆7</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681DB5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YJV22-8.7/15KV-3x70mm，变压器进线电缆</w:t>
                  </w:r>
                </w:p>
              </w:tc>
            </w:tr>
            <w:tr w14:paraId="697AA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65049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32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4456D8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两通道排管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85FB20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2xCPVC160mm排管，公差±0.2mm，管壁厚5mm，C15垫层，C30砼包管，箱变进线电缆管道，用一备一</w:t>
                  </w:r>
                </w:p>
              </w:tc>
            </w:tr>
            <w:tr w14:paraId="24A3AE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65832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33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F03E83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牵引力拖拉管</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682CF5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4xCPVC110mm，管壁厚5mm</w:t>
                  </w:r>
                </w:p>
              </w:tc>
            </w:tr>
            <w:tr w14:paraId="1B84B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56E94A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34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B9122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挖沟槽土方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2E1957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10KV进线电缆套管、控制箱进线电缆套管及水泥管管沟，断面尺寸:宽750mm深1300mm</w:t>
                  </w:r>
                </w:p>
              </w:tc>
            </w:tr>
            <w:tr w14:paraId="35BDFD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601214B0">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十六、合杆杆件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D7ABD0">
                  <w:pPr>
                    <w:jc w:val="left"/>
                    <w:rPr>
                      <w:rFonts w:hint="eastAsia" w:ascii="宋体" w:hAnsi="宋体" w:eastAsia="宋体" w:cs="宋体"/>
                      <w:i w:val="0"/>
                      <w:iCs w:val="0"/>
                      <w:color w:val="auto"/>
                      <w:sz w:val="24"/>
                      <w:szCs w:val="24"/>
                      <w:highlight w:val="none"/>
                      <w:u w:val="none"/>
                    </w:rPr>
                  </w:pPr>
                </w:p>
              </w:tc>
            </w:tr>
            <w:tr w14:paraId="78DAA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E12539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BCC54D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（智能化单悬臂5米）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67DA2F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灯杆高12m，Q355B+Q235B钢灯杆热镀锌喷塑，含4道挂载C槽、4套热镀锌双螺帽及4厚热镀锌垫片、智能化5米悬臂，使用部位：地面主线</w:t>
                  </w:r>
                </w:p>
              </w:tc>
            </w:tr>
            <w:tr w14:paraId="744B7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5551E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3C9D72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（智能化单悬臂9米）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000CBD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灯杆高12m，Q355B+Q235B钢灯杆热镀锌喷塑，含4道挂载C槽、4套热镀锌双螺帽及4厚热镀锌垫片、智能化9米悬臂，使用部位：地面主线</w:t>
                  </w:r>
                </w:p>
              </w:tc>
            </w:tr>
            <w:tr w14:paraId="2993E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1B762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A3747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（智能化单悬臂12米）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219EF2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灯杆高12m，Q355B+Q235B钢灯杆热镀锌喷塑，含4道挂载C槽、4套热镀锌双螺帽及4厚热镀锌垫片、智能化12米悬臂，使用部位：地面主线</w:t>
                  </w:r>
                </w:p>
              </w:tc>
            </w:tr>
            <w:tr w14:paraId="3AB48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87AA8D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663F35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（智能化单悬臂5米）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D09FE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灯杆高9m，Q355B+Q235B钢灯杆热镀锌喷塑，含4道挂载C槽、4套热镀锌双螺帽及4厚热镀锌垫片、智能化5米悬臂，使用部位：地面主线</w:t>
                  </w:r>
                </w:p>
              </w:tc>
            </w:tr>
            <w:tr w14:paraId="3EAED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E12231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918FD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（智能化单悬臂7米）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ACD861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灯杆高9m，Q355B+Q235B钢灯杆热镀锌喷塑，含4道挂载C槽、4套热镀锌双螺帽及4厚热镀锌垫片、智能化7米悬臂，使用部位：地面主线</w:t>
                  </w:r>
                </w:p>
              </w:tc>
            </w:tr>
            <w:tr w14:paraId="22981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BB6EA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D20332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（智能化单悬臂9米）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B22A8F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灯杆高9m，Q355B+Q235B钢灯杆热镀锌喷塑，含4道挂载C槽、4套热镀锌双螺帽及4厚热镀锌垫片、智能化9米悬臂，使用部位：地面主线</w:t>
                  </w:r>
                </w:p>
              </w:tc>
            </w:tr>
            <w:tr w14:paraId="1BAAC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EB73F0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8EFB31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LED单臂合杆路灯五</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（智能化单悬臂12米）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72B81D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灯杆高9m，Q355B+Q235B钢灯杆热镀锌喷塑，含4道挂载C槽、4套热镀锌双螺帽及4厚热镀锌垫片、智能化12米悬臂，使用部位：地面主线</w:t>
                  </w:r>
                </w:p>
              </w:tc>
            </w:tr>
            <w:tr w14:paraId="2C2C42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CAF76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8AF7FD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（智能化单悬臂5米）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47A03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灯杆高10.5m，Q355B+Q235B钢灯杆热镀锌喷塑，含4道挂载C槽、4套热镀锌双螺帽及4厚热镀锌垫片、智能化5米悬臂，使用部位：地面主线</w:t>
                  </w:r>
                </w:p>
              </w:tc>
            </w:tr>
            <w:tr w14:paraId="19F5A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36A0D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EA3D5B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LED双臂合杆路灯二</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（智能化单悬臂7米）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BD524F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灯杆高10.5m，Q355B+Q235B钢灯杆热镀锌喷塑，含4道挂载C槽、4套热镀锌双螺帽及4厚热镀锌垫片、智能化7米悬臂，使用部位：地面主线</w:t>
                  </w:r>
                </w:p>
              </w:tc>
            </w:tr>
            <w:tr w14:paraId="4A1D8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B4C14C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E0CAD5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（智能化单悬臂5米）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5BF3E7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灯杆高8m，Q355B+Q235B钢灯杆热镀锌喷塑，含4道挂载C槽、4套热镀锌双螺帽及4厚热镀锌垫片、智能化5米悬臂，使用部位：地面主线</w:t>
                  </w:r>
                </w:p>
              </w:tc>
            </w:tr>
            <w:tr w14:paraId="420C7C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99145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E2A32B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（智能化单悬臂7米）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1821E9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灯杆高8m，Q355B+Q235B钢灯杆热镀锌喷塑，含4道挂载C槽、4套热镀锌双螺帽及4厚热镀锌垫片、智能化7米悬臂，使用部位：地面主线</w:t>
                  </w:r>
                </w:p>
              </w:tc>
            </w:tr>
            <w:tr w14:paraId="656A4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24EA2C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BFDC6E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（智能化单悬臂12米）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869DFA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灯杆高8m，Q355B+Q235B钢灯杆热镀锌喷塑，含4道挂载C槽、4套热镀锌双螺帽及4厚热镀锌垫片、智能化12米悬臂，使用部位：地面主线</w:t>
                  </w:r>
                </w:p>
              </w:tc>
            </w:tr>
            <w:tr w14:paraId="4A14F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1AA7B7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4D9038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LED双臂合杆路灯三</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（智能化单悬臂11米+3米）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A13545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灯杆高8m，Q355B+Q235B钢灯杆热镀锌喷塑，含4道挂载C槽、4套热镀锌双螺帽及4厚热镀锌垫片、11米+3米悬臂，使用部位：地面主线</w:t>
                  </w:r>
                </w:p>
              </w:tc>
            </w:tr>
            <w:tr w14:paraId="6D18F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AEFE0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6F838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（智能化单悬臂7米）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38670F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灯杆高12m，Q355B+Q235B钢灯杆热镀锌喷塑，含4道挂载C槽、4套热镀锌双螺帽及4厚热镀锌垫片、智能化7米悬臂，使用部位：地面主线</w:t>
                  </w:r>
                </w:p>
              </w:tc>
            </w:tr>
            <w:tr w14:paraId="159A7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AA17F6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A9C43F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（智能化单悬臂9米+3米）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8A45F92">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灯杆高12m，Q355B+Q235B钢灯杆热镀锌喷塑，含4道挂载C槽、4套热镀锌双螺帽及4厚热镀锌垫片、智能化9米+3米悬臂，使用部位：地面主线</w:t>
                  </w:r>
                </w:p>
              </w:tc>
            </w:tr>
            <w:tr w14:paraId="597DE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A054BD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4A395F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LED双臂合杆路灯四</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（智能化单悬臂12米+3米）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DC743E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灯杆高12m，Q355B+Q235B钢灯杆热镀锌喷塑，含4道挂载C槽、4套热镀锌双螺帽及4厚热镀锌垫片、智能化12米+3米悬臂，使用部位：地面主线</w:t>
                  </w:r>
                </w:p>
              </w:tc>
            </w:tr>
            <w:tr w14:paraId="71AA3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E0479F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F8DFF1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LED合杆中杆灯一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（智能化单悬臂5米）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4A5A7E3">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灯杆高14m，Q355B+Q235B钢灯杆热镀锌喷塑，含4道挂载C槽、4套热镀锌双螺帽及4厚热镀锌垫片、智能化5米悬臂，使用部位：地面主线</w:t>
                  </w:r>
                </w:p>
              </w:tc>
            </w:tr>
            <w:tr w14:paraId="7D119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F56628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56B5F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LED合杆中杆灯一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（智能化单悬臂12米+3米）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4116F6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灯杆高14m，Q355B+Q235B钢灯杆热镀锌喷塑，含4道挂载C槽、4套热镀锌双螺帽及4厚热镀锌垫片、智能化12米+3米悬臂，使用部位：地面主线</w:t>
                  </w:r>
                </w:p>
              </w:tc>
            </w:tr>
            <w:tr w14:paraId="4C62B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2BCA5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B4E8DA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LED合杆中杆灯一（附着）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91D5A9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灯杆高14m，Q235B钢灯杆热镀锌喷塑，含2道挂载C槽、4套热镀锌双螺帽及4厚热镀锌垫片，使用部位：地面主线</w:t>
                  </w:r>
                </w:p>
              </w:tc>
            </w:tr>
            <w:tr w14:paraId="24FC7B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E24AA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D2D21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LED单臂合杆路灯二（附着）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A36FDF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灯杆高12m，Q235B钢灯杆热镀锌喷塑，含2道挂载C槽、4套热镀锌双螺帽及4厚热镀锌垫片，使用部位：地面主线</w:t>
                  </w:r>
                </w:p>
              </w:tc>
            </w:tr>
            <w:tr w14:paraId="4FA98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C01944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B4D207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LED单臂合杆路灯五（附着）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50DD46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灯杆高9m，Q235B钢灯杆热镀锌喷塑，含2道挂载C槽、4套热镀锌双螺帽及4厚热镀锌垫片，使用部位：地面主线</w:t>
                  </w:r>
                </w:p>
              </w:tc>
            </w:tr>
            <w:tr w14:paraId="54FF0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F6602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6E2282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LED双臂合杆路灯四（附着）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74DCC4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灯杆高12m，Q235B钢灯杆热镀锌喷塑，含2道挂载C槽、4套热镀锌双螺帽及4厚热镀锌垫片，使用部位：地面主线</w:t>
                  </w:r>
                </w:p>
              </w:tc>
            </w:tr>
            <w:tr w14:paraId="66192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21BFE5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DCFD76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LED单臂合杆路灯二（交安单侧4.0mx2.5m标志牌）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CD070E1">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灯杆高12m，Q355B+Q235B钢灯杆热镀锌喷塑，含4道挂载C槽、4套热镀锌双螺帽及4厚热镀锌垫片、交安单侧悬臂，使用部位：地面主线</w:t>
                  </w:r>
                </w:p>
              </w:tc>
            </w:tr>
            <w:tr w14:paraId="32A74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6726A3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E81196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LED双臂合杆路灯二（交安单侧φ1.2m×3标志牌）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7C235C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灯杆高10.5m，Q355B+Q235B钢灯杆热镀锌喷塑，含4道挂载C槽、4套热镀锌双螺帽及4厚热镀锌垫片、交安单侧悬臂，使用部位：地面主线</w:t>
                  </w:r>
                </w:p>
              </w:tc>
            </w:tr>
            <w:tr w14:paraId="30A52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F9946F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F57B5D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LED双臂合杆路灯二（交安单侧4.0mx2.5m标志牌）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C1C5D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灯杆高10.5m，Q355B+Q235B钢灯杆热镀锌喷塑，含4道挂载C槽、4套热镀锌双螺帽及4厚热镀锌垫片、交安单侧悬臂，使用部位：地面主线</w:t>
                  </w:r>
                </w:p>
              </w:tc>
            </w:tr>
            <w:tr w14:paraId="609D5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405E22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147A49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LED双臂合杆路灯四（交安单侧φ1.2m×3标志牌）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E11E67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LED双臂合杆路灯四（交安单侧φ1.2m×3标志牌）</w:t>
                  </w:r>
                </w:p>
              </w:tc>
            </w:tr>
            <w:tr w14:paraId="33993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45C39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CB0B87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LED双臂合杆路灯四（交安单侧4.0mx2.5m标志牌）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9CB95E0">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灯杆高12m，Q355B+Q235B钢灯杆热镀锌喷塑，含4道挂载C槽、4套热镀锌双螺帽及4厚热镀锌垫片、交安单侧悬臂，使用部位：地面主线</w:t>
                  </w:r>
                </w:p>
              </w:tc>
            </w:tr>
            <w:tr w14:paraId="786857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CEDB15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A2440A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路灯接地极</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CD12A9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4mm厚4#热镀锌扁钢+5mm厚5#热镀锌角钢，角钢长2.5米，整体热镀锌</w:t>
                  </w:r>
                </w:p>
              </w:tc>
            </w:tr>
            <w:tr w14:paraId="6C8EB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B2A1E6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096258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路灯基础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896D9E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Q235B钢预埋件，螺纹热镀锌，C30砼</w:t>
                  </w:r>
                </w:p>
              </w:tc>
            </w:tr>
            <w:tr w14:paraId="4866C8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0E43E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399346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综合杆基础一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61E23D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Q355B钢预埋件，螺纹热镀锌，C30砼，配筋基础，交安D120cm×3单悬臂综合杆及智能化9m及以下悬臂综合杆</w:t>
                  </w:r>
                </w:p>
              </w:tc>
            </w:tr>
            <w:tr w14:paraId="1F53F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093187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185561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综合杆基础二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8DB962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Q355B钢预埋件，螺纹热镀锌，C30砼，配筋基础，交安500cm×300cm、400cm×250cm单悬臂综合杆</w:t>
                  </w:r>
                </w:p>
              </w:tc>
            </w:tr>
            <w:tr w14:paraId="7CD283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1C9BE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1916DC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综合杆基础三</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C203A88">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Q355B钢预埋件，螺纹热镀锌，C30砼，配筋基础，交安300cm×120cm单悬臂综合杆及智能化10m及以上悬臂综合杆</w:t>
                  </w:r>
                </w:p>
              </w:tc>
            </w:tr>
            <w:tr w14:paraId="6FF11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16BB9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B73F01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（智能化单悬臂5米）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79B4E4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灯杆高11m，Q355B+Q235B钢灯杆热镀锌喷塑，含450双面发光标识、4道挂载C槽、4套热镀锌双螺帽及4厚热镀锌垫片、5G驳接法兰、智能化5米悬臂，使用部位：高架主线</w:t>
                  </w:r>
                </w:p>
              </w:tc>
            </w:tr>
            <w:tr w14:paraId="7DAAC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C4F8C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BE44BA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（智能化单悬臂5米）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735210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智能化5米悬臂，使用部位：高架主线</w:t>
                  </w:r>
                </w:p>
              </w:tc>
            </w:tr>
            <w:tr w14:paraId="2A6CF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369E1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4EA878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（智能化单悬臂7米）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0146A5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灯杆高11m，Q355B+Q235B钢灯杆热镀锌喷塑，含450双面发光标识、4道挂载C槽、4套热镀锌双螺帽及4厚热镀锌垫片、5G驳接法兰、智能化7米悬臂，使用部位：高架主线</w:t>
                  </w:r>
                </w:p>
              </w:tc>
            </w:tr>
            <w:tr w14:paraId="6F711D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E04DE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F787B0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（智能化单悬臂9米）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4A22C9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灯杆高11m，Q355B+Q235B钢灯杆热镀锌喷塑，含450双面发光标识、4道挂载C槽、4套热镀锌双螺帽及4厚热镀锌垫片、5G驳接法兰、智能化9米悬臂，使用部位：高架主线</w:t>
                  </w:r>
                </w:p>
              </w:tc>
            </w:tr>
            <w:tr w14:paraId="4AC3A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4730E4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4DD775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LED单臂合杆路灯一</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（智能化单悬臂9米）</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618246F">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智能化9米悬臂，使用部位：高架主线</w:t>
                  </w:r>
                </w:p>
              </w:tc>
            </w:tr>
            <w:tr w14:paraId="13443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88A78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0D4F218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LED单臂合杆路灯一（附着）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38444B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灯杆高11m，Q235B钢灯杆热镀锌喷塑,含450双面发光标识、2道挂载C槽、4套热镀锌双螺帽及4厚热镀锌垫片，使用部位：高架主线</w:t>
                  </w:r>
                </w:p>
              </w:tc>
            </w:tr>
            <w:tr w14:paraId="66EF5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6E9541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8C14BA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LED单臂合杆路灯一（交安单侧3.2m×3.1m标志牌）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663512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灯杆高11m，Q355B+Q235B钢灯杆热镀锌喷塑，含450双面发光标识、4道挂载C槽、4套热镀锌双螺帽及4厚热镀锌垫片、5G驳接法兰、交安单侧悬臂4m*3，使用部位：高架主线</w:t>
                  </w:r>
                </w:p>
              </w:tc>
            </w:tr>
            <w:tr w14:paraId="023E12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1D110B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B905596">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LED单臂合杆路灯一（交安双侧3.2m×3.1m标志牌）</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BA6EBBE">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灯杆高11m，Q355B+Q235B钢灯杆热镀锌喷塑，含450双面发光标识、4道挂载C槽、4套热镀锌双螺帽及4厚热镀锌垫片、5G驳接法兰，含交安侧悬臂4m*3*2，使用部位：西二环高架主线</w:t>
                  </w:r>
                </w:p>
              </w:tc>
            </w:tr>
            <w:tr w14:paraId="03DF2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B3049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40DBB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路灯接线盒</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5A969D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含RT-14 6A 220V三相熔断器，8位带盖接线排，2位标准卡槽接线端，4厚环氧树脂接线板，配套安装在灯杆检修门内</w:t>
                  </w:r>
                </w:p>
              </w:tc>
            </w:tr>
            <w:tr w14:paraId="6B10C7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F2C94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536179F">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高架双悬臂交安杆件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CB7555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双悬臂</w:t>
                  </w:r>
                </w:p>
              </w:tc>
            </w:tr>
            <w:tr w14:paraId="2FFE05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FFA102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7A63202">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可变限速显示屏门架式立杆</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FA4B329">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跨度13米</w:t>
                  </w:r>
                </w:p>
              </w:tc>
            </w:tr>
            <w:tr w14:paraId="79786E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71B274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3C91500C">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高架上匝道门架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548619B">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9米</w:t>
                  </w:r>
                </w:p>
              </w:tc>
            </w:tr>
            <w:tr w14:paraId="78A4D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F0B6E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2B98C47D">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地面接地极</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A4839A5">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4mm厚4#热镀锌扁钢+5mm厚5#热镀锌角钢，角钢长2.5米，整体热镀锌</w:t>
                  </w:r>
                </w:p>
              </w:tc>
            </w:tr>
            <w:tr w14:paraId="7D8DA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67E6A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3D0FE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门架基础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CA26D44">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沉台型基础，1600mm*1600mm*2100mm+1600mm*2600mm*400mm，C25混凝土，含钢筋笼、地脚螺栓等</w:t>
                  </w:r>
                </w:p>
              </w:tc>
            </w:tr>
            <w:tr w14:paraId="491D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47E71A5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6D892C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地面双悬臂交安杆件</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9B475E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上匝道处</w:t>
                  </w:r>
                </w:p>
              </w:tc>
            </w:tr>
            <w:tr w14:paraId="3B6D1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450BFA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A533023">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地面双悬臂交安杆件基础</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D9AD6A0">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1400*1400*2500mm</w:t>
                  </w:r>
                </w:p>
              </w:tc>
            </w:tr>
            <w:tr w14:paraId="055B8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E927D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02BF04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地面单悬臂交安杆件1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17782B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4.0m×2.5m标志牌安装杆件</w:t>
                  </w:r>
                </w:p>
              </w:tc>
            </w:tr>
            <w:tr w14:paraId="09233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0AF6F2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C33EB5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地面单悬臂交安杆件2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3025DC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5.0m×3.0m标志牌安装杆件</w:t>
                  </w:r>
                </w:p>
              </w:tc>
            </w:tr>
            <w:tr w14:paraId="3C9D8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27E42C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A1825C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地面单悬臂交安杆件3</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146D541A">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单侧φ1.2m×3标志牌安装杆件</w:t>
                  </w:r>
                </w:p>
              </w:tc>
            </w:tr>
            <w:tr w14:paraId="48892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9A69E0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F9A207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地面单悬臂交安杆件基础1</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D4E2665">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1400*1400*1800mm</w:t>
                  </w:r>
                </w:p>
              </w:tc>
            </w:tr>
            <w:tr w14:paraId="04CDB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3234ABC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3D0F660">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地面单悬臂交安杆件基础2</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58436D7C">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1200*1200*1500mm</w:t>
                  </w:r>
                </w:p>
              </w:tc>
            </w:tr>
            <w:tr w14:paraId="3C9816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3085" w:type="dxa"/>
                  <w:gridSpan w:val="2"/>
                  <w:tcBorders>
                    <w:top w:val="single" w:color="000000" w:sz="4" w:space="0"/>
                    <w:left w:val="single" w:color="000000" w:sz="4" w:space="0"/>
                    <w:bottom w:val="single" w:color="000000" w:sz="4" w:space="0"/>
                    <w:right w:val="single" w:color="000000" w:sz="4" w:space="0"/>
                  </w:tcBorders>
                  <w:noWrap w:val="0"/>
                  <w:vAlign w:val="center"/>
                </w:tcPr>
                <w:p w14:paraId="7D42A152">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十七、其他暂定费用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793581A">
                  <w:pPr>
                    <w:jc w:val="left"/>
                    <w:rPr>
                      <w:rFonts w:hint="eastAsia" w:ascii="宋体" w:hAnsi="宋体" w:eastAsia="宋体" w:cs="宋体"/>
                      <w:i w:val="0"/>
                      <w:iCs w:val="0"/>
                      <w:color w:val="auto"/>
                      <w:sz w:val="24"/>
                      <w:szCs w:val="24"/>
                      <w:highlight w:val="none"/>
                      <w:u w:val="none"/>
                    </w:rPr>
                  </w:pPr>
                </w:p>
              </w:tc>
            </w:tr>
            <w:tr w14:paraId="2435A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1E3DFE2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68AE6BA5">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开挖补偿费</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2B198A9D">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暂定10万元，按实结算</w:t>
                  </w:r>
                </w:p>
              </w:tc>
            </w:tr>
            <w:tr w14:paraId="50999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52B2BC44">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50035978">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安装调试</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71F28D1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p>
              </w:tc>
            </w:tr>
            <w:tr w14:paraId="5F81E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2C8EB3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3</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C129031">
                  <w:pPr>
                    <w:keepNext w:val="0"/>
                    <w:keepLines w:val="0"/>
                    <w:widowControl/>
                    <w:suppressLineNumbers w:val="0"/>
                    <w:jc w:val="left"/>
                    <w:textAlignment w:val="center"/>
                    <w:rPr>
                      <w:rFonts w:hint="default" w:ascii="宋体" w:hAnsi="宋体" w:eastAsia="宋体" w:cs="宋体"/>
                      <w:i w:val="0"/>
                      <w:iCs w:val="0"/>
                      <w:color w:val="auto"/>
                      <w:sz w:val="24"/>
                      <w:szCs w:val="24"/>
                      <w:highlight w:val="none"/>
                      <w:u w:val="none"/>
                      <w:lang w:val="en-US"/>
                    </w:rPr>
                  </w:pPr>
                  <w:r>
                    <w:rPr>
                      <w:rFonts w:hint="eastAsia" w:ascii="宋体" w:hAnsi="宋体" w:eastAsia="宋体" w:cs="宋体"/>
                      <w:i w:val="0"/>
                      <w:iCs w:val="0"/>
                      <w:color w:val="auto"/>
                      <w:kern w:val="0"/>
                      <w:sz w:val="24"/>
                      <w:szCs w:val="24"/>
                      <w:highlight w:val="none"/>
                      <w:u w:val="none"/>
                      <w:lang w:val="en-US" w:eastAsia="zh-CN" w:bidi="ar"/>
                    </w:rPr>
                    <w:t>传输网络（租赁）</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1ABDD1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裸纤,十年（租赁）</w:t>
                  </w:r>
                </w:p>
              </w:tc>
            </w:tr>
            <w:tr w14:paraId="3F56C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EA1744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1D88CEB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运维管理平台接入费用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18BA38F">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预估20万元</w:t>
                  </w:r>
                  <w:r>
                    <w:rPr>
                      <w:rFonts w:hint="eastAsia" w:ascii="宋体" w:hAnsi="宋体" w:cs="宋体"/>
                      <w:i/>
                      <w:iCs/>
                      <w:color w:val="auto"/>
                      <w:kern w:val="0"/>
                      <w:sz w:val="24"/>
                      <w:szCs w:val="24"/>
                      <w:highlight w:val="none"/>
                      <w:u w:val="single"/>
                      <w:lang w:val="en-US" w:eastAsia="zh-CN" w:bidi="ar"/>
                    </w:rPr>
                    <w:t>（不超过20万元）</w:t>
                  </w:r>
                  <w:r>
                    <w:rPr>
                      <w:rFonts w:hint="eastAsia" w:ascii="宋体" w:hAnsi="宋体" w:eastAsia="宋体" w:cs="宋体"/>
                      <w:i/>
                      <w:iCs/>
                      <w:color w:val="auto"/>
                      <w:kern w:val="0"/>
                      <w:sz w:val="24"/>
                      <w:szCs w:val="24"/>
                      <w:highlight w:val="none"/>
                      <w:u w:val="single"/>
                      <w:lang w:val="en-US" w:eastAsia="zh-CN" w:bidi="ar"/>
                    </w:rPr>
                    <w:t>，按实结算</w:t>
                  </w:r>
                </w:p>
              </w:tc>
            </w:tr>
            <w:tr w14:paraId="2F3FE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606095A2">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5</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77C9AF2E">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信控平台接入费用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05B3F70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预计28个路口，2000元/路口，共5.6万元</w:t>
                  </w:r>
                  <w:r>
                    <w:rPr>
                      <w:rFonts w:hint="eastAsia" w:ascii="宋体" w:hAnsi="宋体" w:cs="宋体"/>
                      <w:i/>
                      <w:iCs/>
                      <w:color w:val="auto"/>
                      <w:kern w:val="0"/>
                      <w:sz w:val="24"/>
                      <w:szCs w:val="24"/>
                      <w:highlight w:val="none"/>
                      <w:u w:val="single"/>
                      <w:lang w:val="en-US" w:eastAsia="zh-CN" w:bidi="ar"/>
                    </w:rPr>
                    <w:t>（不超过7万元），按实结算。</w:t>
                  </w:r>
                  <w:r>
                    <w:rPr>
                      <w:rFonts w:hint="eastAsia" w:ascii="宋体" w:hAnsi="宋体" w:eastAsia="宋体" w:cs="宋体"/>
                      <w:i/>
                      <w:iCs/>
                      <w:color w:val="auto"/>
                      <w:kern w:val="0"/>
                      <w:sz w:val="24"/>
                      <w:szCs w:val="24"/>
                      <w:highlight w:val="none"/>
                      <w:u w:val="single"/>
                      <w:lang w:val="en-US" w:eastAsia="zh-CN" w:bidi="ar"/>
                    </w:rPr>
                    <w:t>该费用仅设备包含接入服务费用，不包含接口开发，接口开发由中标方按协议开发后接入。</w:t>
                  </w:r>
                </w:p>
              </w:tc>
            </w:tr>
            <w:tr w14:paraId="283F7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FA406F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6</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6516C3E">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交通违法处理平台接入费用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4CAA8102">
                  <w:pPr>
                    <w:keepNext w:val="0"/>
                    <w:keepLines w:val="0"/>
                    <w:widowControl/>
                    <w:suppressLineNumbers w:val="0"/>
                    <w:jc w:val="left"/>
                    <w:textAlignment w:val="center"/>
                    <w:rPr>
                      <w:rFonts w:hint="default"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预计400路设备，400元/路，预计共16万元</w:t>
                  </w:r>
                  <w:r>
                    <w:rPr>
                      <w:rFonts w:hint="eastAsia" w:ascii="宋体" w:hAnsi="宋体" w:cs="宋体"/>
                      <w:i/>
                      <w:iCs/>
                      <w:color w:val="auto"/>
                      <w:kern w:val="0"/>
                      <w:sz w:val="24"/>
                      <w:szCs w:val="24"/>
                      <w:highlight w:val="none"/>
                      <w:u w:val="single"/>
                      <w:lang w:val="en-US" w:eastAsia="zh-CN" w:bidi="ar"/>
                    </w:rPr>
                    <w:t>（</w:t>
                  </w:r>
                  <w:bookmarkStart w:id="172" w:name="OLE_LINK1"/>
                  <w:r>
                    <w:rPr>
                      <w:rFonts w:hint="eastAsia" w:ascii="宋体" w:hAnsi="宋体" w:cs="宋体"/>
                      <w:i/>
                      <w:iCs/>
                      <w:color w:val="auto"/>
                      <w:kern w:val="0"/>
                      <w:sz w:val="24"/>
                      <w:szCs w:val="24"/>
                      <w:highlight w:val="none"/>
                      <w:u w:val="single"/>
                      <w:lang w:val="en-US" w:eastAsia="zh-CN" w:bidi="ar"/>
                    </w:rPr>
                    <w:t>不超过20万元）</w:t>
                  </w:r>
                  <w:bookmarkEnd w:id="172"/>
                  <w:r>
                    <w:rPr>
                      <w:rFonts w:hint="eastAsia" w:ascii="宋体" w:hAnsi="宋体" w:cs="宋体"/>
                      <w:i/>
                      <w:iCs/>
                      <w:color w:val="auto"/>
                      <w:kern w:val="0"/>
                      <w:sz w:val="24"/>
                      <w:szCs w:val="24"/>
                      <w:highlight w:val="none"/>
                      <w:u w:val="single"/>
                      <w:lang w:val="en-US" w:eastAsia="zh-CN" w:bidi="ar"/>
                    </w:rPr>
                    <w:t>，按实结算</w:t>
                  </w:r>
                  <w:r>
                    <w:rPr>
                      <w:rFonts w:hint="eastAsia" w:ascii="宋体" w:hAnsi="宋体" w:eastAsia="宋体" w:cs="宋体"/>
                      <w:i/>
                      <w:iCs/>
                      <w:color w:val="auto"/>
                      <w:kern w:val="0"/>
                      <w:sz w:val="24"/>
                      <w:szCs w:val="24"/>
                      <w:highlight w:val="none"/>
                      <w:u w:val="single"/>
                      <w:lang w:val="en-US" w:eastAsia="zh-CN" w:bidi="ar"/>
                    </w:rPr>
                    <w:t>。包含接口对接开发，系统链路聚合，质保期内点位维护等，按实际接入路数结算</w:t>
                  </w:r>
                </w:p>
              </w:tc>
            </w:tr>
            <w:tr w14:paraId="6876C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7B8AB433">
                  <w:pPr>
                    <w:keepNext w:val="0"/>
                    <w:keepLines w:val="0"/>
                    <w:widowControl/>
                    <w:suppressLineNumbers w:val="0"/>
                    <w:jc w:val="center"/>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7</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9AEE176">
                  <w:pPr>
                    <w:keepNext w:val="0"/>
                    <w:keepLines w:val="0"/>
                    <w:widowControl/>
                    <w:suppressLineNumbers w:val="0"/>
                    <w:jc w:val="both"/>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u w:val="none"/>
                      <w:lang w:val="en-US" w:eastAsia="zh-CN" w:bidi="ar"/>
                    </w:rPr>
                    <w:t>全息高架平台接入费用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611B9F8C">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预计168路，100元/路，共1</w:t>
                  </w:r>
                  <w:r>
                    <w:rPr>
                      <w:rFonts w:hint="eastAsia" w:ascii="宋体" w:hAnsi="宋体" w:cs="宋体"/>
                      <w:i/>
                      <w:iCs/>
                      <w:color w:val="auto"/>
                      <w:kern w:val="0"/>
                      <w:sz w:val="24"/>
                      <w:szCs w:val="24"/>
                      <w:highlight w:val="none"/>
                      <w:u w:val="single"/>
                      <w:lang w:val="en-US" w:eastAsia="zh-CN" w:bidi="ar"/>
                    </w:rPr>
                    <w:t>.68万</w:t>
                  </w:r>
                  <w:r>
                    <w:rPr>
                      <w:rFonts w:hint="eastAsia" w:ascii="宋体" w:hAnsi="宋体" w:eastAsia="宋体" w:cs="宋体"/>
                      <w:i/>
                      <w:iCs/>
                      <w:color w:val="auto"/>
                      <w:kern w:val="0"/>
                      <w:sz w:val="24"/>
                      <w:szCs w:val="24"/>
                      <w:highlight w:val="none"/>
                      <w:u w:val="single"/>
                      <w:lang w:val="en-US" w:eastAsia="zh-CN" w:bidi="ar"/>
                    </w:rPr>
                    <w:t>元</w:t>
                  </w:r>
                  <w:r>
                    <w:rPr>
                      <w:rFonts w:hint="eastAsia" w:ascii="宋体" w:hAnsi="宋体" w:cs="宋体"/>
                      <w:i/>
                      <w:iCs/>
                      <w:color w:val="auto"/>
                      <w:kern w:val="0"/>
                      <w:sz w:val="24"/>
                      <w:szCs w:val="24"/>
                      <w:highlight w:val="none"/>
                      <w:u w:val="single"/>
                      <w:lang w:val="en-US" w:eastAsia="zh-CN" w:bidi="ar"/>
                    </w:rPr>
                    <w:t>（不超过2.5万元），</w:t>
                  </w:r>
                  <w:r>
                    <w:rPr>
                      <w:rFonts w:hint="eastAsia" w:ascii="宋体" w:hAnsi="宋体" w:eastAsia="宋体" w:cs="宋体"/>
                      <w:i/>
                      <w:iCs/>
                      <w:color w:val="auto"/>
                      <w:kern w:val="0"/>
                      <w:sz w:val="24"/>
                      <w:szCs w:val="24"/>
                      <w:highlight w:val="none"/>
                      <w:u w:val="single"/>
                      <w:lang w:val="en-US" w:eastAsia="zh-CN" w:bidi="ar"/>
                    </w:rPr>
                    <w:t>按实结算。该费用仅设备包含接入服务费用，不包含接口开发，接口开发由中标方按协议开发后接入</w:t>
                  </w:r>
                </w:p>
              </w:tc>
            </w:tr>
            <w:tr w14:paraId="32B6B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 w:hRule="atLeast"/>
                <w:jc w:val="center"/>
              </w:trPr>
              <w:tc>
                <w:tcPr>
                  <w:tcW w:w="579" w:type="dxa"/>
                  <w:tcBorders>
                    <w:top w:val="single" w:color="000000" w:sz="4" w:space="0"/>
                    <w:left w:val="single" w:color="000000" w:sz="4" w:space="0"/>
                    <w:bottom w:val="single" w:color="000000" w:sz="4" w:space="0"/>
                    <w:right w:val="single" w:color="000000" w:sz="4" w:space="0"/>
                  </w:tcBorders>
                  <w:noWrap w:val="0"/>
                  <w:vAlign w:val="center"/>
                </w:tcPr>
                <w:p w14:paraId="2E4580FC">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w:t>
                  </w:r>
                </w:p>
              </w:tc>
              <w:tc>
                <w:tcPr>
                  <w:tcW w:w="2506" w:type="dxa"/>
                  <w:tcBorders>
                    <w:top w:val="single" w:color="000000" w:sz="4" w:space="0"/>
                    <w:left w:val="single" w:color="000000" w:sz="4" w:space="0"/>
                    <w:bottom w:val="single" w:color="000000" w:sz="4" w:space="0"/>
                    <w:right w:val="single" w:color="000000" w:sz="4" w:space="0"/>
                  </w:tcBorders>
                  <w:noWrap w:val="0"/>
                  <w:vAlign w:val="center"/>
                </w:tcPr>
                <w:p w14:paraId="4AB28094">
                  <w:pPr>
                    <w:keepNext w:val="0"/>
                    <w:keepLines w:val="0"/>
                    <w:widowControl/>
                    <w:suppressLineNumbers w:val="0"/>
                    <w:jc w:val="both"/>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视频监控平台接入费用</w:t>
                  </w:r>
                  <w:r>
                    <w:rPr>
                      <w:rFonts w:hint="eastAsia" w:ascii="宋体" w:hAnsi="宋体" w:cs="宋体"/>
                      <w:i w:val="0"/>
                      <w:iCs w:val="0"/>
                      <w:color w:val="auto"/>
                      <w:kern w:val="0"/>
                      <w:sz w:val="24"/>
                      <w:szCs w:val="24"/>
                      <w:u w:val="none"/>
                      <w:lang w:val="en-US" w:eastAsia="zh-CN" w:bidi="ar"/>
                    </w:rPr>
                    <w:t>及</w:t>
                  </w:r>
                  <w:r>
                    <w:rPr>
                      <w:rFonts w:hint="eastAsia" w:ascii="宋体" w:hAnsi="宋体" w:eastAsia="宋体" w:cs="宋体"/>
                      <w:i w:val="0"/>
                      <w:iCs w:val="0"/>
                      <w:color w:val="auto"/>
                      <w:kern w:val="0"/>
                      <w:sz w:val="24"/>
                      <w:szCs w:val="24"/>
                      <w:u w:val="none"/>
                      <w:lang w:val="en-US" w:eastAsia="zh-CN" w:bidi="ar"/>
                    </w:rPr>
                    <w:t>实战应用平台接入费用</w:t>
                  </w:r>
                </w:p>
              </w:tc>
              <w:tc>
                <w:tcPr>
                  <w:tcW w:w="3096" w:type="dxa"/>
                  <w:tcBorders>
                    <w:top w:val="single" w:color="000000" w:sz="4" w:space="0"/>
                    <w:left w:val="single" w:color="000000" w:sz="4" w:space="0"/>
                    <w:bottom w:val="single" w:color="000000" w:sz="4" w:space="0"/>
                    <w:right w:val="single" w:color="000000" w:sz="4" w:space="0"/>
                  </w:tcBorders>
                  <w:noWrap w:val="0"/>
                  <w:vAlign w:val="center"/>
                </w:tcPr>
                <w:p w14:paraId="3CCB0526">
                  <w:pPr>
                    <w:keepNext w:val="0"/>
                    <w:keepLines w:val="0"/>
                    <w:widowControl/>
                    <w:suppressLineNumbers w:val="0"/>
                    <w:jc w:val="left"/>
                    <w:textAlignment w:val="center"/>
                    <w:rPr>
                      <w:rFonts w:hint="eastAsia" w:ascii="宋体" w:hAnsi="宋体" w:eastAsia="宋体" w:cs="宋体"/>
                      <w:i/>
                      <w:iCs/>
                      <w:color w:val="auto"/>
                      <w:kern w:val="0"/>
                      <w:sz w:val="24"/>
                      <w:szCs w:val="24"/>
                      <w:highlight w:val="none"/>
                      <w:u w:val="single"/>
                      <w:lang w:val="en-US" w:eastAsia="zh-CN" w:bidi="ar"/>
                    </w:rPr>
                  </w:pPr>
                  <w:r>
                    <w:rPr>
                      <w:rFonts w:hint="eastAsia" w:ascii="宋体" w:hAnsi="宋体" w:eastAsia="宋体" w:cs="宋体"/>
                      <w:i/>
                      <w:iCs/>
                      <w:color w:val="auto"/>
                      <w:kern w:val="0"/>
                      <w:sz w:val="24"/>
                      <w:szCs w:val="24"/>
                      <w:highlight w:val="none"/>
                      <w:u w:val="single"/>
                      <w:lang w:val="en-US" w:eastAsia="zh-CN" w:bidi="ar"/>
                    </w:rPr>
                    <w:t>预估20万元</w:t>
                  </w:r>
                  <w:r>
                    <w:rPr>
                      <w:rFonts w:hint="eastAsia" w:ascii="宋体" w:hAnsi="宋体" w:cs="宋体"/>
                      <w:i/>
                      <w:iCs/>
                      <w:color w:val="auto"/>
                      <w:kern w:val="0"/>
                      <w:sz w:val="24"/>
                      <w:szCs w:val="24"/>
                      <w:highlight w:val="none"/>
                      <w:u w:val="single"/>
                      <w:lang w:val="en-US" w:eastAsia="zh-CN" w:bidi="ar"/>
                    </w:rPr>
                    <w:t>（不超过25万元）</w:t>
                  </w:r>
                  <w:r>
                    <w:rPr>
                      <w:rFonts w:hint="eastAsia" w:ascii="宋体" w:hAnsi="宋体" w:eastAsia="宋体" w:cs="宋体"/>
                      <w:i/>
                      <w:iCs/>
                      <w:color w:val="auto"/>
                      <w:kern w:val="0"/>
                      <w:sz w:val="24"/>
                      <w:szCs w:val="24"/>
                      <w:highlight w:val="none"/>
                      <w:u w:val="single"/>
                      <w:lang w:val="en-US" w:eastAsia="zh-CN" w:bidi="ar"/>
                    </w:rPr>
                    <w:t>，按实结算</w:t>
                  </w:r>
                </w:p>
              </w:tc>
            </w:tr>
          </w:tbl>
          <w:p w14:paraId="130B1B3C">
            <w:pPr>
              <w:spacing w:line="440" w:lineRule="exact"/>
              <w:rPr>
                <w:rFonts w:hint="default" w:ascii="Times New Roman" w:hAnsi="Times New Roman" w:eastAsia="宋体" w:cs="Times New Roman"/>
                <w:color w:val="auto"/>
                <w:sz w:val="24"/>
                <w:highlight w:val="none"/>
              </w:rPr>
            </w:pPr>
          </w:p>
        </w:tc>
      </w:tr>
      <w:tr w14:paraId="45F2D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restart"/>
            <w:noWrap w:val="0"/>
            <w:vAlign w:val="center"/>
          </w:tcPr>
          <w:p w14:paraId="08234424">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w:t>
            </w:r>
          </w:p>
        </w:tc>
        <w:tc>
          <w:tcPr>
            <w:tcW w:w="360" w:type="dxa"/>
            <w:vMerge w:val="restart"/>
            <w:noWrap w:val="0"/>
            <w:vAlign w:val="center"/>
          </w:tcPr>
          <w:p w14:paraId="63C38C4F">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主要系统及设备技术参数要求及施工要求</w:t>
            </w:r>
          </w:p>
        </w:tc>
        <w:tc>
          <w:tcPr>
            <w:tcW w:w="8275" w:type="dxa"/>
            <w:noWrap w:val="0"/>
            <w:tcMar>
              <w:top w:w="100" w:type="dxa"/>
              <w:left w:w="108" w:type="dxa"/>
              <w:bottom w:w="100" w:type="dxa"/>
              <w:right w:w="108" w:type="dxa"/>
            </w:tcMar>
            <w:vAlign w:val="center"/>
          </w:tcPr>
          <w:p w14:paraId="6935748A">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4.1交通信号控制系统技术要求</w:t>
            </w:r>
          </w:p>
        </w:tc>
      </w:tr>
      <w:tr w14:paraId="4B165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D340CF0">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6876A887">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E1694F2">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4.1.1 交通信号控制系统</w:t>
            </w:r>
          </w:p>
          <w:p w14:paraId="3FA69760">
            <w:pPr>
              <w:widowControl w:val="0"/>
              <w:spacing w:line="360" w:lineRule="auto"/>
              <w:ind w:firstLine="480"/>
              <w:jc w:val="left"/>
              <w:rPr>
                <w:rFonts w:hint="eastAsia" w:ascii="Times New Roman" w:hAnsi="Times New Roman" w:eastAsia="宋体" w:cs="Times New Roman"/>
                <w:color w:val="auto"/>
                <w:sz w:val="24"/>
                <w:szCs w:val="22"/>
                <w:highlight w:val="none"/>
                <w:lang w:val="en-US" w:eastAsia="zh-CN" w:bidi="ar-SA"/>
              </w:rPr>
            </w:pPr>
            <w:r>
              <w:rPr>
                <w:rFonts w:ascii="Times New Roman" w:hAnsi="Times New Roman" w:eastAsia="宋体" w:cs="Times New Roman"/>
                <w:i/>
                <w:color w:val="auto"/>
                <w:sz w:val="24"/>
                <w:szCs w:val="22"/>
                <w:highlight w:val="none"/>
                <w:u w:val="single"/>
                <w:lang w:val="en-US" w:eastAsia="zh-CN" w:bidi="ar-SA"/>
              </w:rPr>
              <w:t>交通信号机需接入到张家港市交警大队指挥中心交通信号控制平台中并与张家港市信号控制系统兼容</w:t>
            </w:r>
            <w:r>
              <w:rPr>
                <w:rFonts w:hint="eastAsia" w:ascii="Times New Roman" w:hAnsi="Times New Roman" w:eastAsia="宋体" w:cs="Times New Roman"/>
                <w:i/>
                <w:color w:val="auto"/>
                <w:sz w:val="24"/>
                <w:szCs w:val="22"/>
                <w:highlight w:val="none"/>
                <w:u w:val="single"/>
                <w:lang w:val="en-US" w:eastAsia="zh-CN" w:bidi="ar-SA"/>
              </w:rPr>
              <w:t>。</w:t>
            </w:r>
          </w:p>
          <w:p w14:paraId="190FF9BB">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1、系统基本控制功能</w:t>
            </w:r>
          </w:p>
          <w:p w14:paraId="66BFCE5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实时协调控制功能。系统具有实时自适应的区域性交通控制功能，控制区域内交通信号机与交通控制中心区域控制机联网运行，信号配时方案由优化算法软件根据交通流量检测设备获得到的车流量、占有率等交通信息进行优化计算实时生成，下载给交通信号机实施区域协调控制，实现区域优化的效果。</w:t>
            </w:r>
          </w:p>
          <w:p w14:paraId="191ABFD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降级协调控制功能。系统具有降级协调控制功能，实施协调控制的路口交通信号机都在区域控制计算机的控制之下，系统根据路网情况及实时交通情况，自动或人工选择需要降级协调控制的路口，信号配时方案由系统优化算法软件根据交通情况实时生成，下载给交通信号机实施降级协调控制。</w:t>
            </w:r>
          </w:p>
          <w:p w14:paraId="06DA3D9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无电缆协调控制功能。实施干线协调的路口交通信号机运行在单点工作方式下，交通信号机软件根据预先设置好的相序、配时、相位差等参数，自主进行协调平滑处理，使干线道路实现绿波带的效果。在此控制方式下，交通信号机需选配GPS模块校正信号机内部时钟。</w:t>
            </w:r>
          </w:p>
          <w:p w14:paraId="0DB4CC0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◆（4）单点感应控制功能。交通信号机具有全感应、半感应两种单点感应控制方式。</w:t>
            </w:r>
          </w:p>
          <w:p w14:paraId="317B7E1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全感应控制方式功能。交通信号机工作在全感应控制方式时，每个相位首先执行初始绿长度，在到达截止绿范围内时，判断当前相位所对应的检测器上是否有车辆到达，如果超过门限则增加当前相位的放行时间一个步长，否则，做完当前长度之后，切换到下一个相位；如果在放行的过程中不断有车辆到达，则每次在相位进入截止绿长度范围内后，增加一个步长，直至到达相位的最大绿为止。在此工作方式下，关闭倒计时屏的显示。</w:t>
            </w:r>
          </w:p>
          <w:p w14:paraId="45B4989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半感应控制方式功能。交通信号机工作在半感应控制方式时，在无车辆到达时跳过半感应的相位，只有当半感应相位所在的检测器有车辆到达时，才按照相序运行半感应相位。在此工作方式下，关闭倒计时屏显示。</w:t>
            </w:r>
          </w:p>
          <w:p w14:paraId="6449D3E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◆（7）多时段定周期控制方式功能。信号机在不同的时段执行相应的控制方案。</w:t>
            </w:r>
          </w:p>
          <w:p w14:paraId="49596B2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◆（8）黄闪控制功能。信号灯黄灯以特定的频率闪烁，向车辆和行人发出警告或提示。</w:t>
            </w:r>
          </w:p>
          <w:p w14:paraId="4BB8983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◆（9）全红功能。全红路口各方向均亮红灯。</w:t>
            </w:r>
          </w:p>
          <w:p w14:paraId="29B9B7A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◆（10）关灯功能。关闭信号灯。</w:t>
            </w:r>
          </w:p>
          <w:p w14:paraId="3D074C5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上述控制方式可根据需要进行转换。</w:t>
            </w:r>
          </w:p>
          <w:p w14:paraId="63F5811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2、系统特殊控制功能</w:t>
            </w:r>
          </w:p>
          <w:p w14:paraId="0AAAAD1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◆（1）指定相位控制功能。在指挥中心可人工在线修改系统或路口控制参数，特殊情况下还可人工指定相位控制，强制进行交通疏导。</w:t>
            </w:r>
          </w:p>
          <w:p w14:paraId="735CFB6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◆（2）模拟手动功能。根据路口交通需求，由指挥中心发出命令模拟交通信号机的手动控制方式，进行交通疏导。</w:t>
            </w:r>
          </w:p>
          <w:p w14:paraId="1AC30FA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◆（3）警卫路线控制功能。在特殊情况下，如警卫、消防、救护、抢险等，信号灯按预定的路线进行绿波推进，以保证车辆畅通无阻。绿波线路由指挥中心指挥员预先设置。</w:t>
            </w:r>
          </w:p>
          <w:p w14:paraId="43DB3DE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◆（4）手动功能。在特殊情况下，由路口执勤的交警手动控制交通信号机进行交通疏导，在交通信号机进入手动工作状态时，交警通过手动按钮来调整路口放行状态。</w:t>
            </w:r>
          </w:p>
          <w:p w14:paraId="39CFEAA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◆（5）公交优先功能。根据路口的需求，对公交车专用信号灯进行优先通行设置。</w:t>
            </w:r>
          </w:p>
          <w:p w14:paraId="22725D3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3、其他功能</w:t>
            </w:r>
          </w:p>
          <w:p w14:paraId="2DDBB2F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◆（1）交通信息采集功能。通过车辆检测器对路口每个车道的车流信息进行自动采集、处理和存储，为改善城市交通控制和城市规划提供决策依据。</w:t>
            </w:r>
          </w:p>
          <w:p w14:paraId="44F8E0B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提供对从现场路口传送上来的各类交通流数据进行统计分析的工具；可提供每5分钟到年为单位的查询方式并可以进行报表打印。在GIS地图上可以查看某一个时段整个区域的流量分布情况，可以通过电子地图直观的了解到路口是否处于拥挤状态。能较精确地求取车流量、占有率，评估交通负荷度，建立交通信息管理数据库，打印分析交通信息各类图表。</w:t>
            </w:r>
          </w:p>
          <w:p w14:paraId="0DAB8BE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系统监测功能。对系统设备和软件运行状况和故障进行全面监测和管理。以报表的形式清晰的反映系统操作员的操作记录，系统参数的修改记录，系统登录记录，系统故障及处理记录，系统运行方案的历史记录，交通阻塞报警及处理记录。</w:t>
            </w:r>
          </w:p>
          <w:p w14:paraId="2D2EEBE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遥设信号机参数功能。区域机可以调看、修改和设置信号机参数，具体参数如下：信号机配时方案参数；信号机普通、特殊时段参数；信号机相位配置参数；信号机单点线控参数；信号机感应配置参数；信号机过渡灯色参数；信号机“车辆违法拍照”参数；信号机时间参数。</w:t>
            </w:r>
          </w:p>
          <w:p w14:paraId="3C950ED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系统远程监控与维护功能。可通过PSTN、DDN、ISDN等以远程联网方式注册进入用户系统，实现系统远程故障诊断，系统监控与维护：与本地系统控制台一样，监控系统的运行；调看、设置路口交通信号机控制参数，对系统软件进行诊断、修改和升级。</w:t>
            </w:r>
          </w:p>
          <w:p w14:paraId="7CAA552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◆（6）系统接口开放。</w:t>
            </w:r>
            <w:r>
              <w:rPr>
                <w:rFonts w:hint="eastAsia" w:ascii="Times New Roman" w:hAnsi="Times New Roman" w:eastAsia="宋体" w:cs="Times New Roman"/>
                <w:color w:val="auto"/>
                <w:sz w:val="24"/>
                <w:szCs w:val="24"/>
                <w:highlight w:val="none"/>
                <w:lang w:val="en-US" w:eastAsia="zh-CN" w:bidi="ar-SA"/>
              </w:rPr>
              <w:t>按照采购人需求，能够</w:t>
            </w:r>
            <w:r>
              <w:rPr>
                <w:rFonts w:ascii="Times New Roman" w:hAnsi="Times New Roman" w:eastAsia="宋体" w:cs="Times New Roman"/>
                <w:color w:val="auto"/>
                <w:sz w:val="24"/>
                <w:szCs w:val="24"/>
                <w:highlight w:val="none"/>
                <w:lang w:val="en-US" w:eastAsia="zh-CN" w:bidi="ar-SA"/>
              </w:rPr>
              <w:t>把采集处理的交通流信息、系统主要控制信息等提供给指挥集成等系统使用，可进行二次开发；</w:t>
            </w:r>
          </w:p>
          <w:p w14:paraId="375E7F9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（7）</w:t>
            </w:r>
            <w:r>
              <w:rPr>
                <w:rFonts w:ascii="Times New Roman" w:hAnsi="Times New Roman" w:eastAsia="宋体" w:cs="Times New Roman"/>
                <w:i/>
                <w:iCs/>
                <w:color w:val="auto"/>
                <w:sz w:val="24"/>
                <w:szCs w:val="24"/>
                <w:highlight w:val="none"/>
                <w:u w:val="single"/>
                <w:lang w:val="en-US" w:eastAsia="zh-CN" w:bidi="ar-SA"/>
              </w:rPr>
              <w:t>机动车信号灯、箭头信号灯</w:t>
            </w:r>
            <w:r>
              <w:rPr>
                <w:rFonts w:hint="eastAsia" w:ascii="Times New Roman" w:hAnsi="Times New Roman" w:eastAsia="宋体" w:cs="Times New Roman"/>
                <w:i/>
                <w:iCs/>
                <w:color w:val="auto"/>
                <w:sz w:val="24"/>
                <w:szCs w:val="24"/>
                <w:highlight w:val="none"/>
                <w:u w:val="single"/>
                <w:lang w:val="en-US" w:eastAsia="zh-CN" w:bidi="ar-SA"/>
              </w:rPr>
              <w:t>、非机动车信号灯</w:t>
            </w:r>
            <w:r>
              <w:rPr>
                <w:rFonts w:ascii="Times New Roman" w:hAnsi="Times New Roman" w:eastAsia="宋体" w:cs="Times New Roman"/>
                <w:i/>
                <w:iCs/>
                <w:color w:val="auto"/>
                <w:sz w:val="24"/>
                <w:szCs w:val="24"/>
                <w:highlight w:val="none"/>
                <w:u w:val="single"/>
                <w:lang w:val="en-US" w:eastAsia="zh-CN" w:bidi="ar-SA"/>
              </w:rPr>
              <w:t>总体要求（300mm、400mm）：信号灯具由单灯组合装入外框中形成三联组合，整个三联组合外框可镶嵌安装。适用于长臂灯杆应用场合。单个灯具由面罩、面框、后盖、光源板、电源控制板组成。面框和后盖将灯芯部分密合在其内。有防水、防尘密封胶垫，防止水及灰尘进入，确保信号灯全天候正常使用；</w:t>
            </w:r>
          </w:p>
          <w:p w14:paraId="48A87D3A">
            <w:pPr>
              <w:spacing w:line="440" w:lineRule="exact"/>
              <w:rPr>
                <w:rFonts w:hint="eastAsia"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信号灯由三个分立的发光单元组成，红色、绿色发光单元都采用有配光设计无色面罩，黄色发光单元采用无色透明面罩，透过面罩可见, LED 排列成圆形和“18”字样。</w:t>
            </w:r>
            <w:r>
              <w:rPr>
                <w:rFonts w:hint="eastAsia" w:ascii="Times New Roman" w:hAnsi="Times New Roman" w:eastAsia="宋体" w:cs="Times New Roman"/>
                <w:i/>
                <w:iCs/>
                <w:color w:val="auto"/>
                <w:sz w:val="24"/>
                <w:szCs w:val="24"/>
                <w:highlight w:val="none"/>
                <w:u w:val="single"/>
                <w:lang w:val="en-US" w:eastAsia="zh-CN" w:bidi="ar-SA"/>
              </w:rPr>
              <w:t>采用大功率LED光源（单颗LED功率≥1W），LED 的光衰 L70（光通量维持在初始时 70%时间）指标≥60000 小时.</w:t>
            </w:r>
          </w:p>
          <w:p w14:paraId="73061793">
            <w:pPr>
              <w:spacing w:line="440" w:lineRule="exact"/>
              <w:rPr>
                <w:rFonts w:hint="default"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(8)信号灯</w:t>
            </w:r>
            <w:r>
              <w:rPr>
                <w:rFonts w:ascii="Times New Roman" w:hAnsi="Times New Roman" w:eastAsia="宋体" w:cs="Times New Roman"/>
                <w:color w:val="auto"/>
                <w:sz w:val="24"/>
                <w:szCs w:val="24"/>
                <w:highlight w:val="none"/>
                <w:lang w:val="en-US" w:eastAsia="zh-CN" w:bidi="ar-SA"/>
              </w:rPr>
              <w:t>发光单元采用合理的光学配光设计，透光面罩内含菲涅尔透镜，以达到良好的出光效果，灯面呈面发光特性，没有明显的光点；灯面亮度均匀，灯色目视明亮、清晰不刺眼。</w:t>
            </w:r>
          </w:p>
        </w:tc>
      </w:tr>
      <w:tr w14:paraId="4808E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2D21DF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3D4439F">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9FFD89E">
            <w:pPr>
              <w:spacing w:line="440" w:lineRule="exact"/>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4.1.2 机动车箭头信号灯（300mm）</w:t>
            </w:r>
          </w:p>
          <w:p w14:paraId="31E80FD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1、光强分布：符合GB14887-2011  表2信号灯光强分布。</w:t>
            </w:r>
          </w:p>
          <w:p w14:paraId="72CD766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2、发光强度：符合GB14887-2011  400 cd ≤ 发光中心 ≤1000 cd。</w:t>
            </w:r>
          </w:p>
          <w:p w14:paraId="273C816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3、色坐标：符合GB14887-2011  色度性能表6。</w:t>
            </w:r>
          </w:p>
          <w:p w14:paraId="70EF8D41">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4、红色625±5nm    X=0.6984，Y=0.3014。</w:t>
            </w:r>
          </w:p>
          <w:p w14:paraId="7CC508F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5、黄色590±5nm    X=0.5802，Y=0.4137。</w:t>
            </w:r>
          </w:p>
          <w:p w14:paraId="30ACFA5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6、绿色505±4nm    X=0.0848，Y=0.5739。</w:t>
            </w:r>
          </w:p>
          <w:p w14:paraId="5B18BD8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7、灯面尺寸：不低于Φ300mm。</w:t>
            </w:r>
          </w:p>
          <w:p w14:paraId="4C4474B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8</w:t>
            </w:r>
            <w:r>
              <w:rPr>
                <w:rFonts w:ascii="Times New Roman" w:hAnsi="Times New Roman" w:eastAsia="宋体" w:cs="Times New Roman"/>
                <w:i/>
                <w:iCs/>
                <w:color w:val="auto"/>
                <w:sz w:val="24"/>
                <w:szCs w:val="24"/>
                <w:highlight w:val="none"/>
                <w:u w:val="single"/>
                <w:lang w:val="en-US" w:eastAsia="zh-CN" w:bidi="ar-SA"/>
              </w:rPr>
              <w:t>、功率因数： ≥0.9。</w:t>
            </w:r>
          </w:p>
          <w:p w14:paraId="6DADDE8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p>
          <w:p w14:paraId="1548775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、使用寿命：＞50000h。</w:t>
            </w:r>
          </w:p>
          <w:p w14:paraId="5BDE64F1">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、防水、防尘措施防护等级：不低于IP54。</w:t>
            </w:r>
          </w:p>
          <w:p w14:paraId="1859287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2</w:t>
            </w:r>
            <w:r>
              <w:rPr>
                <w:rFonts w:ascii="Times New Roman" w:hAnsi="Times New Roman" w:eastAsia="宋体" w:cs="Times New Roman"/>
                <w:i/>
                <w:iCs/>
                <w:color w:val="auto"/>
                <w:sz w:val="24"/>
                <w:szCs w:val="24"/>
                <w:highlight w:val="none"/>
                <w:u w:val="single"/>
                <w:lang w:val="en-US" w:eastAsia="zh-CN" w:bidi="ar-SA"/>
              </w:rPr>
              <w:t>、外壳材质：聚碳酸酯(PC)工程塑料。</w:t>
            </w:r>
          </w:p>
        </w:tc>
      </w:tr>
      <w:tr w14:paraId="7E7F62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65C8AC8">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59A3FD0">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915E85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4.1.3 机动车圆盘信号灯（300mm）</w:t>
            </w:r>
          </w:p>
          <w:p w14:paraId="31F660B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1、光强分布：符合GB14887-2011  表2信号灯光强分布。</w:t>
            </w:r>
          </w:p>
          <w:p w14:paraId="615746E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2、发光强度：符合GB14887-2011  400 cd ≤ 发光中心 ≤1000 cd。</w:t>
            </w:r>
          </w:p>
          <w:p w14:paraId="0E446FD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3、色坐标：符合GB14887-2011  色度性能表6。</w:t>
            </w:r>
          </w:p>
          <w:p w14:paraId="0C65D3C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4、红色625±5nm    X=0.6984，Y=0.3014。</w:t>
            </w:r>
          </w:p>
          <w:p w14:paraId="4330126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5、黄色590±5nm    X=0.5802，Y=0.4137。</w:t>
            </w:r>
          </w:p>
          <w:p w14:paraId="2CA4C931">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6、绿色505±4nm    X=0.0848，Y=0.5739。</w:t>
            </w:r>
          </w:p>
          <w:p w14:paraId="072E149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7、灯面尺寸：不低于Φ300mm。</w:t>
            </w:r>
          </w:p>
          <w:p w14:paraId="1B9949B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8</w:t>
            </w:r>
            <w:r>
              <w:rPr>
                <w:rFonts w:ascii="Times New Roman" w:hAnsi="Times New Roman" w:eastAsia="宋体" w:cs="Times New Roman"/>
                <w:i/>
                <w:iCs/>
                <w:color w:val="auto"/>
                <w:sz w:val="24"/>
                <w:szCs w:val="24"/>
                <w:highlight w:val="none"/>
                <w:u w:val="single"/>
                <w:lang w:val="en-US" w:eastAsia="zh-CN" w:bidi="ar-SA"/>
              </w:rPr>
              <w:t>、功率因数： ≥0.96。</w:t>
            </w:r>
          </w:p>
          <w:p w14:paraId="547F0CE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p>
          <w:p w14:paraId="62E2CAD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、使用寿命：＞50000h。</w:t>
            </w:r>
          </w:p>
          <w:p w14:paraId="0FCF2C6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、防水、防尘措施防护等级：不低于IP54。</w:t>
            </w:r>
          </w:p>
          <w:p w14:paraId="4E04CF3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2</w:t>
            </w:r>
            <w:r>
              <w:rPr>
                <w:rFonts w:ascii="Times New Roman" w:hAnsi="Times New Roman" w:eastAsia="宋体" w:cs="Times New Roman"/>
                <w:i/>
                <w:iCs/>
                <w:color w:val="auto"/>
                <w:sz w:val="24"/>
                <w:szCs w:val="24"/>
                <w:highlight w:val="none"/>
                <w:u w:val="single"/>
                <w:lang w:val="en-US" w:eastAsia="zh-CN" w:bidi="ar-SA"/>
              </w:rPr>
              <w:t>、外壳材质：聚碳酸酯(PC)工程塑料。</w:t>
            </w:r>
          </w:p>
        </w:tc>
      </w:tr>
      <w:tr w14:paraId="5D30B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3FCE990">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681B1886">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3EC5D26">
            <w:pPr>
              <w:spacing w:line="440" w:lineRule="exact"/>
              <w:rPr>
                <w:rFonts w:hint="default" w:ascii="Times New Roman" w:hAnsi="Times New Roman" w:eastAsia="宋体" w:cs="Times New Roman"/>
                <w:b w:val="0"/>
                <w:bCs w:val="0"/>
                <w:color w:val="auto"/>
                <w:sz w:val="24"/>
                <w:highlight w:val="none"/>
              </w:rPr>
            </w:pPr>
            <w:r>
              <w:rPr>
                <w:rFonts w:hint="default" w:ascii="Times New Roman" w:hAnsi="Times New Roman" w:eastAsia="宋体" w:cs="Times New Roman"/>
                <w:b w:val="0"/>
                <w:bCs w:val="0"/>
                <w:color w:val="auto"/>
                <w:sz w:val="24"/>
                <w:highlight w:val="none"/>
              </w:rPr>
              <w:t>4.1.4 机动车箭头信号灯（400mm）</w:t>
            </w:r>
          </w:p>
          <w:p w14:paraId="6933FF09">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1、光强分布：符合GB14887-2011  表2信号灯光强分布。</w:t>
            </w:r>
          </w:p>
          <w:p w14:paraId="55668DF8">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2、发光强度：符合GB14887-2011 400 cd ≤ 发光中心 ≤1000 cd。</w:t>
            </w:r>
          </w:p>
          <w:p w14:paraId="7EBCED0B">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3、色坐标：符合GB14887-2011  色度性能表6。</w:t>
            </w:r>
          </w:p>
          <w:p w14:paraId="755DFB8F">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4、红色625±5nm    X=0.6984，Y=0.3014。</w:t>
            </w:r>
          </w:p>
          <w:p w14:paraId="22BE80D6">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5、黄色590±5nm    X=0.5802，Y=0.4137。</w:t>
            </w:r>
          </w:p>
          <w:p w14:paraId="641D95B4">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6、绿色505±4nm    X=0.0848，Y=0.5739。</w:t>
            </w:r>
          </w:p>
          <w:p w14:paraId="51663573">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7、灯面尺寸：不低于Φ400mm。</w:t>
            </w:r>
          </w:p>
          <w:p w14:paraId="59558C64">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8、功率因数： ≥0.96。</w:t>
            </w:r>
          </w:p>
          <w:p w14:paraId="2E9B3FE2">
            <w:pPr>
              <w:spacing w:line="440" w:lineRule="exact"/>
              <w:rPr>
                <w:rFonts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b w:val="0"/>
                <w:bCs w:val="0"/>
                <w:color w:val="auto"/>
                <w:sz w:val="24"/>
                <w:szCs w:val="24"/>
                <w:highlight w:val="none"/>
                <w:lang w:val="en-US" w:eastAsia="zh-CN" w:bidi="ar-SA"/>
              </w:rPr>
              <w:t>◆</w:t>
            </w:r>
            <w:r>
              <w:rPr>
                <w:rFonts w:hint="eastAsia" w:ascii="Times New Roman" w:hAnsi="Times New Roman" w:eastAsia="宋体" w:cs="Times New Roman"/>
                <w:b w:val="0"/>
                <w:bCs w:val="0"/>
                <w:color w:val="auto"/>
                <w:sz w:val="24"/>
                <w:szCs w:val="24"/>
                <w:highlight w:val="none"/>
                <w:lang w:val="en-US" w:eastAsia="zh-CN" w:bidi="ar-SA"/>
              </w:rPr>
              <w:t>9</w:t>
            </w:r>
            <w:r>
              <w:rPr>
                <w:rFonts w:ascii="Times New Roman" w:hAnsi="Times New Roman" w:eastAsia="宋体" w:cs="Times New Roman"/>
                <w:b w:val="0"/>
                <w:bCs w:val="0"/>
                <w:color w:val="auto"/>
                <w:sz w:val="24"/>
                <w:szCs w:val="24"/>
                <w:highlight w:val="none"/>
                <w:lang w:val="en-US" w:eastAsia="zh-CN" w:bidi="ar-SA"/>
              </w:rPr>
              <w:t>、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p>
          <w:p w14:paraId="2E50FF8B">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1</w:t>
            </w:r>
            <w:r>
              <w:rPr>
                <w:rFonts w:hint="eastAsia" w:ascii="Times New Roman" w:hAnsi="Times New Roman" w:eastAsia="宋体" w:cs="Times New Roman"/>
                <w:b w:val="0"/>
                <w:bCs w:val="0"/>
                <w:i/>
                <w:iCs/>
                <w:color w:val="auto"/>
                <w:sz w:val="24"/>
                <w:szCs w:val="24"/>
                <w:highlight w:val="none"/>
                <w:u w:val="single"/>
                <w:lang w:val="en-US" w:eastAsia="zh-CN" w:bidi="ar-SA"/>
              </w:rPr>
              <w:t>0</w:t>
            </w:r>
            <w:r>
              <w:rPr>
                <w:rFonts w:ascii="Times New Roman" w:hAnsi="Times New Roman" w:eastAsia="宋体" w:cs="Times New Roman"/>
                <w:b w:val="0"/>
                <w:bCs w:val="0"/>
                <w:i/>
                <w:iCs/>
                <w:color w:val="auto"/>
                <w:sz w:val="24"/>
                <w:szCs w:val="24"/>
                <w:highlight w:val="none"/>
                <w:u w:val="single"/>
                <w:lang w:val="en-US" w:eastAsia="zh-CN" w:bidi="ar-SA"/>
              </w:rPr>
              <w:t>、使用寿命：＞50000h。</w:t>
            </w:r>
          </w:p>
          <w:p w14:paraId="77492FED">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1</w:t>
            </w:r>
            <w:r>
              <w:rPr>
                <w:rFonts w:hint="eastAsia" w:ascii="Times New Roman" w:hAnsi="Times New Roman" w:eastAsia="宋体" w:cs="Times New Roman"/>
                <w:b w:val="0"/>
                <w:bCs w:val="0"/>
                <w:i/>
                <w:iCs/>
                <w:color w:val="auto"/>
                <w:sz w:val="24"/>
                <w:szCs w:val="24"/>
                <w:highlight w:val="none"/>
                <w:u w:val="single"/>
                <w:lang w:val="en-US" w:eastAsia="zh-CN" w:bidi="ar-SA"/>
              </w:rPr>
              <w:t>1</w:t>
            </w:r>
            <w:r>
              <w:rPr>
                <w:rFonts w:ascii="Times New Roman" w:hAnsi="Times New Roman" w:eastAsia="宋体" w:cs="Times New Roman"/>
                <w:b w:val="0"/>
                <w:bCs w:val="0"/>
                <w:i/>
                <w:iCs/>
                <w:color w:val="auto"/>
                <w:sz w:val="24"/>
                <w:szCs w:val="24"/>
                <w:highlight w:val="none"/>
                <w:u w:val="single"/>
                <w:lang w:val="en-US" w:eastAsia="zh-CN" w:bidi="ar-SA"/>
              </w:rPr>
              <w:t>、防水、防尘措施防护等级：不低于IP54。</w:t>
            </w:r>
          </w:p>
          <w:p w14:paraId="412A2E48">
            <w:pPr>
              <w:spacing w:line="440" w:lineRule="exact"/>
              <w:rPr>
                <w:rFonts w:ascii="Times New Roman" w:hAnsi="Times New Roman" w:eastAsia="宋体" w:cs="Times New Roman"/>
                <w:b w:val="0"/>
                <w:bCs w:val="0"/>
                <w:i/>
                <w:iCs/>
                <w:color w:val="auto"/>
                <w:sz w:val="24"/>
                <w:szCs w:val="24"/>
                <w:highlight w:val="none"/>
                <w:u w:val="single"/>
                <w:lang w:val="en-US" w:eastAsia="zh-CN" w:bidi="ar-SA"/>
              </w:rPr>
            </w:pPr>
            <w:r>
              <w:rPr>
                <w:rFonts w:ascii="Times New Roman" w:hAnsi="Times New Roman" w:eastAsia="宋体" w:cs="Times New Roman"/>
                <w:b w:val="0"/>
                <w:bCs w:val="0"/>
                <w:i/>
                <w:iCs/>
                <w:color w:val="auto"/>
                <w:sz w:val="24"/>
                <w:szCs w:val="24"/>
                <w:highlight w:val="none"/>
                <w:u w:val="single"/>
                <w:lang w:val="en-US" w:eastAsia="zh-CN" w:bidi="ar-SA"/>
              </w:rPr>
              <w:t>1</w:t>
            </w:r>
            <w:r>
              <w:rPr>
                <w:rFonts w:hint="eastAsia" w:ascii="Times New Roman" w:hAnsi="Times New Roman" w:eastAsia="宋体" w:cs="Times New Roman"/>
                <w:b w:val="0"/>
                <w:bCs w:val="0"/>
                <w:i/>
                <w:iCs/>
                <w:color w:val="auto"/>
                <w:sz w:val="24"/>
                <w:szCs w:val="24"/>
                <w:highlight w:val="none"/>
                <w:u w:val="single"/>
                <w:lang w:val="en-US" w:eastAsia="zh-CN" w:bidi="ar-SA"/>
              </w:rPr>
              <w:t>2</w:t>
            </w:r>
            <w:r>
              <w:rPr>
                <w:rFonts w:ascii="Times New Roman" w:hAnsi="Times New Roman" w:eastAsia="宋体" w:cs="Times New Roman"/>
                <w:b w:val="0"/>
                <w:bCs w:val="0"/>
                <w:i/>
                <w:iCs/>
                <w:color w:val="auto"/>
                <w:sz w:val="24"/>
                <w:szCs w:val="24"/>
                <w:highlight w:val="none"/>
                <w:u w:val="single"/>
                <w:lang w:val="en-US" w:eastAsia="zh-CN" w:bidi="ar-SA"/>
              </w:rPr>
              <w:t>、外壳材质：聚碳酸酯(PC)工程塑料。</w:t>
            </w:r>
          </w:p>
          <w:p w14:paraId="3A846245">
            <w:pPr>
              <w:spacing w:line="440" w:lineRule="exact"/>
              <w:rPr>
                <w:rFonts w:hint="default" w:ascii="Times New Roman" w:hAnsi="Times New Roman" w:eastAsia="宋体" w:cs="Times New Roman"/>
                <w:b w:val="0"/>
                <w:bCs w:val="0"/>
                <w:i/>
                <w:iCs/>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Times New Roman" w:hAnsi="Times New Roman" w:eastAsia="宋体" w:cs="Times New Roman"/>
                <w:b/>
                <w:bCs/>
                <w:color w:val="auto"/>
                <w:sz w:val="24"/>
                <w:szCs w:val="24"/>
                <w:highlight w:val="none"/>
                <w:lang w:val="en-US" w:eastAsia="zh-CN" w:bidi="ar-SA"/>
              </w:rPr>
              <w:t>13、</w:t>
            </w:r>
            <w:r>
              <w:rPr>
                <w:rFonts w:hint="eastAsia" w:ascii="Times New Roman" w:hAnsi="Times New Roman" w:eastAsia="宋体" w:cs="Times New Roman"/>
                <w:b/>
                <w:bCs/>
                <w:color w:val="auto"/>
                <w:sz w:val="24"/>
                <w:szCs w:val="24"/>
                <w:highlight w:val="none"/>
                <w:u w:val="none"/>
                <w:lang w:val="en-US" w:eastAsia="zh-CN" w:bidi="ar-SA"/>
              </w:rPr>
              <w:t>箭头信号灯基准轴上的发光亮度最大值与最小值之比不大于1</w:t>
            </w:r>
            <w:r>
              <w:rPr>
                <w:rFonts w:hint="eastAsia" w:ascii="Times New Roman" w:hAnsi="Times New Roman" w:cs="Times New Roman"/>
                <w:b/>
                <w:bCs/>
                <w:color w:val="auto"/>
                <w:sz w:val="24"/>
                <w:szCs w:val="24"/>
                <w:highlight w:val="none"/>
                <w:u w:val="none"/>
                <w:lang w:val="en-US" w:eastAsia="zh-CN" w:bidi="ar-SA"/>
              </w:rPr>
              <w:t>.1</w:t>
            </w:r>
            <w:r>
              <w:rPr>
                <w:rFonts w:hint="eastAsia" w:ascii="Times New Roman" w:hAnsi="Times New Roman" w:eastAsia="宋体" w:cs="Times New Roman"/>
                <w:b/>
                <w:bCs/>
                <w:color w:val="auto"/>
                <w:sz w:val="24"/>
                <w:szCs w:val="24"/>
                <w:highlight w:val="none"/>
                <w:u w:val="none"/>
                <w:lang w:val="en-US" w:eastAsia="zh-CN" w:bidi="ar-SA"/>
              </w:rPr>
              <w:t>（投标时须在响应文件中提供第三方检测机构出具的合格检验报告或功能截图等相关证明材料）</w:t>
            </w:r>
          </w:p>
        </w:tc>
      </w:tr>
      <w:tr w14:paraId="413B0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905D1F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108C955">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0EFF464">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4.1.5 机动车圆盘信号灯（400mm）</w:t>
            </w:r>
          </w:p>
          <w:p w14:paraId="607EF53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1、光强分布：符合GB14887-2011  表2信号灯光强分布。</w:t>
            </w:r>
          </w:p>
          <w:p w14:paraId="51CAA49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2、发光强度：符合GB14887-2011  400 cd ≤ 发光中心 ≤1000 cd。</w:t>
            </w:r>
          </w:p>
          <w:p w14:paraId="5175857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3、色坐标：符合GB14887-2011  色度性能表6。</w:t>
            </w:r>
          </w:p>
          <w:p w14:paraId="46FD6AE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4、红色625±5nm    X=0.6984，Y=0.3014。</w:t>
            </w:r>
          </w:p>
          <w:p w14:paraId="6F026B8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5、黄色590±5nm    X=0.5802，Y=0.4137。</w:t>
            </w:r>
          </w:p>
          <w:p w14:paraId="2D569F7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6、绿色505±4nm    X=0.0848，Y=0.5739。</w:t>
            </w:r>
          </w:p>
          <w:p w14:paraId="577951A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7、灯面尺寸：不低于Φ400mm， LED灯珠颗数：红色≤7颗，黄色≤7颗，绿色≤7颗。</w:t>
            </w:r>
          </w:p>
          <w:p w14:paraId="441E8680">
            <w:pPr>
              <w:spacing w:line="440" w:lineRule="exact"/>
              <w:rPr>
                <w:rFonts w:ascii="Times New Roman" w:hAnsi="Times New Roman" w:eastAsia="宋体" w:cs="Times New Roman"/>
                <w:i w:val="0"/>
                <w:iCs w:val="0"/>
                <w:color w:val="auto"/>
                <w:sz w:val="24"/>
                <w:szCs w:val="24"/>
                <w:highlight w:val="none"/>
                <w:u w:val="none"/>
                <w:lang w:val="en-US" w:eastAsia="zh-CN" w:bidi="ar-SA"/>
              </w:rPr>
            </w:pPr>
            <w:r>
              <w:rPr>
                <w:rFonts w:ascii="Times New Roman" w:hAnsi="Times New Roman" w:eastAsia="宋体" w:cs="Times New Roman"/>
                <w:i w:val="0"/>
                <w:iCs w:val="0"/>
                <w:color w:val="auto"/>
                <w:sz w:val="24"/>
                <w:szCs w:val="24"/>
                <w:highlight w:val="none"/>
                <w:u w:val="none"/>
                <w:lang w:val="en-US" w:eastAsia="zh-CN" w:bidi="ar-SA"/>
              </w:rPr>
              <w:t>◆</w:t>
            </w:r>
            <w:r>
              <w:rPr>
                <w:rFonts w:hint="eastAsia" w:ascii="Times New Roman" w:hAnsi="Times New Roman" w:eastAsia="宋体" w:cs="Times New Roman"/>
                <w:i w:val="0"/>
                <w:iCs w:val="0"/>
                <w:color w:val="auto"/>
                <w:sz w:val="24"/>
                <w:szCs w:val="24"/>
                <w:highlight w:val="none"/>
                <w:u w:val="none"/>
                <w:lang w:val="en-US" w:eastAsia="zh-CN" w:bidi="ar-SA"/>
              </w:rPr>
              <w:t>8、</w:t>
            </w:r>
            <w:r>
              <w:rPr>
                <w:rFonts w:ascii="Times New Roman" w:hAnsi="Times New Roman" w:eastAsia="宋体" w:cs="Times New Roman"/>
                <w:i w:val="0"/>
                <w:iCs w:val="0"/>
                <w:color w:val="auto"/>
                <w:sz w:val="24"/>
                <w:szCs w:val="24"/>
                <w:highlight w:val="none"/>
                <w:u w:val="none"/>
                <w:lang w:val="en-US" w:eastAsia="zh-CN" w:bidi="ar-SA"/>
              </w:rPr>
              <w:t>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p>
          <w:p w14:paraId="0539B142">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、使用寿命：＞50000h。</w:t>
            </w:r>
          </w:p>
          <w:p w14:paraId="5B2530A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、防水、防尘措施防护等级：不低于IP54。</w:t>
            </w:r>
          </w:p>
          <w:p w14:paraId="56D4180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、外壳材质：聚碳酸酯(PC)工程塑料。</w:t>
            </w:r>
          </w:p>
          <w:p w14:paraId="5F8DB60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12</w:t>
            </w:r>
            <w:r>
              <w:rPr>
                <w:rFonts w:ascii="Times New Roman" w:hAnsi="Times New Roman" w:eastAsia="宋体" w:cs="Times New Roman"/>
                <w:i/>
                <w:iCs/>
                <w:color w:val="auto"/>
                <w:sz w:val="24"/>
                <w:szCs w:val="24"/>
                <w:highlight w:val="none"/>
                <w:u w:val="single"/>
                <w:lang w:val="en-US" w:eastAsia="zh-CN" w:bidi="ar-SA"/>
              </w:rPr>
              <w:t>、功率： ≤</w:t>
            </w:r>
            <w:r>
              <w:rPr>
                <w:rFonts w:hint="eastAsia" w:ascii="Times New Roman" w:hAnsi="Times New Roman" w:eastAsia="宋体" w:cs="Times New Roman"/>
                <w:i/>
                <w:iCs/>
                <w:color w:val="auto"/>
                <w:sz w:val="24"/>
                <w:szCs w:val="24"/>
                <w:highlight w:val="none"/>
                <w:u w:val="single"/>
                <w:lang w:val="en-US" w:eastAsia="zh-CN" w:bidi="ar-SA"/>
              </w:rPr>
              <w:t>20</w:t>
            </w:r>
            <w:r>
              <w:rPr>
                <w:rFonts w:ascii="Times New Roman" w:hAnsi="Times New Roman" w:eastAsia="宋体" w:cs="Times New Roman"/>
                <w:i/>
                <w:iCs/>
                <w:color w:val="auto"/>
                <w:sz w:val="24"/>
                <w:szCs w:val="24"/>
                <w:highlight w:val="none"/>
                <w:u w:val="single"/>
                <w:lang w:val="en-US" w:eastAsia="zh-CN" w:bidi="ar-SA"/>
              </w:rPr>
              <w:t>W  功率因数：≥0.96。</w:t>
            </w:r>
          </w:p>
        </w:tc>
      </w:tr>
      <w:tr w14:paraId="6D145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B9AD123">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58D28B3">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E7846EE">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4.1.6 人行信号灯</w:t>
            </w:r>
          </w:p>
          <w:p w14:paraId="4E640941">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1、二联铝合金整灯，上联为红色站立人形与绿色双8倒计时复合，下联为绿色行走人形。</w:t>
            </w:r>
          </w:p>
          <w:p w14:paraId="046D7E3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2、灯面尺寸：不低于Φ300mm。</w:t>
            </w:r>
          </w:p>
          <w:p w14:paraId="31DF884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3、显示尺寸：红人、绿人高度≥280mm；倒计时字高≥220mm。</w:t>
            </w:r>
          </w:p>
          <w:p w14:paraId="6BE8508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4、光强：符合GB14887-2011的5.2.2.2光强要求，具体表格详见其他部分。</w:t>
            </w:r>
          </w:p>
          <w:p w14:paraId="50AFE8E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5、色度：符合GB14887-2011表6的相关标准。</w:t>
            </w:r>
          </w:p>
          <w:p w14:paraId="78FE3761">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6</w:t>
            </w:r>
            <w:r>
              <w:rPr>
                <w:rFonts w:ascii="Times New Roman" w:hAnsi="Times New Roman" w:eastAsia="宋体" w:cs="Times New Roman"/>
                <w:i/>
                <w:iCs/>
                <w:color w:val="auto"/>
                <w:sz w:val="24"/>
                <w:szCs w:val="24"/>
                <w:highlight w:val="none"/>
                <w:u w:val="single"/>
                <w:lang w:val="en-US" w:eastAsia="zh-CN" w:bidi="ar-SA"/>
              </w:rPr>
              <w:t>、功率：小于12W，功率因数≥0.90，采用开关电源。</w:t>
            </w:r>
          </w:p>
          <w:p w14:paraId="59AF9B83">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7</w:t>
            </w:r>
            <w:r>
              <w:rPr>
                <w:rFonts w:ascii="Times New Roman" w:hAnsi="Times New Roman" w:eastAsia="宋体" w:cs="Times New Roman"/>
                <w:color w:val="auto"/>
                <w:sz w:val="24"/>
                <w:szCs w:val="24"/>
                <w:highlight w:val="none"/>
                <w:lang w:val="en-US" w:eastAsia="zh-CN" w:bidi="ar-SA"/>
              </w:rPr>
              <w:t>、计时方式：绿灯闪烁时显示“倒计时”，红灯不显示“倒计时”；“倒计时”显示时间范围0-99，“倒计时”结束时显示数字为“1”。</w:t>
            </w:r>
          </w:p>
          <w:p w14:paraId="7DC06647">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、计时方向设置：可通过外部开关设置每个灯的地址，与信号机配合，对相应方向的人行灯时间计时。</w:t>
            </w:r>
          </w:p>
          <w:p w14:paraId="227776A6">
            <w:pPr>
              <w:spacing w:line="440" w:lineRule="exact"/>
              <w:rPr>
                <w:rFonts w:ascii="Times New Roman" w:hAnsi="Times New Roman" w:eastAsia="Times New Roman"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、使用寿命：大于50000h。</w:t>
            </w:r>
          </w:p>
        </w:tc>
      </w:tr>
      <w:tr w14:paraId="31448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C97E32B">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EC30F8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5EF04BE">
            <w:pPr>
              <w:spacing w:line="440" w:lineRule="exact"/>
              <w:rPr>
                <w:rFonts w:hint="default" w:eastAsia="宋体" w:cs="Times New Roman"/>
                <w:color w:val="auto"/>
                <w:sz w:val="24"/>
                <w:szCs w:val="24"/>
              </w:rPr>
            </w:pPr>
            <w:r>
              <w:rPr>
                <w:rFonts w:hint="default" w:ascii="Times New Roman" w:hAnsi="Times New Roman" w:eastAsia="宋体" w:cs="Times New Roman"/>
                <w:color w:val="auto"/>
                <w:sz w:val="24"/>
                <w:szCs w:val="24"/>
                <w:highlight w:val="none"/>
              </w:rPr>
              <w:t>4.1.7 非机动车信号灯</w:t>
            </w:r>
          </w:p>
          <w:p w14:paraId="64E62FB0">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1）非机动车信号灯（400mm）</w:t>
            </w:r>
          </w:p>
          <w:p w14:paraId="4BEFE3BD">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非机动车信号灯采用发光二极管（LED）为光源的信号灯，发光单元透面光尺寸为Ф400，绿灯采用静止图案，外壳采用聚酸碳脂工程塑料，黑色亚光喷塑防护，遮光防护罩，在非机动车信号灯黄色发光单元内嵌“一位半”半程倒计时装置，显示红灯和绿灯相位的最后时间。含安装支架及配件。</w:t>
            </w:r>
          </w:p>
          <w:p w14:paraId="461E0FE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具体要求：</w:t>
            </w:r>
          </w:p>
          <w:p w14:paraId="349D2B1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1、亮度分布：符合GB14887-2011表3信号灯亮度分布。</w:t>
            </w:r>
          </w:p>
          <w:p w14:paraId="7EF2507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2、色坐标：符合GB14887-2011  色度性能表6。</w:t>
            </w:r>
          </w:p>
          <w:p w14:paraId="1EE6F6E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3、红色625±5nm    X=0.6984，Y=0.3014。</w:t>
            </w:r>
          </w:p>
          <w:p w14:paraId="1435EDE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4、黄色590±5nm    X=0.5802，Y=0.4137。</w:t>
            </w:r>
          </w:p>
          <w:p w14:paraId="5EAD9F1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5、绿色505±4nm    X=0.0848，Y=0.5739。</w:t>
            </w:r>
          </w:p>
          <w:p w14:paraId="1554C9E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6、灯面尺寸：不小于Φ400mm。</w:t>
            </w:r>
          </w:p>
          <w:p w14:paraId="26CF2AD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7、功率因数： ≥0.9。</w:t>
            </w:r>
          </w:p>
          <w:p w14:paraId="1A8C4F96">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p>
          <w:p w14:paraId="0153513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、使用寿命：＞50000h。</w:t>
            </w:r>
          </w:p>
          <w:p w14:paraId="247DF14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、防水、防尘措施防护等级：不低于IP54。</w:t>
            </w:r>
          </w:p>
          <w:p w14:paraId="2141087A">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、外壳材质：聚碳酸酯(PC)工程塑料。</w:t>
            </w:r>
          </w:p>
          <w:p w14:paraId="30B2A44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非机动车</w:t>
            </w:r>
            <w:r>
              <w:rPr>
                <w:rFonts w:hint="eastAsia" w:ascii="Times New Roman" w:hAnsi="Times New Roman" w:eastAsia="宋体" w:cs="Times New Roman"/>
                <w:color w:val="auto"/>
                <w:sz w:val="24"/>
                <w:szCs w:val="24"/>
                <w:highlight w:val="none"/>
                <w:lang w:val="en-US" w:eastAsia="zh-CN" w:bidi="ar-SA"/>
              </w:rPr>
              <w:t>左转</w:t>
            </w:r>
            <w:r>
              <w:rPr>
                <w:rFonts w:ascii="Times New Roman" w:hAnsi="Times New Roman" w:eastAsia="宋体" w:cs="Times New Roman"/>
                <w:color w:val="auto"/>
                <w:sz w:val="24"/>
                <w:szCs w:val="24"/>
                <w:highlight w:val="none"/>
                <w:lang w:val="en-US" w:eastAsia="zh-CN" w:bidi="ar-SA"/>
              </w:rPr>
              <w:t>信号灯</w:t>
            </w:r>
            <w:r>
              <w:rPr>
                <w:rFonts w:hint="eastAsia" w:ascii="Times New Roman" w:hAnsi="Times New Roman" w:eastAsia="宋体" w:cs="Times New Roman"/>
                <w:color w:val="auto"/>
                <w:sz w:val="24"/>
                <w:szCs w:val="24"/>
                <w:highlight w:val="none"/>
                <w:lang w:val="en-US" w:eastAsia="zh-CN" w:bidi="ar-SA"/>
              </w:rPr>
              <w:t>（400mm）</w:t>
            </w:r>
          </w:p>
          <w:p w14:paraId="348EBF40">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采用发光二极管（LED）为光源的信号灯，发光单元透面光尺寸为Ф400，绿灯采用静止图案，外壳采用聚酸碳脂工程塑料，黑色亚光喷塑防护，遮光防护罩，在左转非机动车信号灯黄色发光单元内嵌“一位半”半程倒计时装置，显示红灯和绿灯相位的最后时间。含安装支架及配件。具体要求：</w:t>
            </w:r>
          </w:p>
          <w:p w14:paraId="0625A711">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1、亮度分布：符合GB14887-2011表3信号灯亮度分布。</w:t>
            </w:r>
          </w:p>
          <w:p w14:paraId="74127A44">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2、色坐标：符合GB14887-2011  色度性能表6。</w:t>
            </w:r>
          </w:p>
          <w:p w14:paraId="691249D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3、红色625±5nm    X=0.6984，Y=0.3014。</w:t>
            </w:r>
          </w:p>
          <w:p w14:paraId="4A982FB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4、黄色590±5nm    X=0.5802，Y=0.4137。</w:t>
            </w:r>
          </w:p>
          <w:p w14:paraId="4E37AE0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5、绿色505±4nm    X=0.0848，Y=0.5739。</w:t>
            </w:r>
          </w:p>
          <w:p w14:paraId="2889715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6、灯面尺寸：不小于Φ400mm。</w:t>
            </w:r>
          </w:p>
          <w:p w14:paraId="6F7A787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7、功率因数： ≥0.9。</w:t>
            </w:r>
          </w:p>
          <w:p w14:paraId="3FA844C5">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p>
          <w:p w14:paraId="08F94DC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、使用寿命：＞50000h。</w:t>
            </w:r>
          </w:p>
          <w:p w14:paraId="76F1BEA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、防水、防尘措施防护等级：不低于IP54。</w:t>
            </w:r>
          </w:p>
          <w:p w14:paraId="597ABEB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、外壳材质：聚碳酸酯(PC)工程塑料。</w:t>
            </w:r>
          </w:p>
          <w:p w14:paraId="76A6254C">
            <w:pPr>
              <w:widowControl w:val="0"/>
              <w:spacing w:line="480" w:lineRule="atLeast"/>
              <w:ind w:left="0" w:leftChars="0" w:firstLine="0" w:firstLineChars="0"/>
              <w:jc w:val="both"/>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3）</w:t>
            </w:r>
            <w:r>
              <w:rPr>
                <w:rFonts w:ascii="Times New Roman" w:hAnsi="Times New Roman" w:eastAsia="宋体" w:cs="Times New Roman"/>
                <w:b/>
                <w:bCs/>
                <w:color w:val="auto"/>
                <w:sz w:val="24"/>
                <w:szCs w:val="24"/>
                <w:highlight w:val="none"/>
                <w:lang w:val="en-US" w:eastAsia="zh-CN" w:bidi="ar-SA"/>
              </w:rPr>
              <w:t>非机动车信号灯</w:t>
            </w:r>
            <w:r>
              <w:rPr>
                <w:rFonts w:hint="eastAsia" w:ascii="Times New Roman" w:hAnsi="Times New Roman" w:eastAsia="宋体" w:cs="Times New Roman"/>
                <w:b/>
                <w:bCs/>
                <w:color w:val="auto"/>
                <w:sz w:val="24"/>
                <w:szCs w:val="24"/>
                <w:highlight w:val="none"/>
                <w:lang w:val="en-US" w:eastAsia="zh-CN" w:bidi="ar-SA"/>
              </w:rPr>
              <w:t>（300mm）</w:t>
            </w:r>
          </w:p>
          <w:p w14:paraId="7D472F01">
            <w:pPr>
              <w:spacing w:line="440" w:lineRule="exact"/>
              <w:rPr>
                <w:rFonts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b w:val="0"/>
                <w:bCs w:val="0"/>
                <w:color w:val="auto"/>
                <w:sz w:val="24"/>
                <w:szCs w:val="24"/>
                <w:highlight w:val="none"/>
                <w:lang w:val="en-US" w:eastAsia="zh-CN" w:bidi="ar-SA"/>
              </w:rPr>
              <w:t>◆非机动车信号灯采用发光二极管（LED）为光源的信号灯，发光单元透面光尺寸为Ф</w:t>
            </w:r>
            <w:r>
              <w:rPr>
                <w:rFonts w:hint="eastAsia" w:ascii="Times New Roman" w:hAnsi="Times New Roman" w:eastAsia="宋体" w:cs="Times New Roman"/>
                <w:b w:val="0"/>
                <w:bCs w:val="0"/>
                <w:color w:val="auto"/>
                <w:sz w:val="24"/>
                <w:szCs w:val="24"/>
                <w:highlight w:val="none"/>
                <w:lang w:val="en-US" w:eastAsia="zh-CN" w:bidi="ar-SA"/>
              </w:rPr>
              <w:t>3</w:t>
            </w:r>
            <w:r>
              <w:rPr>
                <w:rFonts w:ascii="Times New Roman" w:hAnsi="Times New Roman" w:eastAsia="宋体" w:cs="Times New Roman"/>
                <w:b w:val="0"/>
                <w:bCs w:val="0"/>
                <w:color w:val="auto"/>
                <w:sz w:val="24"/>
                <w:szCs w:val="24"/>
                <w:highlight w:val="none"/>
                <w:lang w:val="en-US" w:eastAsia="zh-CN" w:bidi="ar-SA"/>
              </w:rPr>
              <w:t>00，绿灯采用静止图案，外壳采用聚酸碳脂工程塑料，黑色亚光喷塑防护，遮光防护罩，在非机动车信号灯黄色发光单元内嵌“一位半”半程倒计时装置，显示红灯和绿灯相位的最后时间。含安装支架及配件。具体要求：</w:t>
            </w:r>
          </w:p>
          <w:p w14:paraId="1FCA1FC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1、亮度分布：符合GB14887-2011表3信号灯亮度分布。</w:t>
            </w:r>
          </w:p>
          <w:p w14:paraId="05E590E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2、色坐标：符合GB14887-2011  色度性能表6。</w:t>
            </w:r>
          </w:p>
          <w:p w14:paraId="56EF69F1">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3、红色625±5nm    X=0.6984，Y=0.3014。</w:t>
            </w:r>
          </w:p>
          <w:p w14:paraId="25DEAEF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4、黄色590±5nm    X=0.5802，Y=0.4137。</w:t>
            </w:r>
          </w:p>
          <w:p w14:paraId="509DB3A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5、绿色505±4nm    X=0.0848，Y=0.5739。</w:t>
            </w:r>
          </w:p>
          <w:p w14:paraId="3E3E6C0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6、灯面尺寸：不小于Φ</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00mm。</w:t>
            </w:r>
          </w:p>
          <w:p w14:paraId="0B2A227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7、功率因数： ≥0.9。</w:t>
            </w:r>
          </w:p>
          <w:p w14:paraId="27449F6E">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p>
          <w:p w14:paraId="5140DA1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、使用寿命：＞50000h。</w:t>
            </w:r>
          </w:p>
          <w:p w14:paraId="1677ED4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、防水、防尘措施防护等级：不低于IP54。</w:t>
            </w:r>
          </w:p>
          <w:p w14:paraId="5DC22F69">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、外壳材质：聚碳酸酯(PC)工程塑料。</w:t>
            </w:r>
          </w:p>
          <w:p w14:paraId="1E9171C0">
            <w:pPr>
              <w:widowControl w:val="0"/>
              <w:spacing w:line="480" w:lineRule="atLeast"/>
              <w:ind w:left="0" w:leftChars="0" w:firstLine="0" w:firstLineChars="0"/>
              <w:jc w:val="both"/>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4）</w:t>
            </w:r>
            <w:r>
              <w:rPr>
                <w:rFonts w:ascii="Times New Roman" w:hAnsi="Times New Roman" w:eastAsia="宋体" w:cs="Times New Roman"/>
                <w:b/>
                <w:bCs/>
                <w:color w:val="auto"/>
                <w:sz w:val="24"/>
                <w:szCs w:val="24"/>
                <w:highlight w:val="none"/>
                <w:lang w:val="en-US" w:eastAsia="zh-CN" w:bidi="ar-SA"/>
              </w:rPr>
              <w:t>非机动</w:t>
            </w:r>
            <w:r>
              <w:rPr>
                <w:rFonts w:hint="eastAsia" w:ascii="Times New Roman" w:hAnsi="Times New Roman" w:eastAsia="宋体" w:cs="Times New Roman"/>
                <w:b/>
                <w:bCs/>
                <w:color w:val="auto"/>
                <w:sz w:val="24"/>
                <w:szCs w:val="24"/>
                <w:highlight w:val="none"/>
                <w:lang w:val="en-US" w:eastAsia="zh-CN" w:bidi="ar-SA"/>
              </w:rPr>
              <w:t>车</w:t>
            </w:r>
            <w:r>
              <w:rPr>
                <w:rFonts w:ascii="Times New Roman" w:hAnsi="Times New Roman" w:eastAsia="宋体" w:cs="Times New Roman"/>
                <w:b/>
                <w:bCs/>
                <w:color w:val="auto"/>
                <w:sz w:val="24"/>
                <w:szCs w:val="24"/>
                <w:highlight w:val="none"/>
                <w:lang w:val="en-US" w:eastAsia="zh-CN" w:bidi="ar-SA"/>
              </w:rPr>
              <w:t>左转信号灯</w:t>
            </w:r>
            <w:r>
              <w:rPr>
                <w:rFonts w:hint="eastAsia" w:ascii="Times New Roman" w:hAnsi="Times New Roman" w:eastAsia="宋体" w:cs="Times New Roman"/>
                <w:b/>
                <w:bCs/>
                <w:color w:val="auto"/>
                <w:sz w:val="24"/>
                <w:szCs w:val="24"/>
                <w:highlight w:val="none"/>
                <w:lang w:val="en-US" w:eastAsia="zh-CN" w:bidi="ar-SA"/>
              </w:rPr>
              <w:t>（300mm）</w:t>
            </w:r>
          </w:p>
          <w:p w14:paraId="6874A022">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采用发光二极管（LED）为光源的信号灯，发光单元透面光尺寸为Ф</w:t>
            </w:r>
            <w:r>
              <w:rPr>
                <w:rFonts w:hint="eastAsia" w:ascii="Times New Roman" w:hAnsi="Times New Roman" w:eastAsia="宋体" w:cs="Times New Roman"/>
                <w:color w:val="auto"/>
                <w:sz w:val="24"/>
                <w:szCs w:val="24"/>
                <w:highlight w:val="none"/>
                <w:lang w:val="en-US" w:eastAsia="zh-CN" w:bidi="ar-SA"/>
              </w:rPr>
              <w:t>3</w:t>
            </w:r>
            <w:r>
              <w:rPr>
                <w:rFonts w:ascii="Times New Roman" w:hAnsi="Times New Roman" w:eastAsia="宋体" w:cs="Times New Roman"/>
                <w:color w:val="auto"/>
                <w:sz w:val="24"/>
                <w:szCs w:val="24"/>
                <w:highlight w:val="none"/>
                <w:lang w:val="en-US" w:eastAsia="zh-CN" w:bidi="ar-SA"/>
              </w:rPr>
              <w:t>00，绿灯采用静止图案，外壳采用聚酸碳脂工程塑料，黑色亚光喷塑防护，遮光防护罩，在左转非机动车信号灯黄色发光单元内嵌“一位半”半程倒计时装置，显示红灯和绿灯相位的最后时间。含安装支架及配件。具体要求：</w:t>
            </w:r>
          </w:p>
          <w:p w14:paraId="67D5A19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1、亮度分布：符合GB14887-2011表3信号灯亮度分布。</w:t>
            </w:r>
          </w:p>
          <w:p w14:paraId="67F3BBC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2、色坐标：符合GB14887-2011  色度性能表6。</w:t>
            </w:r>
          </w:p>
          <w:p w14:paraId="42117E3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3、红色625±5nm    X=0.6984，Y=0.3014。</w:t>
            </w:r>
          </w:p>
          <w:p w14:paraId="3B43481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4、黄色590±5nm    X=0.5802，Y=0.4137。</w:t>
            </w:r>
          </w:p>
          <w:p w14:paraId="1E67152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5、绿色505±4nm    X=0.0848，Y=0.5739。</w:t>
            </w:r>
          </w:p>
          <w:p w14:paraId="19DFC46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6、灯面尺寸：不小于Φ</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00mm。</w:t>
            </w:r>
          </w:p>
          <w:p w14:paraId="782CAF1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7、功率因数： ≥0.9。</w:t>
            </w:r>
          </w:p>
          <w:p w14:paraId="41442A12">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倒计时方式：在信号灯黄色发光单元内嵌“一位半”半程倒计时装置，显示红灯和绿灯相位的最后时间。红灯“倒计时”从红灯相位结束前至少16秒开始显示，其中设置全红时间路口的“倒计时”秒数相应增加；绿灯“倒计时”从绿灯相位结束前至少13秒开始显示。倒计时结束时显示数字为“1”，黄灯时倒计时不显示；红灯“倒计时”显示数字为红色，绿灯“倒计时”显示数字为绿色。</w:t>
            </w:r>
          </w:p>
          <w:p w14:paraId="27B9D6F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、使用寿命：＞50000h。</w:t>
            </w:r>
          </w:p>
          <w:p w14:paraId="6059FB84">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、防水、防尘措施防护等级：不低于IP54。</w:t>
            </w:r>
          </w:p>
          <w:p w14:paraId="44468CF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、外壳材质：聚碳酸酯(PC)工程塑料。</w:t>
            </w:r>
          </w:p>
        </w:tc>
      </w:tr>
      <w:tr w14:paraId="684BBC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4941545">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5D41B0A">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14ACE5B">
            <w:pPr>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4.1.8 交通信号控制机</w:t>
            </w:r>
          </w:p>
          <w:p w14:paraId="24B4C62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1、交通信号控制机应为集中协调式信号控制机，相关控制功能要求符合国家标准GB25280-2016《道路交通信号控制机》C类A级的规范要求。</w:t>
            </w:r>
          </w:p>
          <w:p w14:paraId="5A582C2C">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2、交通信号控制机应具备区域联网控制，同时应能实现线控、感应、多时段、单点优化、单点无电缆线控、黄闪、全红、关灯、手控等单点控制功能。</w:t>
            </w:r>
          </w:p>
          <w:p w14:paraId="23FFD0A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3、可接入不少于32路车流量检测设备，支持无线线圈、地磁、微波、视频、正向雷达等多种车流量检测方式。</w:t>
            </w:r>
          </w:p>
          <w:p w14:paraId="62C2B4E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4、可控制不少于4块通信式三色倒计时显示屏，并可扩充至16块；为适应优化或线控的需要，可支持倒9秒显示。</w:t>
            </w:r>
          </w:p>
          <w:p w14:paraId="6F155FB6">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5、具备红绿冲突、灯不亮、红绿同时亮等信号灯故障检测功能，发生故障后自动降级处理。</w:t>
            </w:r>
          </w:p>
          <w:p w14:paraId="4A08ED58">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6、交通信号控制机支持双电源供电功能，采用双路电源供电，当任一路电源故障时，系统能正常工作。</w:t>
            </w:r>
          </w:p>
          <w:p w14:paraId="2F7717A1">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7、联网情况下，信号机支持为勤务车辆/VIP车辆配置紧急优先相位，可配置不少于8个以上紧急优先相位。</w:t>
            </w:r>
          </w:p>
          <w:p w14:paraId="135A97BA">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8、交通信号控制机支持优先控制功能，可通过检测多路检测器的触发信号进行相位配时调整，实现特殊车辆的绝对优先和相对优先控制。</w:t>
            </w:r>
          </w:p>
          <w:p w14:paraId="7934BA7A">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9、交通信号控制机支持无线手控功能，可通过外接无线手持终端实现手动/自动切换、相位步进、跳相。</w:t>
            </w:r>
          </w:p>
          <w:p w14:paraId="54A02801">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10、信号机具备无电缆协调控制功能。信号控制机之间没有通信链路时，可通过信号控制机内部时钟同步的方式设定相位差，实现交叉路口的交通信号协调的控制方式。</w:t>
            </w:r>
          </w:p>
          <w:p w14:paraId="61837C31">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11、通讯接口：≥1个RS485，≥1个RS422，≥1个RJ45。</w:t>
            </w:r>
          </w:p>
          <w:p w14:paraId="11499ACE">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12、信号机箱要求</w:t>
            </w:r>
          </w:p>
          <w:p w14:paraId="42875F2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信号机机柜内、外表面及控制面板应光洁、平整，不应有凹痕、划伤、裂缝、变形等缺陷。机柜表面应有牢固的防锈、防腐蚀镀层或漆层，金属零件不应有锈蚀及其他机械损伤，各滑动或转动部件活动应灵活，紧固部件不松动，机柜的外部表面不应有可能导致伤害的尖锐的突起或拐角。</w:t>
            </w:r>
          </w:p>
          <w:p w14:paraId="6E0A799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（2）机箱顶开口能放GPS/北斗天线。</w:t>
            </w:r>
          </w:p>
          <w:p w14:paraId="27E2612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）外壳对外界机械碰撞的防护等级达到IK10。</w:t>
            </w:r>
          </w:p>
        </w:tc>
      </w:tr>
      <w:tr w14:paraId="4E88B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A396CB3">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C3DE7BF">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3A5015D">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4.1.9 无线遥控手动装置</w:t>
            </w:r>
          </w:p>
          <w:p w14:paraId="23BFA6B5">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含手持遥控器及接收机，兼容信号控制系统，具备良好的防水防尘性能，IP65防护级别，完全防止灰尘和</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12.5L/min水流侵入；加强外壳，玻璃纤维增强尼龙材料；在中心能对路口遥控器进行远程授权使用。</w:t>
            </w:r>
          </w:p>
        </w:tc>
      </w:tr>
      <w:tr w14:paraId="43CCDB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E837128">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DAD67E5">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CF4BC6C">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4.1.10 线缆敷设要求</w:t>
            </w:r>
          </w:p>
          <w:p w14:paraId="17BA201F">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1、主干线缆要求：所有铜芯聚氯乙烯绝缘聚氯乙烯护套控制软电缆的导线截面必须符合国标标准。每只发光单元的电源引线，需采用聚氯乙烯黑色护套线，红、黄、绿三个发光单元，除回路线用黑色外，应分别用红、黄、绿色导线。主干线缆采用KVVR20*1.0mm2或KVVR10*1.0mm2。KVVR20*1.0mm2用4种颜色区分，5根芯线用一种颜色，并标注1-20线号，例如：红色（1-5号线），黄色（6-10号线），绿色（11-15号线），白色（16-20号线）。KVVR10*1.0mm2用2种颜色区分，5根芯线用一种颜色，并标注1-10线号，例如：红色（1-5号线），黄色（6-10号线）。</w:t>
            </w:r>
          </w:p>
          <w:p w14:paraId="19397C6C">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2、上杆线缆要求：机动车、非机动车信号灯上杆线采用KVVR5*1.0mm2,芯线分别为红、黄、绿、黑、黄绿；红、黄、绿分别对应信号灯的红、黄、绿，黑色接零线，黄绿接信号灯接地端。人行灯上杆线采用KVVR4*1.0mm2,芯线分别为红、绿、黑、黄绿；红、绿对应人行灯的红、绿，黑色接零线，黄绿色接人行灯接地端。</w:t>
            </w:r>
          </w:p>
          <w:p w14:paraId="3D52BFA8">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3、放线要求：悬臂式立杆从信号机机箱拉一路20芯线及一路10芯线至机动车信号灯立杆，20芯电缆分别接机动车灯组与非机动车灯组；（20-16号线接对应左转机动车相位，15-11号线接对应直行机动车相位，10-6号线接非机动车左转相位，5-1号线接非机动车直行相位），人行灯组单独接一路10芯电缆，到对应的人行灯立杆，10-6号线接南北向人行，5-1号线接东西向人行。接线按照从红灯开始线号逐步减小原则，例如（机动车和非机动车）：20接左转机动车红，19接左转机动车黄，18接左转机动车绿，17接左转机动车零线，16接左转机动车接地。人行灯如：10接人行红，9备用，8接人行绿，7接人行零线，6接人行接地。辅灯设置在机非隔离带近光灯的情形，从信号机箱引一路10芯线电缆至立杆接线位置（10-6号线接对应左转机动车灯，5-1号线接对应直行机动车灯）。</w:t>
            </w:r>
          </w:p>
          <w:p w14:paraId="7BA873B3">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4、施工工艺要求：所有线缆放线完成后按照交通信号控制器现场安装要求对线缆进行线与线及线与地的绝缘检测和记录，所有线头必须在立杆中对接，禁止在手井中接头，禁止在立杆中用接线端子排对接，线缆对接用热熔防水中间对接端子，用专用绝缘端子压接钳压接后，进行热熔，并在对接处用防水胶布整体包裹，再用PVC绝缘胶布做整体包裹保护。信号灯上杆线与主干线路对接处，做好防脱落，防水标签标注，并清晰标明左转机动车、直行机动车、非机动车左转等对应信息。在信号机机柜中对信号灯线缆用套管式标签按信号机接线端口定义表标注中文标签。</w:t>
            </w:r>
          </w:p>
          <w:p w14:paraId="1388621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人行横道信号灯倒计时屏采用485通讯协议，所有人行横道信号灯倒计时通讯线采用RVSP2*1.0线缆与信号机连接；每个灯盘要求1根线与信号机相连，确保一灯一线。</w:t>
            </w:r>
          </w:p>
        </w:tc>
      </w:tr>
      <w:tr w14:paraId="12A8F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59A9D11">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9B42E3D">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3DCF235">
            <w:pP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4.1.11 信号灯安装要求</w:t>
            </w:r>
          </w:p>
          <w:p w14:paraId="17F1B294">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1、机动车信号灯：采用悬臂式安装时，灯盘底边距地不小于5.5m，但不得大于7m。采用单柱式安装时，灯盘底边距地3.2m。安装在快速路箱梁外侧时，不得低于桥体净空。</w:t>
            </w:r>
          </w:p>
          <w:p w14:paraId="0AD5AE38">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2、人行横道信号灯：采用单柱式安装，灯盘底边距地2.5m。</w:t>
            </w:r>
          </w:p>
          <w:p w14:paraId="6AF53098">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3、非机动车信号灯：在借用机动车信号灯立杆附着式安装时，灯盘底边距地不小于 2.5m，但不得大于3m。在借用机动车信号灯杆悬臂式安装时，灯盘底边距地不小于5.5m，但不得大于7m。采用单柱式立杆安装时，灯盘底边距地3.2m。安装在快速路箱梁外侧时，不得低于桥体净空。</w:t>
            </w:r>
          </w:p>
        </w:tc>
      </w:tr>
      <w:tr w14:paraId="3CC2A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C8506B6">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9DA4DD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E4A56F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4.1.12 信号机安装要求</w:t>
            </w:r>
          </w:p>
          <w:p w14:paraId="373C57EA">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信号机箱一般情况下与配电箱、智能交通箱并排安装于路口绿化带或人行道板边侧，安装位置不得影响行人正常通行；信号机箱开门侧应面向非机动车道或人行道，不允许面向机动车道；信号机箱带钥匙孔侧面应面向外侧，周边无遮挡物，以保证手动调控时操作方便。</w:t>
            </w:r>
          </w:p>
        </w:tc>
      </w:tr>
      <w:tr w14:paraId="7D949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3EC2003">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B6C794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F77CF0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4.2 高清视频监控系统技术要求</w:t>
            </w:r>
          </w:p>
        </w:tc>
      </w:tr>
      <w:tr w14:paraId="56E53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7CECA7C">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4EE6C43">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374070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4.2.1 一体化高清球形摄像机</w:t>
            </w:r>
          </w:p>
          <w:p w14:paraId="2005B319">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1、</w:t>
            </w:r>
            <w:r>
              <w:rPr>
                <w:rFonts w:hint="eastAsia" w:ascii="Times New Roman" w:hAnsi="Times New Roman" w:eastAsia="宋体" w:cs="Times New Roman"/>
                <w:bCs/>
                <w:i/>
                <w:iCs/>
                <w:color w:val="auto"/>
                <w:sz w:val="24"/>
                <w:szCs w:val="24"/>
                <w:highlight w:val="none"/>
                <w:u w:val="single"/>
                <w:lang w:val="en-US" w:eastAsia="zh-CN" w:bidi="ar-SA"/>
              </w:rPr>
              <w:t>不低于</w:t>
            </w:r>
            <w:r>
              <w:rPr>
                <w:rFonts w:ascii="Times New Roman" w:hAnsi="Times New Roman" w:eastAsia="宋体" w:cs="Times New Roman"/>
                <w:bCs/>
                <w:i/>
                <w:iCs/>
                <w:color w:val="auto"/>
                <w:sz w:val="24"/>
                <w:szCs w:val="24"/>
                <w:highlight w:val="none"/>
                <w:u w:val="single"/>
                <w:lang w:val="en-US" w:eastAsia="zh-CN" w:bidi="ar-SA"/>
              </w:rPr>
              <w:t>1/2.5＂400万</w:t>
            </w:r>
            <w:r>
              <w:rPr>
                <w:rFonts w:hint="eastAsia" w:ascii="Times New Roman" w:hAnsi="Times New Roman" w:eastAsia="宋体" w:cs="Times New Roman"/>
                <w:bCs/>
                <w:i/>
                <w:iCs/>
                <w:color w:val="auto"/>
                <w:sz w:val="24"/>
                <w:szCs w:val="24"/>
                <w:highlight w:val="none"/>
                <w:u w:val="single"/>
                <w:lang w:val="en-US" w:eastAsia="zh-CN" w:bidi="ar-SA"/>
              </w:rPr>
              <w:t>像素</w:t>
            </w:r>
            <w:r>
              <w:rPr>
                <w:rFonts w:ascii="Times New Roman" w:hAnsi="Times New Roman" w:eastAsia="宋体" w:cs="Times New Roman"/>
                <w:bCs/>
                <w:i/>
                <w:iCs/>
                <w:color w:val="auto"/>
                <w:sz w:val="24"/>
                <w:szCs w:val="24"/>
                <w:highlight w:val="none"/>
                <w:u w:val="single"/>
                <w:lang w:val="en-US" w:eastAsia="zh-CN" w:bidi="ar-SA"/>
              </w:rPr>
              <w:t>40倍光学变焦镜头，16倍数字变倍。采用高效补光阵列，红外补光150m以上。</w:t>
            </w:r>
          </w:p>
          <w:p w14:paraId="1E879958">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2、支持人形检测及联动查看。</w:t>
            </w:r>
          </w:p>
          <w:p w14:paraId="21F38BC7">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3、内置加热玻璃，有效除雾。</w:t>
            </w:r>
          </w:p>
          <w:p w14:paraId="22907716">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4、</w:t>
            </w:r>
            <w:r>
              <w:rPr>
                <w:rFonts w:hint="eastAsia" w:ascii="Times New Roman" w:hAnsi="Times New Roman" w:eastAsia="宋体" w:cs="Times New Roman"/>
                <w:bCs/>
                <w:i/>
                <w:iCs/>
                <w:color w:val="auto"/>
                <w:sz w:val="24"/>
                <w:szCs w:val="24"/>
                <w:highlight w:val="none"/>
                <w:u w:val="single"/>
                <w:lang w:val="en-US" w:eastAsia="zh-CN" w:bidi="ar-SA"/>
              </w:rPr>
              <w:t>不高于</w:t>
            </w:r>
            <w:r>
              <w:rPr>
                <w:rFonts w:ascii="Times New Roman" w:hAnsi="Times New Roman" w:eastAsia="宋体" w:cs="Times New Roman"/>
                <w:bCs/>
                <w:i/>
                <w:iCs/>
                <w:color w:val="auto"/>
                <w:sz w:val="24"/>
                <w:szCs w:val="24"/>
                <w:highlight w:val="none"/>
                <w:u w:val="single"/>
                <w:lang w:val="en-US" w:eastAsia="zh-CN" w:bidi="ar-SA"/>
              </w:rPr>
              <w:t>0.005 Lux @F1.6（彩色），0.001 Lux @F1.6（黑白），0 Lux with IR照度。</w:t>
            </w:r>
          </w:p>
          <w:p w14:paraId="46CE4240">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5、支持三码流技术，每路码流可独立配置分辨率及帧率。</w:t>
            </w:r>
          </w:p>
          <w:p w14:paraId="3F86A6C1">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6</w:t>
            </w:r>
            <w:r>
              <w:rPr>
                <w:rFonts w:ascii="Times New Roman" w:hAnsi="Times New Roman" w:eastAsia="宋体" w:cs="Times New Roman"/>
                <w:bCs/>
                <w:i/>
                <w:iCs/>
                <w:color w:val="auto"/>
                <w:sz w:val="24"/>
                <w:szCs w:val="24"/>
                <w:highlight w:val="none"/>
                <w:u w:val="single"/>
                <w:lang w:val="en-US" w:eastAsia="zh-CN" w:bidi="ar-SA"/>
              </w:rPr>
              <w:t>、支持3D数字降噪，支持真宽动态。</w:t>
            </w:r>
          </w:p>
          <w:p w14:paraId="7AF9220E">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7</w:t>
            </w:r>
            <w:r>
              <w:rPr>
                <w:rFonts w:ascii="Times New Roman" w:hAnsi="Times New Roman" w:eastAsia="宋体" w:cs="Times New Roman"/>
                <w:bCs/>
                <w:i/>
                <w:iCs/>
                <w:color w:val="auto"/>
                <w:sz w:val="24"/>
                <w:szCs w:val="24"/>
                <w:highlight w:val="none"/>
                <w:u w:val="single"/>
                <w:lang w:val="en-US" w:eastAsia="zh-CN" w:bidi="ar-SA"/>
              </w:rPr>
              <w:t>、设备具有前景聚焦、后景聚焦、区域聚焦功能。</w:t>
            </w:r>
          </w:p>
          <w:p w14:paraId="2C4DAEE4">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8</w:t>
            </w:r>
            <w:r>
              <w:rPr>
                <w:rFonts w:ascii="Times New Roman" w:hAnsi="Times New Roman" w:eastAsia="宋体" w:cs="Times New Roman"/>
                <w:bCs/>
                <w:i/>
                <w:iCs/>
                <w:color w:val="auto"/>
                <w:sz w:val="24"/>
                <w:szCs w:val="24"/>
                <w:highlight w:val="none"/>
                <w:u w:val="single"/>
                <w:lang w:val="en-US" w:eastAsia="zh-CN" w:bidi="ar-SA"/>
              </w:rPr>
              <w:t>、焦距：5.5-220mm。</w:t>
            </w:r>
          </w:p>
          <w:p w14:paraId="31F2C899">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9</w:t>
            </w:r>
            <w:r>
              <w:rPr>
                <w:rFonts w:ascii="Times New Roman" w:hAnsi="Times New Roman" w:eastAsia="宋体" w:cs="Times New Roman"/>
                <w:bCs/>
                <w:i/>
                <w:iCs/>
                <w:color w:val="auto"/>
                <w:sz w:val="24"/>
                <w:szCs w:val="24"/>
                <w:highlight w:val="none"/>
                <w:u w:val="single"/>
                <w:lang w:val="en-US" w:eastAsia="zh-CN" w:bidi="ar-SA"/>
              </w:rPr>
              <w:t>、水平范围：支持360°。水平速度：水平键控速度：0.1°-160°/s,速度可设;水平预置点速度</w:t>
            </w:r>
            <w:r>
              <w:rPr>
                <w:rFonts w:hint="eastAsia" w:ascii="Times New Roman" w:hAnsi="Times New Roman" w:eastAsia="宋体" w:cs="Times New Roman"/>
                <w:bCs/>
                <w:i/>
                <w:iCs/>
                <w:color w:val="auto"/>
                <w:sz w:val="24"/>
                <w:szCs w:val="24"/>
                <w:highlight w:val="none"/>
                <w:u w:val="single"/>
                <w:lang w:val="en-US" w:eastAsia="zh-CN" w:bidi="ar-SA"/>
              </w:rPr>
              <w:t>不低于</w:t>
            </w:r>
            <w:r>
              <w:rPr>
                <w:rFonts w:ascii="Times New Roman" w:hAnsi="Times New Roman" w:eastAsia="宋体" w:cs="Times New Roman"/>
                <w:bCs/>
                <w:i/>
                <w:iCs/>
                <w:color w:val="auto"/>
                <w:sz w:val="24"/>
                <w:szCs w:val="24"/>
                <w:highlight w:val="none"/>
                <w:u w:val="single"/>
                <w:lang w:val="en-US" w:eastAsia="zh-CN" w:bidi="ar-SA"/>
              </w:rPr>
              <w:t>240°/s。</w:t>
            </w:r>
          </w:p>
          <w:p w14:paraId="546F7C1B">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ascii="Times New Roman" w:hAnsi="Times New Roman" w:eastAsia="宋体" w:cs="Times New Roman"/>
                <w:bCs/>
                <w:i/>
                <w:iCs/>
                <w:color w:val="auto"/>
                <w:sz w:val="24"/>
                <w:szCs w:val="24"/>
                <w:highlight w:val="none"/>
                <w:u w:val="single"/>
                <w:lang w:val="en-US" w:eastAsia="zh-CN" w:bidi="ar-SA"/>
              </w:rPr>
              <w:t>1</w:t>
            </w:r>
            <w:r>
              <w:rPr>
                <w:rFonts w:hint="eastAsia" w:ascii="Times New Roman" w:hAnsi="Times New Roman" w:eastAsia="宋体" w:cs="Times New Roman"/>
                <w:bCs/>
                <w:i/>
                <w:iCs/>
                <w:color w:val="auto"/>
                <w:sz w:val="24"/>
                <w:szCs w:val="24"/>
                <w:highlight w:val="none"/>
                <w:u w:val="single"/>
                <w:lang w:val="en-US" w:eastAsia="zh-CN" w:bidi="ar-SA"/>
              </w:rPr>
              <w:t>0</w:t>
            </w:r>
            <w:r>
              <w:rPr>
                <w:rFonts w:ascii="Times New Roman" w:hAnsi="Times New Roman" w:eastAsia="宋体" w:cs="Times New Roman"/>
                <w:bCs/>
                <w:i/>
                <w:iCs/>
                <w:color w:val="auto"/>
                <w:sz w:val="24"/>
                <w:szCs w:val="24"/>
                <w:highlight w:val="none"/>
                <w:u w:val="single"/>
                <w:lang w:val="en-US" w:eastAsia="zh-CN" w:bidi="ar-SA"/>
              </w:rPr>
              <w:t>、垂直范围：支持-15°-90°(自动翻转)。垂直速度：垂直键控速度：0.1°-120°/s,速度可设;垂直预置点速度</w:t>
            </w:r>
            <w:r>
              <w:rPr>
                <w:rFonts w:hint="eastAsia" w:ascii="Times New Roman" w:hAnsi="Times New Roman" w:eastAsia="宋体" w:cs="Times New Roman"/>
                <w:bCs/>
                <w:i/>
                <w:iCs/>
                <w:color w:val="auto"/>
                <w:sz w:val="24"/>
                <w:szCs w:val="24"/>
                <w:highlight w:val="none"/>
                <w:u w:val="single"/>
                <w:lang w:val="en-US" w:eastAsia="zh-CN" w:bidi="ar-SA"/>
              </w:rPr>
              <w:t>不低于</w:t>
            </w:r>
            <w:r>
              <w:rPr>
                <w:rFonts w:ascii="Times New Roman" w:hAnsi="Times New Roman" w:eastAsia="宋体" w:cs="Times New Roman"/>
                <w:bCs/>
                <w:i/>
                <w:iCs/>
                <w:color w:val="auto"/>
                <w:sz w:val="24"/>
                <w:szCs w:val="24"/>
                <w:highlight w:val="none"/>
                <w:u w:val="single"/>
                <w:lang w:val="en-US" w:eastAsia="zh-CN" w:bidi="ar-SA"/>
              </w:rPr>
              <w:t>200°/s</w:t>
            </w:r>
          </w:p>
          <w:p w14:paraId="32D88E72">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11</w:t>
            </w:r>
            <w:r>
              <w:rPr>
                <w:rFonts w:ascii="Times New Roman" w:hAnsi="Times New Roman" w:eastAsia="宋体" w:cs="Times New Roman"/>
                <w:bCs/>
                <w:i/>
                <w:iCs/>
                <w:color w:val="auto"/>
                <w:sz w:val="24"/>
                <w:szCs w:val="24"/>
                <w:highlight w:val="none"/>
                <w:u w:val="single"/>
                <w:lang w:val="en-US" w:eastAsia="zh-CN" w:bidi="ar-SA"/>
              </w:rPr>
              <w:t>、电流及功耗：最大功耗：≤ 35 W。</w:t>
            </w:r>
          </w:p>
          <w:p w14:paraId="4B0DFC86">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12</w:t>
            </w:r>
            <w:r>
              <w:rPr>
                <w:rFonts w:ascii="Times New Roman" w:hAnsi="Times New Roman" w:eastAsia="宋体" w:cs="Times New Roman"/>
                <w:bCs/>
                <w:i/>
                <w:iCs/>
                <w:color w:val="auto"/>
                <w:sz w:val="24"/>
                <w:szCs w:val="24"/>
                <w:highlight w:val="none"/>
                <w:u w:val="single"/>
                <w:lang w:val="en-US" w:eastAsia="zh-CN" w:bidi="ar-SA"/>
              </w:rPr>
              <w:t>、工作温湿度：支持-30℃-65℃;湿度小于90%。</w:t>
            </w:r>
          </w:p>
          <w:p w14:paraId="698D5E1B">
            <w:pPr>
              <w:spacing w:line="440" w:lineRule="exact"/>
              <w:rPr>
                <w:rFonts w:ascii="Times New Roman" w:hAnsi="Times New Roman" w:eastAsia="宋体" w:cs="Times New Roman"/>
                <w:bCs/>
                <w:i/>
                <w:iCs/>
                <w:color w:val="auto"/>
                <w:sz w:val="24"/>
                <w:szCs w:val="24"/>
                <w:highlight w:val="none"/>
                <w:u w:val="single"/>
                <w:lang w:val="en-US" w:eastAsia="zh-CN" w:bidi="ar-SA"/>
              </w:rPr>
            </w:pPr>
            <w:r>
              <w:rPr>
                <w:rFonts w:hint="eastAsia" w:ascii="Times New Roman" w:hAnsi="Times New Roman" w:eastAsia="宋体" w:cs="Times New Roman"/>
                <w:bCs/>
                <w:i/>
                <w:iCs/>
                <w:color w:val="auto"/>
                <w:sz w:val="24"/>
                <w:szCs w:val="24"/>
                <w:highlight w:val="none"/>
                <w:u w:val="single"/>
                <w:lang w:val="en-US" w:eastAsia="zh-CN" w:bidi="ar-SA"/>
              </w:rPr>
              <w:t>13</w:t>
            </w:r>
            <w:r>
              <w:rPr>
                <w:rFonts w:ascii="Times New Roman" w:hAnsi="Times New Roman" w:eastAsia="宋体" w:cs="Times New Roman"/>
                <w:bCs/>
                <w:i/>
                <w:iCs/>
                <w:color w:val="auto"/>
                <w:sz w:val="24"/>
                <w:szCs w:val="24"/>
                <w:highlight w:val="none"/>
                <w:u w:val="single"/>
                <w:lang w:val="en-US" w:eastAsia="zh-CN" w:bidi="ar-SA"/>
              </w:rPr>
              <w:t>、防护：≥IP66。</w:t>
            </w:r>
          </w:p>
          <w:p w14:paraId="18CEC034">
            <w:pPr>
              <w:spacing w:line="440" w:lineRule="exact"/>
              <w:rPr>
                <w:rFonts w:ascii="Times New Roman" w:hAnsi="Times New Roman" w:eastAsia="宋体" w:cs="Times New Roman"/>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Times New Roman" w:hAnsi="Times New Roman" w:eastAsia="宋体" w:cs="Times New Roman"/>
                <w:b/>
                <w:bCs/>
                <w:color w:val="auto"/>
                <w:sz w:val="24"/>
                <w:szCs w:val="24"/>
                <w:highlight w:val="none"/>
                <w:lang w:val="en-US" w:eastAsia="zh-CN" w:bidi="ar-SA"/>
              </w:rPr>
              <w:t>14</w:t>
            </w:r>
            <w:r>
              <w:rPr>
                <w:rFonts w:ascii="Times New Roman" w:hAnsi="Times New Roman" w:eastAsia="宋体" w:cs="Times New Roman"/>
                <w:b/>
                <w:bCs/>
                <w:color w:val="auto"/>
                <w:sz w:val="24"/>
                <w:szCs w:val="24"/>
                <w:highlight w:val="none"/>
                <w:lang w:val="en-US" w:eastAsia="zh-CN" w:bidi="ar-SA"/>
              </w:rPr>
              <w:t>、</w:t>
            </w:r>
            <w:r>
              <w:rPr>
                <w:rFonts w:hint="eastAsia" w:ascii="Times New Roman" w:hAnsi="Times New Roman" w:eastAsia="宋体" w:cs="Times New Roman"/>
                <w:b/>
                <w:bCs/>
                <w:color w:val="auto"/>
                <w:sz w:val="24"/>
                <w:szCs w:val="24"/>
                <w:highlight w:val="none"/>
                <w:lang w:val="en-US" w:eastAsia="zh-CN" w:bidi="ar-SA"/>
              </w:rPr>
              <w:t>支持异常事件上报功能，包括不限于异常停车、行人、非机动车、摩托车检测等（投标时须在响应文件中提供第三方检测机构出具的合格检验报告或功能截图等相关证明材料）</w:t>
            </w:r>
          </w:p>
        </w:tc>
      </w:tr>
      <w:tr w14:paraId="53E4E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3DDFB3C">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D3C18E5">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55251E9">
            <w:pPr>
              <w:spacing w:line="440" w:lineRule="exac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bCs/>
                <w:color w:val="auto"/>
                <w:sz w:val="24"/>
                <w:szCs w:val="24"/>
                <w:highlight w:val="none"/>
                <w:lang w:val="en-US" w:eastAsia="zh-CN" w:bidi="ar-SA"/>
              </w:rPr>
              <w:t>4.2.2 高清枪型摄像机</w:t>
            </w:r>
          </w:p>
          <w:p w14:paraId="66E020F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1、不低于400万像素。</w:t>
            </w:r>
          </w:p>
          <w:p w14:paraId="3ABE751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2、支持越界侦测、区域入侵侦测、进入/离开区域侦测、徘徊侦测、人员聚集侦测、快速运动侦测、停车侦测、物品遗留/拿取侦测。</w:t>
            </w:r>
          </w:p>
          <w:p w14:paraId="7D31D704">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3、支持宽动态范围≥120dB。</w:t>
            </w:r>
          </w:p>
          <w:p w14:paraId="22BFA15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4</w:t>
            </w:r>
            <w:r>
              <w:rPr>
                <w:rFonts w:ascii="Times New Roman" w:hAnsi="Times New Roman" w:eastAsia="宋体" w:cs="Times New Roman"/>
                <w:i/>
                <w:iCs/>
                <w:color w:val="auto"/>
                <w:sz w:val="24"/>
                <w:szCs w:val="24"/>
                <w:highlight w:val="none"/>
                <w:u w:val="single"/>
                <w:lang w:val="en-US" w:eastAsia="zh-CN" w:bidi="ar-SA"/>
              </w:rPr>
              <w:t>、工作温度和湿度:-30℃~60℃,湿度小于95%(无凝结)。</w:t>
            </w:r>
          </w:p>
          <w:p w14:paraId="645CCC7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5</w:t>
            </w:r>
            <w:r>
              <w:rPr>
                <w:rFonts w:ascii="Times New Roman" w:hAnsi="Times New Roman" w:eastAsia="宋体" w:cs="Times New Roman"/>
                <w:i/>
                <w:iCs/>
                <w:color w:val="auto"/>
                <w:sz w:val="24"/>
                <w:szCs w:val="24"/>
                <w:highlight w:val="none"/>
                <w:u w:val="single"/>
                <w:lang w:val="en-US" w:eastAsia="zh-CN" w:bidi="ar-SA"/>
              </w:rPr>
              <w:t>、防护等级:≥IP66；</w:t>
            </w:r>
          </w:p>
          <w:p w14:paraId="511018BE">
            <w:pPr>
              <w:spacing w:line="440" w:lineRule="exact"/>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6、配电源及支架。</w:t>
            </w:r>
          </w:p>
          <w:p w14:paraId="67C9354B">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Times New Roman" w:hAnsi="Times New Roman" w:eastAsia="宋体" w:cs="Times New Roman"/>
                <w:b/>
                <w:bCs/>
                <w:color w:val="auto"/>
                <w:sz w:val="24"/>
                <w:szCs w:val="24"/>
                <w:highlight w:val="none"/>
                <w:lang w:val="en-US" w:eastAsia="zh-CN" w:bidi="ar-SA"/>
              </w:rPr>
              <w:t>7、红外夜视可识别摄像机150米处人体轮廓。（投标时须在响应文件中提供第三方检测机构出具的合格检验报告或功能截图等相关证明材料）</w:t>
            </w:r>
          </w:p>
        </w:tc>
      </w:tr>
      <w:tr w14:paraId="64BCC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BE47DFB">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5B4AE63">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6A6DAF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4.2.3 一体化高清高倍球形摄像机</w:t>
            </w:r>
          </w:p>
          <w:p w14:paraId="7F70C76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1、采用</w:t>
            </w:r>
            <w:r>
              <w:rPr>
                <w:rFonts w:hint="eastAsia" w:ascii="Times New Roman" w:hAnsi="Times New Roman" w:eastAsia="宋体" w:cs="Times New Roman"/>
                <w:i/>
                <w:iCs/>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800万像素1/1.2英寸CMOS 传感器,内置GPU芯片，最大分辨率(像素数)不低于4096×2160。</w:t>
            </w:r>
          </w:p>
          <w:p w14:paraId="4794C591">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2、支持</w:t>
            </w:r>
            <w:r>
              <w:rPr>
                <w:rFonts w:hint="eastAsia" w:ascii="Times New Roman" w:hAnsi="Times New Roman" w:eastAsia="宋体" w:cs="Times New Roman"/>
                <w:i/>
                <w:iCs/>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40倍光学变倍，16倍数字变倍。</w:t>
            </w:r>
          </w:p>
          <w:p w14:paraId="55476A8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3、最低照度满足：彩色≤0.0002Lux，黑白≤0.0001Lux。</w:t>
            </w:r>
          </w:p>
          <w:p w14:paraId="6AC4D416">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4、内置</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450米以上红外灯补光，支持倍率与红外灯功率匹配算法。</w:t>
            </w:r>
          </w:p>
          <w:p w14:paraId="0EBCB55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5、支持H.265、H.264、MJPEG视频编码格式，其中H.265和H.264都支持Baseline/Main/High Profile。</w:t>
            </w:r>
          </w:p>
          <w:p w14:paraId="6968E5A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6、支持水平方向360°连续旋转，垂直方向-30°～90°，自动翻转180°后连续监视,无监视盲区。</w:t>
            </w:r>
          </w:p>
          <w:p w14:paraId="246A96DB">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7、支持巡航计划配置，支持多场景智能巡航模式；支持不同智能功能的分时复用，切换码流可继续支持原来的智能模式，支持跟踪抓拍。</w:t>
            </w:r>
          </w:p>
          <w:p w14:paraId="039F142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8</w:t>
            </w:r>
            <w:r>
              <w:rPr>
                <w:rFonts w:ascii="Times New Roman" w:hAnsi="Times New Roman" w:eastAsia="宋体" w:cs="Times New Roman"/>
                <w:i/>
                <w:iCs/>
                <w:color w:val="auto"/>
                <w:sz w:val="24"/>
                <w:szCs w:val="24"/>
                <w:highlight w:val="none"/>
                <w:u w:val="single"/>
                <w:lang w:val="en-US" w:eastAsia="zh-CN" w:bidi="ar-SA"/>
              </w:rPr>
              <w:t>、不低于IP67防护等级，6000V防雷、防浪涌和防突波保护，支持AC24V±25%宽电压输入。</w:t>
            </w:r>
          </w:p>
        </w:tc>
      </w:tr>
      <w:tr w14:paraId="3563F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890298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F3AE300">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037C3D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4.2.4 智能抱杆箱</w:t>
            </w:r>
          </w:p>
          <w:p w14:paraId="553A5443">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1、设备箱箱体510mm*380mm*220mm；箱体使用材料为不锈钢板,板厚≥1.2mm,人字尖顶，防护等级IP54。内部配电、防雷单元以及设备放置隔板位置能自由调整，挂杆与壁装公用。门体使用双翻遍工艺，材料为不锈钢板板材质，门板印字可依据采购人要求定制。安装底板依据设备安装位置开定位安装孔。抽拉式隔板，设备安放及固定板，开散热孔及过线孔。防盗锁，弹珠型防盗锁芯，外部防撬扣厚度大于2mm。防盗铰链，锌合金材质，压铸工艺，内部固定。</w:t>
            </w:r>
          </w:p>
          <w:p w14:paraId="322AB63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2、电源防雷最大持续工作电压</w:t>
            </w:r>
            <w:r>
              <w:rPr>
                <w:rFonts w:hint="eastAsia" w:ascii="Times New Roman" w:hAnsi="Times New Roman" w:eastAsia="宋体" w:cs="Times New Roman"/>
                <w:i/>
                <w:iCs/>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385V AC，最大通流容量</w:t>
            </w:r>
            <w:r>
              <w:rPr>
                <w:rFonts w:hint="eastAsia" w:ascii="Times New Roman" w:hAnsi="Times New Roman" w:eastAsia="宋体" w:cs="Times New Roman"/>
                <w:i/>
                <w:iCs/>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40kA，保护水平（40kA，8/20μs）：2400V，保护模式：L-N-PE，响应时间：≤1ns，防护等级：不低于IP20。</w:t>
            </w:r>
          </w:p>
          <w:p w14:paraId="1AC6CD7A">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3、机箱为全天候防风雨自立式机箱。在机箱中加装电源保护装置，即过流过压保护装置，里面可能放置光端机、防雷模块、电源设备，接线端子、光纤终端盒、维修开关和插座等。机箱中应配有电源单元。</w:t>
            </w:r>
          </w:p>
          <w:p w14:paraId="57EFAA97">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4、机箱内设有防雷电装置，每一根引入线均有相应的防雷电保护装置。</w:t>
            </w:r>
          </w:p>
          <w:p w14:paraId="21EDBB54">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5、机箱中应有通风装置，当机箱内温度过高时，通风装置自动启动排风降温。且进、排风口必须防水渗漏，有防虫吸入滤网。机箱锁要求有防雨外壳。</w:t>
            </w:r>
          </w:p>
          <w:p w14:paraId="51245D0E">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6、机箱应有良好的接地系统，其防雷接地与电子设备工作接地分开。</w:t>
            </w:r>
          </w:p>
          <w:p w14:paraId="0AF66339">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7、供电：电流总量程不小于63A；支持</w:t>
            </w:r>
            <w:r>
              <w:rPr>
                <w:rFonts w:hint="eastAsia" w:ascii="Times New Roman" w:hAnsi="Times New Roman" w:eastAsia="宋体" w:cs="Times New Roman"/>
                <w:color w:val="auto"/>
                <w:sz w:val="24"/>
                <w:szCs w:val="24"/>
                <w:highlight w:val="none"/>
                <w:lang w:val="en-US" w:eastAsia="zh-CN" w:bidi="ar-SA"/>
              </w:rPr>
              <w:t>不少于</w:t>
            </w:r>
            <w:r>
              <w:rPr>
                <w:rFonts w:ascii="Times New Roman" w:hAnsi="Times New Roman" w:eastAsia="宋体" w:cs="Times New Roman"/>
                <w:color w:val="auto"/>
                <w:sz w:val="24"/>
                <w:szCs w:val="24"/>
                <w:highlight w:val="none"/>
                <w:lang w:val="en-US" w:eastAsia="zh-CN" w:bidi="ar-SA"/>
              </w:rPr>
              <w:t>1路220V32A（电流量程可调1A-63A）供电</w:t>
            </w:r>
            <w:r>
              <w:rPr>
                <w:rFonts w:hint="eastAsia"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4路220V16A（电流量程可调1A-20A）供电。</w:t>
            </w:r>
          </w:p>
          <w:p w14:paraId="31AC1622">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8、配装工业级传输交换机，不少于2光8电，含光模块，千兆端口，无风扇设计，可实时检测交换机工作状态，状态异常时可上报异常数据，可远程重启交换机；</w:t>
            </w:r>
          </w:p>
          <w:p w14:paraId="2FD7A5FE">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、电路监测：支持</w:t>
            </w:r>
            <w:r>
              <w:rPr>
                <w:rFonts w:hint="eastAsia" w:ascii="Times New Roman" w:hAnsi="Times New Roman" w:eastAsia="宋体" w:cs="Times New Roman"/>
                <w:color w:val="auto"/>
                <w:sz w:val="24"/>
                <w:szCs w:val="24"/>
                <w:highlight w:val="none"/>
                <w:lang w:val="en-US" w:eastAsia="zh-CN" w:bidi="ar-SA"/>
              </w:rPr>
              <w:t>不少于</w:t>
            </w:r>
            <w:r>
              <w:rPr>
                <w:rFonts w:ascii="Times New Roman" w:hAnsi="Times New Roman" w:eastAsia="宋体" w:cs="Times New Roman"/>
                <w:color w:val="auto"/>
                <w:sz w:val="24"/>
                <w:szCs w:val="24"/>
                <w:highlight w:val="none"/>
                <w:lang w:val="en-US" w:eastAsia="zh-CN" w:bidi="ar-SA"/>
              </w:rPr>
              <w:t>5路电流电压检测；电压量程0-350V；电流总量程</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63A；直流供电DC12V，</w:t>
            </w:r>
            <w:r>
              <w:rPr>
                <w:rFonts w:hint="eastAsia" w:ascii="Times New Roman" w:hAnsi="Times New Roman" w:eastAsia="宋体" w:cs="Times New Roman"/>
                <w:color w:val="auto"/>
                <w:sz w:val="24"/>
                <w:szCs w:val="24"/>
                <w:highlight w:val="none"/>
                <w:lang w:val="en-US" w:eastAsia="zh-CN" w:bidi="ar-SA"/>
              </w:rPr>
              <w:t>不少于</w:t>
            </w:r>
            <w:r>
              <w:rPr>
                <w:rFonts w:ascii="Times New Roman" w:hAnsi="Times New Roman" w:eastAsia="宋体" w:cs="Times New Roman"/>
                <w:color w:val="auto"/>
                <w:sz w:val="24"/>
                <w:szCs w:val="24"/>
                <w:highlight w:val="none"/>
                <w:lang w:val="en-US" w:eastAsia="zh-CN" w:bidi="ar-SA"/>
              </w:rPr>
              <w:t>2路（每路独立控制，每路单独故障检测，故障独立告警，具备用电独立自恢复功能）。</w:t>
            </w:r>
          </w:p>
          <w:p w14:paraId="0DCD8FA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10</w:t>
            </w:r>
            <w:r>
              <w:rPr>
                <w:rFonts w:ascii="Times New Roman" w:hAnsi="Times New Roman" w:eastAsia="宋体" w:cs="Times New Roman"/>
                <w:i/>
                <w:iCs/>
                <w:color w:val="auto"/>
                <w:sz w:val="24"/>
                <w:szCs w:val="24"/>
                <w:highlight w:val="none"/>
                <w:u w:val="single"/>
                <w:lang w:val="en-US" w:eastAsia="zh-CN" w:bidi="ar-SA"/>
              </w:rPr>
              <w:t>、具备以太网通讯功能；GPS定位以及地图展示功能；门禁报警功能；断电检测功能。</w:t>
            </w:r>
          </w:p>
          <w:p w14:paraId="15CAD47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、具备断网检测功能；防雷失效检测功能；RS485通讯功能；时钟功能以及电池充电功能。</w:t>
            </w:r>
          </w:p>
          <w:p w14:paraId="3E601AB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2</w:t>
            </w:r>
            <w:r>
              <w:rPr>
                <w:rFonts w:ascii="Times New Roman" w:hAnsi="Times New Roman" w:eastAsia="宋体" w:cs="Times New Roman"/>
                <w:color w:val="auto"/>
                <w:sz w:val="24"/>
                <w:szCs w:val="24"/>
                <w:highlight w:val="none"/>
                <w:lang w:val="en-US" w:eastAsia="zh-CN" w:bidi="ar-SA"/>
              </w:rPr>
              <w:t>、环境监测：支持箱体内部温湿度检测，温度量程：-40-+125℃，湿度量程0-100%RH。</w:t>
            </w:r>
          </w:p>
          <w:p w14:paraId="4EDEAB4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、断电</w:t>
            </w:r>
            <w:r>
              <w:rPr>
                <w:rFonts w:hint="eastAsia" w:ascii="Times New Roman" w:hAnsi="Times New Roman" w:eastAsia="宋体" w:cs="Times New Roman"/>
                <w:i/>
                <w:iCs/>
                <w:color w:val="auto"/>
                <w:sz w:val="24"/>
                <w:szCs w:val="24"/>
                <w:highlight w:val="none"/>
                <w:u w:val="single"/>
                <w:lang w:val="en-US" w:eastAsia="zh-CN" w:bidi="ar-SA"/>
              </w:rPr>
              <w:t>、</w:t>
            </w:r>
            <w:r>
              <w:rPr>
                <w:rFonts w:ascii="Times New Roman" w:hAnsi="Times New Roman" w:eastAsia="宋体" w:cs="Times New Roman"/>
                <w:i/>
                <w:iCs/>
                <w:color w:val="auto"/>
                <w:sz w:val="24"/>
                <w:szCs w:val="24"/>
                <w:highlight w:val="none"/>
                <w:u w:val="single"/>
                <w:lang w:val="en-US" w:eastAsia="zh-CN" w:bidi="ar-SA"/>
              </w:rPr>
              <w:t>温度</w:t>
            </w:r>
            <w:r>
              <w:rPr>
                <w:rFonts w:hint="eastAsia" w:ascii="Times New Roman" w:hAnsi="Times New Roman" w:eastAsia="宋体" w:cs="Times New Roman"/>
                <w:i/>
                <w:iCs/>
                <w:color w:val="auto"/>
                <w:sz w:val="24"/>
                <w:szCs w:val="24"/>
                <w:highlight w:val="none"/>
                <w:u w:val="single"/>
                <w:lang w:val="en-US" w:eastAsia="zh-CN" w:bidi="ar-SA"/>
              </w:rPr>
              <w:t>、</w:t>
            </w:r>
            <w:r>
              <w:rPr>
                <w:rFonts w:ascii="Times New Roman" w:hAnsi="Times New Roman" w:eastAsia="宋体" w:cs="Times New Roman"/>
                <w:i/>
                <w:iCs/>
                <w:color w:val="auto"/>
                <w:sz w:val="24"/>
                <w:szCs w:val="24"/>
                <w:highlight w:val="none"/>
                <w:u w:val="single"/>
                <w:lang w:val="en-US" w:eastAsia="zh-CN" w:bidi="ar-SA"/>
              </w:rPr>
              <w:t>网络异常：支持远程中心平台报警。</w:t>
            </w:r>
          </w:p>
          <w:p w14:paraId="390B568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4</w:t>
            </w:r>
            <w:r>
              <w:rPr>
                <w:rFonts w:ascii="Times New Roman" w:hAnsi="Times New Roman" w:eastAsia="宋体" w:cs="Times New Roman"/>
                <w:i/>
                <w:iCs/>
                <w:color w:val="auto"/>
                <w:sz w:val="24"/>
                <w:szCs w:val="24"/>
                <w:highlight w:val="none"/>
                <w:u w:val="single"/>
                <w:lang w:val="en-US" w:eastAsia="zh-CN" w:bidi="ar-SA"/>
              </w:rPr>
              <w:t>、温度调节：支持远程控制风扇。</w:t>
            </w:r>
          </w:p>
          <w:p w14:paraId="7AE1BBA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5</w:t>
            </w:r>
            <w:r>
              <w:rPr>
                <w:rFonts w:ascii="Times New Roman" w:hAnsi="Times New Roman" w:eastAsia="宋体" w:cs="Times New Roman"/>
                <w:i/>
                <w:iCs/>
                <w:color w:val="auto"/>
                <w:sz w:val="24"/>
                <w:szCs w:val="24"/>
                <w:highlight w:val="none"/>
                <w:u w:val="single"/>
                <w:lang w:val="en-US" w:eastAsia="zh-CN" w:bidi="ar-SA"/>
              </w:rPr>
              <w:t>、防护等级：不低于IP55。</w:t>
            </w:r>
          </w:p>
          <w:p w14:paraId="18CFEF52">
            <w:pPr>
              <w:spacing w:line="440" w:lineRule="exact"/>
              <w:rPr>
                <w:rFonts w:hint="default" w:ascii="Times New Roman" w:hAnsi="Times New Roman" w:eastAsia="宋体" w:cs="Times New Roman"/>
                <w:i/>
                <w:iCs w:val="0"/>
                <w:color w:val="auto"/>
                <w:sz w:val="24"/>
                <w:highlight w:val="none"/>
                <w:u w:val="single"/>
                <w:lang w:val="en-US" w:eastAsia="zh-CN"/>
              </w:rPr>
            </w:pPr>
            <w:r>
              <w:rPr>
                <w:rFonts w:hint="eastAsia" w:ascii="Times New Roman" w:hAnsi="Times New Roman" w:eastAsia="宋体" w:cs="Times New Roman"/>
                <w:i/>
                <w:iCs w:val="0"/>
                <w:color w:val="auto"/>
                <w:sz w:val="24"/>
                <w:highlight w:val="none"/>
                <w:u w:val="single"/>
                <w:lang w:val="en-US" w:eastAsia="zh-CN"/>
              </w:rPr>
              <w:t>16、支持无缝接入张家港现有智能箱运维管理平台，接口要求如下：</w:t>
            </w:r>
          </w:p>
          <w:p w14:paraId="1F5C022C">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1）数据接口基于SNMP标准协议，符合RFC1901- RFC1908；</w:t>
            </w:r>
          </w:p>
          <w:p w14:paraId="1076C58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2）以太网口应使用TCP/IP协议，TCP协议应符合RFC0793，IP协议应符合RFC0791</w:t>
            </w:r>
          </w:p>
        </w:tc>
      </w:tr>
      <w:tr w14:paraId="6BA23A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3E686C6">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42E62EE">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CF9784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4.2.5 接入接口要求</w:t>
            </w:r>
          </w:p>
          <w:p w14:paraId="2CF4879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◆1、视频接口：应满足联网系统对前端信息的响应时间和动态带宽要求，支持以流媒体的方式传输，并符合GB/T 25724-2017《公共安全视频监控数字视音频编解码技术要求》。</w:t>
            </w:r>
          </w:p>
          <w:p w14:paraId="768EDC3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2、前端设备控制接口：前端设备控制接口实现对前端设备的遥控，支持使用TIA/EIA-485-A或TCP/IP接口。</w:t>
            </w:r>
          </w:p>
          <w:p w14:paraId="6CABA49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采集设备的传输接口应与联网系统整体传输模式相协调，其传输接口带宽应与采集到的前端信息量和信息流量、系统响应速度相适应，采集设备的信息传输控制方式应与信息特点相适应，高清摄像机需满足GB/T 28181-2016要求。</w:t>
            </w:r>
          </w:p>
        </w:tc>
      </w:tr>
      <w:tr w14:paraId="51F73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510A164">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36F6920">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9C4871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4.3 高清电子警察系统技术要求</w:t>
            </w:r>
          </w:p>
        </w:tc>
      </w:tr>
      <w:tr w14:paraId="36712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E0CF35C">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B682E5E">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BB021A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4.3.1 高清电子警察系统功能要求</w:t>
            </w:r>
          </w:p>
          <w:p w14:paraId="1239B3A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总体要求:</w:t>
            </w:r>
            <w:r>
              <w:rPr>
                <w:rFonts w:ascii="Times New Roman" w:hAnsi="Times New Roman" w:eastAsia="宋体" w:cs="Times New Roman"/>
                <w:i/>
                <w:iCs/>
                <w:color w:val="auto"/>
                <w:sz w:val="24"/>
                <w:szCs w:val="24"/>
                <w:highlight w:val="none"/>
                <w:u w:val="single"/>
                <w:lang w:val="en-US" w:eastAsia="zh-CN" w:bidi="ar-SA"/>
              </w:rPr>
              <w:t>违法抓拍类设备需要</w:t>
            </w:r>
            <w:r>
              <w:rPr>
                <w:rFonts w:hint="eastAsia" w:ascii="Times New Roman" w:hAnsi="Times New Roman" w:eastAsia="宋体" w:cs="Times New Roman"/>
                <w:i/>
                <w:iCs/>
                <w:color w:val="auto"/>
                <w:sz w:val="24"/>
                <w:szCs w:val="24"/>
                <w:highlight w:val="none"/>
                <w:u w:val="single"/>
                <w:lang w:val="en-US" w:eastAsia="zh-CN" w:bidi="ar-SA"/>
              </w:rPr>
              <w:t>接入</w:t>
            </w:r>
            <w:r>
              <w:rPr>
                <w:rFonts w:ascii="Times New Roman" w:hAnsi="Times New Roman" w:eastAsia="宋体" w:cs="Times New Roman"/>
                <w:i/>
                <w:iCs/>
                <w:color w:val="auto"/>
                <w:sz w:val="24"/>
                <w:szCs w:val="24"/>
                <w:highlight w:val="none"/>
                <w:u w:val="single"/>
                <w:lang w:val="en-US" w:eastAsia="zh-CN" w:bidi="ar-SA"/>
              </w:rPr>
              <w:t>张家港市交通警察大队现有非现场执法平台，由平台端提供接入协议及相应接口规范。对接完成后，能实现违法图片、违法信息、违法关联录像自动上传集指平台。</w:t>
            </w:r>
          </w:p>
          <w:p w14:paraId="29FF43D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闯红灯行为记录功能：闯红灯车辆捕获率、记录有效率参见功能技术指标响应表。记录文件符合《闯红灯自动记录系统通用技术条件》（GA/T496-2014）、《道路交通安全违法行为图像取证技术规范》（GA/T832-2014）。</w:t>
            </w:r>
          </w:p>
          <w:p w14:paraId="58FBBAB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驾驶人面部特征记录功能：在本项目所有路口电子警察杆件上增加车辆正向采集的摄像机，通过路口终端服务器实现驾驶人面部特征记录功能，将违法行为与对应车辆的正向图片匹配起来，从而将违法行为固定到驾驶人。</w:t>
            </w:r>
          </w:p>
          <w:p w14:paraId="7E2545B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◆3、信号灯视频识别功能：在本项目所有路口电子警察设备具备视频识别红黄绿三种灯色信号，并将视频识别的数据按要求上传到交警大队指定的系统平台中。</w:t>
            </w:r>
          </w:p>
          <w:p w14:paraId="669468D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图像记录存储功能：系统记录的车辆信息除车辆图像信息外，还应记录车辆的通行信息，如时间、地点、方向、号牌号码、号牌颜色、车道编号等，并将相关信息叠加到图片上。实现车辆采集、车辆号牌全自动识别、以及相关控制数据存储等功能。车辆图像捕获时应不受雨、雪、雾等天气、环境光和相临车道通行车辆的影响而出现误记录。在环境无雾包括雨雪天气下，监控区域内规范行驶的车辆被记录的图片应能看清车辆类型、颜色和所载货物等。</w:t>
            </w:r>
          </w:p>
          <w:p w14:paraId="17DB514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◆5、前端备份存储功能：系统采集的图片、视频可在设备前端做备份存储，按照数据存储时长的要求配置不同容量的硬盘。系统可根据预先的空间分配，优先保证足够的图片存储空间，保证核心数据不丢失。</w:t>
            </w:r>
          </w:p>
          <w:p w14:paraId="05B9858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◆6、闯红灯捕获率：在标注的适用条件下，闯红灯捕获率应不小于90％。</w:t>
            </w:r>
          </w:p>
          <w:p w14:paraId="734484B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◆7、记录有效率：在标注的适用条件下，记录有效率应不小于80％。</w:t>
            </w:r>
          </w:p>
          <w:p w14:paraId="07ECDE9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◆8、计时误差：闯红灯自动记录系统24h计时误差应不超过1s。</w:t>
            </w:r>
          </w:p>
          <w:p w14:paraId="7ED7FA7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9、数据传输：数据传输要求：闯红灯自动记录系统应具备联网数据传输或现场数据下载功能。联网数据传输：通过网络将机动车闯红灯信息自动传输到指定数据中心，且信息传输应具有防丢失、防篡改等功能。现场数据下载：现场将机动车闯红灯信息人工或自动下载到存储介质中后带回数据中心，下载过程不得删改原始信息，且应自动生成下载日志信息，包括下载人、下载时间等信息。</w:t>
            </w:r>
          </w:p>
          <w:p w14:paraId="013ECDC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10、号牌识别功能：系统应支持摄像机内置车牌识别功能，能识别的号牌结构应包括：单排字符结构的号牌，如军队用小型汽车号牌、GA36-2007中的小型汽车号牌、港澳入出境车号牌、教练汽车号牌等；可识别武警用小型汽车号牌；可识别警用汽车号牌；可识别新能源车辆号牌；双排字符结构的号牌，如军队用大型汽车号牌、武警用大型汽车号牌、GA36-2007中的大型汽车号牌、挂车号牌、低速汽车号牌、摩托车号牌等。号牌字符识别：应识别的字符包括：</w:t>
            </w:r>
          </w:p>
          <w:p w14:paraId="3C7B3FBC">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①</w:t>
            </w:r>
            <w:r>
              <w:rPr>
                <w:rFonts w:ascii="Times New Roman" w:hAnsi="Times New Roman" w:eastAsia="宋体" w:cs="Times New Roman"/>
                <w:color w:val="auto"/>
                <w:sz w:val="24"/>
                <w:szCs w:val="24"/>
                <w:highlight w:val="none"/>
                <w:lang w:val="en-US" w:eastAsia="zh-CN" w:bidi="ar-SA"/>
              </w:rPr>
              <w:t>数字：0~9；</w:t>
            </w:r>
          </w:p>
          <w:p w14:paraId="687C65D1">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②</w:t>
            </w:r>
            <w:r>
              <w:rPr>
                <w:rFonts w:ascii="Times New Roman" w:hAnsi="Times New Roman" w:eastAsia="宋体" w:cs="Times New Roman"/>
                <w:color w:val="auto"/>
                <w:sz w:val="24"/>
                <w:szCs w:val="24"/>
                <w:highlight w:val="none"/>
                <w:lang w:val="en-US" w:eastAsia="zh-CN" w:bidi="ar-SA"/>
              </w:rPr>
              <w:t>字母：A~Z；</w:t>
            </w:r>
          </w:p>
          <w:p w14:paraId="1431D366">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③</w:t>
            </w:r>
            <w:r>
              <w:rPr>
                <w:rFonts w:ascii="Times New Roman" w:hAnsi="Times New Roman" w:eastAsia="宋体" w:cs="Times New Roman"/>
                <w:color w:val="auto"/>
                <w:sz w:val="24"/>
                <w:szCs w:val="24"/>
                <w:highlight w:val="none"/>
                <w:lang w:val="en-US" w:eastAsia="zh-CN" w:bidi="ar-SA"/>
              </w:rPr>
              <w:t>省、自治区、直辖市简称：京、津、晋、冀、蒙、辽、吉、黑、沪、苏、浙、皖、闽、赣、鲁、豫、鄂、湘、粤、桂、琼、川、贵、云、藏、陕、甘、青、宁、新、渝；</w:t>
            </w:r>
          </w:p>
          <w:p w14:paraId="3291C0C5">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④</w:t>
            </w:r>
            <w:r>
              <w:rPr>
                <w:rFonts w:ascii="Times New Roman" w:hAnsi="Times New Roman" w:eastAsia="宋体" w:cs="Times New Roman"/>
                <w:color w:val="auto"/>
                <w:sz w:val="24"/>
                <w:szCs w:val="24"/>
                <w:highlight w:val="none"/>
                <w:lang w:val="en-US" w:eastAsia="zh-CN" w:bidi="ar-SA"/>
              </w:rPr>
              <w:t>军牌用汉字：军、海、空、北、沈、南、兰、广、成、济、京；</w:t>
            </w:r>
          </w:p>
          <w:p w14:paraId="3949E04A">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⑤</w:t>
            </w:r>
            <w:r>
              <w:rPr>
                <w:rFonts w:ascii="Times New Roman" w:hAnsi="Times New Roman" w:eastAsia="宋体" w:cs="Times New Roman"/>
                <w:color w:val="auto"/>
                <w:sz w:val="24"/>
                <w:szCs w:val="24"/>
                <w:highlight w:val="none"/>
                <w:lang w:val="en-US" w:eastAsia="zh-CN" w:bidi="ar-SA"/>
              </w:rPr>
              <w:t>号牌分类用汉字：警、学、领、试、挂、港、澳、超、使；</w:t>
            </w:r>
          </w:p>
          <w:p w14:paraId="1E4DAA75">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⑥</w:t>
            </w:r>
            <w:r>
              <w:rPr>
                <w:rFonts w:ascii="Times New Roman" w:hAnsi="Times New Roman" w:eastAsia="宋体" w:cs="Times New Roman"/>
                <w:color w:val="auto"/>
                <w:sz w:val="24"/>
                <w:szCs w:val="24"/>
                <w:highlight w:val="none"/>
                <w:lang w:val="en-US" w:eastAsia="zh-CN" w:bidi="ar-SA"/>
              </w:rPr>
              <w:t>武警号牌特殊字符：WJ、00~34、练。</w:t>
            </w:r>
          </w:p>
          <w:p w14:paraId="1111E05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号牌颜色识别：系统应至少能识别蓝、黄、白、黑四种底色的机动车号牌。车辆号牌识别要求：车辆前号牌识别准确率白天应大于95%，夜间应大于90%，可全天候识别（除摩托车号牌、低速车号牌、临时号牌、农用拖拉机号牌外）。号牌识别信息包含号牌结构、号牌字符、号牌颜色等信息。</w:t>
            </w:r>
          </w:p>
          <w:p w14:paraId="52C6CF1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◆11、车型识别功能：系统采用车牌颜色和视频检测技术结合的方法对车辆类型进行判别，可对四轮车进行4种车型进行识别（轿车、客车、大货车、小货车）以及摩托车进行识别。</w:t>
            </w:r>
          </w:p>
          <w:p w14:paraId="7909272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12、系统应支持高清视频录像功能：系统应具备录像功能，采用H.264、MPEG4或MJPEG编码标准，视频质量不低于720P及8fps，并能确保前端存储连续录像时间不小于7日；录像支持OSD信息叠加，叠加的信息至少包括日期、时间（精确到秒）、监控点名称、设备编号等信息。录像中能清晰地反映车辆的颜色、车辆类型、运动轨迹；并提供录像查询、录像下载等功能。</w:t>
            </w:r>
          </w:p>
          <w:p w14:paraId="577129D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◆13、通过车辆图像记录功能：应能清晰记录通过车辆的图片。</w:t>
            </w:r>
          </w:p>
          <w:p w14:paraId="08A25BE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14、逆行记录功能：应能清晰记录逆行车辆的图片，图片应符合GA/T 832的要求。</w:t>
            </w:r>
          </w:p>
          <w:p w14:paraId="1CAAC5E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15、不按所需行进方向驶入导向车道记录功能：应能清晰记录不按所需行进方向驶入导向车道的图片，图片应符合GA/T 832的要求。</w:t>
            </w:r>
          </w:p>
          <w:p w14:paraId="004E100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16、不按规定车道行驶记录功能：应能清晰记录不按规定车道行驶车辆的图片，图片应符合GA/T 832的要求。</w:t>
            </w:r>
          </w:p>
          <w:p w14:paraId="49B4AED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17、实线变道行驶记录功能以及大型车右转必停抓拍功能：应能清晰记录实线变道行驶车辆的图片，以及大型车辆右转必停抓拍功能，图片应符合GA/T 832的要求。</w:t>
            </w:r>
          </w:p>
          <w:p w14:paraId="426CCDC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18、交通参数采集功能：通过检测数据，统计交通流参数，包括每个方向每个车道的流量、车速、时间占有率、车长、车头时距等，其中流量采集准确度不小于90%；交通数据统计周期可按需求进行设置和输出，并支持丰富的图形报表及数据导出。同时，可通过网络接口将流量数据信息传递给路口信号机，实现电子警察和信号机的信息互联互通，数据传输符合GA/T 920-2010《道路交通信号控制机与车辆检测器间的通信协议》。并可以通过标准GB/T28181协议和中心的PGIS平台对接，根据需求传输平台所需交通参数。</w:t>
            </w:r>
          </w:p>
          <w:p w14:paraId="437BC43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19、布控/撤控报警功能：系统应具有针对超速车辆、黑名单里的被盗抢车辆和交通肇事逃逸车辆能实时布控报警，具有现场报警和远程报警功能。可设置布控/撤控时间，布控时间内当通过车辆与用户事先录入的被盗抢车辆或交通肇事逃逸等黑名单车辆的牌照号码及车型等信息特征相符合时，系统在现场可以立即以声光进行报警，提醒值班人员有可疑车辆通过。</w:t>
            </w:r>
          </w:p>
          <w:p w14:paraId="57836FC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20、断点续传功能：系统应支持多种方式的数据传输。可通过FTP方式自动上传违法数据、车辆通过信息（时间、地点、车牌号码等）、设备监测数据、流量统计数据等到中心管理系统；也可在中心通过TCP/IP网络下载操控前端设备。如因网络中断或其它故障，信息备份存储于前端设备中，待故障恢复后自动上传。</w:t>
            </w:r>
          </w:p>
          <w:p w14:paraId="19C51E0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21、水印加密防篡改功能：系统应具有水印加密功能，图像、录像在前端摄像机内部进行加密处理，防止在传输、存储、处理等过程中被人为修改，管理中心在接收到前端传回的图片、录像时需要进行算法验证，确认是否有被篡改，保证执法的真实、公平、公正。</w:t>
            </w:r>
          </w:p>
          <w:p w14:paraId="6692F59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◆22、自适应补光功能：为保证系统在各种光线条件下的成像清晰，系统须采用自适应控制补光技术。必须进行防炫目处理，不能对驾驶人员安全驾驶造成影响。</w:t>
            </w:r>
          </w:p>
          <w:p w14:paraId="2647DBD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23、智能补光功能：系统前端设备能根据光线的变化或时间的控制自动改变摄像设备的工作参数，自动打开或关闭补光设备，确保记录图片的清晰。同时根据现场情况可对补光灯进行光栅增补,减少市区光污染。补光灯采用频闪技术，与高清摄像机采集频率完全匹配，在达到最大补光效果的同时降低灯光对周围环境的影响，不会对驾驶人造成直接强光刺激。</w:t>
            </w:r>
          </w:p>
          <w:p w14:paraId="0025C32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◆24、中心校时功能：系统应可接受中心的校时命令，完成统一精准校时功能。</w:t>
            </w:r>
          </w:p>
          <w:p w14:paraId="24A51AB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◆25、卡口功能：系统具备卡口功能，对所有经由监控点车道的所有车辆进行图像记录，车辆捕获率不低于99%。</w:t>
            </w:r>
          </w:p>
          <w:p w14:paraId="558D424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◆26、车型判别功能（卡口摄像机功能）：系统采用车牌颜色和视频检测技术结合的方法对车辆类型进行判别，可对7种车型进行识别（大货车、小货车、客车、轿车、面包车、中型客车、SUV-MPV）。</w:t>
            </w:r>
          </w:p>
          <w:p w14:paraId="69C8974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◆27、车标识别功能（卡口摄像机功能）：系统采用视频检测技术对车标进行识别，可对200种车标进行识别，可供用户根据车标来查询通行车辆。</w:t>
            </w:r>
          </w:p>
          <w:p w14:paraId="2BD5E21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◆28、车辆子品牌识别功能（卡口摄像机功能）：系统采用视频检测技术对车辆子品牌进行识别，可对1018种车辆子品牌进行识别，可供用户根据车辆子品牌来查询通行车辆。</w:t>
            </w:r>
          </w:p>
          <w:p w14:paraId="05FD932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◆29、未系安全带检测功能（卡口摄像机功能）：系统采用视频检测技术，对未系安全带行为进行检测。</w:t>
            </w:r>
          </w:p>
          <w:p w14:paraId="4A0C31B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◆30、接打电话检测功能（卡口摄像机功能）：系统采用视频检测技术，实现对前排驾驶人接打电话状态的检测。</w:t>
            </w:r>
          </w:p>
          <w:p w14:paraId="7510DA6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◆31、人脸特征抠图（卡口摄像机功能）：系统采用视频检测技术对驾驶室人脸特征进行检测，并将人脸特征抠出。</w:t>
            </w:r>
          </w:p>
          <w:p w14:paraId="7CB7EB8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◆32、打开遮阳板检测（卡口摄像机功能）：系统采用视频检测技术对打开遮阳板进行检测。</w:t>
            </w:r>
          </w:p>
          <w:p w14:paraId="7CE0EC0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33、车身颜色识别功能（卡口摄像机功能）：系统可自动对车身深浅和颜色进行识别，可供用户根据车身颜色来查询通行车辆。系统可自动区分出车辆为深色车辆还是浅色车辆；并识别出11种常见车身颜色，11种颜色包括：白，灰(银)，黄、粉、红、绿、蓝、棕、黑、紫、青。</w:t>
            </w:r>
          </w:p>
          <w:p w14:paraId="1774BB6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◆34、相位同步功能：系统视频帧率应与工频保持整数倍约束关系，以保证拍摄的外部工频设备，如红绿灯等设备，不会变暗或者变黑。</w:t>
            </w:r>
          </w:p>
          <w:p w14:paraId="49A8B98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35、设备管理及运维功能：系统应提供设备编号、设备时钟、设备运行状态监测设置等设备参数配置，可通过前端人机交互界面进行现场配置，也可以在中央远程配置及获取校验。具备故障自动检测功能，能通过软硬件自动检测系统故障并恢复正常工作。应具有断电自动重启复位、自动侦错报错、自动监测主要设备（摄像机、服务器等）等远程维护功能，并提供设备故障报警、系统现场登陆等信息。</w:t>
            </w:r>
          </w:p>
          <w:p w14:paraId="120E8C5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◆36、设备具备机动车行驶时车内人员向道路上抛撒物品抓拍功能。</w:t>
            </w:r>
          </w:p>
          <w:p w14:paraId="7439925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◆37、网管功能：系统具备网管运维功能，对各种服务器资源、设备资源的运行状态、卡口的工作状态、用户在线状态进行定期巡检，并在平台运维模块中展现状态统计信息。</w:t>
            </w:r>
          </w:p>
          <w:p w14:paraId="38CA319A">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①</w:t>
            </w:r>
            <w:r>
              <w:rPr>
                <w:rFonts w:ascii="Times New Roman" w:hAnsi="Times New Roman" w:eastAsia="宋体" w:cs="Times New Roman"/>
                <w:color w:val="auto"/>
                <w:sz w:val="24"/>
                <w:szCs w:val="24"/>
                <w:highlight w:val="none"/>
                <w:lang w:val="en-US" w:eastAsia="zh-CN" w:bidi="ar-SA"/>
              </w:rPr>
              <w:t>服务器运行状态监测：系统支持对各类服务器运行状态进行统计，统计内容包括服务器类型、服务器总数、正常数、在线异常数、离线数、未注册数、未知数。系统支持对服务器的当前运行状态和历史运行状态进行查询，支持远程配置和远程重启。</w:t>
            </w:r>
          </w:p>
          <w:p w14:paraId="2C1BACE5">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②</w:t>
            </w:r>
            <w:r>
              <w:rPr>
                <w:rFonts w:ascii="Times New Roman" w:hAnsi="Times New Roman" w:eastAsia="宋体" w:cs="Times New Roman"/>
                <w:color w:val="auto"/>
                <w:sz w:val="24"/>
                <w:szCs w:val="24"/>
                <w:highlight w:val="none"/>
                <w:lang w:val="en-US" w:eastAsia="zh-CN" w:bidi="ar-SA"/>
              </w:rPr>
              <w:t>设备状态监测：系统支持对各类设备运行状态进行统计，统计内容包括设备类型、设备总数、正常数、在线异常数、离线数、未注数、设备在线率、监控点总数。系统支持对设备的当前运行状态和历史运行状态进行查询，支持远程配置和远程重启。</w:t>
            </w:r>
          </w:p>
          <w:p w14:paraId="07019C07">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③</w:t>
            </w:r>
            <w:r>
              <w:rPr>
                <w:rFonts w:ascii="Times New Roman" w:hAnsi="Times New Roman" w:eastAsia="宋体" w:cs="Times New Roman"/>
                <w:color w:val="auto"/>
                <w:sz w:val="24"/>
                <w:szCs w:val="24"/>
                <w:highlight w:val="none"/>
                <w:lang w:val="en-US" w:eastAsia="zh-CN" w:bidi="ar-SA"/>
              </w:rPr>
              <w:t>卡口状态监测：系统支持对卡口运行状态进行统计，统计内容包括组织名称、卡口总数、卡口正常数、卡口异常数、卡口异常百分率。系统支持对卡口的当前运行状态和历史运行状态进行查询。</w:t>
            </w:r>
          </w:p>
          <w:p w14:paraId="1B1ED6AE">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④</w:t>
            </w:r>
            <w:r>
              <w:rPr>
                <w:rFonts w:ascii="Times New Roman" w:hAnsi="Times New Roman" w:eastAsia="宋体" w:cs="Times New Roman"/>
                <w:color w:val="auto"/>
                <w:sz w:val="24"/>
                <w:szCs w:val="24"/>
                <w:highlight w:val="none"/>
                <w:lang w:val="en-US" w:eastAsia="zh-CN" w:bidi="ar-SA"/>
              </w:rPr>
              <w:t>用户状态监测：系统支持用户在线状态统计，统计内容包括组织名称、用户总数、用户在线总数。系统支持对用户的历史登陆状态进行记录，记录内容包括在线状态、登陆次数、登陆方式、上线时间、登陆地址等。</w:t>
            </w:r>
          </w:p>
          <w:p w14:paraId="71D5039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38、资产管理功能：组织机构内部管理中会涉及各种视频监控设备、抓拍机、服务器等多种用户固定资产资源。系统具备资产管理功能，可实现对资产信息的录入、编辑、查询、维护、报废、统计报表等业务应用功能。</w:t>
            </w:r>
          </w:p>
          <w:p w14:paraId="3140F79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39、查询功能：系统应能对车辆通行信息、车辆违法信息、布控/撤控信息、系统运行日志信息、系统操作日志等信息按不同条件进行查询统计。包括通行车辆的实时监控、车辆精确查询、模糊查询、布控查询、报警查询、通行车辆流量统计等功能，查询的信息可以多种形式打印输出。</w:t>
            </w:r>
          </w:p>
          <w:p w14:paraId="44C3491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40、权限设置和日志记录功能：系统应具备权限管理设置功能，能够对不同对象分配不同类型的使用权限。系统应具备日志记录功能。可记录主要设备、网络状态日志和主要运行软件的工作日志，还能记录设备或者网络状态改变（重启、或者重新连接）、主要软件发生重启或故障等事件日志。系统应具有时钟校时功能，24h内设备的计时误差不超过1.0s。闯红灯自动记录系统24h计时误差应不超过1s。</w:t>
            </w:r>
          </w:p>
          <w:p w14:paraId="59BB467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◆41、逆行：捕获率应不小于80%，记录有效率应不小于80%。</w:t>
            </w:r>
          </w:p>
          <w:p w14:paraId="4853BA8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不按所需行进方向驶入导向车道：捕获率应不小于80%，记录有效率应不小于80%。</w:t>
            </w:r>
          </w:p>
          <w:p w14:paraId="372AAB9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不按规定车道行驶：捕获率应不小于80%，记录有效率应不小于80%。卡口车辆捕获率：不低于99%。车型判别：准确度不低于85%。车标识别：准确度不低于85%。车辆子品牌识别：准确度不低于85%。</w:t>
            </w:r>
          </w:p>
        </w:tc>
      </w:tr>
      <w:tr w14:paraId="10A88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0E92240">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331FFFC">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9ABECF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4.3.2 微光高清抓拍单元1（尾牌）</w:t>
            </w:r>
          </w:p>
          <w:p w14:paraId="2FA1C03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1、包含一体化高清摄像机、高清镜头、室外防护罩、相机内置网络信号防雷器、电源适配器等。</w:t>
            </w:r>
          </w:p>
          <w:p w14:paraId="2C7982B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2、传感器类型采用</w:t>
            </w:r>
            <w:r>
              <w:rPr>
                <w:rFonts w:hint="eastAsia" w:ascii="Times New Roman" w:hAnsi="Times New Roman" w:eastAsia="宋体" w:cs="Times New Roman"/>
                <w:i/>
                <w:iCs/>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1.1英寸CMOS，内含深度学习芯片，内含≥128G存储卡。</w:t>
            </w:r>
          </w:p>
          <w:p w14:paraId="6E493022">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w:t>
            </w:r>
            <w:r>
              <w:rPr>
                <w:rFonts w:hint="eastAsia" w:ascii="Times New Roman" w:hAnsi="Times New Roman" w:eastAsia="宋体" w:cs="Times New Roman"/>
                <w:i/>
                <w:iCs/>
                <w:color w:val="auto"/>
                <w:sz w:val="24"/>
                <w:szCs w:val="24"/>
                <w:highlight w:val="none"/>
                <w:u w:val="single"/>
                <w:lang w:val="en-US" w:eastAsia="zh-CN" w:bidi="ar-SA"/>
              </w:rPr>
              <w:t>、</w:t>
            </w:r>
            <w:r>
              <w:rPr>
                <w:rFonts w:ascii="Times New Roman" w:hAnsi="Times New Roman" w:eastAsia="宋体" w:cs="Times New Roman"/>
                <w:i/>
                <w:iCs/>
                <w:color w:val="auto"/>
                <w:sz w:val="24"/>
                <w:szCs w:val="24"/>
                <w:highlight w:val="none"/>
                <w:u w:val="single"/>
                <w:lang w:val="en-US" w:eastAsia="zh-CN" w:bidi="ar-SA"/>
              </w:rPr>
              <w:t>最低照度满足：彩色：≤0.0002lx，黑白：≤0.0001 lx。</w:t>
            </w:r>
          </w:p>
          <w:p w14:paraId="615BCFBF">
            <w:pPr>
              <w:spacing w:line="440" w:lineRule="exact"/>
              <w:rPr>
                <w:rFonts w:ascii="Times New Roman" w:hAnsi="Times New Roman" w:eastAsia="宋体" w:cs="Times New Roman"/>
                <w:b/>
                <w:bCs/>
                <w:i/>
                <w:iCs/>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bidi="ar-SA"/>
              </w:rPr>
              <w:t>▲</w:t>
            </w:r>
            <w:r>
              <w:rPr>
                <w:rFonts w:ascii="Times New Roman" w:hAnsi="Times New Roman" w:eastAsia="宋体" w:cs="Times New Roman"/>
                <w:b/>
                <w:bCs/>
                <w:color w:val="auto"/>
                <w:sz w:val="24"/>
                <w:szCs w:val="24"/>
                <w:highlight w:val="none"/>
                <w:lang w:val="en-US" w:eastAsia="zh-CN" w:bidi="ar-SA"/>
              </w:rPr>
              <w:t>4、视频分辨率可设置为不小于5320×3032、4096×2160，抓图分辨率不小于5328×3040（不含OSD）</w:t>
            </w:r>
            <w:r>
              <w:rPr>
                <w:rFonts w:hint="eastAsia" w:ascii="Times New Roman" w:hAnsi="Times New Roman" w:eastAsia="宋体" w:cs="Times New Roman"/>
                <w:b/>
                <w:bCs/>
                <w:color w:val="auto"/>
                <w:sz w:val="24"/>
                <w:szCs w:val="24"/>
                <w:highlight w:val="none"/>
                <w:lang w:val="en-US" w:eastAsia="zh-CN" w:bidi="ar-SA"/>
              </w:rPr>
              <w:t>（投标时须在响应文件中提供第三方检测机构出具的合格检验报告或功能截图等相关证明材料）</w:t>
            </w:r>
          </w:p>
          <w:p w14:paraId="3B318F3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5、支持视频压缩标准，H.265、H.264、M-JEPG。</w:t>
            </w:r>
          </w:p>
          <w:p w14:paraId="1933886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◆6、具有单快门、双快门（半帧率/全帧率）、三快门共三种快门方式；具有抓拍快门、视频快门、识别快门共三种快门方式；支持快门自适应，支持快门1/1s~1/100000s可调。</w:t>
            </w:r>
          </w:p>
          <w:p w14:paraId="06C931C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7</w:t>
            </w:r>
            <w:r>
              <w:rPr>
                <w:rFonts w:ascii="Times New Roman" w:hAnsi="Times New Roman" w:eastAsia="宋体" w:cs="Times New Roman"/>
                <w:color w:val="auto"/>
                <w:sz w:val="24"/>
                <w:szCs w:val="24"/>
                <w:highlight w:val="none"/>
                <w:lang w:val="en-US" w:eastAsia="zh-CN" w:bidi="ar-SA"/>
              </w:rPr>
              <w:t>、支持图片字符叠加功能。</w:t>
            </w:r>
          </w:p>
          <w:p w14:paraId="5EA96D9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、支持对信号灯不亮进行检测，检测到该异常后可进行报警；支持对信号灯整个灯组都亮度不足进行检测，检测到该异常后可进行报警。</w:t>
            </w:r>
          </w:p>
          <w:p w14:paraId="700A49B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、支持对驾驶非机动车，摩托车人员未带头盔/帽子进行检测并抓拍图片。</w:t>
            </w:r>
          </w:p>
          <w:p w14:paraId="7948615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10</w:t>
            </w:r>
            <w:r>
              <w:rPr>
                <w:rFonts w:ascii="Times New Roman" w:hAnsi="Times New Roman" w:eastAsia="宋体" w:cs="Times New Roman"/>
                <w:color w:val="auto"/>
                <w:sz w:val="24"/>
                <w:szCs w:val="24"/>
                <w:highlight w:val="none"/>
                <w:lang w:val="en-US" w:eastAsia="zh-CN" w:bidi="ar-SA"/>
              </w:rPr>
              <w:t>、支持14种车身颜色识别。包括：黑、白、灰、红、绿、蓝、黄、粉、紫、棕、青、金、橙、银灰。在天气晴朗无雾，号牌无遮挡、无污损，白天环境光照度不低于200lx，夜晚辅助光照度不高于30lx的情况下进行测试(无牌车除外)：白天识别准确率≥99%；晚上识别准确率≥99%。</w:t>
            </w:r>
          </w:p>
          <w:p w14:paraId="22BB155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1</w:t>
            </w:r>
            <w:r>
              <w:rPr>
                <w:rFonts w:ascii="Times New Roman" w:hAnsi="Times New Roman" w:eastAsia="宋体" w:cs="Times New Roman"/>
                <w:color w:val="auto"/>
                <w:sz w:val="24"/>
                <w:szCs w:val="24"/>
                <w:highlight w:val="none"/>
                <w:lang w:val="en-US" w:eastAsia="zh-CN" w:bidi="ar-SA"/>
              </w:rPr>
              <w:t>1、支持双网口，2个网口具有独立的MAC地址，可以独立设置IP地址信息。</w:t>
            </w:r>
          </w:p>
          <w:p w14:paraId="56639E8D">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2、支持1400协议，支持GB35114安全加密，支持GB28181-2022协议。</w:t>
            </w:r>
          </w:p>
          <w:p w14:paraId="3E2DCED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◆13、支持大场景五车道闯红灯抓拍，闯红灯抓拍第一/二张图车牌清晰可见，其中第一张图车辆在停止线前，第二张图车辆越过停止线，第三张图车辆较第二张有明显位移，第二张图车牌像素可达100dpi。</w:t>
            </w:r>
          </w:p>
        </w:tc>
      </w:tr>
      <w:tr w14:paraId="73FAA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F30FC4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CBE793E">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F106EF5">
            <w:pPr>
              <w:spacing w:line="440" w:lineRule="exact"/>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4.3.3 </w:t>
            </w:r>
            <w:r>
              <w:rPr>
                <w:rFonts w:ascii="Times New Roman" w:hAnsi="Times New Roman" w:eastAsia="宋体" w:cs="Times New Roman"/>
                <w:b/>
                <w:color w:val="auto"/>
                <w:sz w:val="24"/>
                <w:szCs w:val="24"/>
                <w:highlight w:val="none"/>
                <w:lang w:val="en-US" w:eastAsia="zh-CN" w:bidi="ar-SA"/>
              </w:rPr>
              <w:t>微光高清抓拍单元（前牌）</w:t>
            </w:r>
          </w:p>
          <w:p w14:paraId="5E1B4B0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1、包含一体化高清摄像机、高清镜头、室外防护罩、相机内置网络信号防雷器、电源适配器，支持车辆及车内前排人员的检测抓拍，针对人员可输出清晰人脸特征图，用于比对分析。</w:t>
            </w:r>
          </w:p>
          <w:p w14:paraId="062A966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2、传感器类型采用</w:t>
            </w:r>
            <w:r>
              <w:rPr>
                <w:rFonts w:hint="eastAsia" w:ascii="Times New Roman" w:hAnsi="Times New Roman" w:eastAsia="宋体" w:cs="Times New Roman"/>
                <w:i/>
                <w:iCs/>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1.1英寸GS CMOS，内含深度学习芯片,视频分辨率不低于4096×2336，抓图分辨率不低于4096×2336。</w:t>
            </w:r>
          </w:p>
          <w:p w14:paraId="799C911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3、最低照度满足：彩色：≤0.0002lx，黑白：≤0.0001 lx。</w:t>
            </w:r>
          </w:p>
          <w:p w14:paraId="581A0CA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4</w:t>
            </w:r>
            <w:r>
              <w:rPr>
                <w:rFonts w:ascii="Times New Roman" w:hAnsi="Times New Roman" w:eastAsia="宋体" w:cs="Times New Roman"/>
                <w:color w:val="auto"/>
                <w:sz w:val="24"/>
                <w:szCs w:val="24"/>
                <w:highlight w:val="none"/>
                <w:lang w:val="en-US" w:eastAsia="zh-CN" w:bidi="ar-SA"/>
              </w:rPr>
              <w:t>、支持通过对监视画面对车道进行检测并自动划分检测区域,支持在水平倾斜范围最大40°的情况下能够对车牌进行识别。</w:t>
            </w:r>
          </w:p>
          <w:p w14:paraId="5929AD3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5</w:t>
            </w:r>
            <w:r>
              <w:rPr>
                <w:rFonts w:ascii="Times New Roman" w:hAnsi="Times New Roman" w:eastAsia="宋体" w:cs="Times New Roman"/>
                <w:color w:val="auto"/>
                <w:sz w:val="24"/>
                <w:szCs w:val="24"/>
                <w:highlight w:val="none"/>
                <w:lang w:val="en-US" w:eastAsia="zh-CN" w:bidi="ar-SA"/>
              </w:rPr>
              <w:t>、支持分别对</w:t>
            </w:r>
            <w:r>
              <w:rPr>
                <w:rFonts w:hint="eastAsia" w:ascii="Times New Roman" w:hAnsi="Times New Roman" w:eastAsia="宋体" w:cs="Times New Roman"/>
                <w:color w:val="auto"/>
                <w:sz w:val="24"/>
                <w:szCs w:val="24"/>
                <w:highlight w:val="none"/>
                <w:lang w:val="en-US" w:eastAsia="zh-CN" w:bidi="ar-SA"/>
              </w:rPr>
              <w:t>不少于</w:t>
            </w:r>
            <w:r>
              <w:rPr>
                <w:rFonts w:ascii="Times New Roman" w:hAnsi="Times New Roman" w:eastAsia="宋体" w:cs="Times New Roman"/>
                <w:color w:val="auto"/>
                <w:sz w:val="24"/>
                <w:szCs w:val="24"/>
                <w:highlight w:val="none"/>
                <w:lang w:val="en-US" w:eastAsia="zh-CN" w:bidi="ar-SA"/>
              </w:rPr>
              <w:t>24种不同的抓拍规则设置叠加不同的OSD信息。</w:t>
            </w:r>
          </w:p>
          <w:p w14:paraId="0F4931F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6</w:t>
            </w:r>
            <w:r>
              <w:rPr>
                <w:rFonts w:ascii="Times New Roman" w:hAnsi="Times New Roman" w:eastAsia="宋体" w:cs="Times New Roman"/>
                <w:color w:val="auto"/>
                <w:sz w:val="24"/>
                <w:szCs w:val="24"/>
                <w:highlight w:val="none"/>
                <w:lang w:val="en-US" w:eastAsia="zh-CN" w:bidi="ar-SA"/>
              </w:rPr>
              <w:t>、支持潮汐车道变换时间段设置，对车辆违反潮汐车道当前道路属性的行为进行抓拍。</w:t>
            </w:r>
          </w:p>
          <w:p w14:paraId="7E2CB92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7</w:t>
            </w:r>
            <w:r>
              <w:rPr>
                <w:rFonts w:ascii="Times New Roman" w:hAnsi="Times New Roman" w:eastAsia="宋体" w:cs="Times New Roman"/>
                <w:color w:val="auto"/>
                <w:sz w:val="24"/>
                <w:szCs w:val="24"/>
                <w:highlight w:val="none"/>
                <w:lang w:val="en-US" w:eastAsia="zh-CN" w:bidi="ar-SA"/>
              </w:rPr>
              <w:t>、支持未系安全带识别功能，白天准确率≥98%，晚上准确率≥98%;支持驾驶员打电话识别功能，识别准确率≥95%。</w:t>
            </w:r>
          </w:p>
          <w:p w14:paraId="2EDB983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、支持正向和背向的摩托车/非机动车未带头盔检测，摩托车、自行车、电动车、二轮/三轮车载人检测、载人人数统计功能，非机动车逆行抓拍功能，非机动车遮阳伞检测功能。</w:t>
            </w:r>
          </w:p>
          <w:p w14:paraId="4396DE1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、支持驾驶室人脸抠图，抓拍图片可以看清人脸，并可保存小图上传，主驾驶人脸抠图概率99%，副驾驶人脸抠图概率95%。</w:t>
            </w:r>
          </w:p>
          <w:p w14:paraId="2CBDC57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10</w:t>
            </w:r>
            <w:r>
              <w:rPr>
                <w:rFonts w:ascii="Times New Roman" w:hAnsi="Times New Roman" w:eastAsia="宋体" w:cs="Times New Roman"/>
                <w:color w:val="auto"/>
                <w:sz w:val="24"/>
                <w:szCs w:val="24"/>
                <w:highlight w:val="none"/>
                <w:lang w:val="en-US" w:eastAsia="zh-CN" w:bidi="ar-SA"/>
              </w:rPr>
              <w:t>、支持双网口，2个网口具有独立的MAC地址，可以独立设置IP地址信息。</w:t>
            </w:r>
          </w:p>
          <w:p w14:paraId="145F6608">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11</w:t>
            </w:r>
            <w:r>
              <w:rPr>
                <w:rFonts w:ascii="Times New Roman" w:hAnsi="Times New Roman" w:eastAsia="宋体" w:cs="Times New Roman"/>
                <w:i/>
                <w:iCs/>
                <w:color w:val="auto"/>
                <w:sz w:val="24"/>
                <w:szCs w:val="24"/>
                <w:highlight w:val="none"/>
                <w:u w:val="single"/>
                <w:lang w:val="en-US" w:eastAsia="zh-CN" w:bidi="ar-SA"/>
              </w:rPr>
              <w:t>、支持1400协议，支持GB35114安全加密，支持GB28181-2022协议。</w:t>
            </w:r>
          </w:p>
          <w:p w14:paraId="0F25E22F">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12</w:t>
            </w:r>
            <w:r>
              <w:rPr>
                <w:rFonts w:ascii="Times New Roman" w:hAnsi="Times New Roman" w:eastAsia="宋体" w:cs="Times New Roman"/>
                <w:color w:val="auto"/>
                <w:sz w:val="24"/>
                <w:szCs w:val="24"/>
                <w:highlight w:val="none"/>
                <w:lang w:val="en-US" w:eastAsia="zh-CN" w:bidi="ar-SA"/>
              </w:rPr>
              <w:t>、支持对信号灯不亮进行检测，检测到该异常后可进行报警；支持对信号灯整个灯组都亮度不足进行检测，检测到该异常后可进行报警</w:t>
            </w:r>
            <w:r>
              <w:rPr>
                <w:rFonts w:hint="eastAsia" w:ascii="Times New Roman" w:hAnsi="Times New Roman" w:eastAsia="宋体" w:cs="Times New Roman"/>
                <w:color w:val="auto"/>
                <w:sz w:val="24"/>
                <w:szCs w:val="24"/>
                <w:highlight w:val="none"/>
                <w:lang w:val="en-US" w:eastAsia="zh-CN" w:bidi="ar-SA"/>
              </w:rPr>
              <w:t>。</w:t>
            </w:r>
          </w:p>
          <w:p w14:paraId="378C301D">
            <w:pPr>
              <w:spacing w:line="440" w:lineRule="exact"/>
              <w:rPr>
                <w:rFonts w:hint="eastAsia"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b w:val="0"/>
                <w:bCs/>
                <w:color w:val="auto"/>
                <w:sz w:val="24"/>
                <w:szCs w:val="24"/>
                <w:highlight w:val="none"/>
                <w:lang w:val="en-US" w:eastAsia="zh-CN" w:bidi="ar-SA"/>
              </w:rPr>
              <w:t>车牌识别功能检查：支持牛眼灯下的车牌识别功能，抓拍图片车牌，抓拍图片车牌清晰可见</w:t>
            </w:r>
            <w:r>
              <w:rPr>
                <w:rFonts w:hint="eastAsia" w:ascii="Times New Roman" w:hAnsi="Times New Roman" w:eastAsia="宋体" w:cs="Times New Roman"/>
                <w:b w:val="0"/>
                <w:bCs/>
                <w:color w:val="auto"/>
                <w:sz w:val="24"/>
                <w:szCs w:val="24"/>
                <w:highlight w:val="none"/>
                <w:lang w:val="en-US" w:eastAsia="zh-CN" w:bidi="ar-SA"/>
              </w:rPr>
              <w:t>。</w:t>
            </w:r>
          </w:p>
        </w:tc>
      </w:tr>
      <w:tr w14:paraId="7A8CEA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4CB5267">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AF87B9A">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9240FB2">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4.3.4 智能补光灯</w:t>
            </w:r>
          </w:p>
          <w:p w14:paraId="4D474D7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◆1、多功能一体型，支持暖光LED频闪、暖光LED爆闪、白光氙气爆闪、红外氙气爆闪四种模式。</w:t>
            </w:r>
          </w:p>
          <w:p w14:paraId="3A5F575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2、光源：可见光/红外光（截止710nm）；色温：氙气：5800K±200K，LED：3500K；中心光照度：LED：≤0.1lx（20m平均光照度），≤10lx（20m有效光照度），≤80lx（20m频爆光照度）；氙气：≤4000lx。</w:t>
            </w:r>
          </w:p>
          <w:p w14:paraId="6CA2407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3、触发方式：开关量；光斑覆盖范围：1车道；补光距离：16m～26m；回电时间：氙气≤70ms，LED≤20ms；闪光持续时间：180μs～500μs。</w:t>
            </w:r>
          </w:p>
          <w:p w14:paraId="1688B9D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4、闪光灯寿命：≥1000万次；频率：100Hz；灯珠数量：24颗（高亮LED）；光通量：不低于1000lm。</w:t>
            </w:r>
          </w:p>
          <w:p w14:paraId="1BFA3A9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◆5、氙气灯爆闪持续时间不高于250μs，LED爆闪持续时间不高于1ms；眩光阈值增量(TI)值TI≤2%。</w:t>
            </w:r>
          </w:p>
          <w:p w14:paraId="5D97FC9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◆6、支持红外白光切换。</w:t>
            </w:r>
          </w:p>
          <w:p w14:paraId="7DD27A8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◆7、支持在摄像机WEB上远程显示补光灯故障、正常状态。</w:t>
            </w:r>
          </w:p>
        </w:tc>
      </w:tr>
      <w:tr w14:paraId="7A8952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CB76F1E">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F6D909D">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5A97BF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4.3.5 红灯信号检测器</w:t>
            </w:r>
          </w:p>
          <w:p w14:paraId="28D3AFB5">
            <w:pPr>
              <w:spacing w:line="440" w:lineRule="exact"/>
              <w:contextualSpacing/>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1、支持接入</w:t>
            </w:r>
            <w:r>
              <w:rPr>
                <w:rFonts w:hint="eastAsia" w:ascii="Times New Roman" w:hAnsi="Times New Roman" w:eastAsia="宋体" w:cs="Times New Roman"/>
                <w:bCs/>
                <w:i/>
                <w:iCs/>
                <w:color w:val="auto"/>
                <w:sz w:val="24"/>
                <w:highlight w:val="none"/>
                <w:u w:val="single"/>
                <w:lang w:eastAsia="zh-CN"/>
              </w:rPr>
              <w:t>不少于</w:t>
            </w:r>
            <w:r>
              <w:rPr>
                <w:rFonts w:hint="default" w:ascii="Times New Roman" w:hAnsi="Times New Roman" w:eastAsia="宋体" w:cs="Times New Roman"/>
                <w:bCs/>
                <w:i/>
                <w:iCs/>
                <w:color w:val="auto"/>
                <w:sz w:val="24"/>
                <w:highlight w:val="none"/>
                <w:u w:val="single"/>
              </w:rPr>
              <w:t>20路红/绿灯信号，进行输入通断检测，并通过100M网口将信号状态实时传输给网络摄像机。</w:t>
            </w:r>
          </w:p>
          <w:p w14:paraId="7F94AEF2">
            <w:pPr>
              <w:spacing w:line="440" w:lineRule="exact"/>
              <w:contextualSpacing/>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2、支持通过配置工具设置关联相机登陆IP、端口号、用户名和密码；最大支持关联20路相机，并可进行设备参数的配置；支持通过配置工具设置检测参数，配置关联通道信息，最大支持20路检测参数的配置；支持通过配置工具设置红绿灯信号输入异常判断时长，设置范围[1,300]秒。</w:t>
            </w:r>
          </w:p>
          <w:p w14:paraId="7EC8E71E">
            <w:pPr>
              <w:spacing w:line="440" w:lineRule="exact"/>
              <w:contextualSpacing/>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3、支持通过配置工具设置红灯检测模式/绿灯检测模式。</w:t>
            </w:r>
          </w:p>
          <w:p w14:paraId="40F0149C">
            <w:pPr>
              <w:spacing w:line="440" w:lineRule="exact"/>
              <w:contextualSpacing/>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eastAsia" w:ascii="Times New Roman" w:hAnsi="Times New Roman" w:eastAsia="宋体" w:cs="Times New Roman"/>
                <w:bCs/>
                <w:color w:val="auto"/>
                <w:sz w:val="24"/>
                <w:highlight w:val="none"/>
                <w:lang w:val="en-US" w:eastAsia="zh-CN"/>
              </w:rPr>
              <w:t>4</w:t>
            </w:r>
            <w:r>
              <w:rPr>
                <w:rFonts w:hint="default" w:ascii="Times New Roman" w:hAnsi="Times New Roman" w:eastAsia="宋体" w:cs="Times New Roman"/>
                <w:bCs/>
                <w:color w:val="auto"/>
                <w:sz w:val="24"/>
                <w:highlight w:val="none"/>
              </w:rPr>
              <w:t>、支持通过配置工具设置NTP校时/同步PC时间，工作温度支持：40℃～+65℃；供电方式：DC12V。</w:t>
            </w:r>
          </w:p>
        </w:tc>
      </w:tr>
      <w:tr w14:paraId="541A34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A527EAC">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C91C01D">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C3080CD">
            <w:pPr>
              <w:spacing w:line="440" w:lineRule="exact"/>
              <w:jc w:val="left"/>
              <w:outlineLvl w:val="1"/>
              <w:rPr>
                <w:rFonts w:hint="default" w:ascii="Times New Roman" w:hAnsi="Times New Roman" w:eastAsia="宋体" w:cs="Times New Roman"/>
                <w:b/>
                <w:color w:val="auto"/>
                <w:sz w:val="24"/>
                <w:highlight w:val="none"/>
              </w:rPr>
            </w:pPr>
            <w:r>
              <w:rPr>
                <w:rFonts w:hint="default" w:ascii="Times New Roman" w:hAnsi="Times New Roman" w:eastAsia="宋体" w:cs="Times New Roman"/>
                <w:color w:val="auto"/>
                <w:sz w:val="24"/>
                <w:highlight w:val="none"/>
              </w:rPr>
              <w:t>4.3.6</w:t>
            </w:r>
            <w:r>
              <w:rPr>
                <w:rFonts w:hint="default" w:ascii="Times New Roman" w:hAnsi="Times New Roman" w:eastAsia="宋体" w:cs="Times New Roman"/>
                <w:b/>
                <w:color w:val="auto"/>
                <w:sz w:val="24"/>
                <w:highlight w:val="none"/>
              </w:rPr>
              <w:t>前端存储管理主机</w:t>
            </w:r>
          </w:p>
          <w:p w14:paraId="15ED30AA">
            <w:pPr>
              <w:spacing w:line="440" w:lineRule="exact"/>
              <w:contextualSpacing/>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1、支持视频接入和卡口合成两种工作模式切换，视频接入模式支持16路高清视频及图片输入，无图片合成功能，卡口合成模式支持</w:t>
            </w:r>
            <w:r>
              <w:rPr>
                <w:rFonts w:hint="eastAsia" w:ascii="Times New Roman" w:hAnsi="Times New Roman" w:eastAsia="宋体" w:cs="Times New Roman"/>
                <w:bCs/>
                <w:i/>
                <w:iCs/>
                <w:color w:val="auto"/>
                <w:sz w:val="24"/>
                <w:highlight w:val="none"/>
                <w:u w:val="single"/>
                <w:lang w:eastAsia="zh-CN"/>
              </w:rPr>
              <w:t>不少于</w:t>
            </w:r>
            <w:r>
              <w:rPr>
                <w:rFonts w:hint="default" w:ascii="Times New Roman" w:hAnsi="Times New Roman" w:eastAsia="宋体" w:cs="Times New Roman"/>
                <w:bCs/>
                <w:i/>
                <w:iCs/>
                <w:color w:val="auto"/>
                <w:sz w:val="24"/>
                <w:highlight w:val="none"/>
                <w:u w:val="single"/>
              </w:rPr>
              <w:t>12路高清视频及图片输入，同时支持图片合成。</w:t>
            </w:r>
          </w:p>
          <w:p w14:paraId="2C24D3E1">
            <w:pPr>
              <w:spacing w:line="440" w:lineRule="exact"/>
              <w:contextualSpacing/>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2、内置</w:t>
            </w:r>
            <w:r>
              <w:rPr>
                <w:rFonts w:hint="eastAsia" w:ascii="Times New Roman" w:hAnsi="Times New Roman" w:eastAsia="宋体" w:cs="Times New Roman"/>
                <w:bCs/>
                <w:i/>
                <w:iCs/>
                <w:color w:val="auto"/>
                <w:sz w:val="24"/>
                <w:highlight w:val="none"/>
                <w:u w:val="single"/>
                <w:lang w:eastAsia="zh-CN"/>
              </w:rPr>
              <w:t>不少于</w:t>
            </w:r>
            <w:r>
              <w:rPr>
                <w:rFonts w:hint="default" w:ascii="Times New Roman" w:hAnsi="Times New Roman" w:eastAsia="宋体" w:cs="Times New Roman"/>
                <w:bCs/>
                <w:i/>
                <w:iCs/>
                <w:color w:val="auto"/>
                <w:sz w:val="24"/>
                <w:highlight w:val="none"/>
                <w:u w:val="single"/>
              </w:rPr>
              <w:t>16个10M/100M自适应以太网口，视频接入模式最大码流支持288Mbps，卡口合成模式最大码流支持240Mbps。</w:t>
            </w:r>
          </w:p>
          <w:p w14:paraId="09ED2229">
            <w:pPr>
              <w:spacing w:line="440" w:lineRule="exact"/>
              <w:contextualSpacing/>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3、支持一对多、多对一、多对多通道区间测速，支持多区间独立配置，支持区分大小车以及高低限速值，支持异常测速值过滤，支持根据不同超速比设置对应的违法名称和违法代码。</w:t>
            </w:r>
          </w:p>
          <w:p w14:paraId="180D499E">
            <w:pPr>
              <w:spacing w:line="440" w:lineRule="exact"/>
              <w:contextualSpacing/>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4、支持1/2/3/4/5/6张图片普通合成和关联合成，支持两通道、三通道、多通道关联匹配并将图片合成或编组，支持ID匹配、车牌匹配、先ID后车牌匹配方式，支持以车型、车道、车牌颜色、车身颜色进行模糊匹配，支持多匹配方案独立设置，合成形状、顺序和特写图片序号可自定义设置。</w:t>
            </w:r>
          </w:p>
          <w:p w14:paraId="2DDDA085">
            <w:pPr>
              <w:spacing w:line="440" w:lineRule="exact"/>
              <w:contextualSpacing/>
              <w:rPr>
                <w:rFonts w:hint="eastAsia" w:ascii="Times New Roman" w:hAnsi="Times New Roman" w:eastAsia="宋体" w:cs="Times New Roman"/>
                <w:bCs/>
                <w:color w:val="auto"/>
                <w:sz w:val="24"/>
                <w:highlight w:val="none"/>
                <w:lang w:eastAsia="zh-CN"/>
              </w:rPr>
            </w:pPr>
            <w:r>
              <w:rPr>
                <w:rFonts w:hint="default" w:ascii="Times New Roman" w:hAnsi="Times New Roman" w:eastAsia="宋体" w:cs="Times New Roman"/>
                <w:bCs/>
                <w:color w:val="auto"/>
                <w:sz w:val="24"/>
                <w:highlight w:val="none"/>
              </w:rPr>
              <w:t>◆5、能够关联合成卡口，当抓拍到车辆在卡口有多种违法行为时，可以将多违法抓拍图片进行合成；可以按照抓拍时间查询和存储时间查询两种方式查询图片</w:t>
            </w:r>
            <w:r>
              <w:rPr>
                <w:rFonts w:hint="eastAsia" w:ascii="Times New Roman" w:hAnsi="Times New Roman" w:eastAsia="宋体" w:cs="Times New Roman"/>
                <w:bCs/>
                <w:color w:val="auto"/>
                <w:sz w:val="24"/>
                <w:highlight w:val="none"/>
                <w:lang w:eastAsia="zh-CN"/>
              </w:rPr>
              <w:t>。</w:t>
            </w:r>
          </w:p>
          <w:p w14:paraId="6F0DD200">
            <w:pPr>
              <w:spacing w:line="440" w:lineRule="exact"/>
              <w:contextualSpacing/>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eastAsia" w:ascii="Times New Roman" w:hAnsi="Times New Roman" w:eastAsia="宋体" w:cs="Times New Roman"/>
                <w:bCs/>
                <w:color w:val="auto"/>
                <w:sz w:val="24"/>
                <w:highlight w:val="none"/>
                <w:lang w:val="en-US" w:eastAsia="zh-CN"/>
              </w:rPr>
              <w:t>6</w:t>
            </w:r>
            <w:r>
              <w:rPr>
                <w:rFonts w:hint="default" w:ascii="Times New Roman" w:hAnsi="Times New Roman" w:eastAsia="宋体" w:cs="Times New Roman"/>
                <w:bCs/>
                <w:color w:val="auto"/>
                <w:sz w:val="24"/>
                <w:highlight w:val="none"/>
              </w:rPr>
              <w:t>、标配1个4T硬盘。</w:t>
            </w:r>
          </w:p>
          <w:p w14:paraId="08DAECE8">
            <w:pPr>
              <w:spacing w:line="440" w:lineRule="exact"/>
              <w:contextualSpacing/>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eastAsia" w:ascii="Times New Roman" w:hAnsi="Times New Roman" w:eastAsia="宋体" w:cs="Times New Roman"/>
                <w:bCs/>
                <w:color w:val="auto"/>
                <w:sz w:val="24"/>
                <w:highlight w:val="none"/>
                <w:lang w:val="en-US" w:eastAsia="zh-CN"/>
              </w:rPr>
              <w:t>7</w:t>
            </w:r>
            <w:r>
              <w:rPr>
                <w:rFonts w:hint="default" w:ascii="Times New Roman" w:hAnsi="Times New Roman" w:eastAsia="宋体" w:cs="Times New Roman"/>
                <w:bCs/>
                <w:color w:val="auto"/>
                <w:sz w:val="24"/>
                <w:highlight w:val="none"/>
              </w:rPr>
              <w:t>、支持跨网段远程升级、配置前端摄像机；支持按时间、通道查询车流量功能，支持CSV格式导出查询结果。</w:t>
            </w:r>
          </w:p>
        </w:tc>
      </w:tr>
      <w:tr w14:paraId="24190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CC19D5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A450099">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44D17F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4.3.7 工业级交换机1</w:t>
            </w:r>
          </w:p>
          <w:p w14:paraId="25C5653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1、至少支持12个千兆光口，12个10/100/1000Mbps以太网电口，含1个原厂40KM千兆单模光模块，11个原厂10KM千兆单模光模块；端口吞吐量可达线速转发，包转发率≥107Mpps,交换延迟＜5µS；交换机MAC地址表不小于32K。</w:t>
            </w:r>
          </w:p>
          <w:p w14:paraId="415A4E0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2、支持SNMPv1/v2c/v3,可通过网管软件集中管理；支持符合国际标准的IEC62439-6分布式冗余协议DRP，自愈时间＜20ms；支持基于硬件的IEEE1588 PTPv2 (BC, P2P TC, E2E TC时钟模式,对时精度±100 ns)。</w:t>
            </w:r>
          </w:p>
          <w:p w14:paraId="2831918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3、支持光功率检测DDM (SFP接口)；支持广播风暴抑制功能，可对未知单播、组播、数据源报文进行针对性限速及过滤。</w:t>
            </w:r>
          </w:p>
          <w:p w14:paraId="493599B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4、支持IEEE 802.1Q(VLAN)标准协议,可创建VLAN数≥256个，VLAN ID 1</w:t>
            </w:r>
            <w:r>
              <w:rPr>
                <w:rFonts w:ascii="Times New Roman" w:hAnsi="Times New Roman" w:eastAsia="微软雅黑" w:cs="Times New Roman"/>
                <w:i/>
                <w:iCs/>
                <w:color w:val="auto"/>
                <w:sz w:val="24"/>
                <w:szCs w:val="24"/>
                <w:highlight w:val="none"/>
                <w:u w:val="single"/>
                <w:lang w:val="en-US" w:eastAsia="zh-CN" w:bidi="ar-SA"/>
              </w:rPr>
              <w:t>〜</w:t>
            </w:r>
            <w:r>
              <w:rPr>
                <w:rFonts w:ascii="Times New Roman" w:hAnsi="Times New Roman" w:eastAsia="宋体" w:cs="Times New Roman"/>
                <w:i/>
                <w:iCs/>
                <w:color w:val="auto"/>
                <w:sz w:val="24"/>
                <w:szCs w:val="24"/>
                <w:highlight w:val="none"/>
                <w:u w:val="single"/>
                <w:lang w:val="en-US" w:eastAsia="zh-CN" w:bidi="ar-SA"/>
              </w:rPr>
              <w:t>4093。</w:t>
            </w:r>
          </w:p>
          <w:p w14:paraId="4180998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5、支持端口聚合、端口流控、端口限速；安全技术支持IEEE 802.1x、HTTPS/SSL、SSH、RADIUS、TACACS+、用户分级、MAC地址绑定。</w:t>
            </w:r>
          </w:p>
          <w:p w14:paraId="4A3E2D9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6、支持管理方式：CLI、Telnet、中文Web界面，支持IP/MAC冲突告警，失电告警，电源告警，端口LinkDown告警，环告警。</w:t>
            </w:r>
          </w:p>
          <w:p w14:paraId="2D79F04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7、防护等级≥IP40；工作温度≥-40℃～+75℃，储存温度≥-40℃～+85℃，相对湿度≥5～95%无凝露；MTBF≥340，000 小时。</w:t>
            </w:r>
          </w:p>
        </w:tc>
      </w:tr>
      <w:tr w14:paraId="4478B7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6F9D323">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C930CC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17921B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4.3.8 智能设备箱</w:t>
            </w:r>
          </w:p>
          <w:p w14:paraId="2311F05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1、箱体材料为不锈钢，厚度不低于1.5mm，内部结构立杆不低于2mm,喷塑；底部长约660mm；底部宽约565mm；高约1355mm。</w:t>
            </w:r>
          </w:p>
          <w:p w14:paraId="77F6F31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2、机箱防雷单元：电源防雷最大持续工作电压：385V AC，最大通流容量：40kA，保护水平（40kA，8/20μs）：2400V，保护模式：L-N-PE，响应时间：≤1ns，防护等级：不低于IP20。</w:t>
            </w:r>
          </w:p>
          <w:p w14:paraId="1983ECC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◆3、机箱内设有防雷电装置，每一根引入线均有相应的防雷电保护装置。机箱中应有通风装置，当机箱内温度过高时，通风装置自动启动排风降温，机箱锁要求有防雨外壳。</w:t>
            </w:r>
          </w:p>
          <w:p w14:paraId="19C5B66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内部设备安装空间全部采用 19 英寸的标准安装模块。</w:t>
            </w:r>
          </w:p>
          <w:p w14:paraId="4BE9CA1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具备防盗报警功能，可对箱体内部电路及环境参数进行实时监测，可将实时数据和异常状态传回中心进行判断，并能通过网络进行初步故障处理。</w:t>
            </w:r>
          </w:p>
          <w:p w14:paraId="40ADBA8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供电：电流总量程</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 xml:space="preserve">63A； </w:t>
            </w:r>
            <w:r>
              <w:rPr>
                <w:rFonts w:hint="eastAsia" w:ascii="Times New Roman" w:hAnsi="Times New Roman" w:eastAsia="宋体" w:cs="Times New Roman"/>
                <w:color w:val="auto"/>
                <w:sz w:val="24"/>
                <w:szCs w:val="24"/>
                <w:highlight w:val="none"/>
                <w:lang w:val="en-US" w:eastAsia="zh-CN" w:bidi="ar-SA"/>
              </w:rPr>
              <w:t>至少含</w:t>
            </w:r>
            <w:r>
              <w:rPr>
                <w:rFonts w:ascii="Times New Roman" w:hAnsi="Times New Roman" w:eastAsia="宋体" w:cs="Times New Roman"/>
                <w:color w:val="auto"/>
                <w:sz w:val="24"/>
                <w:szCs w:val="24"/>
                <w:highlight w:val="none"/>
                <w:lang w:val="en-US" w:eastAsia="zh-CN" w:bidi="ar-SA"/>
              </w:rPr>
              <w:t>1路220V32A（电流量程可调1A-63A）供电；4路220V16A（电流量程可调1A-20A）供电。</w:t>
            </w:r>
          </w:p>
          <w:p w14:paraId="7BA776C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 xml:space="preserve">电路监测： </w:t>
            </w:r>
            <w:r>
              <w:rPr>
                <w:rFonts w:hint="eastAsia" w:ascii="Times New Roman" w:hAnsi="Times New Roman" w:eastAsia="宋体" w:cs="Times New Roman"/>
                <w:color w:val="auto"/>
                <w:sz w:val="24"/>
                <w:szCs w:val="24"/>
                <w:highlight w:val="none"/>
                <w:lang w:val="en-US" w:eastAsia="zh-CN" w:bidi="ar-SA"/>
              </w:rPr>
              <w:t>不少于</w:t>
            </w:r>
            <w:r>
              <w:rPr>
                <w:rFonts w:ascii="Times New Roman" w:hAnsi="Times New Roman" w:eastAsia="宋体" w:cs="Times New Roman"/>
                <w:color w:val="auto"/>
                <w:sz w:val="24"/>
                <w:szCs w:val="24"/>
                <w:highlight w:val="none"/>
                <w:lang w:val="en-US" w:eastAsia="zh-CN" w:bidi="ar-SA"/>
              </w:rPr>
              <w:t>5路电流电压检测；电压量程0-350V；电流总量程63A；直流供电DC12V，</w:t>
            </w:r>
            <w:r>
              <w:rPr>
                <w:rFonts w:hint="eastAsia" w:ascii="Times New Roman" w:hAnsi="Times New Roman" w:eastAsia="宋体" w:cs="Times New Roman"/>
                <w:color w:val="auto"/>
                <w:sz w:val="24"/>
                <w:szCs w:val="24"/>
                <w:highlight w:val="none"/>
                <w:lang w:val="en-US" w:eastAsia="zh-CN" w:bidi="ar-SA"/>
              </w:rPr>
              <w:t>不少于</w:t>
            </w:r>
            <w:r>
              <w:rPr>
                <w:rFonts w:ascii="Times New Roman" w:hAnsi="Times New Roman" w:eastAsia="宋体" w:cs="Times New Roman"/>
                <w:color w:val="auto"/>
                <w:sz w:val="24"/>
                <w:szCs w:val="24"/>
                <w:highlight w:val="none"/>
                <w:lang w:val="en-US" w:eastAsia="zh-CN" w:bidi="ar-SA"/>
              </w:rPr>
              <w:t>2路（每路独立控制，每路单独故障检测，故障独立告警，具备用电独立自恢复功能）。</w:t>
            </w:r>
          </w:p>
          <w:p w14:paraId="4261B8A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4</w:t>
            </w:r>
            <w:r>
              <w:rPr>
                <w:rFonts w:ascii="Times New Roman" w:hAnsi="Times New Roman" w:eastAsia="宋体" w:cs="Times New Roman"/>
                <w:i/>
                <w:iCs/>
                <w:color w:val="auto"/>
                <w:sz w:val="24"/>
                <w:szCs w:val="24"/>
                <w:highlight w:val="none"/>
                <w:u w:val="single"/>
                <w:lang w:val="en-US" w:eastAsia="zh-CN" w:bidi="ar-SA"/>
              </w:rPr>
              <w:t>、具备：以太网通讯功能；定位以及地图展示功能；门禁报警功能；断电检测功能；断网检测功能；防雷失效检测功能；RS485通讯功能；时钟功能以及电池充电功能。</w:t>
            </w:r>
          </w:p>
          <w:p w14:paraId="6DC74BF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5</w:t>
            </w:r>
            <w:r>
              <w:rPr>
                <w:rFonts w:ascii="Times New Roman" w:hAnsi="Times New Roman" w:eastAsia="宋体" w:cs="Times New Roman"/>
                <w:color w:val="auto"/>
                <w:sz w:val="24"/>
                <w:szCs w:val="24"/>
                <w:highlight w:val="none"/>
                <w:lang w:val="en-US" w:eastAsia="zh-CN" w:bidi="ar-SA"/>
              </w:rPr>
              <w:t>、环境监测：箱体内部温湿度检测，温度量程：-40-+125℃，湿度量程0-100%RH。</w:t>
            </w:r>
          </w:p>
          <w:p w14:paraId="6E7A134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6</w:t>
            </w:r>
            <w:r>
              <w:rPr>
                <w:rFonts w:ascii="Times New Roman" w:hAnsi="Times New Roman" w:eastAsia="宋体" w:cs="Times New Roman"/>
                <w:i/>
                <w:iCs/>
                <w:color w:val="auto"/>
                <w:sz w:val="24"/>
                <w:szCs w:val="24"/>
                <w:highlight w:val="none"/>
                <w:u w:val="single"/>
                <w:lang w:val="en-US" w:eastAsia="zh-CN" w:bidi="ar-SA"/>
              </w:rPr>
              <w:t>、网络传输：支持RJ45以太网，4G无线模块。</w:t>
            </w:r>
          </w:p>
          <w:p w14:paraId="78D66AB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7</w:t>
            </w:r>
            <w:r>
              <w:rPr>
                <w:rFonts w:ascii="Times New Roman" w:hAnsi="Times New Roman" w:eastAsia="宋体" w:cs="Times New Roman"/>
                <w:i/>
                <w:iCs/>
                <w:color w:val="auto"/>
                <w:sz w:val="24"/>
                <w:szCs w:val="24"/>
                <w:highlight w:val="none"/>
                <w:u w:val="single"/>
                <w:lang w:val="en-US" w:eastAsia="zh-CN" w:bidi="ar-SA"/>
              </w:rPr>
              <w:t>、断电</w:t>
            </w:r>
            <w:r>
              <w:rPr>
                <w:rFonts w:hint="eastAsia" w:ascii="Times New Roman" w:hAnsi="Times New Roman" w:eastAsia="宋体" w:cs="Times New Roman"/>
                <w:i/>
                <w:iCs/>
                <w:color w:val="auto"/>
                <w:sz w:val="24"/>
                <w:szCs w:val="24"/>
                <w:highlight w:val="none"/>
                <w:u w:val="single"/>
                <w:lang w:val="en-US" w:eastAsia="zh-CN" w:bidi="ar-SA"/>
              </w:rPr>
              <w:t>、</w:t>
            </w:r>
            <w:r>
              <w:rPr>
                <w:rFonts w:ascii="Times New Roman" w:hAnsi="Times New Roman" w:eastAsia="宋体" w:cs="Times New Roman"/>
                <w:i/>
                <w:iCs/>
                <w:color w:val="auto"/>
                <w:sz w:val="24"/>
                <w:szCs w:val="24"/>
                <w:highlight w:val="none"/>
                <w:u w:val="single"/>
                <w:lang w:val="en-US" w:eastAsia="zh-CN" w:bidi="ar-SA"/>
              </w:rPr>
              <w:t>温度</w:t>
            </w:r>
            <w:r>
              <w:rPr>
                <w:rFonts w:hint="eastAsia" w:ascii="Times New Roman" w:hAnsi="Times New Roman" w:eastAsia="宋体" w:cs="Times New Roman"/>
                <w:i/>
                <w:iCs/>
                <w:color w:val="auto"/>
                <w:sz w:val="24"/>
                <w:szCs w:val="24"/>
                <w:highlight w:val="none"/>
                <w:u w:val="single"/>
                <w:lang w:val="en-US" w:eastAsia="zh-CN" w:bidi="ar-SA"/>
              </w:rPr>
              <w:t>、</w:t>
            </w:r>
            <w:r>
              <w:rPr>
                <w:rFonts w:ascii="Times New Roman" w:hAnsi="Times New Roman" w:eastAsia="宋体" w:cs="Times New Roman"/>
                <w:i/>
                <w:iCs/>
                <w:color w:val="auto"/>
                <w:sz w:val="24"/>
                <w:szCs w:val="24"/>
                <w:highlight w:val="none"/>
                <w:u w:val="single"/>
                <w:lang w:val="en-US" w:eastAsia="zh-CN" w:bidi="ar-SA"/>
              </w:rPr>
              <w:t>网络异常：支持远程中心平台报警。</w:t>
            </w:r>
          </w:p>
          <w:p w14:paraId="117CD9B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8</w:t>
            </w:r>
            <w:r>
              <w:rPr>
                <w:rFonts w:ascii="Times New Roman" w:hAnsi="Times New Roman" w:eastAsia="宋体" w:cs="Times New Roman"/>
                <w:i/>
                <w:iCs/>
                <w:color w:val="auto"/>
                <w:sz w:val="24"/>
                <w:szCs w:val="24"/>
                <w:highlight w:val="none"/>
                <w:u w:val="single"/>
                <w:lang w:val="en-US" w:eastAsia="zh-CN" w:bidi="ar-SA"/>
              </w:rPr>
              <w:t>、温度调节：支持远程控制风扇。</w:t>
            </w:r>
          </w:p>
          <w:p w14:paraId="099420D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、工作温度范围：≥-10-+70℃，存放温度范围：≥-20-+85℃，相对湿度范围：≥5-95%，无结露，防护等级：不低于IP55。</w:t>
            </w:r>
          </w:p>
          <w:p w14:paraId="3EC2D530">
            <w:pPr>
              <w:spacing w:line="440" w:lineRule="exact"/>
              <w:rPr>
                <w:rFonts w:hint="default" w:ascii="Times New Roman" w:hAnsi="Times New Roman" w:eastAsia="宋体" w:cs="Times New Roman"/>
                <w:i/>
                <w:iCs w:val="0"/>
                <w:color w:val="auto"/>
                <w:sz w:val="24"/>
                <w:highlight w:val="none"/>
                <w:u w:val="single"/>
                <w:lang w:val="en-US" w:eastAsia="zh-CN"/>
              </w:rPr>
            </w:pPr>
            <w:r>
              <w:rPr>
                <w:rFonts w:hint="eastAsia" w:ascii="Times New Roman" w:hAnsi="Times New Roman" w:eastAsia="宋体" w:cs="Times New Roman"/>
                <w:i/>
                <w:iCs w:val="0"/>
                <w:color w:val="auto"/>
                <w:sz w:val="24"/>
                <w:highlight w:val="none"/>
                <w:u w:val="single"/>
                <w:lang w:val="en-US" w:eastAsia="zh-CN"/>
              </w:rPr>
              <w:t>10、支持接入张家港现有智能箱运维管理平台，接口要求如下：</w:t>
            </w:r>
          </w:p>
          <w:p w14:paraId="176F8906">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1）数据接口基于SNMP标准协议，符合RFC1901- RFC1908；</w:t>
            </w:r>
          </w:p>
          <w:p w14:paraId="0C34508A">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2）以太网口应使用TCP/IP协议，TCP协议应符合RFC0793，IP协议应符合RFC0791</w:t>
            </w:r>
          </w:p>
        </w:tc>
      </w:tr>
      <w:tr w14:paraId="6197EF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175A211">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DF37935">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2700A4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4.3.9 智能抱杆箱</w:t>
            </w:r>
          </w:p>
          <w:p w14:paraId="36641D9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同4.2.4。</w:t>
            </w:r>
          </w:p>
        </w:tc>
      </w:tr>
      <w:tr w14:paraId="52355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E5FB1F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9BCC5E2">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F9062F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4.4 交通信息采集系统技术要求</w:t>
            </w:r>
          </w:p>
        </w:tc>
      </w:tr>
      <w:tr w14:paraId="1428D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C194EAA">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6FF084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936782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4.4.1 交通信息采集系统功能要求</w:t>
            </w:r>
          </w:p>
          <w:p w14:paraId="7027503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◆1、实时性要求：数据采集周期应为10s～60s可调，一般为20s。对快速路网内同一条道路的交通参数采集同步误差不大于100ms，交通参数的传输时延不大于1s。</w:t>
            </w:r>
          </w:p>
          <w:p w14:paraId="579DC7E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◆2、准确性要求：</w:t>
            </w:r>
          </w:p>
          <w:p w14:paraId="00CE9B26">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①</w:t>
            </w:r>
            <w:r>
              <w:rPr>
                <w:rFonts w:ascii="Times New Roman" w:hAnsi="Times New Roman" w:eastAsia="宋体" w:cs="Times New Roman"/>
                <w:color w:val="auto"/>
                <w:sz w:val="24"/>
                <w:szCs w:val="24"/>
                <w:highlight w:val="none"/>
                <w:lang w:val="en-US" w:eastAsia="zh-CN" w:bidi="ar-SA"/>
              </w:rPr>
              <w:t>交通流量精度：检测设备在测试时间段内检测的通过车辆计数值与实际通过检测断面的车辆数之比，要求：≥95％。</w:t>
            </w:r>
          </w:p>
          <w:p w14:paraId="49F0ED2F">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②</w:t>
            </w:r>
            <w:r>
              <w:rPr>
                <w:rFonts w:ascii="Times New Roman" w:hAnsi="Times New Roman" w:eastAsia="宋体" w:cs="Times New Roman"/>
                <w:color w:val="auto"/>
                <w:sz w:val="24"/>
                <w:szCs w:val="24"/>
                <w:highlight w:val="none"/>
                <w:lang w:val="en-US" w:eastAsia="zh-CN" w:bidi="ar-SA"/>
              </w:rPr>
              <w:t>平均速度精度：检测设备在测试时间段内检测到的通过车辆速度算术平均值与实际通过检测断面的车辆速度算术平均值之比，要求：≥90％；</w:t>
            </w:r>
          </w:p>
          <w:p w14:paraId="1B607BED">
            <w:pPr>
              <w:spacing w:line="440" w:lineRule="exact"/>
              <w:rPr>
                <w:rFonts w:ascii="Times New Roman" w:hAnsi="Times New Roman" w:eastAsia="宋体" w:cs="Times New Roman"/>
                <w:color w:val="auto"/>
                <w:sz w:val="24"/>
                <w:szCs w:val="24"/>
                <w:highlight w:val="none"/>
                <w:lang w:val="en-US" w:eastAsia="zh-CN" w:bidi="ar-SA"/>
              </w:rPr>
            </w:pPr>
            <w:r>
              <w:rPr>
                <w:rFonts w:ascii="Cambria Math" w:hAnsi="Cambria Math" w:eastAsia="宋体" w:cs="Cambria Math"/>
                <w:color w:val="auto"/>
                <w:sz w:val="24"/>
                <w:szCs w:val="24"/>
                <w:highlight w:val="none"/>
                <w:lang w:val="en-US" w:eastAsia="zh-CN" w:bidi="ar-SA"/>
              </w:rPr>
              <w:t>③</w:t>
            </w:r>
            <w:r>
              <w:rPr>
                <w:rFonts w:ascii="Times New Roman" w:hAnsi="Times New Roman" w:eastAsia="宋体" w:cs="Times New Roman"/>
                <w:color w:val="auto"/>
                <w:sz w:val="24"/>
                <w:szCs w:val="24"/>
                <w:highlight w:val="none"/>
                <w:lang w:val="en-US" w:eastAsia="zh-CN" w:bidi="ar-SA"/>
              </w:rPr>
              <w:t>时间占有率精度：检测设备在测试时间段内检测到的通过车辆的时间占有率值与实际通过检测断面的车辆的时间占有率值之比，要求：≥90％。</w:t>
            </w:r>
          </w:p>
          <w:p w14:paraId="455B57A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◆3、与其他系统联动：能够将微波检测到的事件的位置坐标发送给视频监控系统，视频监控系统根据接收到的位置信息，将视频画面调整到该事件的位置，并能够进行弹窗报警并显示事件画面信息。</w:t>
            </w:r>
          </w:p>
        </w:tc>
      </w:tr>
      <w:tr w14:paraId="0975B4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C823E9C">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845CD48">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8188A4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4.4.2 雷视一体机</w:t>
            </w:r>
          </w:p>
          <w:p w14:paraId="5CFAA56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1、系统平台功能：</w:t>
            </w:r>
          </w:p>
          <w:p w14:paraId="797B812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◆（1）平台通过整合路网内交通流数据，打造集数据采集、数据处理、监测管理、预测预警、应急指挥、可视化平台于一体的大数据平台，以信息化提升数据化管理与服务能力，随时随地准确掌握道路实况。</w:t>
            </w:r>
          </w:p>
          <w:p w14:paraId="1DDDF70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◆（2）数字大屏：实时展示快速路上的车辆在途量，并对车型按大小进行分类；显示实时的拥堵状况。并可从宏观、中观、微观的角度，对快速路上的车辆进行二维仿真实时展示。</w:t>
            </w:r>
          </w:p>
          <w:p w14:paraId="20A4584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快速路监测：依据雷视一体采集的车辆轨迹，1:1还原道路上车辆的真实驾驶情况。1）交通事件上报：秒级上传交通违法事件信息，为事件处理的决策提供依据。从时间的维度上对交通事件进行统计，依据不同的事件类型进行分类统计。展示最新发生的30条违法事件信息。2）交通态势监测：对快速路上的交通流进行监测，分析不同时间段的流量和平均速度，为交通优化设计提供依据。</w:t>
            </w:r>
          </w:p>
          <w:p w14:paraId="59279C9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快速路档案：1）交通流档案：可以按照不同的时间粒度和时间段，对交通流档案进行图表化展示；2）事件统计：交通事件按照时间分布和类型分布进行图表化展示。可以对历史交通事件进行回溯分析，为警务人员下一步的处罚决策提供依据。包括事件发生前后30秒的视频回放、违法图片抓拍、违法车辆仿真回放；3）拥堵统计：对区间平均速度和拥堵成因进行分析，提供图表化展示；4）数字孪生回放，按不同时间段进行二位仿真展示。便于查看历史道路车辆轨迹运行情况。</w:t>
            </w:r>
          </w:p>
          <w:p w14:paraId="4098F28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◆（5）设备运维：1）设备监测，设备监测运维中心基于对平台中雷达的运行状况的实时监测及可视化展示，能及时直观的反映故障点位信息，更加有效的保障智能交通系统的顺畅运行；2）设备信息和设备分布。</w:t>
            </w:r>
          </w:p>
          <w:p w14:paraId="418F676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2、雷</w:t>
            </w:r>
            <w:r>
              <w:rPr>
                <w:rFonts w:hint="eastAsia" w:ascii="Times New Roman" w:hAnsi="Times New Roman" w:eastAsia="宋体" w:cs="Times New Roman"/>
                <w:color w:val="auto"/>
                <w:sz w:val="24"/>
                <w:szCs w:val="24"/>
                <w:highlight w:val="none"/>
                <w:lang w:val="en-US" w:eastAsia="zh-CN" w:bidi="ar-SA"/>
              </w:rPr>
              <w:t>视</w:t>
            </w:r>
            <w:r>
              <w:rPr>
                <w:rFonts w:ascii="Times New Roman" w:hAnsi="Times New Roman" w:eastAsia="宋体" w:cs="Times New Roman"/>
                <w:color w:val="auto"/>
                <w:sz w:val="24"/>
                <w:szCs w:val="24"/>
                <w:highlight w:val="none"/>
                <w:lang w:val="en-US" w:eastAsia="zh-CN" w:bidi="ar-SA"/>
              </w:rPr>
              <w:t>一体机检测器设备技术要求：</w:t>
            </w:r>
          </w:p>
          <w:p w14:paraId="36D64B6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◆（1）检测器采用主动扫描式阵列雷达微波检测技术，微波信号沿发射方向以每秒20次的扫描频率可靠地检测路上每一车道的动态或静态目标；</w:t>
            </w:r>
          </w:p>
          <w:p w14:paraId="7BFA137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◆（2）检测器视频采用不低于800W像素低照度摄像机，内置车辆智能识别算法，能够对车辆目标进行有效的识别检测，且支持车牌识别以及目标结构化信息检测。</w:t>
            </w:r>
          </w:p>
          <w:p w14:paraId="11FCB9E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◆（3）检测器雷达采用高频段、高分辨率的毫米波感知雷达，具备雷达成像技术，最大输出原始点数不低于20000点/秒。</w:t>
            </w:r>
          </w:p>
          <w:p w14:paraId="295D0B6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◆（4）检测器能进行大区域检测，检测区域不低于500米，能同时检测不少于12个车道；可同时跟踪检测不少于512个目标。</w:t>
            </w:r>
          </w:p>
          <w:p w14:paraId="20932D6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◆（5）检测器跟踪检测每个目标的位置坐标（x,y）、速度（Vx, Vy）、目标类型，具有图形化操作软件，实时显示每个目标在检测区域内被跟踪情况以及目标即时位置、速度等实时信息，并能输出即时轨迹数据。</w:t>
            </w:r>
          </w:p>
          <w:p w14:paraId="02712A3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6</w:t>
            </w:r>
            <w:r>
              <w:rPr>
                <w:rFonts w:ascii="Times New Roman" w:hAnsi="Times New Roman" w:eastAsia="宋体" w:cs="Times New Roman"/>
                <w:color w:val="auto"/>
                <w:sz w:val="24"/>
                <w:szCs w:val="24"/>
                <w:highlight w:val="none"/>
                <w:lang w:val="en-US" w:eastAsia="zh-CN" w:bidi="ar-SA"/>
              </w:rPr>
              <w:t>）检测器具有区间信息检测功能，包括区间车辆数、空间占有率、区间平均速度等信息。</w:t>
            </w:r>
          </w:p>
          <w:p w14:paraId="4D02434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7</w:t>
            </w:r>
            <w:r>
              <w:rPr>
                <w:rFonts w:ascii="Times New Roman" w:hAnsi="Times New Roman" w:eastAsia="宋体" w:cs="Times New Roman"/>
                <w:color w:val="auto"/>
                <w:sz w:val="24"/>
                <w:szCs w:val="24"/>
                <w:highlight w:val="none"/>
                <w:lang w:val="en-US" w:eastAsia="zh-CN" w:bidi="ar-SA"/>
              </w:rPr>
              <w:t>）检测器可检测交通目标，支持雷达坐标系坐标与大地坐标系坐标之间的转换，支持全球坐标（GPS或北斗的位置参数导入），可输出目标GPS或北斗信息，目标航向角，目标速度（速度、加速度），目标属性（长度、宽度、高度、类型），目标RCS值和目标置信度，基于雷达坐标系下，位置精度</w:t>
            </w:r>
            <w:r>
              <w:rPr>
                <w:rFonts w:hint="eastAsia" w:ascii="Times New Roman" w:hAnsi="Times New Roman" w:eastAsia="宋体" w:cs="Times New Roman"/>
                <w:color w:val="auto"/>
                <w:sz w:val="24"/>
                <w:szCs w:val="24"/>
                <w:highlight w:val="none"/>
                <w:lang w:val="en-US" w:eastAsia="zh-CN" w:bidi="ar-SA"/>
              </w:rPr>
              <w:t>不大于</w:t>
            </w:r>
            <w:r>
              <w:rPr>
                <w:rFonts w:ascii="Times New Roman" w:hAnsi="Times New Roman" w:eastAsia="宋体" w:cs="Times New Roman"/>
                <w:color w:val="auto"/>
                <w:sz w:val="24"/>
                <w:szCs w:val="24"/>
                <w:highlight w:val="none"/>
                <w:lang w:val="en-US" w:eastAsia="zh-CN" w:bidi="ar-SA"/>
              </w:rPr>
              <w:t>±0.2m。</w:t>
            </w:r>
          </w:p>
          <w:p w14:paraId="0D47266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检测器在软件界面中可加载高精地图，结合实际检测目标，可实现交通实景的数字孪生。</w:t>
            </w:r>
          </w:p>
          <w:p w14:paraId="1D431BF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）车流量精度≥95%；事件监测精度≥95%。</w:t>
            </w:r>
          </w:p>
          <w:p w14:paraId="00C70C3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0</w:t>
            </w:r>
            <w:r>
              <w:rPr>
                <w:rFonts w:ascii="Times New Roman" w:hAnsi="Times New Roman" w:eastAsia="宋体" w:cs="Times New Roman"/>
                <w:color w:val="auto"/>
                <w:sz w:val="24"/>
                <w:szCs w:val="24"/>
                <w:highlight w:val="none"/>
                <w:lang w:val="en-US" w:eastAsia="zh-CN" w:bidi="ar-SA"/>
              </w:rPr>
              <w:t>）可在全气候环境下稳定工作，包括雨、雪、雾、霾、大风、冰冻、冰雹、沙尘等恶劣天气，并具有自校准以及故障自诊断功能。</w:t>
            </w:r>
          </w:p>
          <w:p w14:paraId="072D855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）外壳不低于IP67防护标准。</w:t>
            </w:r>
          </w:p>
          <w:p w14:paraId="28661D9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2</w:t>
            </w:r>
            <w:r>
              <w:rPr>
                <w:rFonts w:ascii="Times New Roman" w:hAnsi="Times New Roman" w:eastAsia="宋体" w:cs="Times New Roman"/>
                <w:i/>
                <w:iCs/>
                <w:color w:val="auto"/>
                <w:sz w:val="24"/>
                <w:szCs w:val="24"/>
                <w:highlight w:val="none"/>
                <w:u w:val="single"/>
                <w:lang w:val="en-US" w:eastAsia="zh-CN" w:bidi="ar-SA"/>
              </w:rPr>
              <w:t>）支持7*24连续不间断工作。</w:t>
            </w:r>
          </w:p>
          <w:p w14:paraId="7DB00A3B">
            <w:pPr>
              <w:spacing w:line="440" w:lineRule="exact"/>
              <w:rPr>
                <w:rFonts w:ascii="Times New Roman" w:hAnsi="Times New Roman" w:eastAsia="宋体" w:cs="Times New Roman"/>
                <w:i/>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）雷视一体机必须确保顺畅接入张家港市公安局交通警察大队交通全息高架预警平台</w:t>
            </w:r>
            <w:r>
              <w:rPr>
                <w:rFonts w:ascii="Times New Roman" w:hAnsi="Times New Roman" w:eastAsia="宋体" w:cs="Times New Roman"/>
                <w:i/>
                <w:color w:val="auto"/>
                <w:sz w:val="24"/>
                <w:szCs w:val="24"/>
                <w:highlight w:val="none"/>
                <w:u w:val="single"/>
                <w:lang w:val="en-US" w:eastAsia="zh-CN" w:bidi="ar-SA"/>
              </w:rPr>
              <w:t>。</w:t>
            </w:r>
          </w:p>
          <w:p w14:paraId="45CC8702">
            <w:pPr>
              <w:spacing w:line="440" w:lineRule="exact"/>
              <w:rPr>
                <w:rFonts w:hint="eastAsia" w:ascii="Times New Roman" w:hAnsi="Times New Roman" w:eastAsia="宋体" w:cs="Times New Roman"/>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Times New Roman" w:hAnsi="Times New Roman" w:eastAsia="宋体" w:cs="Times New Roman"/>
                <w:b/>
                <w:bCs/>
                <w:color w:val="auto"/>
                <w:sz w:val="24"/>
                <w:szCs w:val="24"/>
                <w:highlight w:val="none"/>
                <w:lang w:val="en-US" w:eastAsia="zh-CN" w:bidi="ar-SA"/>
              </w:rPr>
              <w:t>（14）检测器能够支持网页端调试，能够在网页端展示车辆轨迹及视频图像，能够对车辆轨迹进行录制与回放，能够一键导入配置参数。（投标时须在响应文件中提供第三方检测机构出具的合格检验报告或功能截图等相关证明材料）</w:t>
            </w:r>
          </w:p>
          <w:p w14:paraId="5BD1E5DD">
            <w:pPr>
              <w:spacing w:line="440" w:lineRule="exact"/>
              <w:rPr>
                <w:rFonts w:ascii="Times New Roman" w:hAnsi="Times New Roman" w:eastAsia="宋体" w:cs="Times New Roman"/>
                <w:b/>
                <w:bCs/>
                <w:i/>
                <w:color w:val="auto"/>
                <w:sz w:val="24"/>
                <w:szCs w:val="24"/>
                <w:highlight w:val="none"/>
                <w:u w:val="single"/>
                <w:lang w:val="en-US" w:eastAsia="zh-CN" w:bidi="ar-SA"/>
              </w:rPr>
            </w:pPr>
            <w:r>
              <w:rPr>
                <w:rFonts w:hint="eastAsia" w:ascii="宋体" w:hAnsi="宋体" w:eastAsia="宋体" w:cs="宋体"/>
                <w:b/>
                <w:bCs/>
                <w:color w:val="auto"/>
                <w:sz w:val="24"/>
                <w:szCs w:val="24"/>
                <w:highlight w:val="none"/>
                <w:lang w:val="en-US" w:eastAsia="zh-CN" w:bidi="ar-SA"/>
              </w:rPr>
              <w:t>▲</w:t>
            </w:r>
            <w:r>
              <w:rPr>
                <w:rFonts w:ascii="Times New Roman" w:hAnsi="Times New Roman" w:eastAsia="宋体" w:cs="Times New Roman"/>
                <w:b/>
                <w:bCs/>
                <w:color w:val="auto"/>
                <w:sz w:val="24"/>
                <w:szCs w:val="24"/>
                <w:highlight w:val="none"/>
                <w:lang w:val="en-US" w:eastAsia="zh-CN" w:bidi="ar-SA"/>
              </w:rPr>
              <w:t>（</w:t>
            </w:r>
            <w:r>
              <w:rPr>
                <w:rFonts w:hint="eastAsia" w:ascii="Times New Roman" w:hAnsi="Times New Roman" w:eastAsia="宋体" w:cs="Times New Roman"/>
                <w:b/>
                <w:bCs/>
                <w:color w:val="auto"/>
                <w:sz w:val="24"/>
                <w:szCs w:val="24"/>
                <w:highlight w:val="none"/>
                <w:lang w:val="en-US" w:eastAsia="zh-CN" w:bidi="ar-SA"/>
              </w:rPr>
              <w:t>15</w:t>
            </w:r>
            <w:r>
              <w:rPr>
                <w:rFonts w:ascii="Times New Roman" w:hAnsi="Times New Roman" w:eastAsia="宋体" w:cs="Times New Roman"/>
                <w:b/>
                <w:bCs/>
                <w:color w:val="auto"/>
                <w:sz w:val="24"/>
                <w:szCs w:val="24"/>
                <w:highlight w:val="none"/>
                <w:lang w:val="en-US" w:eastAsia="zh-CN" w:bidi="ar-SA"/>
              </w:rPr>
              <w:t>）检测器可对交通异常事件进行检测，包括停车、逆行、变道、超高速、超低速、连续变道事件、缓行、拥堵、行人及非机动等，可通过上位机自行配置检测区，可定制触发报警机制，并可输出报警信息。</w:t>
            </w:r>
            <w:r>
              <w:rPr>
                <w:rFonts w:hint="eastAsia" w:ascii="Times New Roman" w:hAnsi="Times New Roman" w:eastAsia="宋体" w:cs="Times New Roman"/>
                <w:b/>
                <w:bCs/>
                <w:color w:val="auto"/>
                <w:sz w:val="24"/>
                <w:szCs w:val="24"/>
                <w:highlight w:val="none"/>
                <w:lang w:val="en-US" w:eastAsia="zh-CN" w:bidi="ar-SA"/>
              </w:rPr>
              <w:t>（投标时须在响应文件中提供第三方检测机构出具的合格检验报告或功能截图等相关证明材料）</w:t>
            </w:r>
          </w:p>
          <w:p w14:paraId="017D1E8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注：全息高架预警平台：系统通过视频监控、卡口摄像机、雷视一体机等多维感知前端，提取、融合车辆的物理属性（如：车型、车牌、颜色、品牌）和态势属性（如：坐标、速度、驾驶行为），同时结合高精度数字地图、结构化数据引擎、数字孪生等先进技术，整合快速路网空间信息模型与城市交通运行感知数据，对现实世界中的车辆基于城市数字地图进行实时重建，对道路主体、设备设施、车流、重点车辆等关键目标“1:1”实时孪生再现。实现对车辆拥堵、异常停车、实线变道、交通事故等各类常见交通事件以及出口急停、危险行驶、连续变道、蛇形行驶、低速行驶等难以感知的业务痛点进行全天候实时监测、报警，满足全天候、高精度、数字化、智能化、多功能的交通管理要求。</w:t>
            </w:r>
          </w:p>
        </w:tc>
      </w:tr>
      <w:tr w14:paraId="3DA3D1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8949EA1">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B8625A8">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679521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4.4.3 边缘计算单元</w:t>
            </w:r>
          </w:p>
          <w:p w14:paraId="356669C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◆1、多传感器融合边缘计算设备能够使用多雷达多目标拼接融合算法，能处理不少于6台雷视一体机的轨迹拼接，同时能够与路段的球机、枪机、卡口进行联动，实现目标区域内多传感器的有效融合。</w:t>
            </w:r>
          </w:p>
          <w:p w14:paraId="674C0B04">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2、CPU不低于2.3GHZ,≥4核心。</w:t>
            </w:r>
          </w:p>
          <w:p w14:paraId="10FC0DF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3、系统内存不低于2*260-Pin SODIMM, 双通道DDR4 2400/2133MHz, 16GB内存；</w:t>
            </w:r>
          </w:p>
          <w:p w14:paraId="3FABF97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至少2个千兆网口。存储≥512G固态硬盘；至少6*USB3.0 Type A；功耗≤70W电源支持DC 24V输入；工作温度-20～65℃,使用宽温SSD。</w:t>
            </w:r>
          </w:p>
          <w:p w14:paraId="2763016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◆4、基于多雷达目标融合拼接算法，在融合区内精准识别两台雷达的相同目标，并将其融合，实现车辆ID、运行轨迹及速度的完整性和连续性。</w:t>
            </w:r>
          </w:p>
          <w:p w14:paraId="21ECDB2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◆5、可联动枪机及卡口实现车牌、车辆结构化信息和轨迹信息的叠加，实现检测区域内车辆的车牌、车型拟合。</w:t>
            </w:r>
          </w:p>
          <w:p w14:paraId="33657BB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可实现雷达坐标系与球机PTZ坐标系的转换，雷达可定位异常交通事件的发生位置，联动球机对异常交通事件发生区域进行图片的拍摄或视频的录制。</w:t>
            </w:r>
          </w:p>
          <w:p w14:paraId="0409A9C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可将雷达发送的轨迹数据及事件数据进行融合处理后，转发给上层平台。</w:t>
            </w:r>
          </w:p>
          <w:p w14:paraId="4F6B4A6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可通过可视化界面对多台雷达的位置关系进行标定，实现多台雷达坐标系的统一。</w:t>
            </w:r>
          </w:p>
          <w:p w14:paraId="7A920EF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可加载本地及在线高精地图，可支持栅格瓦片地图xyz、lrc格式，矢量地图geojson、wms格式。</w:t>
            </w:r>
          </w:p>
        </w:tc>
      </w:tr>
      <w:tr w14:paraId="6CE09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AFC8B2B">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6FF5530">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FBA2F2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4.4.4 接入接口要求</w:t>
            </w:r>
          </w:p>
          <w:p w14:paraId="710AF28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◆RS-232C数据终端设备接口默认数据传输比特率为115200bit/s。以太网口应使用TCP/IP协议，TCP协议应符合RFC0793，IP协议应符合RFC0791。</w:t>
            </w:r>
          </w:p>
        </w:tc>
      </w:tr>
      <w:tr w14:paraId="7CD47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FF2612B">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99CC949">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2147E7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4.4.5智能抱杆箱</w:t>
            </w:r>
          </w:p>
          <w:p w14:paraId="6D99A18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同4.2.4。</w:t>
            </w:r>
          </w:p>
        </w:tc>
      </w:tr>
      <w:tr w14:paraId="0761E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E5407A6">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F81CB5F">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5EDED4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4.4.6 智能设备箱</w:t>
            </w:r>
          </w:p>
          <w:p w14:paraId="0EB59B6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同4.3.8。</w:t>
            </w:r>
          </w:p>
        </w:tc>
      </w:tr>
      <w:tr w14:paraId="7354E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111A382">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90ABF5F">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DCD4A2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4.4.7 工业级交换机1</w:t>
            </w:r>
          </w:p>
          <w:p w14:paraId="2638A66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同4.3.7。</w:t>
            </w:r>
          </w:p>
        </w:tc>
      </w:tr>
      <w:tr w14:paraId="33E3E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20E8CB5">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F4E47A0">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5159540">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4.4.8交通调查系统</w:t>
            </w:r>
          </w:p>
          <w:p w14:paraId="4A16D5C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交通情况调查设备应具备机动车分型功能，满足交通运输部《关于调整公路交通情况调查交通车型分类及折算系数的通知》（厅规划字[2010]205号）附件1《公路交通情况调查机动车车型分类》中二级分类的要求，机动车分型表参见下表。</w:t>
            </w:r>
          </w:p>
          <w:tbl>
            <w:tblPr>
              <w:tblStyle w:val="31"/>
              <w:tblW w:w="80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1235"/>
              <w:gridCol w:w="2005"/>
              <w:gridCol w:w="2430"/>
              <w:gridCol w:w="1559"/>
            </w:tblGrid>
            <w:tr w14:paraId="064E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17" w:type="dxa"/>
                  <w:noWrap w:val="0"/>
                  <w:vAlign w:val="center"/>
                </w:tcPr>
                <w:p w14:paraId="4B6F9161">
                  <w:pPr>
                    <w:widowControl w:val="0"/>
                    <w:spacing w:line="360" w:lineRule="auto"/>
                    <w:jc w:val="center"/>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车型</w:t>
                  </w:r>
                </w:p>
              </w:tc>
              <w:tc>
                <w:tcPr>
                  <w:tcW w:w="1235" w:type="dxa"/>
                  <w:noWrap w:val="0"/>
                  <w:vAlign w:val="center"/>
                </w:tcPr>
                <w:p w14:paraId="40A59486">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车型分类</w:t>
                  </w:r>
                </w:p>
              </w:tc>
              <w:tc>
                <w:tcPr>
                  <w:tcW w:w="2005" w:type="dxa"/>
                  <w:noWrap w:val="0"/>
                  <w:vAlign w:val="center"/>
                </w:tcPr>
                <w:p w14:paraId="4EA146DF">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额定荷载参数</w:t>
                  </w:r>
                </w:p>
              </w:tc>
              <w:tc>
                <w:tcPr>
                  <w:tcW w:w="2430" w:type="dxa"/>
                  <w:noWrap w:val="0"/>
                  <w:vAlign w:val="center"/>
                </w:tcPr>
                <w:p w14:paraId="1B200306">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轮廓及轴数特征参数</w:t>
                  </w:r>
                </w:p>
              </w:tc>
              <w:tc>
                <w:tcPr>
                  <w:tcW w:w="1559" w:type="dxa"/>
                  <w:noWrap w:val="0"/>
                  <w:vAlign w:val="center"/>
                </w:tcPr>
                <w:p w14:paraId="4485BBE5">
                  <w:pPr>
                    <w:widowControl w:val="0"/>
                    <w:spacing w:line="360" w:lineRule="auto"/>
                    <w:jc w:val="center"/>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备注</w:t>
                  </w:r>
                </w:p>
              </w:tc>
            </w:tr>
            <w:tr w14:paraId="3FB05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817" w:type="dxa"/>
                  <w:vMerge w:val="restart"/>
                  <w:noWrap w:val="0"/>
                  <w:vAlign w:val="center"/>
                </w:tcPr>
                <w:p w14:paraId="3F7A3958">
                  <w:pPr>
                    <w:widowControl w:val="0"/>
                    <w:spacing w:line="360" w:lineRule="auto"/>
                    <w:jc w:val="center"/>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汽车</w:t>
                  </w:r>
                </w:p>
              </w:tc>
              <w:tc>
                <w:tcPr>
                  <w:tcW w:w="1235" w:type="dxa"/>
                  <w:noWrap w:val="0"/>
                  <w:vAlign w:val="center"/>
                </w:tcPr>
                <w:p w14:paraId="796A38F7">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中小客车</w:t>
                  </w:r>
                </w:p>
              </w:tc>
              <w:tc>
                <w:tcPr>
                  <w:tcW w:w="2005" w:type="dxa"/>
                  <w:noWrap w:val="0"/>
                  <w:vAlign w:val="center"/>
                </w:tcPr>
                <w:p w14:paraId="42D4BFF6">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额定座位≤19座</w:t>
                  </w:r>
                </w:p>
              </w:tc>
              <w:tc>
                <w:tcPr>
                  <w:tcW w:w="2430" w:type="dxa"/>
                  <w:vMerge w:val="restart"/>
                  <w:noWrap w:val="0"/>
                  <w:vAlign w:val="center"/>
                </w:tcPr>
                <w:p w14:paraId="04A0CA2C">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车长&lt;6m，2轴</w:t>
                  </w:r>
                </w:p>
              </w:tc>
              <w:tc>
                <w:tcPr>
                  <w:tcW w:w="1559" w:type="dxa"/>
                  <w:noWrap w:val="0"/>
                  <w:vAlign w:val="center"/>
                </w:tcPr>
                <w:p w14:paraId="6529CD6A">
                  <w:pPr>
                    <w:widowControl w:val="0"/>
                    <w:spacing w:line="360" w:lineRule="auto"/>
                    <w:jc w:val="both"/>
                    <w:rPr>
                      <w:rFonts w:ascii="宋体" w:hAnsi="宋体" w:eastAsia="宋体" w:cs="Times New Roman"/>
                      <w:bCs/>
                      <w:color w:val="auto"/>
                      <w:sz w:val="24"/>
                      <w:szCs w:val="24"/>
                      <w:highlight w:val="none"/>
                      <w:lang w:val="en-US" w:eastAsia="zh-CN" w:bidi="ar-SA"/>
                    </w:rPr>
                  </w:pPr>
                </w:p>
              </w:tc>
            </w:tr>
            <w:tr w14:paraId="175A0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817" w:type="dxa"/>
                  <w:vMerge w:val="continue"/>
                  <w:noWrap w:val="0"/>
                  <w:vAlign w:val="center"/>
                </w:tcPr>
                <w:p w14:paraId="1E252CF6">
                  <w:pPr>
                    <w:widowControl w:val="0"/>
                    <w:spacing w:line="360" w:lineRule="auto"/>
                    <w:jc w:val="both"/>
                    <w:rPr>
                      <w:rFonts w:ascii="宋体" w:hAnsi="宋体" w:eastAsia="宋体" w:cs="Times New Roman"/>
                      <w:bCs/>
                      <w:color w:val="auto"/>
                      <w:sz w:val="24"/>
                      <w:szCs w:val="24"/>
                      <w:highlight w:val="none"/>
                      <w:lang w:val="en-US" w:eastAsia="zh-CN" w:bidi="ar-SA"/>
                    </w:rPr>
                  </w:pPr>
                </w:p>
              </w:tc>
              <w:tc>
                <w:tcPr>
                  <w:tcW w:w="1235" w:type="dxa"/>
                  <w:noWrap w:val="0"/>
                  <w:vAlign w:val="center"/>
                </w:tcPr>
                <w:p w14:paraId="4DB6D157">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小型货车</w:t>
                  </w:r>
                </w:p>
              </w:tc>
              <w:tc>
                <w:tcPr>
                  <w:tcW w:w="2005" w:type="dxa"/>
                  <w:noWrap w:val="0"/>
                  <w:vAlign w:val="center"/>
                </w:tcPr>
                <w:p w14:paraId="0C3ABCA2">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载质量≤2吨</w:t>
                  </w:r>
                </w:p>
              </w:tc>
              <w:tc>
                <w:tcPr>
                  <w:tcW w:w="2430" w:type="dxa"/>
                  <w:vMerge w:val="continue"/>
                  <w:noWrap w:val="0"/>
                  <w:vAlign w:val="center"/>
                </w:tcPr>
                <w:p w14:paraId="6003A43B">
                  <w:pPr>
                    <w:widowControl w:val="0"/>
                    <w:spacing w:line="360" w:lineRule="auto"/>
                    <w:jc w:val="both"/>
                    <w:rPr>
                      <w:rFonts w:ascii="宋体" w:hAnsi="宋体" w:eastAsia="宋体" w:cs="Times New Roman"/>
                      <w:bCs/>
                      <w:color w:val="auto"/>
                      <w:sz w:val="24"/>
                      <w:szCs w:val="24"/>
                      <w:highlight w:val="none"/>
                      <w:lang w:val="en-US" w:eastAsia="zh-CN" w:bidi="ar-SA"/>
                    </w:rPr>
                  </w:pPr>
                </w:p>
              </w:tc>
              <w:tc>
                <w:tcPr>
                  <w:tcW w:w="1559" w:type="dxa"/>
                  <w:noWrap w:val="0"/>
                  <w:vAlign w:val="center"/>
                </w:tcPr>
                <w:p w14:paraId="2177CF0C">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包括三轮载货汽车</w:t>
                  </w:r>
                </w:p>
              </w:tc>
            </w:tr>
            <w:tr w14:paraId="4C065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17" w:type="dxa"/>
                  <w:vMerge w:val="continue"/>
                  <w:noWrap w:val="0"/>
                  <w:vAlign w:val="center"/>
                </w:tcPr>
                <w:p w14:paraId="132F250E">
                  <w:pPr>
                    <w:widowControl w:val="0"/>
                    <w:spacing w:line="360" w:lineRule="auto"/>
                    <w:jc w:val="both"/>
                    <w:rPr>
                      <w:rFonts w:ascii="宋体" w:hAnsi="宋体" w:eastAsia="宋体" w:cs="Times New Roman"/>
                      <w:bCs/>
                      <w:color w:val="auto"/>
                      <w:sz w:val="24"/>
                      <w:szCs w:val="24"/>
                      <w:highlight w:val="none"/>
                      <w:lang w:val="en-US" w:eastAsia="zh-CN" w:bidi="ar-SA"/>
                    </w:rPr>
                  </w:pPr>
                </w:p>
              </w:tc>
              <w:tc>
                <w:tcPr>
                  <w:tcW w:w="1235" w:type="dxa"/>
                  <w:noWrap w:val="0"/>
                  <w:vAlign w:val="center"/>
                </w:tcPr>
                <w:p w14:paraId="47994A0A">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大客车</w:t>
                  </w:r>
                </w:p>
              </w:tc>
              <w:tc>
                <w:tcPr>
                  <w:tcW w:w="2005" w:type="dxa"/>
                  <w:noWrap w:val="0"/>
                  <w:vAlign w:val="center"/>
                </w:tcPr>
                <w:p w14:paraId="14FDA9BE">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额定座位&gt;19座</w:t>
                  </w:r>
                </w:p>
              </w:tc>
              <w:tc>
                <w:tcPr>
                  <w:tcW w:w="2430" w:type="dxa"/>
                  <w:vMerge w:val="restart"/>
                  <w:noWrap w:val="0"/>
                  <w:vAlign w:val="center"/>
                </w:tcPr>
                <w:p w14:paraId="7484539F">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6m≤车长≤12m，2轴</w:t>
                  </w:r>
                </w:p>
              </w:tc>
              <w:tc>
                <w:tcPr>
                  <w:tcW w:w="1559" w:type="dxa"/>
                  <w:noWrap w:val="0"/>
                  <w:vAlign w:val="center"/>
                </w:tcPr>
                <w:p w14:paraId="14318E10">
                  <w:pPr>
                    <w:widowControl w:val="0"/>
                    <w:spacing w:line="360" w:lineRule="auto"/>
                    <w:jc w:val="both"/>
                    <w:rPr>
                      <w:rFonts w:ascii="宋体" w:hAnsi="宋体" w:eastAsia="宋体" w:cs="Times New Roman"/>
                      <w:bCs/>
                      <w:color w:val="auto"/>
                      <w:sz w:val="24"/>
                      <w:szCs w:val="24"/>
                      <w:highlight w:val="none"/>
                      <w:lang w:val="en-US" w:eastAsia="zh-CN" w:bidi="ar-SA"/>
                    </w:rPr>
                  </w:pPr>
                </w:p>
              </w:tc>
            </w:tr>
            <w:tr w14:paraId="5624F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17" w:type="dxa"/>
                  <w:vMerge w:val="continue"/>
                  <w:noWrap w:val="0"/>
                  <w:vAlign w:val="center"/>
                </w:tcPr>
                <w:p w14:paraId="113A64EF">
                  <w:pPr>
                    <w:widowControl w:val="0"/>
                    <w:spacing w:line="360" w:lineRule="auto"/>
                    <w:jc w:val="both"/>
                    <w:rPr>
                      <w:rFonts w:ascii="宋体" w:hAnsi="宋体" w:eastAsia="宋体" w:cs="Times New Roman"/>
                      <w:bCs/>
                      <w:color w:val="auto"/>
                      <w:sz w:val="24"/>
                      <w:szCs w:val="24"/>
                      <w:highlight w:val="none"/>
                      <w:lang w:val="en-US" w:eastAsia="zh-CN" w:bidi="ar-SA"/>
                    </w:rPr>
                  </w:pPr>
                </w:p>
              </w:tc>
              <w:tc>
                <w:tcPr>
                  <w:tcW w:w="1235" w:type="dxa"/>
                  <w:noWrap w:val="0"/>
                  <w:vAlign w:val="center"/>
                </w:tcPr>
                <w:p w14:paraId="3259D5DA">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中型货车</w:t>
                  </w:r>
                </w:p>
              </w:tc>
              <w:tc>
                <w:tcPr>
                  <w:tcW w:w="2005" w:type="dxa"/>
                  <w:noWrap w:val="0"/>
                  <w:vAlign w:val="center"/>
                </w:tcPr>
                <w:p w14:paraId="6C96536D">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2吨&lt;载质量≤7吨</w:t>
                  </w:r>
                </w:p>
              </w:tc>
              <w:tc>
                <w:tcPr>
                  <w:tcW w:w="2430" w:type="dxa"/>
                  <w:vMerge w:val="continue"/>
                  <w:noWrap w:val="0"/>
                  <w:vAlign w:val="center"/>
                </w:tcPr>
                <w:p w14:paraId="2A431017">
                  <w:pPr>
                    <w:widowControl w:val="0"/>
                    <w:spacing w:line="360" w:lineRule="auto"/>
                    <w:jc w:val="both"/>
                    <w:rPr>
                      <w:rFonts w:ascii="宋体" w:hAnsi="宋体" w:eastAsia="宋体" w:cs="Times New Roman"/>
                      <w:bCs/>
                      <w:color w:val="auto"/>
                      <w:sz w:val="24"/>
                      <w:szCs w:val="24"/>
                      <w:highlight w:val="none"/>
                      <w:lang w:val="en-US" w:eastAsia="zh-CN" w:bidi="ar-SA"/>
                    </w:rPr>
                  </w:pPr>
                </w:p>
              </w:tc>
              <w:tc>
                <w:tcPr>
                  <w:tcW w:w="1559" w:type="dxa"/>
                  <w:noWrap w:val="0"/>
                  <w:vAlign w:val="center"/>
                </w:tcPr>
                <w:p w14:paraId="1381B05E">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包括专用汽车</w:t>
                  </w:r>
                </w:p>
              </w:tc>
            </w:tr>
            <w:tr w14:paraId="72C42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17" w:type="dxa"/>
                  <w:vMerge w:val="continue"/>
                  <w:noWrap w:val="0"/>
                  <w:vAlign w:val="center"/>
                </w:tcPr>
                <w:p w14:paraId="517CDED5">
                  <w:pPr>
                    <w:widowControl w:val="0"/>
                    <w:spacing w:line="360" w:lineRule="auto"/>
                    <w:jc w:val="both"/>
                    <w:rPr>
                      <w:rFonts w:ascii="宋体" w:hAnsi="宋体" w:eastAsia="宋体" w:cs="Times New Roman"/>
                      <w:bCs/>
                      <w:color w:val="auto"/>
                      <w:sz w:val="24"/>
                      <w:szCs w:val="24"/>
                      <w:highlight w:val="none"/>
                      <w:lang w:val="en-US" w:eastAsia="zh-CN" w:bidi="ar-SA"/>
                    </w:rPr>
                  </w:pPr>
                </w:p>
              </w:tc>
              <w:tc>
                <w:tcPr>
                  <w:tcW w:w="1235" w:type="dxa"/>
                  <w:noWrap w:val="0"/>
                  <w:vAlign w:val="center"/>
                </w:tcPr>
                <w:p w14:paraId="47D2EF0D">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大型货车</w:t>
                  </w:r>
                </w:p>
              </w:tc>
              <w:tc>
                <w:tcPr>
                  <w:tcW w:w="2005" w:type="dxa"/>
                  <w:noWrap w:val="0"/>
                  <w:vAlign w:val="center"/>
                </w:tcPr>
                <w:p w14:paraId="4E568B83">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7吨&lt;载质量≤20吨</w:t>
                  </w:r>
                </w:p>
              </w:tc>
              <w:tc>
                <w:tcPr>
                  <w:tcW w:w="2430" w:type="dxa"/>
                  <w:noWrap w:val="0"/>
                  <w:vAlign w:val="center"/>
                </w:tcPr>
                <w:p w14:paraId="18C85892">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6m≤车长≤12m，3轴或4轴</w:t>
                  </w:r>
                </w:p>
              </w:tc>
              <w:tc>
                <w:tcPr>
                  <w:tcW w:w="1559" w:type="dxa"/>
                  <w:noWrap w:val="0"/>
                  <w:vAlign w:val="center"/>
                </w:tcPr>
                <w:p w14:paraId="380FBEF0">
                  <w:pPr>
                    <w:widowControl w:val="0"/>
                    <w:spacing w:line="360" w:lineRule="auto"/>
                    <w:jc w:val="both"/>
                    <w:rPr>
                      <w:rFonts w:ascii="宋体" w:hAnsi="宋体" w:eastAsia="宋体" w:cs="Times New Roman"/>
                      <w:bCs/>
                      <w:color w:val="auto"/>
                      <w:sz w:val="24"/>
                      <w:szCs w:val="24"/>
                      <w:highlight w:val="none"/>
                      <w:lang w:val="en-US" w:eastAsia="zh-CN" w:bidi="ar-SA"/>
                    </w:rPr>
                  </w:pPr>
                </w:p>
              </w:tc>
            </w:tr>
            <w:tr w14:paraId="1343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817" w:type="dxa"/>
                  <w:vMerge w:val="continue"/>
                  <w:noWrap w:val="0"/>
                  <w:vAlign w:val="center"/>
                </w:tcPr>
                <w:p w14:paraId="743D6ABA">
                  <w:pPr>
                    <w:widowControl w:val="0"/>
                    <w:spacing w:line="360" w:lineRule="auto"/>
                    <w:jc w:val="both"/>
                    <w:rPr>
                      <w:rFonts w:ascii="宋体" w:hAnsi="宋体" w:eastAsia="宋体" w:cs="Times New Roman"/>
                      <w:bCs/>
                      <w:color w:val="auto"/>
                      <w:sz w:val="24"/>
                      <w:szCs w:val="24"/>
                      <w:highlight w:val="none"/>
                      <w:lang w:val="en-US" w:eastAsia="zh-CN" w:bidi="ar-SA"/>
                    </w:rPr>
                  </w:pPr>
                </w:p>
              </w:tc>
              <w:tc>
                <w:tcPr>
                  <w:tcW w:w="1235" w:type="dxa"/>
                  <w:noWrap w:val="0"/>
                  <w:vAlign w:val="center"/>
                </w:tcPr>
                <w:p w14:paraId="5392D916">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特大型</w:t>
                  </w:r>
                </w:p>
                <w:p w14:paraId="4945FC2A">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货车</w:t>
                  </w:r>
                </w:p>
              </w:tc>
              <w:tc>
                <w:tcPr>
                  <w:tcW w:w="2005" w:type="dxa"/>
                  <w:vMerge w:val="restart"/>
                  <w:noWrap w:val="0"/>
                  <w:vAlign w:val="center"/>
                </w:tcPr>
                <w:p w14:paraId="7E04F7EF">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载质量&gt;20吨</w:t>
                  </w:r>
                </w:p>
              </w:tc>
              <w:tc>
                <w:tcPr>
                  <w:tcW w:w="2430" w:type="dxa"/>
                  <w:noWrap w:val="0"/>
                  <w:vAlign w:val="center"/>
                </w:tcPr>
                <w:p w14:paraId="4BF887F0">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车长&gt;12m或4轴以上；且车高&lt;3.8m或车高&gt;6.13m</w:t>
                  </w:r>
                </w:p>
              </w:tc>
              <w:tc>
                <w:tcPr>
                  <w:tcW w:w="1559" w:type="dxa"/>
                  <w:noWrap w:val="0"/>
                  <w:vAlign w:val="center"/>
                </w:tcPr>
                <w:p w14:paraId="068BF7F4">
                  <w:pPr>
                    <w:widowControl w:val="0"/>
                    <w:spacing w:line="360" w:lineRule="auto"/>
                    <w:jc w:val="both"/>
                    <w:rPr>
                      <w:rFonts w:ascii="宋体" w:hAnsi="宋体" w:eastAsia="宋体" w:cs="Times New Roman"/>
                      <w:bCs/>
                      <w:color w:val="auto"/>
                      <w:sz w:val="24"/>
                      <w:szCs w:val="24"/>
                      <w:highlight w:val="none"/>
                      <w:lang w:val="en-US" w:eastAsia="zh-CN" w:bidi="ar-SA"/>
                    </w:rPr>
                  </w:pPr>
                </w:p>
              </w:tc>
            </w:tr>
            <w:tr w14:paraId="328BC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817" w:type="dxa"/>
                  <w:vMerge w:val="continue"/>
                  <w:noWrap w:val="0"/>
                  <w:vAlign w:val="center"/>
                </w:tcPr>
                <w:p w14:paraId="169FF516">
                  <w:pPr>
                    <w:widowControl w:val="0"/>
                    <w:spacing w:line="360" w:lineRule="auto"/>
                    <w:jc w:val="both"/>
                    <w:rPr>
                      <w:rFonts w:ascii="宋体" w:hAnsi="宋体" w:eastAsia="宋体" w:cs="Times New Roman"/>
                      <w:bCs/>
                      <w:color w:val="auto"/>
                      <w:sz w:val="24"/>
                      <w:szCs w:val="24"/>
                      <w:highlight w:val="none"/>
                      <w:lang w:val="en-US" w:eastAsia="zh-CN" w:bidi="ar-SA"/>
                    </w:rPr>
                  </w:pPr>
                </w:p>
              </w:tc>
              <w:tc>
                <w:tcPr>
                  <w:tcW w:w="1235" w:type="dxa"/>
                  <w:noWrap w:val="0"/>
                  <w:vAlign w:val="center"/>
                </w:tcPr>
                <w:p w14:paraId="79727CED">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集装箱车</w:t>
                  </w:r>
                </w:p>
              </w:tc>
              <w:tc>
                <w:tcPr>
                  <w:tcW w:w="2005" w:type="dxa"/>
                  <w:vMerge w:val="continue"/>
                  <w:noWrap w:val="0"/>
                  <w:vAlign w:val="center"/>
                </w:tcPr>
                <w:p w14:paraId="554A7B08">
                  <w:pPr>
                    <w:widowControl w:val="0"/>
                    <w:spacing w:line="360" w:lineRule="auto"/>
                    <w:jc w:val="both"/>
                    <w:rPr>
                      <w:rFonts w:ascii="宋体" w:hAnsi="宋体" w:eastAsia="宋体" w:cs="Times New Roman"/>
                      <w:bCs/>
                      <w:color w:val="auto"/>
                      <w:sz w:val="24"/>
                      <w:szCs w:val="24"/>
                      <w:highlight w:val="none"/>
                      <w:lang w:val="en-US" w:eastAsia="zh-CN" w:bidi="ar-SA"/>
                    </w:rPr>
                  </w:pPr>
                </w:p>
              </w:tc>
              <w:tc>
                <w:tcPr>
                  <w:tcW w:w="2430" w:type="dxa"/>
                  <w:noWrap w:val="0"/>
                  <w:vAlign w:val="center"/>
                </w:tcPr>
                <w:p w14:paraId="712B6C78">
                  <w:pPr>
                    <w:widowControl w:val="0"/>
                    <w:spacing w:line="360" w:lineRule="auto"/>
                    <w:jc w:val="both"/>
                    <w:rPr>
                      <w:rFonts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车长&gt;12m或4轴以上；且3.8m≤车高≤6.13m</w:t>
                  </w:r>
                </w:p>
              </w:tc>
              <w:tc>
                <w:tcPr>
                  <w:tcW w:w="1559" w:type="dxa"/>
                  <w:noWrap w:val="0"/>
                  <w:vAlign w:val="center"/>
                </w:tcPr>
                <w:p w14:paraId="2A5C8D97">
                  <w:pPr>
                    <w:widowControl w:val="0"/>
                    <w:spacing w:line="360" w:lineRule="auto"/>
                    <w:jc w:val="both"/>
                    <w:rPr>
                      <w:rFonts w:ascii="宋体" w:hAnsi="宋体" w:eastAsia="宋体" w:cs="Times New Roman"/>
                      <w:bCs/>
                      <w:color w:val="auto"/>
                      <w:sz w:val="24"/>
                      <w:szCs w:val="24"/>
                      <w:highlight w:val="none"/>
                      <w:lang w:val="en-US" w:eastAsia="zh-CN" w:bidi="ar-SA"/>
                    </w:rPr>
                  </w:pPr>
                </w:p>
              </w:tc>
            </w:tr>
          </w:tbl>
          <w:p w14:paraId="08443309">
            <w:pPr>
              <w:spacing w:line="360" w:lineRule="auto"/>
              <w:jc w:val="center"/>
              <w:rPr>
                <w:rFonts w:hint="default" w:ascii="宋体" w:hAnsi="宋体" w:eastAsia="宋体" w:cs="Times New Roman"/>
                <w:color w:val="auto"/>
                <w:szCs w:val="21"/>
                <w:highlight w:val="none"/>
              </w:rPr>
            </w:pPr>
            <w:r>
              <w:rPr>
                <w:rFonts w:hint="eastAsia" w:ascii="宋体" w:hAnsi="宋体" w:eastAsia="宋体" w:cs="Times New Roman"/>
                <w:color w:val="auto"/>
                <w:sz w:val="24"/>
                <w:szCs w:val="24"/>
                <w:highlight w:val="none"/>
              </w:rPr>
              <w:t>公路交通情况调查机动车车型分类表</w:t>
            </w:r>
          </w:p>
          <w:p w14:paraId="3B8E7BBB">
            <w:pPr>
              <w:spacing w:line="440" w:lineRule="exact"/>
              <w:ind w:firstLine="480" w:firstLineChars="200"/>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i/>
                <w:iCs/>
                <w:color w:val="auto"/>
                <w:sz w:val="24"/>
                <w:szCs w:val="24"/>
                <w:highlight w:val="none"/>
                <w:u w:val="single"/>
                <w:lang w:val="en-US" w:eastAsia="zh-CN" w:bidi="ar-SA"/>
              </w:rPr>
              <w:t>机动车交通流量数据的采集满足交通部《关于加强公路交通情况调查设备技术管理的指导意见(2010年修订稿)》附件1《固定式交通流量调查设备技术条件》中I型设备的相关要求，所采集的机动车交通流量数据应可分行驶方向、可分车道、可按上表中的要求进行机动车分型。</w:t>
            </w:r>
          </w:p>
          <w:p w14:paraId="2E559E18">
            <w:pPr>
              <w:spacing w:line="440" w:lineRule="exact"/>
              <w:ind w:firstLine="480" w:firstLineChars="200"/>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3、</w:t>
            </w:r>
            <w:r>
              <w:rPr>
                <w:rFonts w:hint="eastAsia" w:ascii="Times New Roman" w:hAnsi="Times New Roman" w:eastAsia="宋体" w:cs="Times New Roman"/>
                <w:i/>
                <w:iCs/>
                <w:color w:val="auto"/>
                <w:sz w:val="24"/>
                <w:szCs w:val="24"/>
                <w:highlight w:val="none"/>
                <w:u w:val="single"/>
                <w:lang w:val="en-US" w:eastAsia="zh-CN" w:bidi="ar-SA"/>
              </w:rPr>
              <w:t>机动车地点车速数据的采集满足交通部《关于加强公路交通情况调查设备技术管理的指导意见(2010年修订稿)》附件1《固定式交通流量调查设备技术条件》中I型设备的相关要求，所采集的车速数据应可分行驶方向、可分车道、可按上表中的要求进行机动车分型，车速的采集范围为0~180公里/小时。</w:t>
            </w:r>
          </w:p>
          <w:p w14:paraId="0356BC54">
            <w:pPr>
              <w:spacing w:line="440" w:lineRule="exact"/>
              <w:ind w:firstLine="480" w:firstLineChars="200"/>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4、功能要求</w:t>
            </w:r>
          </w:p>
          <w:p w14:paraId="417803B8">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机动车车头时距数据的采集</w:t>
            </w:r>
          </w:p>
          <w:p w14:paraId="437C706F">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设备应具备在任意时间周期内，对经过该设备调查断面的汽车采集分方向、分车道的汽车车头时距数据的功能。</w:t>
            </w:r>
          </w:p>
          <w:p w14:paraId="749B6900">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跟车百分比数据的统计</w:t>
            </w:r>
          </w:p>
          <w:p w14:paraId="4462FC46">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设备能根据其所采集的汽车车头时距数据统计分方向的跟车百分比数据。</w:t>
            </w:r>
          </w:p>
          <w:p w14:paraId="69B08743">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机动车车头间距与平均机动车车头间距数据采集</w:t>
            </w:r>
          </w:p>
          <w:p w14:paraId="4451B835">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设备应具备在任意时间周期内，对经过该设备调查断面的汽车采集分方向、分车道的车头间距数据的功能，并据此计算平均车头间距。</w:t>
            </w:r>
          </w:p>
          <w:p w14:paraId="59ED720E">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时间占有率数据采集</w:t>
            </w:r>
          </w:p>
          <w:p w14:paraId="1BA666F0">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设备应具备在任意时间周期内，对经过该设备调查断面的汽车采集分方向、分车道的时间占有率数据的功能。</w:t>
            </w:r>
          </w:p>
          <w:p w14:paraId="7EED0364">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交通数据采集的精度要求</w:t>
            </w:r>
          </w:p>
          <w:p w14:paraId="4E59D096">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设备的流量数据采集相对误差应在±5%内。</w:t>
            </w:r>
          </w:p>
          <w:p w14:paraId="58DB7D17">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设备在采集机动车分型数据时，其单型识别相对误差均应在±10%内。</w:t>
            </w:r>
          </w:p>
          <w:p w14:paraId="3D6887DA">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设备地点车速数据采集的相对误差应在±10%内。</w:t>
            </w:r>
          </w:p>
          <w:p w14:paraId="07AB1173">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设备车头时距数据采集的相对误差应在±10%内。</w:t>
            </w:r>
          </w:p>
          <w:p w14:paraId="3E3341F0">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设备车头间距数据采集的相对误差应在±10%内。</w:t>
            </w:r>
          </w:p>
          <w:p w14:paraId="65224752">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设备时间占有率数据采集的相对误差应在±10%内。</w:t>
            </w:r>
          </w:p>
          <w:p w14:paraId="0FCF4F49">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交通数据传输及数据管理</w:t>
            </w:r>
          </w:p>
          <w:p w14:paraId="34413970">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设备投入使用后能将数据以5分钟为时间单位自动上传至市级服务器及省级服务器，服务器端可以分站点和分时段读取数据，并对数据进行统计管理，自动生产符合交通运输部报表制度要求的各类报表。</w:t>
            </w:r>
          </w:p>
          <w:p w14:paraId="75BCC497">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设备故障诊断及检测</w:t>
            </w:r>
          </w:p>
          <w:p w14:paraId="1558525A">
            <w:pPr>
              <w:spacing w:line="440" w:lineRule="exact"/>
              <w:ind w:firstLine="480" w:firstLineChars="20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设备具有实时故障诊断和检测功能，能检测设备的运行状态、数据存储状态和硬件设备的故障状态，并能即时报告设备管理人员，在中心设备管理计算机上显示故障原因代码。</w:t>
            </w:r>
          </w:p>
        </w:tc>
      </w:tr>
      <w:tr w14:paraId="5BF1D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17FB952">
            <w:pPr>
              <w:widowControl/>
              <w:spacing w:line="440" w:lineRule="exact"/>
              <w:jc w:val="lef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4.4</w:t>
            </w:r>
          </w:p>
        </w:tc>
        <w:tc>
          <w:tcPr>
            <w:tcW w:w="360" w:type="dxa"/>
            <w:vMerge w:val="continue"/>
            <w:noWrap w:val="0"/>
            <w:vAlign w:val="center"/>
          </w:tcPr>
          <w:p w14:paraId="2FF52913">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18F838B">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4.4.8.1 集成式交通气象监测仪</w:t>
            </w:r>
          </w:p>
          <w:p w14:paraId="52B10DD9">
            <w:pPr>
              <w:spacing w:line="440" w:lineRule="exact"/>
              <w:ind w:firstLine="480" w:firstLineChars="200"/>
              <w:rPr>
                <w:rFonts w:hint="eastAsia"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系统需接入张家港市气象局现有的气象业务平台，实现数据的互联互通。系统需遵循统一版中心站软件设备通信接口开发规范，采用动态链接库方式完成数据解析转换、通信连接维护、异常识别上报、远程参数适配等功能，与现有平台无缝接入，实现路面状况、能见度、路面温度、湿滑系数、气温、相对湿度、气压、风速、风向、降雨强度等要素的实时入库和设备监控、管理。</w:t>
            </w:r>
          </w:p>
          <w:p w14:paraId="4611A759">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1、所有前端采集的气象及路面状态数据需全量、实时入网，并纳入现有平台的统一展示、分析与预警体系中。设备功能包含但不限于以下功能，施工单位进场后，必须第一时间主动联系张家港市气象局及相关业主单位，对气象设备的安装点位、监测参数阈值、数据传输协议及联动逻辑进行深化设计，并经业主方审核确认后方可执行，以确保设备功能完全贴合张家港市的实际防灾减灾与交通保畅需求。</w:t>
            </w:r>
          </w:p>
          <w:p w14:paraId="10BBFAEE">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考虑到气象检测设备采集的气象信息具有区域代表性，设计结合管理需求在沿线主要的互通枢纽立交附近以及路段分别设置了气象检测器和路面状态检测器，对路面积水尤其是冬季结冰等情况进行实时检测，为道路交通安全运行提供必要的基础数据支撑。</w:t>
            </w:r>
          </w:p>
          <w:p w14:paraId="33F576BD">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2、为确保项目顺利落地并满足数据入网的硬性指标，中标单位在总标后须履行以下职责：</w:t>
            </w:r>
          </w:p>
          <w:p w14:paraId="2550F795">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建立沟通机制：中标后第一时间与张家港市气象局建立专项技术对接小组，明确现有平台的数据接口规范、通信协议及安全加密要求。</w:t>
            </w:r>
          </w:p>
          <w:p w14:paraId="0975F575">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联调联试保障：在设备安装调试阶段，必须安排专业技术人员驻场，配合气象局平台运维团队完成数据推送测试、异常值过滤及平台可视化适配等工作。</w:t>
            </w:r>
          </w:p>
          <w:p w14:paraId="2E246E96">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验收标准：系统的最终验收将以“数据成功、稳定接入张家港市气象局现有平台，并在平台上正常显示与应用”作为核心前置条件。若因设备兼容性问题导致数据无法入网，中标单位需无条件负责整改直至达标。</w:t>
            </w:r>
          </w:p>
          <w:p w14:paraId="4AB4E713">
            <w:pPr>
              <w:spacing w:line="440" w:lineRule="exact"/>
              <w:ind w:firstLine="480" w:firstLineChars="200"/>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（一）集成式交通气象监测仪</w:t>
            </w:r>
          </w:p>
          <w:p w14:paraId="54AC0C95">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配备压电雨强传感器模块、超声波风测风传感器模块、MEMS温湿压传感器模块、前向散射能见度传感器模块、路面状况传感器模块、红外路温传感器模块、激光指示器、万向支架等组件；</w:t>
            </w:r>
          </w:p>
          <w:p w14:paraId="528DAF6E">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能够对路面状况、能见度、路面温度、湿滑系数、气温、相对湿度、气压、风速、风向、降水强度进行观测；</w:t>
            </w:r>
          </w:p>
          <w:p w14:paraId="3EB79706">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观测数据应按《气象探测资料汇交管理办法》（气发〔2017〕31号）及相关法律法规要求及时汇交至当地气象主管部门。</w:t>
            </w:r>
          </w:p>
          <w:p w14:paraId="1DCCEB90">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支持路面状况、能见度、路面温度、气温、相对湿度、大气压力、风向、风速、降雨强度等气象要素测量；</w:t>
            </w:r>
          </w:p>
          <w:p w14:paraId="5ADFBE8D">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支持数据存储（1分钟一条），支持将实时和存储的测量结果通过RS232/RS485/bluetooth/4G进行上传，含4G传输卡；</w:t>
            </w:r>
          </w:p>
          <w:p w14:paraId="58F6A387">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支持配置文件的存储和上电调用；</w:t>
            </w:r>
          </w:p>
          <w:p w14:paraId="654D8AF8">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支持对站点、区站号、设备编号等设备信息进行设置和查看；</w:t>
            </w:r>
          </w:p>
          <w:p w14:paraId="2CF9545E">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支持对测量时间、高程、经纬度等状态进行设置和查看；具有自检、故障提示及报警功能；</w:t>
            </w:r>
          </w:p>
          <w:p w14:paraId="2E11E11A">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具体观测性能参数要求如下：</w:t>
            </w:r>
          </w:p>
          <w:tbl>
            <w:tblPr>
              <w:tblStyle w:val="294"/>
              <w:tblW w:w="697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9"/>
              <w:gridCol w:w="1884"/>
              <w:gridCol w:w="1283"/>
              <w:gridCol w:w="2315"/>
            </w:tblGrid>
            <w:tr w14:paraId="53F0CB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jc w:val="center"/>
              </w:trPr>
              <w:tc>
                <w:tcPr>
                  <w:tcW w:w="1489" w:type="dxa"/>
                  <w:noWrap w:val="0"/>
                  <w:vAlign w:val="top"/>
                </w:tcPr>
                <w:p w14:paraId="15D1CD0E">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测量要素</w:t>
                  </w:r>
                </w:p>
              </w:tc>
              <w:tc>
                <w:tcPr>
                  <w:tcW w:w="1884" w:type="dxa"/>
                  <w:noWrap w:val="0"/>
                  <w:vAlign w:val="top"/>
                </w:tcPr>
                <w:p w14:paraId="550A9BF4">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范围</w:t>
                  </w:r>
                </w:p>
              </w:tc>
              <w:tc>
                <w:tcPr>
                  <w:tcW w:w="1283" w:type="dxa"/>
                  <w:noWrap w:val="0"/>
                  <w:vAlign w:val="top"/>
                </w:tcPr>
                <w:p w14:paraId="7E2A1717">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分辨力</w:t>
                  </w:r>
                </w:p>
              </w:tc>
              <w:tc>
                <w:tcPr>
                  <w:tcW w:w="2315" w:type="dxa"/>
                  <w:noWrap w:val="0"/>
                  <w:vAlign w:val="top"/>
                </w:tcPr>
                <w:p w14:paraId="3E0D7B7C">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准确度等级/最大允许误差</w:t>
                  </w:r>
                </w:p>
              </w:tc>
            </w:tr>
            <w:tr w14:paraId="0032B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1489" w:type="dxa"/>
                  <w:noWrap w:val="0"/>
                  <w:vAlign w:val="top"/>
                </w:tcPr>
                <w:p w14:paraId="070D2DF8">
                  <w:pPr>
                    <w:spacing w:line="440" w:lineRule="exact"/>
                    <w:jc w:val="center"/>
                    <w:rPr>
                      <w:rFonts w:hint="eastAsia" w:ascii="宋体" w:hAnsi="宋体" w:eastAsia="宋体" w:cs="宋体"/>
                      <w:color w:val="auto"/>
                      <w:sz w:val="24"/>
                      <w:szCs w:val="24"/>
                      <w:highlight w:val="none"/>
                      <w:lang w:val="en-US" w:eastAsia="zh-CN" w:bidi="ar-SA"/>
                    </w:rPr>
                  </w:pPr>
                </w:p>
                <w:p w14:paraId="195D5BAD">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路面状况</w:t>
                  </w:r>
                </w:p>
              </w:tc>
              <w:tc>
                <w:tcPr>
                  <w:tcW w:w="3167" w:type="dxa"/>
                  <w:gridSpan w:val="2"/>
                  <w:noWrap w:val="0"/>
                  <w:vAlign w:val="top"/>
                </w:tcPr>
                <w:p w14:paraId="4F1B355E">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准确区分干燥、潮湿、积水、霜\</w:t>
                  </w:r>
                </w:p>
                <w:p w14:paraId="7A15B392">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雪、冰、冰水混合等 6 种路面状</w:t>
                  </w:r>
                </w:p>
                <w:p w14:paraId="7B356E47">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况，可反演输出湿滑系数</w:t>
                  </w:r>
                </w:p>
              </w:tc>
              <w:tc>
                <w:tcPr>
                  <w:tcW w:w="2315" w:type="dxa"/>
                  <w:noWrap w:val="0"/>
                  <w:vAlign w:val="top"/>
                </w:tcPr>
                <w:p w14:paraId="3E807602">
                  <w:pPr>
                    <w:spacing w:line="440" w:lineRule="exact"/>
                    <w:jc w:val="center"/>
                    <w:rPr>
                      <w:rFonts w:hint="eastAsia" w:ascii="宋体" w:hAnsi="宋体" w:eastAsia="宋体" w:cs="宋体"/>
                      <w:color w:val="auto"/>
                      <w:sz w:val="24"/>
                      <w:szCs w:val="24"/>
                      <w:highlight w:val="none"/>
                      <w:lang w:val="en-US" w:eastAsia="zh-CN" w:bidi="ar-SA"/>
                    </w:rPr>
                  </w:pPr>
                </w:p>
                <w:p w14:paraId="4B8AC4AB">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&gt;90%</w:t>
                  </w:r>
                </w:p>
              </w:tc>
            </w:tr>
            <w:tr w14:paraId="6309E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jc w:val="center"/>
              </w:trPr>
              <w:tc>
                <w:tcPr>
                  <w:tcW w:w="1489" w:type="dxa"/>
                  <w:noWrap w:val="0"/>
                  <w:vAlign w:val="top"/>
                </w:tcPr>
                <w:p w14:paraId="333EB9BD">
                  <w:pPr>
                    <w:spacing w:line="440" w:lineRule="exact"/>
                    <w:jc w:val="center"/>
                    <w:rPr>
                      <w:rFonts w:hint="eastAsia" w:ascii="宋体" w:hAnsi="宋体" w:eastAsia="宋体" w:cs="宋体"/>
                      <w:color w:val="auto"/>
                      <w:sz w:val="24"/>
                      <w:szCs w:val="24"/>
                      <w:highlight w:val="none"/>
                      <w:lang w:val="en-US" w:eastAsia="zh-CN" w:bidi="ar-SA"/>
                    </w:rPr>
                  </w:pPr>
                </w:p>
                <w:p w14:paraId="67F1EA63">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能见度</w:t>
                  </w:r>
                </w:p>
              </w:tc>
              <w:tc>
                <w:tcPr>
                  <w:tcW w:w="1884" w:type="dxa"/>
                  <w:noWrap w:val="0"/>
                  <w:vAlign w:val="top"/>
                </w:tcPr>
                <w:p w14:paraId="5BFC766D">
                  <w:pPr>
                    <w:spacing w:line="440" w:lineRule="exact"/>
                    <w:jc w:val="center"/>
                    <w:rPr>
                      <w:rFonts w:hint="eastAsia" w:ascii="宋体" w:hAnsi="宋体" w:eastAsia="宋体" w:cs="宋体"/>
                      <w:color w:val="auto"/>
                      <w:sz w:val="24"/>
                      <w:szCs w:val="24"/>
                      <w:highlight w:val="none"/>
                      <w:lang w:val="en-US" w:eastAsia="zh-CN" w:bidi="ar-SA"/>
                    </w:rPr>
                  </w:pPr>
                </w:p>
                <w:p w14:paraId="0AE289B0">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10～5000m</w:t>
                  </w:r>
                </w:p>
              </w:tc>
              <w:tc>
                <w:tcPr>
                  <w:tcW w:w="1283" w:type="dxa"/>
                  <w:noWrap w:val="0"/>
                  <w:vAlign w:val="top"/>
                </w:tcPr>
                <w:p w14:paraId="3819DF97">
                  <w:pPr>
                    <w:spacing w:line="440" w:lineRule="exact"/>
                    <w:jc w:val="center"/>
                    <w:rPr>
                      <w:rFonts w:hint="eastAsia" w:ascii="宋体" w:hAnsi="宋体" w:eastAsia="宋体" w:cs="宋体"/>
                      <w:color w:val="auto"/>
                      <w:sz w:val="24"/>
                      <w:szCs w:val="24"/>
                      <w:highlight w:val="none"/>
                      <w:lang w:val="en-US" w:eastAsia="zh-CN" w:bidi="ar-SA"/>
                    </w:rPr>
                  </w:pPr>
                </w:p>
                <w:p w14:paraId="456A0F86">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≤1m</w:t>
                  </w:r>
                </w:p>
              </w:tc>
              <w:tc>
                <w:tcPr>
                  <w:tcW w:w="2315" w:type="dxa"/>
                  <w:noWrap w:val="0"/>
                  <w:vAlign w:val="top"/>
                </w:tcPr>
                <w:p w14:paraId="546852A3">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±50m（能见度≤500m）</w:t>
                  </w:r>
                </w:p>
                <w:p w14:paraId="1AEDA43E">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10%（500m&lt;能见度≤1500m）</w:t>
                  </w:r>
                </w:p>
                <w:p w14:paraId="5B1012A9">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±20%（能见度＞1500m</w:t>
                  </w:r>
                </w:p>
              </w:tc>
            </w:tr>
            <w:tr w14:paraId="4EDB2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489" w:type="dxa"/>
                  <w:noWrap w:val="0"/>
                  <w:vAlign w:val="top"/>
                </w:tcPr>
                <w:p w14:paraId="173F4686">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路面温度</w:t>
                  </w:r>
                </w:p>
              </w:tc>
              <w:tc>
                <w:tcPr>
                  <w:tcW w:w="1884" w:type="dxa"/>
                  <w:noWrap w:val="0"/>
                  <w:vAlign w:val="top"/>
                </w:tcPr>
                <w:p w14:paraId="4083CCED">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-40～+80℃</w:t>
                  </w:r>
                </w:p>
              </w:tc>
              <w:tc>
                <w:tcPr>
                  <w:tcW w:w="1283" w:type="dxa"/>
                  <w:noWrap w:val="0"/>
                  <w:vAlign w:val="top"/>
                </w:tcPr>
                <w:p w14:paraId="63459E76">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≤0.1℃</w:t>
                  </w:r>
                </w:p>
              </w:tc>
              <w:tc>
                <w:tcPr>
                  <w:tcW w:w="2315" w:type="dxa"/>
                  <w:noWrap w:val="0"/>
                  <w:vAlign w:val="top"/>
                </w:tcPr>
                <w:p w14:paraId="010928C6">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±0.5℃ @（-5℃~+5℃)</w:t>
                  </w:r>
                </w:p>
                <w:p w14:paraId="27699282">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±2℃（其它范围）</w:t>
                  </w:r>
                </w:p>
              </w:tc>
            </w:tr>
            <w:tr w14:paraId="00B10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89" w:type="dxa"/>
                  <w:noWrap w:val="0"/>
                  <w:vAlign w:val="top"/>
                </w:tcPr>
                <w:p w14:paraId="6D3DCF02">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湿滑系数</w:t>
                  </w:r>
                </w:p>
              </w:tc>
              <w:tc>
                <w:tcPr>
                  <w:tcW w:w="1884" w:type="dxa"/>
                  <w:noWrap w:val="0"/>
                  <w:vAlign w:val="top"/>
                </w:tcPr>
                <w:p w14:paraId="2023DD1B">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0.01～1.00</w:t>
                  </w:r>
                </w:p>
              </w:tc>
              <w:tc>
                <w:tcPr>
                  <w:tcW w:w="1283" w:type="dxa"/>
                  <w:noWrap w:val="0"/>
                  <w:vAlign w:val="top"/>
                </w:tcPr>
                <w:p w14:paraId="10746868">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≤0.01</w:t>
                  </w:r>
                </w:p>
              </w:tc>
              <w:tc>
                <w:tcPr>
                  <w:tcW w:w="2315" w:type="dxa"/>
                  <w:noWrap w:val="0"/>
                  <w:vAlign w:val="top"/>
                </w:tcPr>
                <w:p w14:paraId="3A97BB32">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r>
            <w:tr w14:paraId="1F0F9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89" w:type="dxa"/>
                  <w:noWrap w:val="0"/>
                  <w:vAlign w:val="top"/>
                </w:tcPr>
                <w:p w14:paraId="053CCA92">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气温</w:t>
                  </w:r>
                </w:p>
              </w:tc>
              <w:tc>
                <w:tcPr>
                  <w:tcW w:w="1884" w:type="dxa"/>
                  <w:noWrap w:val="0"/>
                  <w:vAlign w:val="top"/>
                </w:tcPr>
                <w:p w14:paraId="61483509">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-40～+55℃</w:t>
                  </w:r>
                </w:p>
              </w:tc>
              <w:tc>
                <w:tcPr>
                  <w:tcW w:w="1283" w:type="dxa"/>
                  <w:noWrap w:val="0"/>
                  <w:vAlign w:val="top"/>
                </w:tcPr>
                <w:p w14:paraId="6C9ED45A">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≤0.1℃</w:t>
                  </w:r>
                </w:p>
              </w:tc>
              <w:tc>
                <w:tcPr>
                  <w:tcW w:w="2315" w:type="dxa"/>
                  <w:noWrap w:val="0"/>
                  <w:vAlign w:val="top"/>
                </w:tcPr>
                <w:p w14:paraId="23DD89A9">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±0.3℃</w:t>
                  </w:r>
                </w:p>
              </w:tc>
            </w:tr>
            <w:tr w14:paraId="2FA5C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89" w:type="dxa"/>
                  <w:vMerge w:val="restart"/>
                  <w:tcBorders>
                    <w:bottom w:val="nil"/>
                  </w:tcBorders>
                  <w:noWrap w:val="0"/>
                  <w:vAlign w:val="top"/>
                </w:tcPr>
                <w:p w14:paraId="5BA001ED">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相对湿度</w:t>
                  </w:r>
                </w:p>
              </w:tc>
              <w:tc>
                <w:tcPr>
                  <w:tcW w:w="1884" w:type="dxa"/>
                  <w:vMerge w:val="restart"/>
                  <w:tcBorders>
                    <w:bottom w:val="nil"/>
                  </w:tcBorders>
                  <w:noWrap w:val="0"/>
                  <w:vAlign w:val="top"/>
                </w:tcPr>
                <w:p w14:paraId="6E4C6D34">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10%～100%RH</w:t>
                  </w:r>
                </w:p>
              </w:tc>
              <w:tc>
                <w:tcPr>
                  <w:tcW w:w="1283" w:type="dxa"/>
                  <w:vMerge w:val="restart"/>
                  <w:tcBorders>
                    <w:bottom w:val="nil"/>
                  </w:tcBorders>
                  <w:noWrap w:val="0"/>
                  <w:vAlign w:val="top"/>
                </w:tcPr>
                <w:p w14:paraId="441EB78C">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≤0.1%RH</w:t>
                  </w:r>
                </w:p>
              </w:tc>
              <w:tc>
                <w:tcPr>
                  <w:tcW w:w="2315" w:type="dxa"/>
                  <w:noWrap w:val="0"/>
                  <w:vAlign w:val="top"/>
                </w:tcPr>
                <w:p w14:paraId="5F0D5D33">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±3%RH (≤80%RH）</w:t>
                  </w:r>
                </w:p>
              </w:tc>
            </w:tr>
            <w:tr w14:paraId="77E240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89" w:type="dxa"/>
                  <w:vMerge w:val="continue"/>
                  <w:tcBorders>
                    <w:top w:val="nil"/>
                  </w:tcBorders>
                  <w:noWrap w:val="0"/>
                  <w:vAlign w:val="top"/>
                </w:tcPr>
                <w:p w14:paraId="3AC69B7C">
                  <w:pPr>
                    <w:spacing w:line="440" w:lineRule="exact"/>
                    <w:jc w:val="center"/>
                    <w:rPr>
                      <w:rFonts w:hint="eastAsia" w:ascii="宋体" w:hAnsi="宋体" w:eastAsia="宋体" w:cs="宋体"/>
                      <w:color w:val="auto"/>
                      <w:sz w:val="24"/>
                      <w:szCs w:val="24"/>
                      <w:highlight w:val="none"/>
                      <w:lang w:val="en-US" w:eastAsia="zh-CN" w:bidi="ar-SA"/>
                    </w:rPr>
                  </w:pPr>
                </w:p>
              </w:tc>
              <w:tc>
                <w:tcPr>
                  <w:tcW w:w="1884" w:type="dxa"/>
                  <w:vMerge w:val="continue"/>
                  <w:tcBorders>
                    <w:top w:val="nil"/>
                  </w:tcBorders>
                  <w:noWrap w:val="0"/>
                  <w:vAlign w:val="top"/>
                </w:tcPr>
                <w:p w14:paraId="1CFF0ACD">
                  <w:pPr>
                    <w:spacing w:line="440" w:lineRule="exact"/>
                    <w:jc w:val="center"/>
                    <w:rPr>
                      <w:rFonts w:hint="eastAsia" w:ascii="宋体" w:hAnsi="宋体" w:eastAsia="宋体" w:cs="宋体"/>
                      <w:color w:val="auto"/>
                      <w:sz w:val="24"/>
                      <w:szCs w:val="24"/>
                      <w:highlight w:val="none"/>
                      <w:lang w:val="en-US" w:eastAsia="zh-CN" w:bidi="ar-SA"/>
                    </w:rPr>
                  </w:pPr>
                </w:p>
              </w:tc>
              <w:tc>
                <w:tcPr>
                  <w:tcW w:w="1283" w:type="dxa"/>
                  <w:vMerge w:val="continue"/>
                  <w:tcBorders>
                    <w:top w:val="nil"/>
                  </w:tcBorders>
                  <w:noWrap w:val="0"/>
                  <w:vAlign w:val="top"/>
                </w:tcPr>
                <w:p w14:paraId="6D9C926D">
                  <w:pPr>
                    <w:spacing w:line="440" w:lineRule="exact"/>
                    <w:jc w:val="center"/>
                    <w:rPr>
                      <w:rFonts w:hint="eastAsia" w:ascii="宋体" w:hAnsi="宋体" w:eastAsia="宋体" w:cs="宋体"/>
                      <w:color w:val="auto"/>
                      <w:sz w:val="24"/>
                      <w:szCs w:val="24"/>
                      <w:highlight w:val="none"/>
                      <w:lang w:val="en-US" w:eastAsia="zh-CN" w:bidi="ar-SA"/>
                    </w:rPr>
                  </w:pPr>
                </w:p>
              </w:tc>
              <w:tc>
                <w:tcPr>
                  <w:tcW w:w="2315" w:type="dxa"/>
                  <w:noWrap w:val="0"/>
                  <w:vAlign w:val="top"/>
                </w:tcPr>
                <w:p w14:paraId="4B21F328">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±5%RH（＞80%RH）</w:t>
                  </w:r>
                </w:p>
              </w:tc>
            </w:tr>
            <w:tr w14:paraId="65BE19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89" w:type="dxa"/>
                  <w:noWrap w:val="0"/>
                  <w:vAlign w:val="top"/>
                </w:tcPr>
                <w:p w14:paraId="46585415">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气压</w:t>
                  </w:r>
                </w:p>
              </w:tc>
              <w:tc>
                <w:tcPr>
                  <w:tcW w:w="1884" w:type="dxa"/>
                  <w:noWrap w:val="0"/>
                  <w:vAlign w:val="top"/>
                </w:tcPr>
                <w:p w14:paraId="20959FBC">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500～1100hPa</w:t>
                  </w:r>
                </w:p>
              </w:tc>
              <w:tc>
                <w:tcPr>
                  <w:tcW w:w="1283" w:type="dxa"/>
                  <w:noWrap w:val="0"/>
                  <w:vAlign w:val="top"/>
                </w:tcPr>
                <w:p w14:paraId="7EB8D1A8">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≤0.1hPa</w:t>
                  </w:r>
                </w:p>
              </w:tc>
              <w:tc>
                <w:tcPr>
                  <w:tcW w:w="2315" w:type="dxa"/>
                  <w:noWrap w:val="0"/>
                  <w:vAlign w:val="top"/>
                </w:tcPr>
                <w:p w14:paraId="032E99B9">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±0.5hPa</w:t>
                  </w:r>
                </w:p>
              </w:tc>
            </w:tr>
            <w:tr w14:paraId="2D57AE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jc w:val="center"/>
              </w:trPr>
              <w:tc>
                <w:tcPr>
                  <w:tcW w:w="1489" w:type="dxa"/>
                  <w:noWrap w:val="0"/>
                  <w:vAlign w:val="top"/>
                </w:tcPr>
                <w:p w14:paraId="6E1C9CCC">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风速</w:t>
                  </w:r>
                </w:p>
              </w:tc>
              <w:tc>
                <w:tcPr>
                  <w:tcW w:w="1884" w:type="dxa"/>
                  <w:noWrap w:val="0"/>
                  <w:vAlign w:val="top"/>
                </w:tcPr>
                <w:p w14:paraId="1730EB99">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0～60m/s</w:t>
                  </w:r>
                </w:p>
              </w:tc>
              <w:tc>
                <w:tcPr>
                  <w:tcW w:w="1283" w:type="dxa"/>
                  <w:noWrap w:val="0"/>
                  <w:vAlign w:val="top"/>
                </w:tcPr>
                <w:p w14:paraId="232549E0">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≤0.1m/s</w:t>
                  </w:r>
                </w:p>
              </w:tc>
              <w:tc>
                <w:tcPr>
                  <w:tcW w:w="2315" w:type="dxa"/>
                  <w:noWrap w:val="0"/>
                  <w:vAlign w:val="top"/>
                </w:tcPr>
                <w:p w14:paraId="10EB07DE">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±（0.5+0.03V）m/s</w:t>
                  </w:r>
                </w:p>
                <w:p w14:paraId="02D7FEBA">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（V 表示当前风速值）</w:t>
                  </w:r>
                </w:p>
              </w:tc>
            </w:tr>
            <w:tr w14:paraId="26790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7" w:hRule="atLeast"/>
                <w:jc w:val="center"/>
              </w:trPr>
              <w:tc>
                <w:tcPr>
                  <w:tcW w:w="1489" w:type="dxa"/>
                  <w:noWrap w:val="0"/>
                  <w:vAlign w:val="top"/>
                </w:tcPr>
                <w:p w14:paraId="762181D1">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风向</w:t>
                  </w:r>
                </w:p>
              </w:tc>
              <w:tc>
                <w:tcPr>
                  <w:tcW w:w="1884" w:type="dxa"/>
                  <w:noWrap w:val="0"/>
                  <w:vAlign w:val="top"/>
                </w:tcPr>
                <w:p w14:paraId="4CEB7AC8">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0～360 °</w:t>
                  </w:r>
                </w:p>
              </w:tc>
              <w:tc>
                <w:tcPr>
                  <w:tcW w:w="1283" w:type="dxa"/>
                  <w:noWrap w:val="0"/>
                  <w:vAlign w:val="top"/>
                </w:tcPr>
                <w:p w14:paraId="772E6EEC">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≤0.1 °</w:t>
                  </w:r>
                </w:p>
              </w:tc>
              <w:tc>
                <w:tcPr>
                  <w:tcW w:w="2315" w:type="dxa"/>
                  <w:noWrap w:val="0"/>
                  <w:vAlign w:val="top"/>
                </w:tcPr>
                <w:p w14:paraId="3540091D">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 °</w:t>
                  </w:r>
                </w:p>
              </w:tc>
            </w:tr>
            <w:tr w14:paraId="7A5FE9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jc w:val="center"/>
              </w:trPr>
              <w:tc>
                <w:tcPr>
                  <w:tcW w:w="1489" w:type="dxa"/>
                  <w:noWrap w:val="0"/>
                  <w:vAlign w:val="top"/>
                </w:tcPr>
                <w:p w14:paraId="4EB423D6">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降雨强度</w:t>
                  </w:r>
                </w:p>
                <w:p w14:paraId="7C817FF3">
                  <w:pPr>
                    <w:spacing w:line="44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（等级）</w:t>
                  </w:r>
                </w:p>
              </w:tc>
              <w:tc>
                <w:tcPr>
                  <w:tcW w:w="5482" w:type="dxa"/>
                  <w:gridSpan w:val="3"/>
                  <w:noWrap w:val="0"/>
                  <w:vAlign w:val="top"/>
                </w:tcPr>
                <w:p w14:paraId="6B6C0E4C">
                  <w:pPr>
                    <w:spacing w:line="440" w:lineRule="exac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至少可识别有/无降雨，降雨强度(分为小雨、中雨、大雨、暴雨、大暴雨、特大暴雨6 个类别)。</w:t>
                  </w:r>
                </w:p>
              </w:tc>
            </w:tr>
            <w:tr w14:paraId="370F5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3" w:hRule="atLeast"/>
                <w:jc w:val="center"/>
              </w:trPr>
              <w:tc>
                <w:tcPr>
                  <w:tcW w:w="1489" w:type="dxa"/>
                  <w:noWrap w:val="0"/>
                  <w:vAlign w:val="center"/>
                </w:tcPr>
                <w:p w14:paraId="4BE7AEE8">
                  <w:pPr>
                    <w:spacing w:line="440" w:lineRule="exact"/>
                    <w:jc w:val="left"/>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其他要求</w:t>
                  </w:r>
                </w:p>
              </w:tc>
              <w:tc>
                <w:tcPr>
                  <w:tcW w:w="5482" w:type="dxa"/>
                  <w:gridSpan w:val="3"/>
                  <w:noWrap w:val="0"/>
                  <w:vAlign w:val="center"/>
                </w:tcPr>
                <w:p w14:paraId="3924D146">
                  <w:pPr>
                    <w:spacing w:line="440" w:lineRule="exact"/>
                    <w:jc w:val="left"/>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i/>
                      <w:iCs/>
                      <w:color w:val="auto"/>
                      <w:sz w:val="22"/>
                      <w:szCs w:val="22"/>
                      <w:highlight w:val="none"/>
                      <w:u w:val="single"/>
                      <w:lang w:val="en-US" w:eastAsia="zh-CN" w:bidi="ar-SA"/>
                    </w:rPr>
                    <w:t>投标人所投集成式交通气象监测仪须获得中国气象局颁发的《气象专用技术装备使用许可证》</w:t>
                  </w:r>
                  <w:r>
                    <w:rPr>
                      <w:rFonts w:hint="eastAsia" w:ascii="Times New Roman" w:hAnsi="Times New Roman" w:cs="Times New Roman"/>
                      <w:i/>
                      <w:iCs/>
                      <w:color w:val="auto"/>
                      <w:sz w:val="22"/>
                      <w:szCs w:val="22"/>
                      <w:highlight w:val="none"/>
                      <w:u w:val="single"/>
                      <w:lang w:val="en-US" w:eastAsia="zh-CN" w:bidi="ar-SA"/>
                    </w:rPr>
                    <w:t>，请在投标时提供</w:t>
                  </w:r>
                  <w:r>
                    <w:rPr>
                      <w:rFonts w:hint="eastAsia" w:ascii="Times New Roman" w:hAnsi="Times New Roman" w:eastAsia="宋体" w:cs="Times New Roman"/>
                      <w:i/>
                      <w:iCs/>
                      <w:color w:val="auto"/>
                      <w:sz w:val="22"/>
                      <w:szCs w:val="22"/>
                      <w:highlight w:val="none"/>
                      <w:u w:val="single"/>
                      <w:lang w:val="en-US" w:eastAsia="zh-CN" w:bidi="ar-SA"/>
                    </w:rPr>
                    <w:t>所投集成式交通气象监测仪</w:t>
                  </w:r>
                  <w:r>
                    <w:rPr>
                      <w:rFonts w:hint="eastAsia" w:ascii="Times New Roman" w:hAnsi="Times New Roman" w:cs="Times New Roman"/>
                      <w:i/>
                      <w:iCs/>
                      <w:color w:val="auto"/>
                      <w:sz w:val="22"/>
                      <w:szCs w:val="22"/>
                      <w:highlight w:val="none"/>
                      <w:u w:val="single"/>
                      <w:lang w:val="en-US" w:eastAsia="zh-CN" w:bidi="ar-SA"/>
                    </w:rPr>
                    <w:t>获得的</w:t>
                  </w:r>
                  <w:r>
                    <w:rPr>
                      <w:rFonts w:hint="eastAsia" w:ascii="Times New Roman" w:hAnsi="Times New Roman" w:eastAsia="宋体" w:cs="Times New Roman"/>
                      <w:i/>
                      <w:iCs/>
                      <w:color w:val="auto"/>
                      <w:sz w:val="22"/>
                      <w:szCs w:val="22"/>
                      <w:highlight w:val="none"/>
                      <w:u w:val="single"/>
                      <w:lang w:val="en-US" w:eastAsia="zh-CN" w:bidi="ar-SA"/>
                    </w:rPr>
                    <w:t>《气象专用技术装备使用许可证》</w:t>
                  </w:r>
                </w:p>
              </w:tc>
            </w:tr>
          </w:tbl>
          <w:p w14:paraId="3729FBB4">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（二）气象数据接收处理配套服务器</w:t>
            </w:r>
          </w:p>
          <w:p w14:paraId="562F2C81">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系统具备高可用性与数据冗余机制，确保新增交通气象监测数据的全量、完整存储，满足气象探测资料长期保存与快速检索要求。构建符合气象行业标准及跨部门交换规范的统一数据共享接口平台，支撑气象、交管、交通等部门的跨网域数据交互与业务协同。</w:t>
            </w:r>
          </w:p>
          <w:p w14:paraId="0717FC7E">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气象数据接收处理配套服务器参数要求：</w:t>
            </w:r>
          </w:p>
          <w:tbl>
            <w:tblPr>
              <w:tblStyle w:val="31"/>
              <w:tblpPr w:leftFromText="180" w:rightFromText="180" w:vertAnchor="text" w:horzAnchor="page" w:tblpXSpec="center" w:tblpY="653"/>
              <w:tblW w:w="782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9"/>
              <w:gridCol w:w="1239"/>
              <w:gridCol w:w="1335"/>
              <w:gridCol w:w="4535"/>
            </w:tblGrid>
            <w:tr w14:paraId="207D6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jc w:val="center"/>
              </w:trPr>
              <w:tc>
                <w:tcPr>
                  <w:tcW w:w="719" w:type="dxa"/>
                  <w:shd w:val="clear" w:color="auto" w:fill="auto"/>
                  <w:noWrap w:val="0"/>
                  <w:vAlign w:val="center"/>
                </w:tcPr>
                <w:p w14:paraId="1DA8F314">
                  <w:pPr>
                    <w:spacing w:before="58" w:line="223" w:lineRule="auto"/>
                    <w:ind w:left="184"/>
                    <w:jc w:val="both"/>
                    <w:rPr>
                      <w:rFonts w:hint="default" w:ascii="宋体" w:hAnsi="宋体" w:eastAsia="宋体" w:cs="宋体"/>
                      <w:b w:val="0"/>
                      <w:bCs w:val="0"/>
                      <w:color w:val="auto"/>
                      <w:sz w:val="22"/>
                      <w:szCs w:val="22"/>
                      <w:highlight w:val="none"/>
                      <w:lang w:eastAsia="en-US"/>
                    </w:rPr>
                  </w:pPr>
                  <w:r>
                    <w:rPr>
                      <w:rFonts w:hint="eastAsia" w:ascii="宋体" w:hAnsi="宋体" w:eastAsia="宋体" w:cs="宋体"/>
                      <w:b w:val="0"/>
                      <w:bCs w:val="0"/>
                      <w:color w:val="auto"/>
                      <w:spacing w:val="-6"/>
                      <w:sz w:val="22"/>
                      <w:szCs w:val="22"/>
                      <w:highlight w:val="none"/>
                      <w:lang w:eastAsia="en-US"/>
                    </w:rPr>
                    <w:t>序号</w:t>
                  </w:r>
                </w:p>
              </w:tc>
              <w:tc>
                <w:tcPr>
                  <w:tcW w:w="1239" w:type="dxa"/>
                  <w:shd w:val="clear" w:color="auto" w:fill="auto"/>
                  <w:noWrap w:val="0"/>
                  <w:vAlign w:val="center"/>
                </w:tcPr>
                <w:p w14:paraId="01E052C5">
                  <w:pPr>
                    <w:spacing w:before="242" w:line="302" w:lineRule="auto"/>
                    <w:ind w:right="137"/>
                    <w:jc w:val="center"/>
                    <w:rPr>
                      <w:rFonts w:hint="default" w:ascii="宋体" w:hAnsi="宋体" w:eastAsia="宋体" w:cs="宋体"/>
                      <w:b w:val="0"/>
                      <w:bCs w:val="0"/>
                      <w:color w:val="auto"/>
                      <w:sz w:val="22"/>
                      <w:szCs w:val="22"/>
                      <w:highlight w:val="none"/>
                      <w:lang w:eastAsia="en-US"/>
                    </w:rPr>
                  </w:pPr>
                  <w:r>
                    <w:rPr>
                      <w:rFonts w:hint="eastAsia" w:ascii="宋体" w:hAnsi="宋体" w:eastAsia="宋体" w:cs="宋体"/>
                      <w:b w:val="0"/>
                      <w:bCs w:val="0"/>
                      <w:color w:val="auto"/>
                      <w:spacing w:val="-7"/>
                      <w:sz w:val="22"/>
                      <w:szCs w:val="22"/>
                      <w:highlight w:val="none"/>
                      <w:lang w:eastAsia="en-US"/>
                    </w:rPr>
                    <w:t>一级</w:t>
                  </w:r>
                  <w:r>
                    <w:rPr>
                      <w:rFonts w:hint="eastAsia" w:ascii="宋体" w:hAnsi="宋体" w:eastAsia="宋体" w:cs="宋体"/>
                      <w:b w:val="0"/>
                      <w:bCs w:val="0"/>
                      <w:color w:val="auto"/>
                      <w:spacing w:val="-3"/>
                      <w:position w:val="-1"/>
                      <w:sz w:val="22"/>
                      <w:szCs w:val="22"/>
                      <w:highlight w:val="none"/>
                      <w:lang w:eastAsia="en-US"/>
                    </w:rPr>
                    <w:t>指标</w:t>
                  </w:r>
                </w:p>
              </w:tc>
              <w:tc>
                <w:tcPr>
                  <w:tcW w:w="1335" w:type="dxa"/>
                  <w:shd w:val="clear" w:color="auto" w:fill="auto"/>
                  <w:noWrap w:val="0"/>
                  <w:vAlign w:val="center"/>
                </w:tcPr>
                <w:p w14:paraId="003BF2DF">
                  <w:pPr>
                    <w:spacing w:before="59" w:line="234" w:lineRule="auto"/>
                    <w:ind w:left="151"/>
                    <w:jc w:val="both"/>
                    <w:rPr>
                      <w:rFonts w:hint="default" w:ascii="宋体" w:hAnsi="宋体" w:eastAsia="宋体" w:cs="宋体"/>
                      <w:b w:val="0"/>
                      <w:bCs w:val="0"/>
                      <w:color w:val="auto"/>
                      <w:spacing w:val="-2"/>
                      <w:sz w:val="22"/>
                      <w:szCs w:val="22"/>
                      <w:highlight w:val="none"/>
                      <w:lang w:eastAsia="en-US"/>
                    </w:rPr>
                  </w:pPr>
                  <w:r>
                    <w:rPr>
                      <w:rFonts w:hint="eastAsia" w:ascii="宋体" w:hAnsi="宋体" w:eastAsia="宋体" w:cs="宋体"/>
                      <w:b w:val="0"/>
                      <w:bCs w:val="0"/>
                      <w:color w:val="auto"/>
                      <w:spacing w:val="-2"/>
                      <w:sz w:val="22"/>
                      <w:szCs w:val="22"/>
                      <w:highlight w:val="none"/>
                      <w:lang w:eastAsia="en-US"/>
                    </w:rPr>
                    <w:t>二级指标</w:t>
                  </w:r>
                </w:p>
              </w:tc>
              <w:tc>
                <w:tcPr>
                  <w:tcW w:w="4535" w:type="dxa"/>
                  <w:shd w:val="clear" w:color="auto" w:fill="auto"/>
                  <w:noWrap w:val="0"/>
                  <w:vAlign w:val="center"/>
                </w:tcPr>
                <w:p w14:paraId="5BC6F1E4">
                  <w:pPr>
                    <w:spacing w:before="59" w:line="222" w:lineRule="auto"/>
                    <w:ind w:left="1135"/>
                    <w:jc w:val="both"/>
                    <w:rPr>
                      <w:rFonts w:hint="default" w:ascii="宋体" w:hAnsi="宋体" w:eastAsia="宋体" w:cs="宋体"/>
                      <w:b w:val="0"/>
                      <w:bCs w:val="0"/>
                      <w:i/>
                      <w:iCs/>
                      <w:color w:val="auto"/>
                      <w:sz w:val="22"/>
                      <w:szCs w:val="22"/>
                      <w:highlight w:val="none"/>
                      <w:u w:val="single"/>
                      <w:lang w:eastAsia="en-US"/>
                    </w:rPr>
                  </w:pPr>
                  <w:r>
                    <w:rPr>
                      <w:rFonts w:hint="eastAsia" w:ascii="宋体" w:hAnsi="宋体" w:eastAsia="宋体" w:cs="宋体"/>
                      <w:b w:val="0"/>
                      <w:bCs w:val="0"/>
                      <w:i w:val="0"/>
                      <w:iCs w:val="0"/>
                      <w:color w:val="auto"/>
                      <w:spacing w:val="-3"/>
                      <w:sz w:val="22"/>
                      <w:szCs w:val="22"/>
                      <w:highlight w:val="none"/>
                      <w:u w:val="none"/>
                      <w:lang w:eastAsia="en-US"/>
                    </w:rPr>
                    <w:t>指标要求</w:t>
                  </w:r>
                </w:p>
              </w:tc>
            </w:tr>
            <w:tr w14:paraId="060FF7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4CE97C28">
                  <w:pPr>
                    <w:widowControl/>
                    <w:spacing w:line="330" w:lineRule="auto"/>
                    <w:jc w:val="center"/>
                    <w:rPr>
                      <w:rFonts w:hint="default" w:ascii="宋体" w:hAnsi="宋体" w:eastAsia="宋体" w:cs="宋体"/>
                      <w:color w:val="auto"/>
                      <w:sz w:val="24"/>
                      <w:szCs w:val="24"/>
                      <w:highlight w:val="none"/>
                    </w:rPr>
                  </w:pPr>
                </w:p>
                <w:p w14:paraId="185D4643">
                  <w:pPr>
                    <w:spacing w:before="59" w:line="239" w:lineRule="exact"/>
                    <w:ind w:left="327"/>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1</w:t>
                  </w:r>
                </w:p>
              </w:tc>
              <w:tc>
                <w:tcPr>
                  <w:tcW w:w="1239" w:type="dxa"/>
                  <w:shd w:val="clear" w:color="auto" w:fill="auto"/>
                  <w:noWrap w:val="0"/>
                  <w:vAlign w:val="center"/>
                </w:tcPr>
                <w:p w14:paraId="2DEC25A9">
                  <w:pPr>
                    <w:widowControl/>
                    <w:spacing w:line="246" w:lineRule="auto"/>
                    <w:jc w:val="center"/>
                    <w:rPr>
                      <w:rFonts w:hint="default" w:ascii="宋体" w:hAnsi="宋体" w:eastAsia="宋体" w:cs="宋体"/>
                      <w:color w:val="auto"/>
                      <w:sz w:val="24"/>
                      <w:szCs w:val="24"/>
                      <w:highlight w:val="none"/>
                    </w:rPr>
                  </w:pPr>
                </w:p>
                <w:p w14:paraId="09FAD350">
                  <w:pPr>
                    <w:spacing w:before="59" w:line="258" w:lineRule="auto"/>
                    <w:ind w:left="161" w:right="160" w:hanging="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CPU</w:t>
                  </w:r>
                  <w:r>
                    <w:rPr>
                      <w:rFonts w:hint="eastAsia" w:ascii="宋体" w:hAnsi="宋体" w:eastAsia="宋体" w:cs="宋体"/>
                      <w:color w:val="auto"/>
                      <w:spacing w:val="-3"/>
                      <w:sz w:val="24"/>
                      <w:szCs w:val="24"/>
                      <w:highlight w:val="none"/>
                      <w:lang w:eastAsia="en-US"/>
                    </w:rPr>
                    <w:t>规格</w:t>
                  </w:r>
                </w:p>
              </w:tc>
              <w:tc>
                <w:tcPr>
                  <w:tcW w:w="1335" w:type="dxa"/>
                  <w:shd w:val="clear" w:color="auto" w:fill="auto"/>
                  <w:noWrap w:val="0"/>
                  <w:vAlign w:val="center"/>
                </w:tcPr>
                <w:p w14:paraId="60683B17">
                  <w:pPr>
                    <w:widowControl/>
                    <w:spacing w:line="337" w:lineRule="auto"/>
                    <w:jc w:val="center"/>
                    <w:rPr>
                      <w:rFonts w:hint="default" w:ascii="宋体" w:hAnsi="宋体" w:eastAsia="宋体" w:cs="宋体"/>
                      <w:color w:val="auto"/>
                      <w:spacing w:val="-2"/>
                      <w:sz w:val="24"/>
                      <w:szCs w:val="24"/>
                      <w:highlight w:val="none"/>
                      <w:lang w:eastAsia="en-US"/>
                    </w:rPr>
                  </w:pPr>
                </w:p>
                <w:p w14:paraId="434F4AF1">
                  <w:pPr>
                    <w:spacing w:before="59" w:line="223" w:lineRule="auto"/>
                    <w:ind w:left="106"/>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CPU 信息</w:t>
                  </w:r>
                </w:p>
              </w:tc>
              <w:tc>
                <w:tcPr>
                  <w:tcW w:w="4535" w:type="dxa"/>
                  <w:shd w:val="clear" w:color="auto" w:fill="auto"/>
                  <w:noWrap w:val="0"/>
                  <w:vAlign w:val="center"/>
                </w:tcPr>
                <w:p w14:paraId="199D6BC5">
                  <w:pPr>
                    <w:spacing w:before="37" w:line="235" w:lineRule="auto"/>
                    <w:ind w:left="110" w:right="17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CPU：≥2颗处理器，单处理器物理核心数≥2</w:t>
                  </w:r>
                  <w:r>
                    <w:rPr>
                      <w:rFonts w:hint="default" w:ascii="宋体" w:hAnsi="宋体" w:eastAsia="宋体" w:cs="宋体"/>
                      <w:i/>
                      <w:iCs/>
                      <w:color w:val="auto"/>
                      <w:sz w:val="24"/>
                      <w:szCs w:val="24"/>
                      <w:highlight w:val="none"/>
                      <w:u w:val="single"/>
                    </w:rPr>
                    <w:t>4</w:t>
                  </w:r>
                  <w:r>
                    <w:rPr>
                      <w:rFonts w:hint="eastAsia" w:ascii="宋体" w:hAnsi="宋体" w:eastAsia="宋体" w:cs="宋体"/>
                      <w:i/>
                      <w:iCs/>
                      <w:color w:val="auto"/>
                      <w:sz w:val="24"/>
                      <w:szCs w:val="24"/>
                      <w:highlight w:val="none"/>
                      <w:u w:val="single"/>
                    </w:rPr>
                    <w:t>核，主频≥</w:t>
                  </w:r>
                  <w:r>
                    <w:rPr>
                      <w:rFonts w:hint="default" w:ascii="宋体" w:hAnsi="宋体" w:eastAsia="宋体" w:cs="宋体"/>
                      <w:i/>
                      <w:iCs/>
                      <w:color w:val="auto"/>
                      <w:sz w:val="24"/>
                      <w:szCs w:val="24"/>
                      <w:highlight w:val="none"/>
                      <w:u w:val="single"/>
                    </w:rPr>
                    <w:t>2</w:t>
                  </w:r>
                  <w:r>
                    <w:rPr>
                      <w:rFonts w:hint="eastAsia" w:ascii="宋体" w:hAnsi="宋体" w:eastAsia="宋体" w:cs="宋体"/>
                      <w:i/>
                      <w:iCs/>
                      <w:color w:val="auto"/>
                      <w:sz w:val="24"/>
                      <w:szCs w:val="24"/>
                      <w:highlight w:val="none"/>
                      <w:u w:val="single"/>
                    </w:rPr>
                    <w:t>.0.GHz，末级缓存容量≥4</w:t>
                  </w:r>
                  <w:r>
                    <w:rPr>
                      <w:rFonts w:hint="default" w:ascii="宋体" w:hAnsi="宋体" w:eastAsia="宋体" w:cs="宋体"/>
                      <w:i/>
                      <w:iCs/>
                      <w:color w:val="auto"/>
                      <w:sz w:val="24"/>
                      <w:szCs w:val="24"/>
                      <w:highlight w:val="none"/>
                      <w:u w:val="single"/>
                    </w:rPr>
                    <w:t>5</w:t>
                  </w:r>
                  <w:r>
                    <w:rPr>
                      <w:rFonts w:hint="eastAsia" w:ascii="宋体" w:hAnsi="宋体" w:eastAsia="宋体" w:cs="宋体"/>
                      <w:i/>
                      <w:iCs/>
                      <w:color w:val="auto"/>
                      <w:sz w:val="24"/>
                      <w:szCs w:val="24"/>
                      <w:highlight w:val="none"/>
                      <w:u w:val="single"/>
                    </w:rPr>
                    <w:t>MB，线程数≥</w:t>
                  </w:r>
                  <w:r>
                    <w:rPr>
                      <w:rFonts w:hint="default" w:ascii="宋体" w:hAnsi="宋体" w:eastAsia="宋体" w:cs="宋体"/>
                      <w:i/>
                      <w:iCs/>
                      <w:color w:val="auto"/>
                      <w:sz w:val="24"/>
                      <w:szCs w:val="24"/>
                      <w:highlight w:val="none"/>
                      <w:u w:val="single"/>
                    </w:rPr>
                    <w:t>48</w:t>
                  </w:r>
                  <w:r>
                    <w:rPr>
                      <w:rFonts w:hint="eastAsia" w:ascii="宋体" w:hAnsi="宋体" w:eastAsia="宋体" w:cs="宋体"/>
                      <w:i/>
                      <w:iCs/>
                      <w:color w:val="auto"/>
                      <w:sz w:val="24"/>
                      <w:szCs w:val="24"/>
                      <w:highlight w:val="none"/>
                      <w:u w:val="single"/>
                    </w:rPr>
                    <w:t>线程，支持内存的最高速率≥</w:t>
                  </w:r>
                  <w:r>
                    <w:rPr>
                      <w:rFonts w:hint="default" w:ascii="宋体" w:hAnsi="宋体" w:eastAsia="宋体" w:cs="宋体"/>
                      <w:i/>
                      <w:iCs/>
                      <w:color w:val="auto"/>
                      <w:sz w:val="24"/>
                      <w:szCs w:val="24"/>
                      <w:highlight w:val="none"/>
                      <w:u w:val="single"/>
                    </w:rPr>
                    <w:t>48</w:t>
                  </w:r>
                  <w:r>
                    <w:rPr>
                      <w:rFonts w:hint="eastAsia" w:ascii="宋体" w:hAnsi="宋体" w:eastAsia="宋体" w:cs="宋体"/>
                      <w:i/>
                      <w:iCs/>
                      <w:color w:val="auto"/>
                      <w:sz w:val="24"/>
                      <w:szCs w:val="24"/>
                      <w:highlight w:val="none"/>
                      <w:u w:val="single"/>
                    </w:rPr>
                    <w:t>00 MHz；</w:t>
                  </w:r>
                </w:p>
              </w:tc>
            </w:tr>
            <w:tr w14:paraId="354C5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0FEB5FF5">
                  <w:pPr>
                    <w:spacing w:before="274" w:line="239" w:lineRule="exact"/>
                    <w:ind w:left="316"/>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2</w:t>
                  </w:r>
                </w:p>
              </w:tc>
              <w:tc>
                <w:tcPr>
                  <w:tcW w:w="1239" w:type="dxa"/>
                  <w:vMerge w:val="restart"/>
                  <w:tcBorders>
                    <w:bottom w:val="nil"/>
                  </w:tcBorders>
                  <w:shd w:val="clear" w:color="auto" w:fill="auto"/>
                  <w:noWrap w:val="0"/>
                  <w:vAlign w:val="center"/>
                </w:tcPr>
                <w:p w14:paraId="005616B7">
                  <w:pPr>
                    <w:widowControl/>
                    <w:spacing w:line="245" w:lineRule="auto"/>
                    <w:jc w:val="center"/>
                    <w:rPr>
                      <w:rFonts w:hint="default" w:ascii="宋体" w:hAnsi="宋体" w:eastAsia="宋体" w:cs="宋体"/>
                      <w:color w:val="auto"/>
                      <w:sz w:val="24"/>
                      <w:szCs w:val="24"/>
                      <w:highlight w:val="none"/>
                    </w:rPr>
                  </w:pPr>
                </w:p>
                <w:p w14:paraId="4CE8A4A0">
                  <w:pPr>
                    <w:widowControl/>
                    <w:spacing w:line="246" w:lineRule="auto"/>
                    <w:jc w:val="center"/>
                    <w:rPr>
                      <w:rFonts w:hint="default" w:ascii="宋体" w:hAnsi="宋体" w:eastAsia="宋体" w:cs="宋体"/>
                      <w:color w:val="auto"/>
                      <w:sz w:val="24"/>
                      <w:szCs w:val="24"/>
                      <w:highlight w:val="none"/>
                    </w:rPr>
                  </w:pPr>
                </w:p>
                <w:p w14:paraId="7A36C132">
                  <w:pPr>
                    <w:spacing w:before="58" w:line="248" w:lineRule="auto"/>
                    <w:ind w:left="162" w:right="117"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主板</w:t>
                  </w:r>
                  <w:r>
                    <w:rPr>
                      <w:rFonts w:hint="eastAsia" w:ascii="宋体" w:hAnsi="宋体" w:eastAsia="宋体" w:cs="宋体"/>
                      <w:color w:val="auto"/>
                      <w:spacing w:val="-3"/>
                      <w:sz w:val="24"/>
                      <w:szCs w:val="24"/>
                      <w:highlight w:val="none"/>
                      <w:lang w:eastAsia="en-US"/>
                    </w:rPr>
                    <w:t>规格</w:t>
                  </w:r>
                </w:p>
              </w:tc>
              <w:tc>
                <w:tcPr>
                  <w:tcW w:w="1335" w:type="dxa"/>
                  <w:shd w:val="clear" w:color="auto" w:fill="auto"/>
                  <w:noWrap w:val="0"/>
                  <w:vAlign w:val="center"/>
                </w:tcPr>
                <w:p w14:paraId="1CDD9701">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主板支持的 CPU 和内存情况</w:t>
                  </w:r>
                </w:p>
              </w:tc>
              <w:tc>
                <w:tcPr>
                  <w:tcW w:w="4535" w:type="dxa"/>
                  <w:shd w:val="clear" w:color="auto" w:fill="auto"/>
                  <w:noWrap w:val="0"/>
                  <w:vAlign w:val="center"/>
                </w:tcPr>
                <w:p w14:paraId="45D3F2AE">
                  <w:pPr>
                    <w:spacing w:before="159" w:line="248" w:lineRule="auto"/>
                    <w:ind w:left="120" w:right="172" w:hanging="10"/>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内存：≥</w:t>
                  </w:r>
                  <w:r>
                    <w:rPr>
                      <w:rFonts w:hint="default" w:ascii="宋体" w:hAnsi="宋体" w:eastAsia="宋体" w:cs="宋体"/>
                      <w:i/>
                      <w:iCs/>
                      <w:color w:val="auto"/>
                      <w:spacing w:val="2"/>
                      <w:sz w:val="24"/>
                      <w:szCs w:val="24"/>
                      <w:highlight w:val="none"/>
                      <w:u w:val="single"/>
                    </w:rPr>
                    <w:t>512</w:t>
                  </w:r>
                  <w:r>
                    <w:rPr>
                      <w:rFonts w:hint="eastAsia" w:ascii="宋体" w:hAnsi="宋体" w:eastAsia="宋体" w:cs="宋体"/>
                      <w:i/>
                      <w:iCs/>
                      <w:color w:val="auto"/>
                      <w:spacing w:val="2"/>
                      <w:sz w:val="24"/>
                      <w:szCs w:val="24"/>
                      <w:highlight w:val="none"/>
                      <w:u w:val="single"/>
                      <w:lang w:eastAsia="en-US"/>
                    </w:rPr>
                    <w:t>G DDR</w:t>
                  </w:r>
                  <w:r>
                    <w:rPr>
                      <w:rFonts w:hint="default" w:ascii="宋体" w:hAnsi="宋体" w:eastAsia="宋体" w:cs="宋体"/>
                      <w:i/>
                      <w:iCs/>
                      <w:color w:val="auto"/>
                      <w:spacing w:val="2"/>
                      <w:sz w:val="24"/>
                      <w:szCs w:val="24"/>
                      <w:highlight w:val="none"/>
                      <w:u w:val="single"/>
                      <w:lang w:eastAsia="en-US"/>
                    </w:rPr>
                    <w:t>5</w:t>
                  </w:r>
                  <w:r>
                    <w:rPr>
                      <w:rFonts w:hint="eastAsia" w:ascii="宋体" w:hAnsi="宋体" w:eastAsia="宋体" w:cs="宋体"/>
                      <w:i/>
                      <w:iCs/>
                      <w:color w:val="auto"/>
                      <w:spacing w:val="2"/>
                      <w:sz w:val="24"/>
                      <w:szCs w:val="24"/>
                      <w:highlight w:val="none"/>
                      <w:u w:val="single"/>
                      <w:lang w:eastAsia="en-US"/>
                    </w:rPr>
                    <w:t>，</w:t>
                  </w:r>
                </w:p>
              </w:tc>
            </w:tr>
            <w:tr w14:paraId="584055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4C2BF2DC">
                  <w:pPr>
                    <w:spacing w:before="273" w:line="238" w:lineRule="exact"/>
                    <w:ind w:left="318"/>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3</w:t>
                  </w:r>
                </w:p>
              </w:tc>
              <w:tc>
                <w:tcPr>
                  <w:tcW w:w="1239" w:type="dxa"/>
                  <w:vMerge w:val="continue"/>
                  <w:tcBorders>
                    <w:top w:val="nil"/>
                    <w:bottom w:val="nil"/>
                  </w:tcBorders>
                  <w:shd w:val="clear" w:color="auto" w:fill="auto"/>
                  <w:noWrap w:val="0"/>
                  <w:vAlign w:val="center"/>
                </w:tcPr>
                <w:p w14:paraId="71255F38">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9E3AAA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主板内存槽数量</w:t>
                  </w:r>
                </w:p>
              </w:tc>
              <w:tc>
                <w:tcPr>
                  <w:tcW w:w="4535" w:type="dxa"/>
                  <w:shd w:val="clear" w:color="auto" w:fill="auto"/>
                  <w:noWrap w:val="0"/>
                  <w:vAlign w:val="center"/>
                </w:tcPr>
                <w:p w14:paraId="6146CAB7">
                  <w:pPr>
                    <w:spacing w:before="161" w:line="248" w:lineRule="auto"/>
                    <w:ind w:left="113" w:right="17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w:t>
                  </w:r>
                  <w:r>
                    <w:rPr>
                      <w:rFonts w:hint="default" w:ascii="宋体" w:hAnsi="宋体" w:eastAsia="宋体" w:cs="宋体"/>
                      <w:i/>
                      <w:iCs/>
                      <w:color w:val="auto"/>
                      <w:spacing w:val="2"/>
                      <w:sz w:val="24"/>
                      <w:szCs w:val="24"/>
                      <w:highlight w:val="none"/>
                      <w:u w:val="single"/>
                      <w:lang w:eastAsia="en-US"/>
                    </w:rPr>
                    <w:t>16</w:t>
                  </w:r>
                  <w:r>
                    <w:rPr>
                      <w:rFonts w:hint="eastAsia" w:ascii="宋体" w:hAnsi="宋体" w:eastAsia="宋体" w:cs="宋体"/>
                      <w:i/>
                      <w:iCs/>
                      <w:color w:val="auto"/>
                      <w:spacing w:val="2"/>
                      <w:sz w:val="24"/>
                      <w:szCs w:val="24"/>
                      <w:highlight w:val="none"/>
                      <w:u w:val="single"/>
                      <w:lang w:eastAsia="en-US"/>
                    </w:rPr>
                    <w:t>根内存插槽；</w:t>
                  </w:r>
                </w:p>
              </w:tc>
            </w:tr>
            <w:tr w14:paraId="686B1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19B84AB5">
                  <w:pPr>
                    <w:spacing w:before="273" w:line="239" w:lineRule="exact"/>
                    <w:ind w:left="313"/>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4</w:t>
                  </w:r>
                </w:p>
              </w:tc>
              <w:tc>
                <w:tcPr>
                  <w:tcW w:w="1239" w:type="dxa"/>
                  <w:vMerge w:val="continue"/>
                  <w:tcBorders>
                    <w:top w:val="nil"/>
                    <w:bottom w:val="nil"/>
                  </w:tcBorders>
                  <w:shd w:val="clear" w:color="auto" w:fill="auto"/>
                  <w:noWrap w:val="0"/>
                  <w:vAlign w:val="center"/>
                </w:tcPr>
                <w:p w14:paraId="2B66438F">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E80CAA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主板存储接口</w:t>
                  </w:r>
                </w:p>
              </w:tc>
              <w:tc>
                <w:tcPr>
                  <w:tcW w:w="4535" w:type="dxa"/>
                  <w:shd w:val="clear" w:color="auto" w:fill="auto"/>
                  <w:noWrap w:val="0"/>
                  <w:vAlign w:val="center"/>
                </w:tcPr>
                <w:p w14:paraId="111680CD">
                  <w:pPr>
                    <w:spacing w:before="161" w:line="247" w:lineRule="auto"/>
                    <w:ind w:left="113" w:right="172" w:firstLine="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至少支持SATA、SAS、M.2、U.2等</w:t>
                  </w:r>
                  <w:r>
                    <w:rPr>
                      <w:rFonts w:hint="eastAsia" w:ascii="宋体" w:hAnsi="宋体" w:eastAsia="宋体" w:cs="宋体"/>
                      <w:i/>
                      <w:iCs/>
                      <w:color w:val="auto"/>
                      <w:spacing w:val="-4"/>
                      <w:sz w:val="24"/>
                      <w:szCs w:val="24"/>
                      <w:highlight w:val="none"/>
                      <w:u w:val="single"/>
                      <w:lang w:eastAsia="en-US"/>
                    </w:rPr>
                    <w:t>存储接口中的1种</w:t>
                  </w:r>
                </w:p>
              </w:tc>
            </w:tr>
            <w:tr w14:paraId="759D55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719" w:type="dxa"/>
                  <w:shd w:val="clear" w:color="auto" w:fill="auto"/>
                  <w:noWrap w:val="0"/>
                  <w:vAlign w:val="center"/>
                </w:tcPr>
                <w:p w14:paraId="5728FF77">
                  <w:pPr>
                    <w:spacing w:before="58" w:line="242" w:lineRule="auto"/>
                    <w:ind w:left="317"/>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39" w:type="dxa"/>
                  <w:vMerge w:val="continue"/>
                  <w:tcBorders>
                    <w:top w:val="nil"/>
                    <w:bottom w:val="nil"/>
                  </w:tcBorders>
                  <w:shd w:val="clear" w:color="auto" w:fill="auto"/>
                  <w:noWrap w:val="0"/>
                  <w:vAlign w:val="center"/>
                </w:tcPr>
                <w:p w14:paraId="615DDAB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40074325">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主板 PCIe插槽数量及规格</w:t>
                  </w:r>
                </w:p>
              </w:tc>
              <w:tc>
                <w:tcPr>
                  <w:tcW w:w="4535" w:type="dxa"/>
                  <w:shd w:val="clear" w:color="auto" w:fill="auto"/>
                  <w:noWrap w:val="0"/>
                  <w:vAlign w:val="center"/>
                </w:tcPr>
                <w:p w14:paraId="11E173B9">
                  <w:pPr>
                    <w:spacing w:before="33" w:line="230" w:lineRule="auto"/>
                    <w:ind w:left="110" w:right="172"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≥4个标准PCIE插槽</w:t>
                  </w:r>
                  <w:r>
                    <w:rPr>
                      <w:rFonts w:hint="eastAsia" w:ascii="宋体" w:hAnsi="宋体" w:eastAsia="宋体" w:cs="宋体"/>
                      <w:i/>
                      <w:iCs/>
                      <w:color w:val="auto"/>
                      <w:sz w:val="24"/>
                      <w:szCs w:val="24"/>
                      <w:highlight w:val="none"/>
                      <w:u w:val="single"/>
                      <w:lang w:eastAsia="zh-CN"/>
                    </w:rPr>
                    <w:t>，符合PCle</w:t>
                  </w:r>
                  <w:r>
                    <w:rPr>
                      <w:rFonts w:hint="eastAsia" w:ascii="宋体" w:hAnsi="宋体" w:eastAsia="宋体" w:cs="宋体"/>
                      <w:i/>
                      <w:iCs/>
                      <w:color w:val="auto"/>
                      <w:sz w:val="24"/>
                      <w:szCs w:val="24"/>
                      <w:highlight w:val="none"/>
                      <w:u w:val="single"/>
                      <w:lang w:val="en-US" w:eastAsia="zh-CN"/>
                    </w:rPr>
                    <w:t>4</w:t>
                  </w:r>
                  <w:r>
                    <w:rPr>
                      <w:rFonts w:hint="eastAsia" w:ascii="宋体" w:hAnsi="宋体" w:eastAsia="宋体" w:cs="宋体"/>
                      <w:i/>
                      <w:iCs/>
                      <w:color w:val="auto"/>
                      <w:sz w:val="24"/>
                      <w:szCs w:val="24"/>
                      <w:highlight w:val="none"/>
                      <w:u w:val="single"/>
                      <w:lang w:eastAsia="zh-CN"/>
                    </w:rPr>
                    <w:t>.0或以上的高速串行计算机扩展总线标准，PCle的接口速率与位宽需保证向下兼容</w:t>
                  </w:r>
                </w:p>
              </w:tc>
            </w:tr>
            <w:tr w14:paraId="7C470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719" w:type="dxa"/>
                  <w:shd w:val="clear" w:color="auto" w:fill="auto"/>
                  <w:noWrap w:val="0"/>
                  <w:vAlign w:val="center"/>
                </w:tcPr>
                <w:p w14:paraId="509B8ED3">
                  <w:pPr>
                    <w:spacing w:before="58" w:line="242" w:lineRule="auto"/>
                    <w:ind w:left="317"/>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239" w:type="dxa"/>
                  <w:vMerge w:val="continue"/>
                  <w:tcBorders>
                    <w:top w:val="nil"/>
                    <w:bottom w:val="nil"/>
                  </w:tcBorders>
                  <w:shd w:val="clear" w:color="auto" w:fill="auto"/>
                  <w:noWrap w:val="0"/>
                  <w:vAlign w:val="center"/>
                </w:tcPr>
                <w:p w14:paraId="6D7E378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3F022F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特殊孔位及接口</w:t>
                  </w:r>
                </w:p>
              </w:tc>
              <w:tc>
                <w:tcPr>
                  <w:tcW w:w="4535" w:type="dxa"/>
                  <w:shd w:val="clear" w:color="auto" w:fill="auto"/>
                  <w:noWrap w:val="0"/>
                  <w:vAlign w:val="center"/>
                </w:tcPr>
                <w:p w14:paraId="383D2868">
                  <w:pPr>
                    <w:spacing w:before="58" w:line="248" w:lineRule="auto"/>
                    <w:ind w:left="108" w:right="136" w:hanging="2"/>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a)服务器机箱内主板可根据用户实际使用需求支持安装多功能导入装置板卡，机箱内需预留多功能导入装置板卡安装位置，容量不小于</w:t>
                  </w:r>
                </w:p>
                <w:p w14:paraId="2EBB8918">
                  <w:pPr>
                    <w:spacing w:before="58" w:line="248" w:lineRule="auto"/>
                    <w:ind w:left="108" w:right="136" w:hanging="2"/>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55mm×45mm×15mm（长×宽×高，单位毫米）；</w:t>
                  </w:r>
                </w:p>
                <w:p w14:paraId="4868920B">
                  <w:pPr>
                    <w:spacing w:before="58" w:line="248" w:lineRule="auto"/>
                    <w:ind w:left="108" w:right="136" w:hanging="2"/>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b)服务器主板可根据用户实际使用需求预留满足 USB2.0 或 USB3.0 数据传输规范的接口，工作电压5V，采用 USB2.0 时，最大过电流应不小于 0.5A，采用 USB3.0 时，最大过电流应不小于 1A</w:t>
                  </w:r>
                </w:p>
              </w:tc>
            </w:tr>
            <w:tr w14:paraId="5A7370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 w:hRule="atLeast"/>
                <w:jc w:val="center"/>
              </w:trPr>
              <w:tc>
                <w:tcPr>
                  <w:tcW w:w="719" w:type="dxa"/>
                  <w:shd w:val="clear" w:color="auto" w:fill="auto"/>
                  <w:noWrap w:val="0"/>
                  <w:vAlign w:val="center"/>
                </w:tcPr>
                <w:p w14:paraId="69F7F70C">
                  <w:pPr>
                    <w:spacing w:before="59" w:line="237" w:lineRule="exact"/>
                    <w:jc w:val="center"/>
                    <w:rPr>
                      <w:rFonts w:hint="default"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7</w:t>
                  </w:r>
                </w:p>
              </w:tc>
              <w:tc>
                <w:tcPr>
                  <w:tcW w:w="1239" w:type="dxa"/>
                  <w:vMerge w:val="continue"/>
                  <w:tcBorders>
                    <w:top w:val="nil"/>
                    <w:bottom w:val="nil"/>
                  </w:tcBorders>
                  <w:shd w:val="clear" w:color="auto" w:fill="auto"/>
                  <w:noWrap w:val="0"/>
                  <w:vAlign w:val="center"/>
                </w:tcPr>
                <w:p w14:paraId="5086CC87">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E468FA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板载网络接口</w:t>
                  </w:r>
                </w:p>
              </w:tc>
              <w:tc>
                <w:tcPr>
                  <w:tcW w:w="4535" w:type="dxa"/>
                  <w:shd w:val="clear" w:color="auto" w:fill="auto"/>
                  <w:noWrap w:val="0"/>
                  <w:vAlign w:val="center"/>
                </w:tcPr>
                <w:p w14:paraId="49884133">
                  <w:pPr>
                    <w:spacing w:before="59" w:line="249" w:lineRule="auto"/>
                    <w:ind w:left="120" w:right="172" w:hanging="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支持板载网络接口不少于</w:t>
                  </w:r>
                  <w:r>
                    <w:rPr>
                      <w:rFonts w:hint="default" w:ascii="宋体" w:hAnsi="宋体" w:eastAsia="宋体" w:cs="宋体"/>
                      <w:i/>
                      <w:iCs/>
                      <w:color w:val="auto"/>
                      <w:spacing w:val="-3"/>
                      <w:sz w:val="24"/>
                      <w:szCs w:val="24"/>
                      <w:highlight w:val="none"/>
                      <w:u w:val="single"/>
                    </w:rPr>
                    <w:t>1</w:t>
                  </w:r>
                  <w:r>
                    <w:rPr>
                      <w:rFonts w:hint="eastAsia" w:ascii="宋体" w:hAnsi="宋体" w:eastAsia="宋体" w:cs="宋体"/>
                      <w:i/>
                      <w:iCs/>
                      <w:color w:val="auto"/>
                      <w:spacing w:val="-3"/>
                      <w:sz w:val="24"/>
                      <w:szCs w:val="24"/>
                      <w:highlight w:val="none"/>
                      <w:u w:val="single"/>
                    </w:rPr>
                    <w:t>个</w:t>
                  </w:r>
                  <w:r>
                    <w:rPr>
                      <w:rFonts w:hint="eastAsia" w:ascii="宋体" w:hAnsi="宋体" w:eastAsia="宋体" w:cs="宋体"/>
                      <w:i/>
                      <w:iCs/>
                      <w:color w:val="auto"/>
                      <w:spacing w:val="-7"/>
                      <w:sz w:val="24"/>
                      <w:szCs w:val="24"/>
                      <w:highlight w:val="none"/>
                      <w:u w:val="single"/>
                    </w:rPr>
                    <w:t>1GE网口</w:t>
                  </w:r>
                </w:p>
              </w:tc>
            </w:tr>
            <w:tr w14:paraId="562A8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 w:hRule="atLeast"/>
                <w:jc w:val="center"/>
              </w:trPr>
              <w:tc>
                <w:tcPr>
                  <w:tcW w:w="719" w:type="dxa"/>
                  <w:shd w:val="clear" w:color="auto" w:fill="auto"/>
                  <w:noWrap w:val="0"/>
                  <w:vAlign w:val="center"/>
                </w:tcPr>
                <w:p w14:paraId="2AADFBD6">
                  <w:pPr>
                    <w:spacing w:before="31" w:line="209" w:lineRule="auto"/>
                    <w:ind w:left="256"/>
                    <w:rPr>
                      <w:rFonts w:hint="default"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8</w:t>
                  </w:r>
                </w:p>
              </w:tc>
              <w:tc>
                <w:tcPr>
                  <w:tcW w:w="1239" w:type="dxa"/>
                  <w:vMerge w:val="restart"/>
                  <w:shd w:val="clear" w:color="auto" w:fill="auto"/>
                  <w:noWrap w:val="0"/>
                  <w:vAlign w:val="center"/>
                </w:tcPr>
                <w:p w14:paraId="1CBD462E">
                  <w:pPr>
                    <w:spacing w:before="58" w:line="222" w:lineRule="auto"/>
                    <w:ind w:left="107"/>
                    <w:jc w:val="center"/>
                    <w:rPr>
                      <w:rFonts w:hint="default" w:ascii="宋体" w:hAnsi="宋体" w:eastAsia="宋体" w:cs="宋体"/>
                      <w:color w:val="auto"/>
                      <w:spacing w:val="-1"/>
                      <w:sz w:val="24"/>
                      <w:szCs w:val="24"/>
                      <w:highlight w:val="none"/>
                      <w:lang w:eastAsia="en-US"/>
                    </w:rPr>
                  </w:pPr>
                  <w:r>
                    <w:rPr>
                      <w:rFonts w:hint="eastAsia" w:ascii="宋体" w:hAnsi="宋体" w:eastAsia="宋体" w:cs="宋体"/>
                      <w:color w:val="auto"/>
                      <w:spacing w:val="-1"/>
                      <w:sz w:val="24"/>
                      <w:szCs w:val="24"/>
                      <w:highlight w:val="none"/>
                      <w:lang w:eastAsia="en-US"/>
                    </w:rPr>
                    <w:t>内存规格</w:t>
                  </w:r>
                </w:p>
              </w:tc>
              <w:tc>
                <w:tcPr>
                  <w:tcW w:w="1335" w:type="dxa"/>
                  <w:shd w:val="clear" w:color="auto" w:fill="auto"/>
                  <w:noWrap w:val="0"/>
                  <w:vAlign w:val="center"/>
                </w:tcPr>
                <w:p w14:paraId="31C34221">
                  <w:pPr>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内存数量</w:t>
                  </w:r>
                </w:p>
              </w:tc>
              <w:tc>
                <w:tcPr>
                  <w:tcW w:w="4535" w:type="dxa"/>
                  <w:shd w:val="clear" w:color="auto" w:fill="auto"/>
                  <w:noWrap w:val="0"/>
                  <w:vAlign w:val="center"/>
                </w:tcPr>
                <w:p w14:paraId="299ED9F4">
                  <w:pPr>
                    <w:spacing w:before="58" w:line="222" w:lineRule="auto"/>
                    <w:ind w:left="107"/>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w:t>
                  </w:r>
                  <w:r>
                    <w:rPr>
                      <w:rFonts w:hint="default" w:ascii="宋体" w:hAnsi="宋体" w:eastAsia="宋体" w:cs="宋体"/>
                      <w:i/>
                      <w:iCs/>
                      <w:color w:val="auto"/>
                      <w:spacing w:val="-1"/>
                      <w:sz w:val="24"/>
                      <w:szCs w:val="24"/>
                      <w:highlight w:val="none"/>
                      <w:u w:val="single"/>
                      <w:lang w:eastAsia="en-US"/>
                    </w:rPr>
                    <w:t>16</w:t>
                  </w:r>
                </w:p>
              </w:tc>
            </w:tr>
            <w:tr w14:paraId="30C30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jc w:val="center"/>
              </w:trPr>
              <w:tc>
                <w:tcPr>
                  <w:tcW w:w="719" w:type="dxa"/>
                  <w:shd w:val="clear" w:color="auto" w:fill="auto"/>
                  <w:noWrap w:val="0"/>
                  <w:vAlign w:val="center"/>
                </w:tcPr>
                <w:p w14:paraId="0D5B462F">
                  <w:pPr>
                    <w:spacing w:before="58" w:line="222" w:lineRule="auto"/>
                    <w:jc w:val="center"/>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9</w:t>
                  </w:r>
                </w:p>
              </w:tc>
              <w:tc>
                <w:tcPr>
                  <w:tcW w:w="1239" w:type="dxa"/>
                  <w:vMerge w:val="continue"/>
                  <w:shd w:val="clear" w:color="auto" w:fill="auto"/>
                  <w:noWrap w:val="0"/>
                  <w:vAlign w:val="center"/>
                </w:tcPr>
                <w:p w14:paraId="67B632D0">
                  <w:pPr>
                    <w:spacing w:before="58" w:line="222" w:lineRule="auto"/>
                    <w:ind w:left="107"/>
                    <w:jc w:val="center"/>
                    <w:rPr>
                      <w:rFonts w:hint="default" w:ascii="宋体" w:hAnsi="宋体" w:eastAsia="宋体" w:cs="宋体"/>
                      <w:color w:val="auto"/>
                      <w:spacing w:val="-1"/>
                      <w:sz w:val="24"/>
                      <w:szCs w:val="24"/>
                      <w:highlight w:val="none"/>
                      <w:lang w:eastAsia="en-US"/>
                    </w:rPr>
                  </w:pPr>
                </w:p>
              </w:tc>
              <w:tc>
                <w:tcPr>
                  <w:tcW w:w="1335" w:type="dxa"/>
                  <w:shd w:val="clear" w:color="auto" w:fill="auto"/>
                  <w:noWrap w:val="0"/>
                  <w:vAlign w:val="center"/>
                </w:tcPr>
                <w:p w14:paraId="6B25F60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内存规格</w:t>
                  </w:r>
                </w:p>
              </w:tc>
              <w:tc>
                <w:tcPr>
                  <w:tcW w:w="4535" w:type="dxa"/>
                  <w:shd w:val="clear" w:color="auto" w:fill="auto"/>
                  <w:noWrap w:val="0"/>
                  <w:vAlign w:val="center"/>
                </w:tcPr>
                <w:p w14:paraId="64B786BF">
                  <w:pPr>
                    <w:spacing w:before="58" w:line="222" w:lineRule="auto"/>
                    <w:ind w:left="107"/>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≥DDR</w:t>
                  </w:r>
                  <w:r>
                    <w:rPr>
                      <w:rFonts w:hint="default" w:ascii="宋体" w:hAnsi="宋体" w:eastAsia="宋体" w:cs="宋体"/>
                      <w:i/>
                      <w:iCs/>
                      <w:color w:val="auto"/>
                      <w:spacing w:val="-1"/>
                      <w:sz w:val="24"/>
                      <w:szCs w:val="24"/>
                      <w:highlight w:val="none"/>
                      <w:u w:val="single"/>
                      <w:lang w:eastAsia="en-US"/>
                    </w:rPr>
                    <w:t>5</w:t>
                  </w:r>
                </w:p>
              </w:tc>
            </w:tr>
            <w:tr w14:paraId="2892D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jc w:val="center"/>
              </w:trPr>
              <w:tc>
                <w:tcPr>
                  <w:tcW w:w="719" w:type="dxa"/>
                  <w:shd w:val="clear" w:color="auto" w:fill="auto"/>
                  <w:noWrap w:val="0"/>
                  <w:vAlign w:val="center"/>
                </w:tcPr>
                <w:p w14:paraId="374E3905">
                  <w:pPr>
                    <w:spacing w:before="59" w:line="239" w:lineRule="exact"/>
                    <w:ind w:left="256"/>
                    <w:jc w:val="center"/>
                    <w:rPr>
                      <w:rFonts w:hint="default" w:ascii="宋体" w:hAnsi="宋体" w:eastAsia="宋体" w:cs="宋体"/>
                      <w:color w:val="auto"/>
                      <w:spacing w:val="-9"/>
                      <w:position w:val="1"/>
                      <w:sz w:val="24"/>
                      <w:szCs w:val="24"/>
                      <w:highlight w:val="none"/>
                    </w:rPr>
                  </w:pPr>
                </w:p>
              </w:tc>
              <w:tc>
                <w:tcPr>
                  <w:tcW w:w="1239" w:type="dxa"/>
                  <w:vMerge w:val="continue"/>
                  <w:tcBorders>
                    <w:bottom w:val="nil"/>
                  </w:tcBorders>
                  <w:shd w:val="clear" w:color="auto" w:fill="auto"/>
                  <w:noWrap w:val="0"/>
                  <w:vAlign w:val="center"/>
                </w:tcPr>
                <w:p w14:paraId="65C21EE9">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C5B3CDE">
                  <w:pPr>
                    <w:widowControl/>
                    <w:spacing w:line="248" w:lineRule="auto"/>
                    <w:jc w:val="center"/>
                    <w:rPr>
                      <w:rFonts w:hint="default" w:ascii="宋体" w:hAnsi="宋体" w:eastAsia="宋体" w:cs="宋体"/>
                      <w:color w:val="auto"/>
                      <w:spacing w:val="-2"/>
                      <w:sz w:val="24"/>
                      <w:szCs w:val="24"/>
                      <w:highlight w:val="none"/>
                      <w:lang w:eastAsia="en-US"/>
                    </w:rPr>
                  </w:pPr>
                </w:p>
                <w:p w14:paraId="6817337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内存通道</w:t>
                  </w:r>
                </w:p>
              </w:tc>
              <w:tc>
                <w:tcPr>
                  <w:tcW w:w="4535" w:type="dxa"/>
                  <w:shd w:val="clear" w:color="auto" w:fill="auto"/>
                  <w:noWrap w:val="0"/>
                  <w:vAlign w:val="center"/>
                </w:tcPr>
                <w:p w14:paraId="30D29C62">
                  <w:pPr>
                    <w:spacing w:before="58" w:line="222" w:lineRule="auto"/>
                    <w:ind w:left="107"/>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支持多个内存接口通道，每个通道可支持 1DPC 或 2DPC，当支持 2DPC时，印制电路板上应具备插槽的序号标识，具体通道数应在随机文件中明确</w:t>
                  </w:r>
                </w:p>
              </w:tc>
            </w:tr>
            <w:tr w14:paraId="27C9F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51B7E5A1">
                  <w:pPr>
                    <w:spacing w:before="151" w:line="237" w:lineRule="exact"/>
                    <w:ind w:left="256"/>
                    <w:rPr>
                      <w:rFonts w:hint="default"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lang w:eastAsia="en-US"/>
                    </w:rPr>
                    <w:t>1</w:t>
                  </w:r>
                  <w:r>
                    <w:rPr>
                      <w:rFonts w:hint="eastAsia" w:ascii="宋体" w:hAnsi="宋体" w:eastAsia="宋体" w:cs="宋体"/>
                      <w:color w:val="auto"/>
                      <w:spacing w:val="-9"/>
                      <w:position w:val="1"/>
                      <w:sz w:val="24"/>
                      <w:szCs w:val="24"/>
                      <w:highlight w:val="none"/>
                    </w:rPr>
                    <w:t>0</w:t>
                  </w:r>
                </w:p>
              </w:tc>
              <w:tc>
                <w:tcPr>
                  <w:tcW w:w="1239" w:type="dxa"/>
                  <w:vMerge w:val="restart"/>
                  <w:shd w:val="clear" w:color="auto" w:fill="auto"/>
                  <w:noWrap w:val="0"/>
                  <w:vAlign w:val="center"/>
                </w:tcPr>
                <w:p w14:paraId="42E227D6">
                  <w:pPr>
                    <w:spacing w:before="59" w:line="248" w:lineRule="auto"/>
                    <w:ind w:left="186" w:right="141" w:hanging="47"/>
                    <w:jc w:val="center"/>
                    <w:rPr>
                      <w:rFonts w:hint="default" w:ascii="宋体" w:hAnsi="宋体" w:eastAsia="宋体" w:cs="宋体"/>
                      <w:color w:val="auto"/>
                      <w:spacing w:val="-1"/>
                      <w:sz w:val="24"/>
                      <w:szCs w:val="24"/>
                      <w:highlight w:val="none"/>
                      <w:lang w:eastAsia="en-US"/>
                    </w:rPr>
                  </w:pPr>
                </w:p>
                <w:p w14:paraId="2FC7331A">
                  <w:pPr>
                    <w:spacing w:before="59" w:line="248"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存储</w:t>
                  </w:r>
                  <w:r>
                    <w:rPr>
                      <w:rFonts w:hint="eastAsia" w:ascii="宋体" w:hAnsi="宋体" w:eastAsia="宋体" w:cs="宋体"/>
                      <w:color w:val="auto"/>
                      <w:spacing w:val="-3"/>
                      <w:sz w:val="24"/>
                      <w:szCs w:val="24"/>
                      <w:highlight w:val="none"/>
                      <w:lang w:eastAsia="en-US"/>
                    </w:rPr>
                    <w:t>规格</w:t>
                  </w:r>
                </w:p>
              </w:tc>
              <w:tc>
                <w:tcPr>
                  <w:tcW w:w="1335" w:type="dxa"/>
                  <w:shd w:val="clear" w:color="auto" w:fill="auto"/>
                  <w:noWrap w:val="0"/>
                  <w:vAlign w:val="center"/>
                </w:tcPr>
                <w:p w14:paraId="0DDF2A7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硬盘类型</w:t>
                  </w:r>
                </w:p>
              </w:tc>
              <w:tc>
                <w:tcPr>
                  <w:tcW w:w="4535" w:type="dxa"/>
                  <w:shd w:val="clear" w:color="auto" w:fill="auto"/>
                  <w:noWrap w:val="0"/>
                  <w:vAlign w:val="center"/>
                </w:tcPr>
                <w:p w14:paraId="57F4010E">
                  <w:pPr>
                    <w:spacing w:before="38" w:line="224" w:lineRule="auto"/>
                    <w:ind w:left="115" w:right="168" w:hanging="2"/>
                    <w:rPr>
                      <w:rFonts w:hint="default" w:ascii="宋体" w:hAnsi="宋体" w:eastAsia="宋体" w:cs="宋体"/>
                      <w:i/>
                      <w:iCs/>
                      <w:color w:val="auto"/>
                      <w:sz w:val="24"/>
                      <w:szCs w:val="24"/>
                      <w:highlight w:val="none"/>
                      <w:u w:val="single"/>
                    </w:rPr>
                  </w:pPr>
                  <w:r>
                    <w:rPr>
                      <w:rFonts w:hint="default" w:ascii="宋体" w:hAnsi="宋体" w:eastAsia="宋体" w:cs="宋体"/>
                      <w:i/>
                      <w:iCs/>
                      <w:color w:val="auto"/>
                      <w:spacing w:val="-1"/>
                      <w:sz w:val="24"/>
                      <w:szCs w:val="24"/>
                      <w:highlight w:val="none"/>
                      <w:u w:val="single"/>
                    </w:rPr>
                    <w:t xml:space="preserve"> SATA </w:t>
                  </w:r>
                  <w:r>
                    <w:rPr>
                      <w:rFonts w:hint="eastAsia" w:ascii="宋体" w:hAnsi="宋体" w:eastAsia="宋体" w:cs="宋体"/>
                      <w:i/>
                      <w:iCs/>
                      <w:color w:val="auto"/>
                      <w:spacing w:val="-1"/>
                      <w:sz w:val="24"/>
                      <w:szCs w:val="24"/>
                      <w:highlight w:val="none"/>
                      <w:u w:val="single"/>
                    </w:rPr>
                    <w:t>企业级机械硬盘；企业级固态硬盘</w:t>
                  </w:r>
                </w:p>
              </w:tc>
            </w:tr>
            <w:tr w14:paraId="67A5B2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shd w:val="clear" w:color="auto" w:fill="auto"/>
                  <w:noWrap w:val="0"/>
                  <w:vAlign w:val="center"/>
                </w:tcPr>
                <w:p w14:paraId="01FF9A73">
                  <w:pPr>
                    <w:spacing w:before="59" w:line="239" w:lineRule="exact"/>
                    <w:ind w:left="256"/>
                    <w:rPr>
                      <w:rFonts w:hint="default"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lang w:eastAsia="en-US"/>
                    </w:rPr>
                    <w:t>1</w:t>
                  </w:r>
                  <w:r>
                    <w:rPr>
                      <w:rFonts w:hint="eastAsia" w:ascii="宋体" w:hAnsi="宋体" w:eastAsia="宋体" w:cs="宋体"/>
                      <w:color w:val="auto"/>
                      <w:spacing w:val="-9"/>
                      <w:position w:val="1"/>
                      <w:sz w:val="24"/>
                      <w:szCs w:val="24"/>
                      <w:highlight w:val="none"/>
                    </w:rPr>
                    <w:t>1</w:t>
                  </w:r>
                </w:p>
              </w:tc>
              <w:tc>
                <w:tcPr>
                  <w:tcW w:w="1239" w:type="dxa"/>
                  <w:vMerge w:val="continue"/>
                  <w:shd w:val="clear" w:color="auto" w:fill="auto"/>
                  <w:noWrap w:val="0"/>
                  <w:vAlign w:val="center"/>
                </w:tcPr>
                <w:p w14:paraId="7E2037B2">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6C4574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硬磁盘实配容量</w:t>
                  </w:r>
                </w:p>
              </w:tc>
              <w:tc>
                <w:tcPr>
                  <w:tcW w:w="4535" w:type="dxa"/>
                  <w:shd w:val="clear" w:color="auto" w:fill="auto"/>
                  <w:noWrap w:val="0"/>
                  <w:vAlign w:val="center"/>
                </w:tcPr>
                <w:p w14:paraId="71D20C97">
                  <w:pPr>
                    <w:spacing w:before="58" w:line="248" w:lineRule="auto"/>
                    <w:ind w:left="111" w:right="123" w:hanging="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≥1</w:t>
                  </w:r>
                  <w:r>
                    <w:rPr>
                      <w:rFonts w:hint="default" w:ascii="宋体" w:hAnsi="宋体" w:eastAsia="宋体" w:cs="宋体"/>
                      <w:i/>
                      <w:iCs/>
                      <w:color w:val="auto"/>
                      <w:spacing w:val="-1"/>
                      <w:sz w:val="24"/>
                      <w:szCs w:val="24"/>
                      <w:highlight w:val="none"/>
                      <w:u w:val="single"/>
                    </w:rPr>
                    <w:t>6块 3.5英寸 SATA 16TB 企业级机械硬盘</w:t>
                  </w:r>
                  <w:r>
                    <w:rPr>
                      <w:rFonts w:hint="eastAsia" w:ascii="宋体" w:hAnsi="宋体" w:eastAsia="宋体" w:cs="宋体"/>
                      <w:i/>
                      <w:iCs/>
                      <w:color w:val="auto"/>
                      <w:spacing w:val="-1"/>
                      <w:sz w:val="24"/>
                      <w:szCs w:val="24"/>
                      <w:highlight w:val="none"/>
                      <w:u w:val="single"/>
                    </w:rPr>
                    <w:t>；≥</w:t>
                  </w:r>
                  <w:r>
                    <w:rPr>
                      <w:rFonts w:hint="default" w:ascii="宋体" w:hAnsi="宋体" w:eastAsia="宋体" w:cs="宋体"/>
                      <w:i/>
                      <w:iCs/>
                      <w:color w:val="auto"/>
                      <w:spacing w:val="-1"/>
                      <w:sz w:val="24"/>
                      <w:szCs w:val="24"/>
                      <w:highlight w:val="none"/>
                      <w:u w:val="single"/>
                    </w:rPr>
                    <w:t>2块 1.92TB 读写混合型SSD</w:t>
                  </w:r>
                </w:p>
              </w:tc>
            </w:tr>
            <w:tr w14:paraId="1A194B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shd w:val="clear" w:color="auto" w:fill="auto"/>
                  <w:noWrap w:val="0"/>
                  <w:vAlign w:val="center"/>
                </w:tcPr>
                <w:p w14:paraId="3CC032F4">
                  <w:pPr>
                    <w:spacing w:before="59" w:line="239" w:lineRule="exact"/>
                    <w:ind w:left="256"/>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12</w:t>
                  </w:r>
                </w:p>
              </w:tc>
              <w:tc>
                <w:tcPr>
                  <w:tcW w:w="1239" w:type="dxa"/>
                  <w:vMerge w:val="continue"/>
                  <w:shd w:val="clear" w:color="auto" w:fill="auto"/>
                  <w:noWrap w:val="0"/>
                  <w:vAlign w:val="center"/>
                </w:tcPr>
                <w:p w14:paraId="216E257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A8F2E96">
                  <w:pPr>
                    <w:widowControl/>
                    <w:spacing w:line="248" w:lineRule="auto"/>
                    <w:jc w:val="center"/>
                    <w:rPr>
                      <w:rFonts w:hint="default" w:ascii="宋体" w:hAnsi="宋体" w:eastAsia="宋体" w:cs="宋体"/>
                      <w:color w:val="auto"/>
                      <w:spacing w:val="-2"/>
                      <w:sz w:val="24"/>
                      <w:szCs w:val="24"/>
                      <w:highlight w:val="none"/>
                      <w:lang w:eastAsia="en-US"/>
                    </w:rPr>
                  </w:pPr>
                </w:p>
                <w:p w14:paraId="192E40D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硬盘接口类型</w:t>
                  </w:r>
                </w:p>
              </w:tc>
              <w:tc>
                <w:tcPr>
                  <w:tcW w:w="4535" w:type="dxa"/>
                  <w:shd w:val="clear" w:color="auto" w:fill="auto"/>
                  <w:noWrap w:val="0"/>
                  <w:vAlign w:val="center"/>
                </w:tcPr>
                <w:p w14:paraId="2DD14BEF">
                  <w:pPr>
                    <w:spacing w:before="58" w:line="248" w:lineRule="auto"/>
                    <w:ind w:left="111" w:right="123" w:hanging="4"/>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a)硬磁盘，应提供SATA 3.0 及以上接口；</w:t>
                  </w:r>
                </w:p>
                <w:p w14:paraId="6B432360">
                  <w:pPr>
                    <w:spacing w:before="58" w:line="248" w:lineRule="auto"/>
                    <w:ind w:left="111" w:right="123" w:hanging="4"/>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b)固态盘，应提供至少 1 种类型固态盘接口，如 UFS、SATA、PCIe等</w:t>
                  </w:r>
                </w:p>
              </w:tc>
            </w:tr>
            <w:tr w14:paraId="558FC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shd w:val="clear" w:color="auto" w:fill="auto"/>
                  <w:noWrap w:val="0"/>
                  <w:vAlign w:val="center"/>
                </w:tcPr>
                <w:p w14:paraId="04BD33A8">
                  <w:pPr>
                    <w:spacing w:before="59" w:line="239" w:lineRule="exact"/>
                    <w:ind w:left="256"/>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13</w:t>
                  </w:r>
                </w:p>
              </w:tc>
              <w:tc>
                <w:tcPr>
                  <w:tcW w:w="1239" w:type="dxa"/>
                  <w:vMerge w:val="continue"/>
                  <w:shd w:val="clear" w:color="auto" w:fill="auto"/>
                  <w:noWrap w:val="0"/>
                  <w:vAlign w:val="center"/>
                </w:tcPr>
                <w:p w14:paraId="3B1D8E4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E264A7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硬盘实配数量</w:t>
                  </w:r>
                </w:p>
              </w:tc>
              <w:tc>
                <w:tcPr>
                  <w:tcW w:w="4535" w:type="dxa"/>
                  <w:shd w:val="clear" w:color="auto" w:fill="auto"/>
                  <w:noWrap w:val="0"/>
                  <w:vAlign w:val="center"/>
                </w:tcPr>
                <w:p w14:paraId="1AF03D61">
                  <w:pPr>
                    <w:spacing w:before="58" w:line="248" w:lineRule="auto"/>
                    <w:ind w:left="111" w:right="123" w:hanging="4"/>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a)硬磁盘，服务器提供的实配硬磁盘数量应不小于</w:t>
                  </w:r>
                  <w:r>
                    <w:rPr>
                      <w:rFonts w:hint="default" w:ascii="宋体" w:hAnsi="宋体" w:eastAsia="宋体" w:cs="宋体"/>
                      <w:i/>
                      <w:iCs/>
                      <w:color w:val="auto"/>
                      <w:spacing w:val="-1"/>
                      <w:sz w:val="24"/>
                      <w:szCs w:val="24"/>
                      <w:highlight w:val="none"/>
                      <w:u w:val="single"/>
                    </w:rPr>
                    <w:t>12</w:t>
                  </w:r>
                  <w:r>
                    <w:rPr>
                      <w:rFonts w:hint="eastAsia" w:ascii="宋体" w:hAnsi="宋体" w:eastAsia="宋体" w:cs="宋体"/>
                      <w:i/>
                      <w:iCs/>
                      <w:color w:val="auto"/>
                      <w:spacing w:val="-1"/>
                      <w:sz w:val="24"/>
                      <w:szCs w:val="24"/>
                      <w:highlight w:val="none"/>
                      <w:u w:val="single"/>
                    </w:rPr>
                    <w:t>块，可实现互为备份；</w:t>
                  </w:r>
                </w:p>
                <w:p w14:paraId="5A3A90F2">
                  <w:pPr>
                    <w:spacing w:before="58" w:line="248" w:lineRule="auto"/>
                    <w:ind w:left="111" w:right="123" w:hanging="4"/>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 xml:space="preserve">b)固态盘，实配盘数应不小于 </w:t>
                  </w:r>
                  <w:r>
                    <w:rPr>
                      <w:rFonts w:hint="default" w:ascii="宋体" w:hAnsi="宋体" w:eastAsia="宋体" w:cs="宋体"/>
                      <w:i/>
                      <w:iCs/>
                      <w:color w:val="auto"/>
                      <w:spacing w:val="-1"/>
                      <w:sz w:val="24"/>
                      <w:szCs w:val="24"/>
                      <w:highlight w:val="none"/>
                      <w:u w:val="single"/>
                    </w:rPr>
                    <w:t>2</w:t>
                  </w:r>
                  <w:r>
                    <w:rPr>
                      <w:rFonts w:hint="eastAsia" w:ascii="宋体" w:hAnsi="宋体" w:eastAsia="宋体" w:cs="宋体"/>
                      <w:i/>
                      <w:iCs/>
                      <w:color w:val="auto"/>
                      <w:spacing w:val="-1"/>
                      <w:sz w:val="24"/>
                      <w:szCs w:val="24"/>
                      <w:highlight w:val="none"/>
                      <w:u w:val="single"/>
                    </w:rPr>
                    <w:t>块</w:t>
                  </w:r>
                </w:p>
              </w:tc>
            </w:tr>
            <w:tr w14:paraId="2E28D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shd w:val="clear" w:color="auto" w:fill="auto"/>
                  <w:noWrap w:val="0"/>
                  <w:vAlign w:val="center"/>
                </w:tcPr>
                <w:p w14:paraId="602AAC57">
                  <w:pPr>
                    <w:spacing w:before="59" w:line="239" w:lineRule="exact"/>
                    <w:ind w:left="256"/>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14</w:t>
                  </w:r>
                </w:p>
              </w:tc>
              <w:tc>
                <w:tcPr>
                  <w:tcW w:w="1239" w:type="dxa"/>
                  <w:vMerge w:val="continue"/>
                  <w:shd w:val="clear" w:color="auto" w:fill="auto"/>
                  <w:noWrap w:val="0"/>
                  <w:vAlign w:val="center"/>
                </w:tcPr>
                <w:p w14:paraId="6C8F1089">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16F63960">
                  <w:pPr>
                    <w:widowControl/>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硬盘插槽数量及规格</w:t>
                  </w:r>
                </w:p>
              </w:tc>
              <w:tc>
                <w:tcPr>
                  <w:tcW w:w="4535" w:type="dxa"/>
                  <w:shd w:val="clear" w:color="auto" w:fill="auto"/>
                  <w:noWrap w:val="0"/>
                  <w:vAlign w:val="center"/>
                </w:tcPr>
                <w:p w14:paraId="7294E6BC">
                  <w:pPr>
                    <w:spacing w:before="58" w:line="248" w:lineRule="auto"/>
                    <w:ind w:left="111" w:right="123" w:hanging="4"/>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a) 供应商应给出配置的硬盘尺寸，如 2.5 英寸、3.5 英寸硬磁盘；</w:t>
                  </w:r>
                </w:p>
                <w:p w14:paraId="6CBB3E2C">
                  <w:pPr>
                    <w:spacing w:before="58" w:line="248" w:lineRule="auto"/>
                    <w:ind w:left="111" w:right="123" w:hanging="4"/>
                    <w:rPr>
                      <w:rFonts w:hint="eastAsia"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b) 机箱高度为88.9mm 的服务器可支持的硬盘数量应不少于 8 块，机箱高度为44.45mm 的服务器可支持的硬盘数量应不少于 4 块。</w:t>
                  </w:r>
                </w:p>
              </w:tc>
            </w:tr>
            <w:tr w14:paraId="150097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shd w:val="clear" w:color="auto" w:fill="auto"/>
                  <w:noWrap w:val="0"/>
                  <w:vAlign w:val="center"/>
                </w:tcPr>
                <w:p w14:paraId="250A0107">
                  <w:pPr>
                    <w:spacing w:before="59" w:line="239" w:lineRule="exact"/>
                    <w:ind w:left="256"/>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15</w:t>
                  </w:r>
                </w:p>
              </w:tc>
              <w:tc>
                <w:tcPr>
                  <w:tcW w:w="1239" w:type="dxa"/>
                  <w:vMerge w:val="continue"/>
                  <w:tcBorders>
                    <w:bottom w:val="nil"/>
                  </w:tcBorders>
                  <w:shd w:val="clear" w:color="auto" w:fill="auto"/>
                  <w:noWrap w:val="0"/>
                  <w:vAlign w:val="center"/>
                </w:tcPr>
                <w:p w14:paraId="531C0E9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47561AAA">
                  <w:pP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硬盘其他参数要求</w:t>
                  </w:r>
                </w:p>
              </w:tc>
              <w:tc>
                <w:tcPr>
                  <w:tcW w:w="4535" w:type="dxa"/>
                  <w:shd w:val="clear" w:color="auto" w:fill="auto"/>
                  <w:noWrap w:val="0"/>
                  <w:vAlign w:val="center"/>
                </w:tcPr>
                <w:p w14:paraId="1294C7F7">
                  <w:pPr>
                    <w:spacing w:before="19" w:line="352" w:lineRule="auto"/>
                    <w:ind w:left="20" w:right="20" w:firstLine="74"/>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a)机械硬盘准备时间应不大于30s；侧面固定螺丝孔数量可为 4 孔或6孔；工作状态环境温度应满足 5℃ ~55℃ , 其它参数应符合 GB/T 12628的相关规定；</w:t>
                  </w:r>
                  <w:r>
                    <w:rPr>
                      <w:rFonts w:hint="default" w:ascii="宋体" w:hAnsi="宋体" w:eastAsia="宋体" w:cs="宋体"/>
                      <w:i/>
                      <w:iCs/>
                      <w:color w:val="auto"/>
                      <w:spacing w:val="-1"/>
                      <w:sz w:val="24"/>
                      <w:szCs w:val="24"/>
                      <w:highlight w:val="none"/>
                      <w:u w:val="single"/>
                      <w:lang w:eastAsia="en-US"/>
                    </w:rPr>
                    <mc:AlternateContent>
                      <mc:Choice Requires="wps">
                        <w:drawing>
                          <wp:anchor distT="0" distB="0" distL="114300" distR="114300" simplePos="0" relativeHeight="251674624" behindDoc="0" locked="0" layoutInCell="1" allowOverlap="1">
                            <wp:simplePos x="0" y="0"/>
                            <wp:positionH relativeFrom="column">
                              <wp:posOffset>351155</wp:posOffset>
                            </wp:positionH>
                            <wp:positionV relativeFrom="paragraph">
                              <wp:posOffset>35560</wp:posOffset>
                            </wp:positionV>
                            <wp:extent cx="1771650" cy="309880"/>
                            <wp:effectExtent l="0" t="0" r="0" b="0"/>
                            <wp:wrapNone/>
                            <wp:docPr id="15" name="文本框 15"/>
                            <wp:cNvGraphicFramePr/>
                            <a:graphic xmlns:a="http://schemas.openxmlformats.org/drawingml/2006/main">
                              <a:graphicData uri="http://schemas.microsoft.com/office/word/2010/wordprocessingShape">
                                <wps:wsp>
                                  <wps:cNvSpPr txBox="1"/>
                                  <wps:spPr bwMode="auto">
                                    <a:xfrm>
                                      <a:off x="0" y="0"/>
                                      <a:ext cx="1771650" cy="309880"/>
                                    </a:xfrm>
                                    <a:prstGeom prst="rect">
                                      <a:avLst/>
                                    </a:prstGeom>
                                    <a:noFill/>
                                    <a:ln>
                                      <a:noFill/>
                                    </a:ln>
                                    <a:effectLst/>
                                  </wps:spPr>
                                  <wps:txbx>
                                    <w:txbxContent>
                                      <w:p w14:paraId="33433A9C">
                                        <w:pPr>
                                          <w:spacing w:before="19"/>
                                          <w:ind w:left="20" w:right="20" w:firstLine="74"/>
                                          <w:rPr>
                                            <w:rFonts w:hint="default" w:ascii="黑体" w:hAnsi="黑体" w:eastAsia="黑体" w:cs="黑体"/>
                                            <w:sz w:val="18"/>
                                            <w:szCs w:val="18"/>
                                            <w:lang w:eastAsia="en-US"/>
                                          </w:rPr>
                                        </w:pPr>
                                      </w:p>
                                    </w:txbxContent>
                                  </wps:txbx>
                                  <wps:bodyPr lIns="0" tIns="0" rIns="0" bIns="0" upright="1"/>
                                </wps:wsp>
                              </a:graphicData>
                            </a:graphic>
                          </wp:anchor>
                        </w:drawing>
                      </mc:Choice>
                      <mc:Fallback>
                        <w:pict>
                          <v:shape id="_x0000_s1026" o:spid="_x0000_s1026" o:spt="202" type="#_x0000_t202" style="position:absolute;left:0pt;margin-left:27.65pt;margin-top:2.8pt;height:24.4pt;width:139.5pt;z-index:251674624;mso-width-relative:page;mso-height-relative:page;" filled="f" stroked="f" coordsize="21600,21600" o:gfxdata="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df6Wd1QAAAAcBAAAPAAAAAAAAAAEAIAAAACIAAABkcnMvZG93&#10;bnJldi54bWxQSwECFAAUAAAACACHTuJARI48nsoBAACQAwAADgAAAAAAAAABACAAAAAkAQAAZHJz&#10;L2Uyb0RvYy54bWxQSwUGAAAAAAYABgBZAQAAYAUAAAAA&#10;">
                            <v:fill on="f" focussize="0,0"/>
                            <v:stroke on="f"/>
                            <v:imagedata o:title=""/>
                            <o:lock v:ext="edit" aspectratio="f"/>
                            <v:textbox inset="0mm,0mm,0mm,0mm">
                              <w:txbxContent>
                                <w:p w14:paraId="33433A9C">
                                  <w:pPr>
                                    <w:spacing w:before="19"/>
                                    <w:ind w:left="20" w:right="20" w:firstLine="74"/>
                                    <w:rPr>
                                      <w:rFonts w:hint="default" w:ascii="黑体" w:hAnsi="黑体" w:eastAsia="黑体" w:cs="黑体"/>
                                      <w:sz w:val="18"/>
                                      <w:szCs w:val="18"/>
                                      <w:lang w:eastAsia="en-US"/>
                                    </w:rPr>
                                  </w:pPr>
                                </w:p>
                              </w:txbxContent>
                            </v:textbox>
                          </v:shape>
                        </w:pict>
                      </mc:Fallback>
                    </mc:AlternateContent>
                  </w:r>
                </w:p>
                <w:p w14:paraId="3EB6E1FF">
                  <w:pPr>
                    <w:spacing w:before="58" w:line="248" w:lineRule="auto"/>
                    <w:ind w:left="111" w:right="123" w:hanging="4"/>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b)若服务器支持固态盘，固态盘符合 SJ/T 11654 相关规定</w:t>
                  </w:r>
                </w:p>
              </w:tc>
            </w:tr>
            <w:tr w14:paraId="7DD36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jc w:val="center"/>
              </w:trPr>
              <w:tc>
                <w:tcPr>
                  <w:tcW w:w="719" w:type="dxa"/>
                  <w:shd w:val="clear" w:color="auto" w:fill="auto"/>
                  <w:noWrap w:val="0"/>
                  <w:vAlign w:val="center"/>
                </w:tcPr>
                <w:p w14:paraId="740C2131">
                  <w:pPr>
                    <w:spacing w:before="156" w:line="237" w:lineRule="exact"/>
                    <w:ind w:left="25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9"/>
                      <w:position w:val="1"/>
                      <w:sz w:val="24"/>
                      <w:szCs w:val="24"/>
                      <w:highlight w:val="none"/>
                      <w:lang w:eastAsia="en-US"/>
                    </w:rPr>
                    <w:t>19</w:t>
                  </w:r>
                </w:p>
              </w:tc>
              <w:tc>
                <w:tcPr>
                  <w:tcW w:w="1239" w:type="dxa"/>
                  <w:shd w:val="clear" w:color="auto" w:fill="auto"/>
                  <w:noWrap w:val="0"/>
                  <w:vAlign w:val="center"/>
                </w:tcPr>
                <w:p w14:paraId="646D1EF7">
                  <w:pPr>
                    <w:spacing w:before="43" w:line="223" w:lineRule="auto"/>
                    <w:ind w:left="189" w:right="1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RAID</w:t>
                  </w:r>
                  <w:r>
                    <w:rPr>
                      <w:rFonts w:hint="eastAsia" w:ascii="宋体" w:hAnsi="宋体" w:eastAsia="宋体" w:cs="宋体"/>
                      <w:color w:val="auto"/>
                      <w:spacing w:val="-5"/>
                      <w:sz w:val="24"/>
                      <w:szCs w:val="24"/>
                      <w:highlight w:val="none"/>
                      <w:lang w:eastAsia="en-US"/>
                    </w:rPr>
                    <w:t>卡规</w:t>
                  </w:r>
                  <w:r>
                    <w:rPr>
                      <w:rFonts w:hint="eastAsia" w:ascii="宋体" w:hAnsi="宋体" w:eastAsia="宋体" w:cs="宋体"/>
                      <w:color w:val="auto"/>
                      <w:spacing w:val="-11"/>
                      <w:sz w:val="24"/>
                      <w:szCs w:val="24"/>
                      <w:highlight w:val="none"/>
                      <w:lang w:eastAsia="en-US"/>
                    </w:rPr>
                    <w:t>格（若</w:t>
                  </w:r>
                  <w:r>
                    <w:rPr>
                      <w:rFonts w:hint="eastAsia" w:ascii="宋体" w:hAnsi="宋体" w:eastAsia="宋体" w:cs="宋体"/>
                      <w:color w:val="auto"/>
                      <w:spacing w:val="-4"/>
                      <w:sz w:val="24"/>
                      <w:szCs w:val="24"/>
                      <w:highlight w:val="none"/>
                      <w:lang w:eastAsia="en-US"/>
                    </w:rPr>
                    <w:t>支持</w:t>
                  </w:r>
                  <w:r>
                    <w:rPr>
                      <w:rFonts w:hint="eastAsia" w:ascii="宋体" w:hAnsi="宋体" w:eastAsia="宋体" w:cs="宋体"/>
                      <w:color w:val="auto"/>
                      <w:spacing w:val="-2"/>
                      <w:sz w:val="24"/>
                      <w:szCs w:val="24"/>
                      <w:highlight w:val="none"/>
                      <w:lang w:eastAsia="en-US"/>
                    </w:rPr>
                    <w:t>RAID</w:t>
                  </w:r>
                  <w:r>
                    <w:rPr>
                      <w:rFonts w:hint="eastAsia" w:ascii="宋体" w:hAnsi="宋体" w:eastAsia="宋体" w:cs="宋体"/>
                      <w:color w:val="auto"/>
                      <w:spacing w:val="-4"/>
                      <w:sz w:val="24"/>
                      <w:szCs w:val="24"/>
                      <w:highlight w:val="none"/>
                      <w:lang w:eastAsia="en-US"/>
                    </w:rPr>
                    <w:t>卡）</w:t>
                  </w:r>
                </w:p>
              </w:tc>
              <w:tc>
                <w:tcPr>
                  <w:tcW w:w="1335" w:type="dxa"/>
                  <w:shd w:val="clear" w:color="auto" w:fill="auto"/>
                  <w:noWrap w:val="0"/>
                  <w:vAlign w:val="center"/>
                </w:tcPr>
                <w:p w14:paraId="370BDD7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卡支持的 接口数</w:t>
                  </w:r>
                </w:p>
              </w:tc>
              <w:tc>
                <w:tcPr>
                  <w:tcW w:w="4535" w:type="dxa"/>
                  <w:shd w:val="clear" w:color="auto" w:fill="auto"/>
                  <w:noWrap w:val="0"/>
                  <w:vAlign w:val="center"/>
                </w:tcPr>
                <w:p w14:paraId="5CAC08B1">
                  <w:pPr>
                    <w:spacing w:before="163"/>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3"/>
                      <w:sz w:val="24"/>
                      <w:szCs w:val="24"/>
                      <w:highlight w:val="none"/>
                      <w:u w:val="single"/>
                      <w:lang w:eastAsia="en-US"/>
                    </w:rPr>
                    <w:t>≥</w:t>
                  </w:r>
                  <w:r>
                    <w:rPr>
                      <w:rFonts w:hint="default" w:ascii="宋体" w:hAnsi="宋体" w:eastAsia="宋体" w:cs="宋体"/>
                      <w:i/>
                      <w:iCs/>
                      <w:color w:val="auto"/>
                      <w:spacing w:val="-13"/>
                      <w:sz w:val="24"/>
                      <w:szCs w:val="24"/>
                      <w:highlight w:val="none"/>
                      <w:u w:val="single"/>
                      <w:lang w:eastAsia="en-US"/>
                    </w:rPr>
                    <w:t>12</w:t>
                  </w:r>
                </w:p>
              </w:tc>
            </w:tr>
            <w:tr w14:paraId="0CB64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719" w:type="dxa"/>
                  <w:shd w:val="clear" w:color="auto" w:fill="auto"/>
                  <w:noWrap w:val="0"/>
                  <w:vAlign w:val="center"/>
                </w:tcPr>
                <w:p w14:paraId="66D546B1">
                  <w:pPr>
                    <w:spacing w:before="5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20</w:t>
                  </w:r>
                </w:p>
              </w:tc>
              <w:tc>
                <w:tcPr>
                  <w:tcW w:w="1239" w:type="dxa"/>
                  <w:shd w:val="clear" w:color="auto" w:fill="auto"/>
                  <w:noWrap w:val="0"/>
                  <w:vAlign w:val="center"/>
                </w:tcPr>
                <w:p w14:paraId="7BA11C37">
                  <w:pPr>
                    <w:spacing w:before="37" w:line="246" w:lineRule="auto"/>
                    <w:ind w:left="186" w:right="119" w:hanging="6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SAS直</w:t>
                  </w:r>
                  <w:r>
                    <w:rPr>
                      <w:rFonts w:hint="eastAsia" w:ascii="宋体" w:hAnsi="宋体" w:eastAsia="宋体" w:cs="宋体"/>
                      <w:color w:val="auto"/>
                      <w:spacing w:val="-3"/>
                      <w:sz w:val="24"/>
                      <w:szCs w:val="24"/>
                      <w:highlight w:val="none"/>
                      <w:lang w:eastAsia="en-US"/>
                    </w:rPr>
                    <w:t>通卡</w:t>
                  </w:r>
                </w:p>
                <w:p w14:paraId="0A8A52BE">
                  <w:pPr>
                    <w:spacing w:line="246" w:lineRule="auto"/>
                    <w:ind w:left="110" w:right="130" w:firstLine="7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规格</w:t>
                  </w:r>
                  <w:r>
                    <w:rPr>
                      <w:rFonts w:hint="eastAsia" w:ascii="宋体" w:hAnsi="宋体" w:eastAsia="宋体" w:cs="宋体"/>
                      <w:color w:val="auto"/>
                      <w:spacing w:val="8"/>
                      <w:sz w:val="24"/>
                      <w:szCs w:val="24"/>
                      <w:highlight w:val="none"/>
                      <w:lang w:eastAsia="en-US"/>
                    </w:rPr>
                    <w:t>(若支</w:t>
                  </w:r>
                  <w:r>
                    <w:rPr>
                      <w:rFonts w:hint="eastAsia" w:ascii="宋体" w:hAnsi="宋体" w:eastAsia="宋体" w:cs="宋体"/>
                      <w:color w:val="auto"/>
                      <w:spacing w:val="-4"/>
                      <w:sz w:val="24"/>
                      <w:szCs w:val="24"/>
                      <w:highlight w:val="none"/>
                      <w:lang w:eastAsia="en-US"/>
                    </w:rPr>
                    <w:t>持SAS</w:t>
                  </w:r>
                  <w:r>
                    <w:rPr>
                      <w:rFonts w:hint="eastAsia" w:ascii="宋体" w:hAnsi="宋体" w:eastAsia="宋体" w:cs="宋体"/>
                      <w:color w:val="auto"/>
                      <w:spacing w:val="35"/>
                      <w:sz w:val="24"/>
                      <w:szCs w:val="24"/>
                      <w:highlight w:val="none"/>
                      <w:lang w:eastAsia="en-US"/>
                    </w:rPr>
                    <w:t>直通</w:t>
                  </w:r>
                </w:p>
                <w:p w14:paraId="11768A68">
                  <w:pPr>
                    <w:spacing w:line="201" w:lineRule="auto"/>
                    <w:ind w:left="23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卡)</w:t>
                  </w:r>
                </w:p>
              </w:tc>
              <w:tc>
                <w:tcPr>
                  <w:tcW w:w="1335" w:type="dxa"/>
                  <w:shd w:val="clear" w:color="auto" w:fill="auto"/>
                  <w:noWrap w:val="0"/>
                  <w:vAlign w:val="center"/>
                </w:tcPr>
                <w:p w14:paraId="5B1F9351">
                  <w:pP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SAS直通卡SAS接口数量</w:t>
                  </w:r>
                </w:p>
              </w:tc>
              <w:tc>
                <w:tcPr>
                  <w:tcW w:w="4535" w:type="dxa"/>
                  <w:shd w:val="clear" w:color="auto" w:fill="auto"/>
                  <w:noWrap w:val="0"/>
                  <w:vAlign w:val="center"/>
                </w:tcPr>
                <w:p w14:paraId="553DC9E0">
                  <w:pPr>
                    <w:widowControl/>
                    <w:spacing w:line="347" w:lineRule="auto"/>
                    <w:rPr>
                      <w:rFonts w:hint="default" w:ascii="宋体" w:hAnsi="宋体" w:eastAsia="宋体" w:cs="宋体"/>
                      <w:i/>
                      <w:iCs/>
                      <w:color w:val="auto"/>
                      <w:sz w:val="24"/>
                      <w:szCs w:val="24"/>
                      <w:highlight w:val="none"/>
                      <w:u w:val="single"/>
                    </w:rPr>
                  </w:pPr>
                </w:p>
                <w:p w14:paraId="68C59CC6">
                  <w:pPr>
                    <w:widowControl/>
                    <w:spacing w:line="347" w:lineRule="auto"/>
                    <w:rPr>
                      <w:rFonts w:hint="default" w:ascii="宋体" w:hAnsi="宋体" w:eastAsia="宋体" w:cs="宋体"/>
                      <w:i/>
                      <w:iCs/>
                      <w:color w:val="auto"/>
                      <w:sz w:val="24"/>
                      <w:szCs w:val="24"/>
                      <w:highlight w:val="none"/>
                      <w:u w:val="single"/>
                    </w:rPr>
                  </w:pPr>
                </w:p>
                <w:p w14:paraId="1C361EF2">
                  <w:pPr>
                    <w:spacing w:before="59"/>
                    <w:ind w:left="131"/>
                    <w:rPr>
                      <w:rFonts w:hint="default" w:ascii="宋体" w:hAnsi="宋体" w:eastAsia="黑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rPr>
                    <w:t>/</w:t>
                  </w:r>
                </w:p>
              </w:tc>
            </w:tr>
            <w:tr w14:paraId="3C20D2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shd w:val="clear" w:color="auto" w:fill="auto"/>
                  <w:noWrap w:val="0"/>
                  <w:vAlign w:val="center"/>
                </w:tcPr>
                <w:p w14:paraId="7A9ECA93">
                  <w:pPr>
                    <w:spacing w:before="59" w:line="239"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21</w:t>
                  </w:r>
                </w:p>
              </w:tc>
              <w:tc>
                <w:tcPr>
                  <w:tcW w:w="1239" w:type="dxa"/>
                  <w:shd w:val="clear" w:color="auto" w:fill="auto"/>
                  <w:noWrap w:val="0"/>
                  <w:vAlign w:val="center"/>
                </w:tcPr>
                <w:p w14:paraId="46FB0901">
                  <w:pPr>
                    <w:spacing w:before="40" w:line="246" w:lineRule="auto"/>
                    <w:ind w:left="110" w:right="119" w:firstLine="1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HBA卡</w:t>
                  </w:r>
                  <w:r>
                    <w:rPr>
                      <w:rFonts w:hint="eastAsia" w:ascii="宋体" w:hAnsi="宋体" w:eastAsia="宋体" w:cs="宋体"/>
                      <w:color w:val="auto"/>
                      <w:spacing w:val="35"/>
                      <w:sz w:val="24"/>
                      <w:szCs w:val="24"/>
                      <w:highlight w:val="none"/>
                      <w:lang w:eastAsia="en-US"/>
                    </w:rPr>
                    <w:t>规格</w:t>
                  </w:r>
                  <w:r>
                    <w:rPr>
                      <w:rFonts w:hint="eastAsia" w:ascii="宋体" w:hAnsi="宋体" w:eastAsia="宋体" w:cs="宋体"/>
                      <w:color w:val="auto"/>
                      <w:spacing w:val="8"/>
                      <w:sz w:val="24"/>
                      <w:szCs w:val="24"/>
                      <w:highlight w:val="none"/>
                      <w:lang w:eastAsia="en-US"/>
                    </w:rPr>
                    <w:t>(若支</w:t>
                  </w:r>
                  <w:r>
                    <w:rPr>
                      <w:rFonts w:hint="eastAsia" w:ascii="宋体" w:hAnsi="宋体" w:eastAsia="宋体" w:cs="宋体"/>
                      <w:color w:val="auto"/>
                      <w:spacing w:val="-4"/>
                      <w:sz w:val="24"/>
                      <w:szCs w:val="24"/>
                      <w:highlight w:val="none"/>
                      <w:lang w:eastAsia="en-US"/>
                    </w:rPr>
                    <w:t>持HBA</w:t>
                  </w:r>
                  <w:r>
                    <w:rPr>
                      <w:rFonts w:hint="eastAsia" w:ascii="宋体" w:hAnsi="宋体" w:eastAsia="宋体" w:cs="宋体"/>
                      <w:color w:val="auto"/>
                      <w:spacing w:val="35"/>
                      <w:sz w:val="24"/>
                      <w:szCs w:val="24"/>
                      <w:highlight w:val="none"/>
                      <w:lang w:eastAsia="en-US"/>
                    </w:rPr>
                    <w:t>直通</w:t>
                  </w:r>
                </w:p>
                <w:p w14:paraId="1CA74168">
                  <w:pPr>
                    <w:spacing w:line="198" w:lineRule="auto"/>
                    <w:ind w:left="23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卡)</w:t>
                  </w:r>
                </w:p>
              </w:tc>
              <w:tc>
                <w:tcPr>
                  <w:tcW w:w="1335" w:type="dxa"/>
                  <w:shd w:val="clear" w:color="auto" w:fill="auto"/>
                  <w:noWrap w:val="0"/>
                  <w:vAlign w:val="center"/>
                </w:tcPr>
                <w:p w14:paraId="5DFEA555">
                  <w:pPr>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HBA卡端口数量</w:t>
                  </w:r>
                </w:p>
              </w:tc>
              <w:tc>
                <w:tcPr>
                  <w:tcW w:w="4535" w:type="dxa"/>
                  <w:shd w:val="clear" w:color="auto" w:fill="auto"/>
                  <w:noWrap w:val="0"/>
                  <w:vAlign w:val="center"/>
                </w:tcPr>
                <w:p w14:paraId="5C6A7005">
                  <w:pPr>
                    <w:widowControl/>
                    <w:spacing w:line="289" w:lineRule="auto"/>
                    <w:rPr>
                      <w:rFonts w:hint="default" w:ascii="宋体" w:hAnsi="宋体" w:eastAsia="宋体" w:cs="宋体"/>
                      <w:i/>
                      <w:iCs/>
                      <w:color w:val="auto"/>
                      <w:sz w:val="24"/>
                      <w:szCs w:val="24"/>
                      <w:highlight w:val="none"/>
                      <w:u w:val="single"/>
                    </w:rPr>
                  </w:pPr>
                </w:p>
                <w:p w14:paraId="0CFBDC86">
                  <w:pPr>
                    <w:widowControl/>
                    <w:spacing w:line="289" w:lineRule="auto"/>
                    <w:rPr>
                      <w:rFonts w:hint="default" w:ascii="宋体" w:hAnsi="宋体" w:eastAsia="宋体" w:cs="宋体"/>
                      <w:i/>
                      <w:iCs/>
                      <w:color w:val="auto"/>
                      <w:sz w:val="24"/>
                      <w:szCs w:val="24"/>
                      <w:highlight w:val="none"/>
                      <w:u w:val="single"/>
                    </w:rPr>
                  </w:pPr>
                </w:p>
                <w:p w14:paraId="293FCD10">
                  <w:pPr>
                    <w:spacing w:before="58"/>
                    <w:ind w:left="131"/>
                    <w:rPr>
                      <w:rFonts w:hint="default" w:ascii="宋体" w:hAnsi="宋体" w:eastAsia="黑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rPr>
                    <w:t>/</w:t>
                  </w:r>
                </w:p>
              </w:tc>
            </w:tr>
            <w:tr w14:paraId="224405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719" w:type="dxa"/>
                  <w:shd w:val="clear" w:color="auto" w:fill="auto"/>
                  <w:noWrap w:val="0"/>
                  <w:vAlign w:val="center"/>
                </w:tcPr>
                <w:p w14:paraId="0202275A">
                  <w:pPr>
                    <w:spacing w:before="59" w:line="239"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22</w:t>
                  </w:r>
                </w:p>
              </w:tc>
              <w:tc>
                <w:tcPr>
                  <w:tcW w:w="1239" w:type="dxa"/>
                  <w:vMerge w:val="restart"/>
                  <w:tcBorders>
                    <w:bottom w:val="nil"/>
                  </w:tcBorders>
                  <w:shd w:val="clear" w:color="auto" w:fill="auto"/>
                  <w:noWrap w:val="0"/>
                  <w:vAlign w:val="center"/>
                </w:tcPr>
                <w:p w14:paraId="386ACC51">
                  <w:pPr>
                    <w:spacing w:before="58"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网络</w:t>
                  </w:r>
                  <w:r>
                    <w:rPr>
                      <w:rFonts w:hint="eastAsia" w:ascii="宋体" w:hAnsi="宋体" w:eastAsia="宋体" w:cs="宋体"/>
                      <w:color w:val="auto"/>
                      <w:spacing w:val="-3"/>
                      <w:sz w:val="24"/>
                      <w:szCs w:val="24"/>
                      <w:highlight w:val="none"/>
                      <w:lang w:eastAsia="en-US"/>
                    </w:rPr>
                    <w:t>规格</w:t>
                  </w:r>
                </w:p>
              </w:tc>
              <w:tc>
                <w:tcPr>
                  <w:tcW w:w="1335" w:type="dxa"/>
                  <w:shd w:val="clear" w:color="auto" w:fill="auto"/>
                  <w:noWrap w:val="0"/>
                  <w:vAlign w:val="center"/>
                </w:tcPr>
                <w:p w14:paraId="7EDE2379">
                  <w:pPr>
                    <w:spacing w:before="59" w:line="248" w:lineRule="auto"/>
                    <w:ind w:right="12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网口速率和数量</w:t>
                  </w:r>
                </w:p>
              </w:tc>
              <w:tc>
                <w:tcPr>
                  <w:tcW w:w="4535" w:type="dxa"/>
                  <w:shd w:val="clear" w:color="auto" w:fill="auto"/>
                  <w:noWrap w:val="0"/>
                  <w:vAlign w:val="center"/>
                </w:tcPr>
                <w:p w14:paraId="73513622">
                  <w:pPr>
                    <w:widowControl/>
                    <w:spacing w:line="289" w:lineRule="auto"/>
                    <w:rPr>
                      <w:rFonts w:hint="default" w:ascii="宋体" w:hAnsi="宋体" w:eastAsia="宋体" w:cs="宋体"/>
                      <w:i/>
                      <w:iCs/>
                      <w:color w:val="auto"/>
                      <w:sz w:val="24"/>
                      <w:szCs w:val="24"/>
                      <w:highlight w:val="none"/>
                      <w:u w:val="single"/>
                    </w:rPr>
                  </w:pPr>
                </w:p>
                <w:p w14:paraId="3974E67F">
                  <w:pPr>
                    <w:widowControl/>
                    <w:spacing w:line="290" w:lineRule="auto"/>
                    <w:rPr>
                      <w:rFonts w:hint="default" w:ascii="宋体" w:hAnsi="宋体" w:eastAsia="宋体" w:cs="宋体"/>
                      <w:i/>
                      <w:iCs/>
                      <w:color w:val="auto"/>
                      <w:sz w:val="24"/>
                      <w:szCs w:val="24"/>
                      <w:highlight w:val="none"/>
                      <w:u w:val="single"/>
                    </w:rPr>
                  </w:pPr>
                </w:p>
                <w:p w14:paraId="31888F6E">
                  <w:pPr>
                    <w:spacing w:before="58" w:line="248" w:lineRule="auto"/>
                    <w:ind w:left="112" w:right="168"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配备网口数量不少于</w:t>
                  </w:r>
                  <w:r>
                    <w:rPr>
                      <w:rFonts w:hint="default" w:ascii="宋体" w:hAnsi="宋体" w:eastAsia="宋体" w:cs="宋体"/>
                      <w:i/>
                      <w:iCs/>
                      <w:color w:val="auto"/>
                      <w:spacing w:val="-3"/>
                      <w:sz w:val="24"/>
                      <w:szCs w:val="24"/>
                      <w:highlight w:val="none"/>
                      <w:u w:val="single"/>
                    </w:rPr>
                    <w:t>2</w:t>
                  </w:r>
                  <w:r>
                    <w:rPr>
                      <w:rFonts w:hint="eastAsia" w:ascii="宋体" w:hAnsi="宋体" w:eastAsia="宋体" w:cs="宋体"/>
                      <w:i/>
                      <w:iCs/>
                      <w:color w:val="auto"/>
                      <w:spacing w:val="-3"/>
                      <w:sz w:val="24"/>
                      <w:szCs w:val="24"/>
                      <w:highlight w:val="none"/>
                      <w:u w:val="single"/>
                    </w:rPr>
                    <w:t>个，且网口速率不少于1GE</w:t>
                  </w:r>
                </w:p>
              </w:tc>
            </w:tr>
            <w:tr w14:paraId="5514F0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03EEB306">
                  <w:pPr>
                    <w:spacing w:before="274" w:line="240" w:lineRule="exact"/>
                    <w:ind w:left="24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24</w:t>
                  </w:r>
                </w:p>
              </w:tc>
              <w:tc>
                <w:tcPr>
                  <w:tcW w:w="1239" w:type="dxa"/>
                  <w:vMerge w:val="continue"/>
                  <w:tcBorders>
                    <w:top w:val="nil"/>
                    <w:bottom w:val="nil"/>
                  </w:tcBorders>
                  <w:shd w:val="clear" w:color="auto" w:fill="auto"/>
                  <w:noWrap w:val="0"/>
                  <w:vAlign w:val="center"/>
                </w:tcPr>
                <w:p w14:paraId="5630B39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123207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独立网卡网口数量</w:t>
                  </w:r>
                </w:p>
              </w:tc>
              <w:tc>
                <w:tcPr>
                  <w:tcW w:w="4535" w:type="dxa"/>
                  <w:shd w:val="clear" w:color="auto" w:fill="auto"/>
                  <w:noWrap w:val="0"/>
                  <w:vAlign w:val="center"/>
                </w:tcPr>
                <w:p w14:paraId="55C26E4F">
                  <w:pPr>
                    <w:spacing w:before="162" w:line="251" w:lineRule="auto"/>
                    <w:ind w:left="115" w:right="168"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若配备独立网卡，独立网卡网口数</w:t>
                  </w:r>
                  <w:r>
                    <w:rPr>
                      <w:rFonts w:hint="eastAsia" w:ascii="宋体" w:hAnsi="宋体" w:eastAsia="宋体" w:cs="宋体"/>
                      <w:i/>
                      <w:iCs/>
                      <w:color w:val="auto"/>
                      <w:spacing w:val="-4"/>
                      <w:sz w:val="24"/>
                      <w:szCs w:val="24"/>
                      <w:highlight w:val="none"/>
                      <w:u w:val="single"/>
                    </w:rPr>
                    <w:t>量≥0</w:t>
                  </w:r>
                </w:p>
              </w:tc>
            </w:tr>
            <w:tr w14:paraId="21C418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jc w:val="center"/>
              </w:trPr>
              <w:tc>
                <w:tcPr>
                  <w:tcW w:w="719" w:type="dxa"/>
                  <w:shd w:val="clear" w:color="auto" w:fill="auto"/>
                  <w:noWrap w:val="0"/>
                  <w:vAlign w:val="center"/>
                </w:tcPr>
                <w:p w14:paraId="341FA9A3">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25</w:t>
                  </w:r>
                </w:p>
              </w:tc>
              <w:tc>
                <w:tcPr>
                  <w:tcW w:w="1239" w:type="dxa"/>
                  <w:vMerge w:val="continue"/>
                  <w:tcBorders>
                    <w:top w:val="nil"/>
                    <w:bottom w:val="nil"/>
                  </w:tcBorders>
                  <w:shd w:val="clear" w:color="auto" w:fill="auto"/>
                  <w:noWrap w:val="0"/>
                  <w:vAlign w:val="center"/>
                </w:tcPr>
                <w:p w14:paraId="356DFD4E">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1E6CB68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独立网卡接口类型</w:t>
                  </w:r>
                </w:p>
              </w:tc>
              <w:tc>
                <w:tcPr>
                  <w:tcW w:w="4535" w:type="dxa"/>
                  <w:shd w:val="clear" w:color="auto" w:fill="auto"/>
                  <w:noWrap w:val="0"/>
                  <w:vAlign w:val="center"/>
                </w:tcPr>
                <w:p w14:paraId="0CFF90C1">
                  <w:pPr>
                    <w:spacing w:before="58"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支持RJ45/QSFP/SFP等</w:t>
                  </w:r>
                </w:p>
              </w:tc>
            </w:tr>
            <w:tr w14:paraId="51434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4" w:hRule="atLeast"/>
                <w:jc w:val="center"/>
              </w:trPr>
              <w:tc>
                <w:tcPr>
                  <w:tcW w:w="719" w:type="dxa"/>
                  <w:shd w:val="clear" w:color="auto" w:fill="auto"/>
                  <w:noWrap w:val="0"/>
                  <w:vAlign w:val="center"/>
                </w:tcPr>
                <w:p w14:paraId="3046B4C3">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26</w:t>
                  </w:r>
                </w:p>
              </w:tc>
              <w:tc>
                <w:tcPr>
                  <w:tcW w:w="1239" w:type="dxa"/>
                  <w:vMerge w:val="continue"/>
                  <w:tcBorders>
                    <w:top w:val="nil"/>
                  </w:tcBorders>
                  <w:shd w:val="clear" w:color="auto" w:fill="auto"/>
                  <w:noWrap w:val="0"/>
                  <w:vAlign w:val="center"/>
                </w:tcPr>
                <w:p w14:paraId="7FCF969F">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4B55F3E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板载网卡接口类型</w:t>
                  </w:r>
                </w:p>
              </w:tc>
              <w:tc>
                <w:tcPr>
                  <w:tcW w:w="4535" w:type="dxa"/>
                  <w:shd w:val="clear" w:color="auto" w:fill="auto"/>
                  <w:noWrap w:val="0"/>
                  <w:vAlign w:val="center"/>
                </w:tcPr>
                <w:p w14:paraId="0D5E886D">
                  <w:pPr>
                    <w:spacing w:before="59"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支持RJ45/QSFP/SFP等</w:t>
                  </w:r>
                </w:p>
              </w:tc>
            </w:tr>
            <w:tr w14:paraId="76425C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23C2603D">
                  <w:pPr>
                    <w:spacing w:before="157" w:line="240" w:lineRule="exact"/>
                    <w:ind w:left="24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27</w:t>
                  </w:r>
                </w:p>
              </w:tc>
              <w:tc>
                <w:tcPr>
                  <w:tcW w:w="1239" w:type="dxa"/>
                  <w:tcBorders>
                    <w:bottom w:val="nil"/>
                  </w:tcBorders>
                  <w:shd w:val="clear" w:color="auto" w:fill="auto"/>
                  <w:noWrap w:val="0"/>
                  <w:vAlign w:val="center"/>
                </w:tcPr>
                <w:p w14:paraId="3A7529EB">
                  <w:pPr>
                    <w:spacing w:before="289" w:line="190"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外部</w:t>
                  </w:r>
                </w:p>
              </w:tc>
              <w:tc>
                <w:tcPr>
                  <w:tcW w:w="1335" w:type="dxa"/>
                  <w:shd w:val="clear" w:color="auto" w:fill="auto"/>
                  <w:noWrap w:val="0"/>
                  <w:vAlign w:val="center"/>
                </w:tcPr>
                <w:p w14:paraId="69B4BBD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显示接口</w:t>
                  </w:r>
                </w:p>
              </w:tc>
              <w:tc>
                <w:tcPr>
                  <w:tcW w:w="4535" w:type="dxa"/>
                  <w:shd w:val="clear" w:color="auto" w:fill="auto"/>
                  <w:noWrap w:val="0"/>
                  <w:vAlign w:val="center"/>
                </w:tcPr>
                <w:p w14:paraId="7DFC5510">
                  <w:pPr>
                    <w:spacing w:before="45" w:line="220" w:lineRule="auto"/>
                    <w:ind w:left="108" w:right="206" w:firstLine="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显示接口类型应不少于1种，如：VGA、</w:t>
                  </w:r>
                  <w:r>
                    <w:rPr>
                      <w:rFonts w:hint="eastAsia" w:ascii="宋体" w:hAnsi="宋体" w:eastAsia="宋体" w:cs="宋体"/>
                      <w:i/>
                      <w:iCs/>
                      <w:color w:val="auto"/>
                      <w:spacing w:val="-1"/>
                      <w:sz w:val="24"/>
                      <w:szCs w:val="24"/>
                      <w:highlight w:val="none"/>
                      <w:u w:val="single"/>
                    </w:rPr>
                    <w:t>DP、HDMI等</w:t>
                  </w:r>
                </w:p>
              </w:tc>
            </w:tr>
            <w:tr w14:paraId="06569A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jc w:val="center"/>
              </w:trPr>
              <w:tc>
                <w:tcPr>
                  <w:tcW w:w="719" w:type="dxa"/>
                  <w:shd w:val="clear" w:color="auto" w:fill="auto"/>
                  <w:noWrap w:val="0"/>
                  <w:vAlign w:val="center"/>
                </w:tcPr>
                <w:p w14:paraId="5C16CC7A">
                  <w:pPr>
                    <w:spacing w:before="277" w:line="237" w:lineRule="exact"/>
                    <w:ind w:left="24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28</w:t>
                  </w:r>
                </w:p>
              </w:tc>
              <w:tc>
                <w:tcPr>
                  <w:tcW w:w="1239" w:type="dxa"/>
                  <w:tcBorders>
                    <w:top w:val="nil"/>
                  </w:tcBorders>
                  <w:shd w:val="clear" w:color="auto" w:fill="auto"/>
                  <w:noWrap w:val="0"/>
                  <w:vAlign w:val="center"/>
                </w:tcPr>
                <w:p w14:paraId="41A775F6">
                  <w:pPr>
                    <w:spacing w:before="40" w:line="248" w:lineRule="auto"/>
                    <w:ind w:left="186" w:righ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接口</w:t>
                  </w:r>
                  <w:r>
                    <w:rPr>
                      <w:rFonts w:hint="eastAsia" w:ascii="宋体" w:hAnsi="宋体" w:eastAsia="宋体" w:cs="宋体"/>
                      <w:color w:val="auto"/>
                      <w:spacing w:val="-3"/>
                      <w:sz w:val="24"/>
                      <w:szCs w:val="24"/>
                      <w:highlight w:val="none"/>
                      <w:lang w:eastAsia="en-US"/>
                    </w:rPr>
                    <w:t>规格</w:t>
                  </w:r>
                </w:p>
              </w:tc>
              <w:tc>
                <w:tcPr>
                  <w:tcW w:w="1335" w:type="dxa"/>
                  <w:shd w:val="clear" w:color="auto" w:fill="auto"/>
                  <w:noWrap w:val="0"/>
                  <w:vAlign w:val="center"/>
                </w:tcPr>
                <w:p w14:paraId="45AE47C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USB 接口</w:t>
                  </w:r>
                </w:p>
              </w:tc>
              <w:tc>
                <w:tcPr>
                  <w:tcW w:w="4535" w:type="dxa"/>
                  <w:shd w:val="clear" w:color="auto" w:fill="auto"/>
                  <w:noWrap w:val="0"/>
                  <w:vAlign w:val="center"/>
                </w:tcPr>
                <w:p w14:paraId="217409D7">
                  <w:pPr>
                    <w:spacing w:before="165" w:line="248" w:lineRule="auto"/>
                    <w:ind w:left="112" w:right="123"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配备USB接口，如USB2.0、USB3.0</w:t>
                  </w:r>
                  <w:r>
                    <w:rPr>
                      <w:rFonts w:hint="eastAsia" w:ascii="宋体" w:hAnsi="宋体" w:eastAsia="宋体" w:cs="宋体"/>
                      <w:i/>
                      <w:iCs/>
                      <w:color w:val="auto"/>
                      <w:sz w:val="24"/>
                      <w:szCs w:val="24"/>
                      <w:highlight w:val="none"/>
                      <w:u w:val="single"/>
                      <w:lang w:eastAsia="en-US"/>
                    </w:rPr>
                    <w:t>等</w:t>
                  </w:r>
                </w:p>
              </w:tc>
            </w:tr>
            <w:tr w14:paraId="336B2F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6F84760A">
                  <w:pPr>
                    <w:spacing w:before="274" w:line="237" w:lineRule="exact"/>
                    <w:ind w:left="24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29</w:t>
                  </w:r>
                </w:p>
              </w:tc>
              <w:tc>
                <w:tcPr>
                  <w:tcW w:w="1239" w:type="dxa"/>
                  <w:vMerge w:val="restart"/>
                  <w:tcBorders>
                    <w:top w:val="nil"/>
                    <w:bottom w:val="nil"/>
                  </w:tcBorders>
                  <w:shd w:val="clear" w:color="auto" w:fill="auto"/>
                  <w:noWrap w:val="0"/>
                  <w:vAlign w:val="center"/>
                </w:tcPr>
                <w:p w14:paraId="25177F4C">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604251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特殊接口及孔位</w:t>
                  </w:r>
                </w:p>
              </w:tc>
              <w:tc>
                <w:tcPr>
                  <w:tcW w:w="4535" w:type="dxa"/>
                  <w:shd w:val="clear" w:color="auto" w:fill="auto"/>
                  <w:noWrap w:val="0"/>
                  <w:vAlign w:val="center"/>
                </w:tcPr>
                <w:p w14:paraId="2E61693B">
                  <w:pPr>
                    <w:spacing w:before="159" w:line="248" w:lineRule="auto"/>
                    <w:ind w:left="114" w:right="168" w:hanging="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前面板预留1个专用USB母座接口</w:t>
                  </w:r>
                  <w:r>
                    <w:rPr>
                      <w:rFonts w:hint="eastAsia" w:ascii="宋体" w:hAnsi="宋体" w:eastAsia="宋体" w:cs="宋体"/>
                      <w:i/>
                      <w:iCs/>
                      <w:color w:val="auto"/>
                      <w:spacing w:val="-5"/>
                      <w:sz w:val="24"/>
                      <w:szCs w:val="24"/>
                      <w:highlight w:val="none"/>
                      <w:u w:val="single"/>
                    </w:rPr>
                    <w:t>孔位</w:t>
                  </w:r>
                </w:p>
              </w:tc>
            </w:tr>
            <w:tr w14:paraId="50173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719" w:type="dxa"/>
                  <w:shd w:val="clear" w:color="auto" w:fill="auto"/>
                  <w:noWrap w:val="0"/>
                  <w:vAlign w:val="center"/>
                </w:tcPr>
                <w:p w14:paraId="630B572E">
                  <w:pPr>
                    <w:spacing w:before="58"/>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30</w:t>
                  </w:r>
                </w:p>
              </w:tc>
              <w:tc>
                <w:tcPr>
                  <w:tcW w:w="1239" w:type="dxa"/>
                  <w:vMerge w:val="continue"/>
                  <w:tcBorders>
                    <w:top w:val="nil"/>
                  </w:tcBorders>
                  <w:shd w:val="clear" w:color="auto" w:fill="auto"/>
                  <w:noWrap w:val="0"/>
                  <w:vAlign w:val="center"/>
                </w:tcPr>
                <w:p w14:paraId="421B4D41">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0DBA0E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其他接口</w:t>
                  </w:r>
                </w:p>
              </w:tc>
              <w:tc>
                <w:tcPr>
                  <w:tcW w:w="4535" w:type="dxa"/>
                  <w:shd w:val="clear" w:color="auto" w:fill="auto"/>
                  <w:noWrap w:val="0"/>
                  <w:vAlign w:val="center"/>
                </w:tcPr>
                <w:p w14:paraId="4E1CA46D">
                  <w:pPr>
                    <w:spacing w:before="41" w:line="244" w:lineRule="auto"/>
                    <w:ind w:left="113" w:right="103"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6"/>
                      <w:sz w:val="24"/>
                      <w:szCs w:val="24"/>
                      <w:highlight w:val="none"/>
                      <w:u w:val="single"/>
                    </w:rPr>
                    <w:t>a)串口数量不少于1个，并可实现</w:t>
                  </w:r>
                  <w:r>
                    <w:rPr>
                      <w:rFonts w:hint="eastAsia" w:ascii="宋体" w:hAnsi="宋体" w:eastAsia="宋体" w:cs="宋体"/>
                      <w:i/>
                      <w:iCs/>
                      <w:color w:val="auto"/>
                      <w:spacing w:val="-2"/>
                      <w:sz w:val="24"/>
                      <w:szCs w:val="24"/>
                      <w:highlight w:val="none"/>
                      <w:u w:val="single"/>
                    </w:rPr>
                    <w:t>GB/T 6107或GB/T 26803.2的相关</w:t>
                  </w:r>
                  <w:r>
                    <w:rPr>
                      <w:rFonts w:hint="eastAsia" w:ascii="宋体" w:hAnsi="宋体" w:eastAsia="宋体" w:cs="宋体"/>
                      <w:i/>
                      <w:iCs/>
                      <w:color w:val="auto"/>
                      <w:spacing w:val="-3"/>
                      <w:sz w:val="24"/>
                      <w:szCs w:val="24"/>
                      <w:highlight w:val="none"/>
                      <w:u w:val="single"/>
                    </w:rPr>
                    <w:t>功能；</w:t>
                  </w:r>
                </w:p>
                <w:p w14:paraId="4482EA93">
                  <w:pPr>
                    <w:spacing w:before="5" w:line="230" w:lineRule="auto"/>
                    <w:ind w:left="114"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b) 服务器主机前面板可根据用户</w:t>
                  </w:r>
                  <w:r>
                    <w:rPr>
                      <w:rFonts w:hint="eastAsia" w:ascii="宋体" w:hAnsi="宋体" w:eastAsia="宋体" w:cs="宋体"/>
                      <w:i/>
                      <w:iCs/>
                      <w:color w:val="auto"/>
                      <w:spacing w:val="-4"/>
                      <w:sz w:val="24"/>
                      <w:szCs w:val="24"/>
                      <w:highlight w:val="none"/>
                      <w:u w:val="single"/>
                    </w:rPr>
                    <w:t>实际使用需求预留1个专用USB母</w:t>
                  </w:r>
                  <w:r>
                    <w:rPr>
                      <w:rFonts w:hint="eastAsia" w:ascii="宋体" w:hAnsi="宋体" w:eastAsia="宋体" w:cs="宋体"/>
                      <w:i/>
                      <w:iCs/>
                      <w:color w:val="auto"/>
                      <w:spacing w:val="-2"/>
                      <w:sz w:val="24"/>
                      <w:szCs w:val="24"/>
                      <w:highlight w:val="none"/>
                      <w:u w:val="single"/>
                    </w:rPr>
                    <w:t>座接口孔位</w:t>
                  </w:r>
                </w:p>
              </w:tc>
            </w:tr>
            <w:tr w14:paraId="5F8E32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jc w:val="center"/>
              </w:trPr>
              <w:tc>
                <w:tcPr>
                  <w:tcW w:w="719" w:type="dxa"/>
                  <w:shd w:val="clear" w:color="auto" w:fill="auto"/>
                  <w:noWrap w:val="0"/>
                  <w:vAlign w:val="center"/>
                </w:tcPr>
                <w:p w14:paraId="49F38443">
                  <w:pPr>
                    <w:spacing w:before="58"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31</w:t>
                  </w:r>
                </w:p>
              </w:tc>
              <w:tc>
                <w:tcPr>
                  <w:tcW w:w="1239" w:type="dxa"/>
                  <w:vMerge w:val="restart"/>
                  <w:tcBorders>
                    <w:bottom w:val="nil"/>
                  </w:tcBorders>
                  <w:shd w:val="clear" w:color="auto" w:fill="auto"/>
                  <w:noWrap w:val="0"/>
                  <w:vAlign w:val="center"/>
                </w:tcPr>
                <w:p w14:paraId="010E0CFE">
                  <w:pPr>
                    <w:spacing w:before="59"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电源</w:t>
                  </w:r>
                  <w:r>
                    <w:rPr>
                      <w:rFonts w:hint="eastAsia" w:ascii="宋体" w:hAnsi="宋体" w:eastAsia="宋体" w:cs="宋体"/>
                      <w:color w:val="auto"/>
                      <w:spacing w:val="-3"/>
                      <w:sz w:val="24"/>
                      <w:szCs w:val="24"/>
                      <w:highlight w:val="none"/>
                      <w:lang w:eastAsia="en-US"/>
                    </w:rPr>
                    <w:t>规格</w:t>
                  </w:r>
                </w:p>
              </w:tc>
              <w:tc>
                <w:tcPr>
                  <w:tcW w:w="1335" w:type="dxa"/>
                  <w:shd w:val="clear" w:color="auto" w:fill="auto"/>
                  <w:noWrap w:val="0"/>
                  <w:vAlign w:val="center"/>
                </w:tcPr>
                <w:p w14:paraId="27AEFFD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电源冗余模式</w:t>
                  </w:r>
                </w:p>
              </w:tc>
              <w:tc>
                <w:tcPr>
                  <w:tcW w:w="4535" w:type="dxa"/>
                  <w:shd w:val="clear" w:color="auto" w:fill="auto"/>
                  <w:noWrap w:val="0"/>
                  <w:vAlign w:val="center"/>
                </w:tcPr>
                <w:p w14:paraId="159D6622">
                  <w:pPr>
                    <w:spacing w:before="58" w:line="248" w:lineRule="auto"/>
                    <w:ind w:left="115" w:right="168" w:hanging="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整机电源模块按1+1冗余或N+1冗</w:t>
                  </w:r>
                  <w:r>
                    <w:rPr>
                      <w:rFonts w:hint="eastAsia" w:ascii="宋体" w:hAnsi="宋体" w:eastAsia="宋体" w:cs="宋体"/>
                      <w:i/>
                      <w:iCs/>
                      <w:color w:val="auto"/>
                      <w:spacing w:val="-4"/>
                      <w:sz w:val="24"/>
                      <w:szCs w:val="24"/>
                      <w:highlight w:val="none"/>
                      <w:u w:val="single"/>
                    </w:rPr>
                    <w:t>余配置</w:t>
                  </w:r>
                </w:p>
              </w:tc>
            </w:tr>
            <w:tr w14:paraId="369C0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shd w:val="clear" w:color="auto" w:fill="auto"/>
                  <w:noWrap w:val="0"/>
                  <w:vAlign w:val="center"/>
                </w:tcPr>
                <w:p w14:paraId="6F0F6D97">
                  <w:pPr>
                    <w:spacing w:before="59"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32</w:t>
                  </w:r>
                </w:p>
              </w:tc>
              <w:tc>
                <w:tcPr>
                  <w:tcW w:w="1239" w:type="dxa"/>
                  <w:vMerge w:val="continue"/>
                  <w:tcBorders>
                    <w:top w:val="nil"/>
                    <w:bottom w:val="nil"/>
                  </w:tcBorders>
                  <w:shd w:val="clear" w:color="auto" w:fill="auto"/>
                  <w:noWrap w:val="0"/>
                  <w:vAlign w:val="center"/>
                </w:tcPr>
                <w:p w14:paraId="74C38522">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ED7DF9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电源模块数量</w:t>
                  </w:r>
                </w:p>
              </w:tc>
              <w:tc>
                <w:tcPr>
                  <w:tcW w:w="4535" w:type="dxa"/>
                  <w:shd w:val="clear" w:color="auto" w:fill="auto"/>
                  <w:noWrap w:val="0"/>
                  <w:vAlign w:val="center"/>
                </w:tcPr>
                <w:p w14:paraId="3FA72A1B">
                  <w:pPr>
                    <w:widowControl/>
                    <w:spacing w:line="341" w:lineRule="auto"/>
                    <w:rPr>
                      <w:rFonts w:hint="default" w:ascii="宋体" w:hAnsi="宋体" w:eastAsia="宋体" w:cs="宋体"/>
                      <w:i/>
                      <w:iCs/>
                      <w:color w:val="auto"/>
                      <w:sz w:val="24"/>
                      <w:szCs w:val="24"/>
                      <w:highlight w:val="none"/>
                      <w:u w:val="single"/>
                    </w:rPr>
                  </w:pPr>
                </w:p>
                <w:p w14:paraId="3214BB34">
                  <w:pPr>
                    <w:spacing w:before="58"/>
                    <w:ind w:left="131"/>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lang w:eastAsia="en-US"/>
                    </w:rPr>
                    <w:t>≥</w:t>
                  </w:r>
                  <w:r>
                    <w:rPr>
                      <w:rFonts w:hint="eastAsia" w:ascii="宋体" w:hAnsi="宋体" w:eastAsia="宋体" w:cs="宋体"/>
                      <w:i/>
                      <w:iCs/>
                      <w:color w:val="auto"/>
                      <w:spacing w:val="-13"/>
                      <w:sz w:val="24"/>
                      <w:szCs w:val="24"/>
                      <w:highlight w:val="none"/>
                      <w:u w:val="single"/>
                    </w:rPr>
                    <w:t>2</w:t>
                  </w:r>
                </w:p>
              </w:tc>
            </w:tr>
            <w:tr w14:paraId="3CBFD9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719" w:type="dxa"/>
                  <w:shd w:val="clear" w:color="auto" w:fill="auto"/>
                  <w:noWrap w:val="0"/>
                  <w:vAlign w:val="center"/>
                </w:tcPr>
                <w:p w14:paraId="774067EE">
                  <w:pPr>
                    <w:spacing w:before="58"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33</w:t>
                  </w:r>
                </w:p>
              </w:tc>
              <w:tc>
                <w:tcPr>
                  <w:tcW w:w="1239" w:type="dxa"/>
                  <w:vMerge w:val="continue"/>
                  <w:tcBorders>
                    <w:top w:val="nil"/>
                    <w:bottom w:val="nil"/>
                  </w:tcBorders>
                  <w:shd w:val="clear" w:color="auto" w:fill="auto"/>
                  <w:noWrap w:val="0"/>
                  <w:vAlign w:val="center"/>
                </w:tcPr>
                <w:p w14:paraId="15198115">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544477A">
                  <w:pPr>
                    <w:spacing w:before="58" w:line="221"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电源功率</w:t>
                  </w:r>
                </w:p>
              </w:tc>
              <w:tc>
                <w:tcPr>
                  <w:tcW w:w="4535" w:type="dxa"/>
                  <w:shd w:val="clear" w:color="auto" w:fill="auto"/>
                  <w:noWrap w:val="0"/>
                  <w:vAlign w:val="center"/>
                </w:tcPr>
                <w:p w14:paraId="5F90E1F1">
                  <w:pPr>
                    <w:spacing w:before="58" w:line="248" w:lineRule="auto"/>
                    <w:ind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电源模块功率应有一定冗余，满足</w:t>
                  </w:r>
                  <w:r>
                    <w:rPr>
                      <w:rFonts w:hint="eastAsia" w:ascii="宋体" w:hAnsi="宋体" w:eastAsia="宋体" w:cs="宋体"/>
                      <w:i/>
                      <w:iCs/>
                      <w:color w:val="auto"/>
                      <w:spacing w:val="-1"/>
                      <w:sz w:val="24"/>
                      <w:szCs w:val="24"/>
                      <w:highlight w:val="none"/>
                      <w:u w:val="single"/>
                    </w:rPr>
                    <w:t>处理器满载时的需求</w:t>
                  </w:r>
                </w:p>
              </w:tc>
            </w:tr>
            <w:tr w14:paraId="1A181C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7A8113BB">
                  <w:pPr>
                    <w:spacing w:before="274"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34</w:t>
                  </w:r>
                </w:p>
              </w:tc>
              <w:tc>
                <w:tcPr>
                  <w:tcW w:w="1239" w:type="dxa"/>
                  <w:vMerge w:val="continue"/>
                  <w:tcBorders>
                    <w:top w:val="nil"/>
                  </w:tcBorders>
                  <w:shd w:val="clear" w:color="auto" w:fill="auto"/>
                  <w:noWrap w:val="0"/>
                  <w:vAlign w:val="center"/>
                </w:tcPr>
                <w:p w14:paraId="2C716884">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371B4B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电源指示灯</w:t>
                  </w:r>
                </w:p>
              </w:tc>
              <w:tc>
                <w:tcPr>
                  <w:tcW w:w="4535" w:type="dxa"/>
                  <w:shd w:val="clear" w:color="auto" w:fill="auto"/>
                  <w:noWrap w:val="0"/>
                  <w:vAlign w:val="center"/>
                </w:tcPr>
                <w:p w14:paraId="175793F8">
                  <w:pPr>
                    <w:spacing w:before="161" w:line="248" w:lineRule="auto"/>
                    <w:ind w:left="116" w:right="168"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配备电源指示灯，指示待机、工作</w:t>
                  </w:r>
                  <w:r>
                    <w:rPr>
                      <w:rFonts w:hint="eastAsia" w:ascii="宋体" w:hAnsi="宋体" w:eastAsia="宋体" w:cs="宋体"/>
                      <w:i/>
                      <w:iCs/>
                      <w:color w:val="auto"/>
                      <w:spacing w:val="-3"/>
                      <w:sz w:val="24"/>
                      <w:szCs w:val="24"/>
                      <w:highlight w:val="none"/>
                      <w:u w:val="single"/>
                    </w:rPr>
                    <w:t>异常等状态</w:t>
                  </w:r>
                </w:p>
              </w:tc>
            </w:tr>
            <w:tr w14:paraId="1F905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1" w:hRule="atLeast"/>
                <w:jc w:val="center"/>
              </w:trPr>
              <w:tc>
                <w:tcPr>
                  <w:tcW w:w="719" w:type="dxa"/>
                  <w:shd w:val="clear" w:color="auto" w:fill="auto"/>
                  <w:noWrap w:val="0"/>
                  <w:vAlign w:val="center"/>
                </w:tcPr>
                <w:p w14:paraId="069421A7">
                  <w:pPr>
                    <w:spacing w:before="59"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35</w:t>
                  </w:r>
                </w:p>
              </w:tc>
              <w:tc>
                <w:tcPr>
                  <w:tcW w:w="1239" w:type="dxa"/>
                  <w:shd w:val="clear" w:color="auto" w:fill="auto"/>
                  <w:noWrap w:val="0"/>
                  <w:vAlign w:val="center"/>
                </w:tcPr>
                <w:p w14:paraId="122FF73C">
                  <w:pPr>
                    <w:spacing w:before="58"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整机</w:t>
                  </w:r>
                  <w:r>
                    <w:rPr>
                      <w:rFonts w:hint="eastAsia" w:ascii="宋体" w:hAnsi="宋体" w:eastAsia="宋体" w:cs="宋体"/>
                      <w:color w:val="auto"/>
                      <w:spacing w:val="-3"/>
                      <w:sz w:val="24"/>
                      <w:szCs w:val="24"/>
                      <w:highlight w:val="none"/>
                      <w:lang w:eastAsia="en-US"/>
                    </w:rPr>
                    <w:t>规格</w:t>
                  </w:r>
                </w:p>
              </w:tc>
              <w:tc>
                <w:tcPr>
                  <w:tcW w:w="1335" w:type="dxa"/>
                  <w:shd w:val="clear" w:color="auto" w:fill="auto"/>
                  <w:noWrap w:val="0"/>
                  <w:vAlign w:val="center"/>
                </w:tcPr>
                <w:p w14:paraId="3AC44382">
                  <w:pPr>
                    <w:spacing w:before="58" w:line="250" w:lineRule="auto"/>
                    <w:ind w:right="12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外观和结构</w:t>
                  </w:r>
                </w:p>
              </w:tc>
              <w:tc>
                <w:tcPr>
                  <w:tcW w:w="4535" w:type="dxa"/>
                  <w:shd w:val="clear" w:color="auto" w:fill="auto"/>
                  <w:noWrap w:val="0"/>
                  <w:vAlign w:val="center"/>
                </w:tcPr>
                <w:p w14:paraId="3EDC35C9">
                  <w:pPr>
                    <w:spacing w:before="40" w:line="245" w:lineRule="auto"/>
                    <w:ind w:left="112" w:right="168"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a)服务器的零部件应紧固无松动，可插拔部件应可靠连接，开关、按钮和其它控制部件应灵活可靠，布局应方便使用；</w:t>
                  </w:r>
                </w:p>
                <w:p w14:paraId="6AB0F51B">
                  <w:pPr>
                    <w:spacing w:before="5" w:line="245" w:lineRule="auto"/>
                    <w:ind w:left="112" w:right="103"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b) 产品表面不应有明显的凹痕、划</w:t>
                  </w:r>
                  <w:r>
                    <w:rPr>
                      <w:rFonts w:hint="eastAsia" w:ascii="宋体" w:hAnsi="宋体" w:eastAsia="宋体" w:cs="宋体"/>
                      <w:i/>
                      <w:iCs/>
                      <w:color w:val="auto"/>
                      <w:spacing w:val="-1"/>
                      <w:sz w:val="24"/>
                      <w:szCs w:val="24"/>
                      <w:highlight w:val="none"/>
                      <w:u w:val="single"/>
                    </w:rPr>
                    <w:t>伤、裂缝、变形和污染等。表面涂层均匀，不应起泡、龟裂、脱落和磨损，金属零部件无锈蚀及其它机</w:t>
                  </w:r>
                  <w:r>
                    <w:rPr>
                      <w:rFonts w:hint="eastAsia" w:ascii="宋体" w:hAnsi="宋体" w:eastAsia="宋体" w:cs="宋体"/>
                      <w:i/>
                      <w:iCs/>
                      <w:color w:val="auto"/>
                      <w:spacing w:val="-2"/>
                      <w:sz w:val="24"/>
                      <w:szCs w:val="24"/>
                      <w:highlight w:val="none"/>
                      <w:u w:val="single"/>
                    </w:rPr>
                    <w:t>械损伤；</w:t>
                  </w:r>
                </w:p>
                <w:p w14:paraId="31493916">
                  <w:pPr>
                    <w:spacing w:before="6" w:line="243" w:lineRule="auto"/>
                    <w:ind w:left="114" w:right="103" w:hanging="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c) 产品表面说明功能的文字、符号</w:t>
                  </w:r>
                  <w:r>
                    <w:rPr>
                      <w:rFonts w:hint="eastAsia" w:ascii="宋体" w:hAnsi="宋体" w:eastAsia="宋体" w:cs="宋体"/>
                      <w:i/>
                      <w:iCs/>
                      <w:color w:val="auto"/>
                      <w:spacing w:val="-1"/>
                      <w:sz w:val="24"/>
                      <w:szCs w:val="24"/>
                      <w:highlight w:val="none"/>
                      <w:u w:val="single"/>
                    </w:rPr>
                    <w:t>和标志应清晰、端正且牢固；</w:t>
                  </w:r>
                </w:p>
                <w:p w14:paraId="725B4B02">
                  <w:pPr>
                    <w:spacing w:before="6" w:line="244" w:lineRule="auto"/>
                    <w:ind w:left="113"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d) 应在服务器的显著位置提供运行状态的指示功能，并在随机文件中明确具体含义；</w:t>
                  </w:r>
                </w:p>
                <w:p w14:paraId="2CFBCB70">
                  <w:pPr>
                    <w:spacing w:before="6" w:line="245" w:lineRule="auto"/>
                    <w:ind w:left="110" w:right="57" w:firstLine="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e) 机架、机箱的尺寸应符合通用机</w:t>
                  </w:r>
                  <w:r>
                    <w:rPr>
                      <w:rFonts w:hint="eastAsia" w:ascii="宋体" w:hAnsi="宋体" w:eastAsia="宋体" w:cs="宋体"/>
                      <w:i/>
                      <w:iCs/>
                      <w:color w:val="auto"/>
                      <w:spacing w:val="-1"/>
                      <w:sz w:val="24"/>
                      <w:szCs w:val="24"/>
                      <w:highlight w:val="none"/>
                      <w:u w:val="single"/>
                    </w:rPr>
                    <w:t>柜的安装要求，插入总线插座的电路板接口外形尺寸应符合有关总线</w:t>
                  </w:r>
                  <w:r>
                    <w:rPr>
                      <w:rFonts w:hint="eastAsia" w:ascii="宋体" w:hAnsi="宋体" w:eastAsia="宋体" w:cs="宋体"/>
                      <w:i/>
                      <w:iCs/>
                      <w:color w:val="auto"/>
                      <w:spacing w:val="-5"/>
                      <w:sz w:val="24"/>
                      <w:szCs w:val="24"/>
                      <w:highlight w:val="none"/>
                      <w:u w:val="single"/>
                    </w:rPr>
                    <w:t>标准的规定，将机箱固定在机柜上，</w:t>
                  </w:r>
                  <w:r>
                    <w:rPr>
                      <w:rFonts w:hint="eastAsia" w:ascii="宋体" w:hAnsi="宋体" w:eastAsia="宋体" w:cs="宋体"/>
                      <w:i/>
                      <w:iCs/>
                      <w:color w:val="auto"/>
                      <w:spacing w:val="-1"/>
                      <w:sz w:val="24"/>
                      <w:szCs w:val="24"/>
                      <w:highlight w:val="none"/>
                      <w:u w:val="single"/>
                    </w:rPr>
                    <w:t>机箱底面最大下垂变形不得干涉相邻机体；</w:t>
                  </w:r>
                </w:p>
                <w:p w14:paraId="7CD9CBE4">
                  <w:pPr>
                    <w:spacing w:before="6" w:line="245" w:lineRule="auto"/>
                    <w:ind w:left="110" w:right="57" w:firstLine="3"/>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f) 高密度服务器应给出 CPU 个数与机柜高度；</w:t>
                  </w:r>
                </w:p>
                <w:p w14:paraId="359D17C2">
                  <w:pPr>
                    <w:spacing w:before="6" w:line="245" w:lineRule="auto"/>
                    <w:ind w:left="110" w:right="57" w:firstLine="3"/>
                    <w:rPr>
                      <w:rFonts w:hint="default" w:ascii="宋体" w:hAnsi="宋体" w:eastAsia="宋体" w:cs="宋体"/>
                      <w:i/>
                      <w:iCs/>
                      <w:color w:val="auto"/>
                      <w:spacing w:val="-2"/>
                      <w:sz w:val="24"/>
                      <w:szCs w:val="24"/>
                      <w:highlight w:val="none"/>
                      <w:u w:val="single"/>
                    </w:rPr>
                  </w:pPr>
                  <w:r>
                    <w:rPr>
                      <w:rFonts w:hint="eastAsia" w:ascii="宋体" w:hAnsi="宋体" w:eastAsia="宋体" w:cs="宋体"/>
                      <w:i/>
                      <w:iCs/>
                      <w:color w:val="auto"/>
                      <w:spacing w:val="-2"/>
                      <w:sz w:val="24"/>
                      <w:szCs w:val="24"/>
                      <w:highlight w:val="none"/>
                      <w:u w:val="single"/>
                    </w:rPr>
                    <w:t>g) 服务器尺寸具体要求在随机文件中明确</w:t>
                  </w:r>
                </w:p>
                <w:p w14:paraId="6C155220">
                  <w:pPr>
                    <w:spacing w:before="5" w:line="200" w:lineRule="auto"/>
                    <w:rPr>
                      <w:rFonts w:hint="default" w:ascii="宋体" w:hAnsi="宋体" w:eastAsia="宋体" w:cs="宋体"/>
                      <w:i/>
                      <w:iCs/>
                      <w:color w:val="auto"/>
                      <w:sz w:val="24"/>
                      <w:szCs w:val="24"/>
                      <w:highlight w:val="none"/>
                      <w:u w:val="single"/>
                    </w:rPr>
                  </w:pPr>
                </w:p>
              </w:tc>
            </w:tr>
            <w:tr w14:paraId="4A56FE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1D882A7C">
                  <w:pPr>
                    <w:spacing w:before="58"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36</w:t>
                  </w:r>
                </w:p>
              </w:tc>
              <w:tc>
                <w:tcPr>
                  <w:tcW w:w="1239" w:type="dxa"/>
                  <w:vMerge w:val="restart"/>
                  <w:tcBorders>
                    <w:top w:val="nil"/>
                  </w:tcBorders>
                  <w:shd w:val="clear" w:color="auto" w:fill="auto"/>
                  <w:noWrap w:val="0"/>
                  <w:vAlign w:val="center"/>
                </w:tcPr>
                <w:p w14:paraId="6780D6B9">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A5B330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尺寸（高×宽×深）</w:t>
                  </w:r>
                </w:p>
              </w:tc>
              <w:tc>
                <w:tcPr>
                  <w:tcW w:w="4535" w:type="dxa"/>
                  <w:shd w:val="clear" w:color="auto" w:fill="auto"/>
                  <w:noWrap w:val="0"/>
                  <w:vAlign w:val="center"/>
                </w:tcPr>
                <w:p w14:paraId="52E70F0C">
                  <w:pPr>
                    <w:spacing w:before="6" w:line="245" w:lineRule="auto"/>
                    <w:ind w:left="110" w:right="57" w:firstLine="3"/>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2U标准尺寸</w:t>
                  </w:r>
                </w:p>
                <w:p w14:paraId="72BE7A5B">
                  <w:pPr>
                    <w:spacing w:before="6" w:line="245" w:lineRule="auto"/>
                    <w:ind w:left="110" w:right="57" w:firstLine="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设计应遵循标准化、系列化的要求；机箱的内部结构符合通用部件的安</w:t>
                  </w:r>
                  <w:r>
                    <w:rPr>
                      <w:rFonts w:hint="eastAsia" w:ascii="宋体" w:hAnsi="宋体" w:eastAsia="宋体" w:cs="宋体"/>
                      <w:i/>
                      <w:iCs/>
                      <w:color w:val="auto"/>
                      <w:spacing w:val="-2"/>
                      <w:sz w:val="24"/>
                      <w:szCs w:val="24"/>
                      <w:highlight w:val="none"/>
                      <w:u w:val="single"/>
                    </w:rPr>
                    <w:t>装需要</w:t>
                  </w:r>
                </w:p>
              </w:tc>
            </w:tr>
            <w:tr w14:paraId="70C4E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4E555E22">
                  <w:pPr>
                    <w:spacing w:before="153" w:line="238"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37</w:t>
                  </w:r>
                </w:p>
              </w:tc>
              <w:tc>
                <w:tcPr>
                  <w:tcW w:w="1239" w:type="dxa"/>
                  <w:vMerge w:val="continue"/>
                  <w:tcBorders>
                    <w:top w:val="nil"/>
                    <w:bottom w:val="nil"/>
                  </w:tcBorders>
                  <w:shd w:val="clear" w:color="auto" w:fill="auto"/>
                  <w:noWrap w:val="0"/>
                  <w:vAlign w:val="center"/>
                </w:tcPr>
                <w:p w14:paraId="382636F2">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A0518A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服务器导轨</w:t>
                  </w:r>
                </w:p>
              </w:tc>
              <w:tc>
                <w:tcPr>
                  <w:tcW w:w="4535" w:type="dxa"/>
                  <w:shd w:val="clear" w:color="auto" w:fill="auto"/>
                  <w:noWrap w:val="0"/>
                  <w:vAlign w:val="center"/>
                </w:tcPr>
                <w:p w14:paraId="3DEC3A00">
                  <w:pPr>
                    <w:spacing w:before="42" w:line="222" w:lineRule="auto"/>
                    <w:ind w:left="113"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19英寸标准，L型固定支架安装</w:t>
                  </w:r>
                </w:p>
              </w:tc>
            </w:tr>
            <w:tr w14:paraId="467FC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3FADA243">
                  <w:pPr>
                    <w:spacing w:before="58"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38</w:t>
                  </w:r>
                </w:p>
              </w:tc>
              <w:tc>
                <w:tcPr>
                  <w:tcW w:w="1239" w:type="dxa"/>
                  <w:vMerge w:val="continue"/>
                  <w:tcBorders>
                    <w:top w:val="nil"/>
                    <w:bottom w:val="nil"/>
                  </w:tcBorders>
                  <w:shd w:val="clear" w:color="auto" w:fill="auto"/>
                  <w:noWrap w:val="0"/>
                  <w:vAlign w:val="center"/>
                </w:tcPr>
                <w:p w14:paraId="40F33D6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1BBADAD">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CPU 个数与机柜高度单位(U)比</w:t>
                  </w:r>
                </w:p>
              </w:tc>
              <w:tc>
                <w:tcPr>
                  <w:tcW w:w="4535" w:type="dxa"/>
                  <w:shd w:val="clear" w:color="auto" w:fill="auto"/>
                  <w:noWrap w:val="0"/>
                  <w:vAlign w:val="center"/>
                </w:tcPr>
                <w:p w14:paraId="2A4EEE33">
                  <w:pPr>
                    <w:widowControl/>
                    <w:spacing w:line="339" w:lineRule="auto"/>
                    <w:rPr>
                      <w:rFonts w:hint="default" w:ascii="宋体" w:hAnsi="宋体" w:eastAsia="宋体" w:cs="宋体"/>
                      <w:i/>
                      <w:iCs/>
                      <w:color w:val="auto"/>
                      <w:sz w:val="24"/>
                      <w:szCs w:val="24"/>
                      <w:highlight w:val="none"/>
                      <w:u w:val="single"/>
                    </w:rPr>
                  </w:pPr>
                </w:p>
                <w:p w14:paraId="7D875CA8">
                  <w:pPr>
                    <w:spacing w:before="59" w:line="222" w:lineRule="auto"/>
                    <w:ind w:left="11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1*</w:t>
                  </w:r>
                  <w:r>
                    <w:rPr>
                      <w:rFonts w:hint="eastAsia" w:ascii="宋体" w:hAnsi="宋体" w:eastAsia="宋体" w:cs="宋体"/>
                      <w:i/>
                      <w:iCs/>
                      <w:color w:val="auto"/>
                      <w:sz w:val="24"/>
                      <w:szCs w:val="24"/>
                      <w:highlight w:val="none"/>
                      <w:u w:val="single"/>
                    </w:rPr>
                    <w:t>CPU</w:t>
                  </w:r>
                  <w:r>
                    <w:rPr>
                      <w:rFonts w:hint="eastAsia" w:ascii="宋体" w:hAnsi="宋体" w:eastAsia="宋体" w:cs="宋体"/>
                      <w:i/>
                      <w:iCs/>
                      <w:color w:val="auto"/>
                      <w:spacing w:val="2"/>
                      <w:sz w:val="24"/>
                      <w:szCs w:val="24"/>
                      <w:highlight w:val="none"/>
                      <w:u w:val="single"/>
                    </w:rPr>
                    <w:t>个数与机柜高度（42U）</w:t>
                  </w:r>
                </w:p>
              </w:tc>
            </w:tr>
            <w:tr w14:paraId="761B31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shd w:val="clear" w:color="auto" w:fill="auto"/>
                  <w:noWrap w:val="0"/>
                  <w:vAlign w:val="center"/>
                </w:tcPr>
                <w:p w14:paraId="26DC1EEE">
                  <w:pPr>
                    <w:spacing w:before="58"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39</w:t>
                  </w:r>
                </w:p>
              </w:tc>
              <w:tc>
                <w:tcPr>
                  <w:tcW w:w="1239" w:type="dxa"/>
                  <w:vMerge w:val="continue"/>
                  <w:tcBorders>
                    <w:top w:val="nil"/>
                    <w:bottom w:val="nil"/>
                  </w:tcBorders>
                  <w:shd w:val="clear" w:color="auto" w:fill="auto"/>
                  <w:noWrap w:val="0"/>
                  <w:vAlign w:val="center"/>
                </w:tcPr>
                <w:p w14:paraId="5682F5F0">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2870B3B">
                  <w:pPr>
                    <w:spacing w:before="59" w:line="248" w:lineRule="auto"/>
                    <w:ind w:left="110" w:right="123" w:hanging="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环境适应性</w:t>
                  </w:r>
                </w:p>
              </w:tc>
              <w:tc>
                <w:tcPr>
                  <w:tcW w:w="4535" w:type="dxa"/>
                  <w:shd w:val="clear" w:color="auto" w:fill="auto"/>
                  <w:noWrap w:val="0"/>
                  <w:vAlign w:val="center"/>
                </w:tcPr>
                <w:p w14:paraId="5020CC55">
                  <w:pPr>
                    <w:spacing w:before="40" w:line="222" w:lineRule="auto"/>
                    <w:ind w:left="11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气候环境适应性应符合</w:t>
                  </w:r>
                  <w:r>
                    <w:rPr>
                      <w:rFonts w:hint="eastAsia" w:ascii="宋体" w:hAnsi="宋体" w:eastAsia="宋体" w:cs="宋体"/>
                      <w:i/>
                      <w:iCs/>
                      <w:color w:val="auto"/>
                      <w:sz w:val="24"/>
                      <w:szCs w:val="24"/>
                      <w:highlight w:val="none"/>
                      <w:u w:val="single"/>
                    </w:rPr>
                    <w:t>GB</w:t>
                  </w:r>
                  <w:r>
                    <w:rPr>
                      <w:rFonts w:hint="eastAsia" w:ascii="宋体" w:hAnsi="宋体" w:eastAsia="宋体" w:cs="宋体"/>
                      <w:i/>
                      <w:iCs/>
                      <w:color w:val="auto"/>
                      <w:spacing w:val="2"/>
                      <w:sz w:val="24"/>
                      <w:szCs w:val="24"/>
                      <w:highlight w:val="none"/>
                      <w:u w:val="single"/>
                    </w:rPr>
                    <w:t>/T</w:t>
                  </w:r>
                </w:p>
                <w:p w14:paraId="6378326B">
                  <w:pPr>
                    <w:spacing w:before="26" w:line="236" w:lineRule="auto"/>
                    <w:ind w:left="110" w:right="103"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9813.3的有关规定，工作温度10~</w:t>
                  </w:r>
                  <w:r>
                    <w:rPr>
                      <w:rFonts w:hint="eastAsia" w:ascii="宋体" w:hAnsi="宋体" w:eastAsia="宋体" w:cs="宋体"/>
                      <w:i/>
                      <w:iCs/>
                      <w:color w:val="auto"/>
                      <w:spacing w:val="-5"/>
                      <w:sz w:val="24"/>
                      <w:szCs w:val="24"/>
                      <w:highlight w:val="none"/>
                      <w:u w:val="single"/>
                    </w:rPr>
                    <w:t>35℃,贮存运输温度-40～55℃；工</w:t>
                  </w:r>
                  <w:r>
                    <w:rPr>
                      <w:rFonts w:hint="eastAsia" w:ascii="宋体" w:hAnsi="宋体" w:eastAsia="宋体" w:cs="宋体"/>
                      <w:i/>
                      <w:iCs/>
                      <w:color w:val="auto"/>
                      <w:spacing w:val="2"/>
                      <w:sz w:val="24"/>
                      <w:szCs w:val="24"/>
                      <w:highlight w:val="none"/>
                      <w:u w:val="single"/>
                    </w:rPr>
                    <w:t>作相对湿度35%～80%，贮存运输相</w:t>
                  </w:r>
                  <w:r>
                    <w:rPr>
                      <w:rFonts w:hint="eastAsia" w:ascii="宋体" w:hAnsi="宋体" w:eastAsia="宋体" w:cs="宋体"/>
                      <w:i/>
                      <w:iCs/>
                      <w:color w:val="auto"/>
                      <w:spacing w:val="-4"/>
                      <w:sz w:val="24"/>
                      <w:szCs w:val="24"/>
                      <w:highlight w:val="none"/>
                      <w:u w:val="single"/>
                    </w:rPr>
                    <w:t>对湿度20％～93%（40℃) ；大气压</w:t>
                  </w:r>
                  <w:r>
                    <w:rPr>
                      <w:rFonts w:hint="eastAsia" w:ascii="宋体" w:hAnsi="宋体" w:eastAsia="宋体" w:cs="宋体"/>
                      <w:i/>
                      <w:iCs/>
                      <w:color w:val="auto"/>
                      <w:spacing w:val="-1"/>
                      <w:sz w:val="24"/>
                      <w:szCs w:val="24"/>
                      <w:highlight w:val="none"/>
                      <w:u w:val="single"/>
                    </w:rPr>
                    <w:t>86～106kPa</w:t>
                  </w:r>
                </w:p>
              </w:tc>
            </w:tr>
            <w:tr w14:paraId="1357B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shd w:val="clear" w:color="auto" w:fill="auto"/>
                  <w:noWrap w:val="0"/>
                  <w:vAlign w:val="center"/>
                </w:tcPr>
                <w:p w14:paraId="25E9EC45">
                  <w:pPr>
                    <w:spacing w:before="59"/>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40</w:t>
                  </w:r>
                </w:p>
              </w:tc>
              <w:tc>
                <w:tcPr>
                  <w:tcW w:w="1239" w:type="dxa"/>
                  <w:vMerge w:val="continue"/>
                  <w:tcBorders>
                    <w:top w:val="nil"/>
                    <w:bottom w:val="nil"/>
                  </w:tcBorders>
                  <w:shd w:val="clear" w:color="auto" w:fill="auto"/>
                  <w:noWrap w:val="0"/>
                  <w:vAlign w:val="center"/>
                </w:tcPr>
                <w:p w14:paraId="43033FC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4368823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特殊机型</w:t>
                  </w:r>
                </w:p>
                <w:p w14:paraId="31520E0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环境适应性</w:t>
                  </w:r>
                </w:p>
              </w:tc>
              <w:tc>
                <w:tcPr>
                  <w:tcW w:w="4535" w:type="dxa"/>
                  <w:shd w:val="clear" w:color="auto" w:fill="auto"/>
                  <w:noWrap w:val="0"/>
                  <w:vAlign w:val="center"/>
                </w:tcPr>
                <w:p w14:paraId="3A2C0546">
                  <w:pPr>
                    <w:spacing w:before="42" w:line="234" w:lineRule="auto"/>
                    <w:ind w:left="113" w:right="10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边缘应用服务器，工作环境温度宜</w:t>
                  </w:r>
                  <w:r>
                    <w:rPr>
                      <w:rFonts w:hint="eastAsia" w:ascii="宋体" w:hAnsi="宋体" w:eastAsia="宋体" w:cs="宋体"/>
                      <w:i/>
                      <w:iCs/>
                      <w:color w:val="auto"/>
                      <w:spacing w:val="-5"/>
                      <w:sz w:val="24"/>
                      <w:szCs w:val="24"/>
                      <w:highlight w:val="none"/>
                      <w:u w:val="single"/>
                    </w:rPr>
                    <w:t>为0～45℃,短期工作可承受环境温度宜为-5～55℃,液冷服务器贮存</w:t>
                  </w:r>
                  <w:r>
                    <w:rPr>
                      <w:rFonts w:hint="eastAsia" w:ascii="宋体" w:hAnsi="宋体" w:eastAsia="宋体" w:cs="宋体"/>
                      <w:i/>
                      <w:iCs/>
                      <w:color w:val="auto"/>
                      <w:spacing w:val="-1"/>
                      <w:sz w:val="24"/>
                      <w:szCs w:val="24"/>
                      <w:highlight w:val="none"/>
                      <w:u w:val="single"/>
                    </w:rPr>
                    <w:t>运输温度宜为-30～55℃</w:t>
                  </w:r>
                </w:p>
              </w:tc>
            </w:tr>
            <w:tr w14:paraId="0261F7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42B67AE1">
                  <w:pPr>
                    <w:spacing w:before="154" w:line="239"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41</w:t>
                  </w:r>
                </w:p>
              </w:tc>
              <w:tc>
                <w:tcPr>
                  <w:tcW w:w="1239" w:type="dxa"/>
                  <w:vMerge w:val="continue"/>
                  <w:tcBorders>
                    <w:top w:val="nil"/>
                    <w:bottom w:val="nil"/>
                  </w:tcBorders>
                  <w:shd w:val="clear" w:color="auto" w:fill="auto"/>
                  <w:noWrap w:val="0"/>
                  <w:vAlign w:val="center"/>
                </w:tcPr>
                <w:p w14:paraId="608665A7">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C377A6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机械环境适应性</w:t>
                  </w:r>
                </w:p>
              </w:tc>
              <w:tc>
                <w:tcPr>
                  <w:tcW w:w="4535" w:type="dxa"/>
                  <w:shd w:val="clear" w:color="auto" w:fill="auto"/>
                  <w:noWrap w:val="0"/>
                  <w:vAlign w:val="center"/>
                </w:tcPr>
                <w:p w14:paraId="706CC60A">
                  <w:pPr>
                    <w:spacing w:before="42" w:line="222" w:lineRule="auto"/>
                    <w:ind w:left="108" w:right="666" w:firstLine="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机械环境适应性应符合</w:t>
                  </w:r>
                  <w:r>
                    <w:rPr>
                      <w:rFonts w:hint="eastAsia" w:ascii="宋体" w:hAnsi="宋体" w:eastAsia="宋体" w:cs="宋体"/>
                      <w:i/>
                      <w:iCs/>
                      <w:color w:val="auto"/>
                      <w:sz w:val="24"/>
                      <w:szCs w:val="24"/>
                      <w:highlight w:val="none"/>
                      <w:u w:val="single"/>
                    </w:rPr>
                    <w:t>GB</w:t>
                  </w:r>
                  <w:r>
                    <w:rPr>
                      <w:rFonts w:hint="eastAsia" w:ascii="宋体" w:hAnsi="宋体" w:eastAsia="宋体" w:cs="宋体"/>
                      <w:i/>
                      <w:iCs/>
                      <w:color w:val="auto"/>
                      <w:spacing w:val="3"/>
                      <w:sz w:val="24"/>
                      <w:szCs w:val="24"/>
                      <w:highlight w:val="none"/>
                      <w:u w:val="single"/>
                    </w:rPr>
                    <w:t>/T</w:t>
                  </w:r>
                  <w:r>
                    <w:rPr>
                      <w:rFonts w:hint="eastAsia" w:ascii="宋体" w:hAnsi="宋体" w:eastAsia="宋体" w:cs="宋体"/>
                      <w:i/>
                      <w:iCs/>
                      <w:color w:val="auto"/>
                      <w:spacing w:val="-2"/>
                      <w:sz w:val="24"/>
                      <w:szCs w:val="24"/>
                      <w:highlight w:val="none"/>
                      <w:u w:val="single"/>
                    </w:rPr>
                    <w:t>9813.3的有关规定</w:t>
                  </w:r>
                </w:p>
              </w:tc>
            </w:tr>
            <w:tr w14:paraId="2EF6C4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shd w:val="clear" w:color="auto" w:fill="auto"/>
                  <w:noWrap w:val="0"/>
                  <w:vAlign w:val="center"/>
                </w:tcPr>
                <w:p w14:paraId="60D3DFCB">
                  <w:pPr>
                    <w:spacing w:before="59" w:line="239"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42</w:t>
                  </w:r>
                </w:p>
              </w:tc>
              <w:tc>
                <w:tcPr>
                  <w:tcW w:w="1239" w:type="dxa"/>
                  <w:vMerge w:val="continue"/>
                  <w:tcBorders>
                    <w:top w:val="nil"/>
                  </w:tcBorders>
                  <w:shd w:val="clear" w:color="auto" w:fill="auto"/>
                  <w:noWrap w:val="0"/>
                  <w:vAlign w:val="center"/>
                </w:tcPr>
                <w:p w14:paraId="7D2E5DAC">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F53E6F5">
                  <w:pPr>
                    <w:spacing w:before="59"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噪声</w:t>
                  </w:r>
                </w:p>
              </w:tc>
              <w:tc>
                <w:tcPr>
                  <w:tcW w:w="4535" w:type="dxa"/>
                  <w:shd w:val="clear" w:color="auto" w:fill="auto"/>
                  <w:noWrap w:val="0"/>
                  <w:vAlign w:val="center"/>
                </w:tcPr>
                <w:p w14:paraId="167DC9CC">
                  <w:pPr>
                    <w:spacing w:before="41" w:line="246" w:lineRule="auto"/>
                    <w:ind w:left="112"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符合GB/T 9813.3的有关规定，在</w:t>
                  </w:r>
                  <w:r>
                    <w:rPr>
                      <w:rFonts w:hint="eastAsia" w:ascii="宋体" w:hAnsi="宋体" w:eastAsia="宋体" w:cs="宋体"/>
                      <w:i/>
                      <w:iCs/>
                      <w:color w:val="auto"/>
                      <w:spacing w:val="-1"/>
                      <w:sz w:val="24"/>
                      <w:szCs w:val="24"/>
                      <w:highlight w:val="none"/>
                      <w:u w:val="single"/>
                    </w:rPr>
                    <w:t>产品说明中给出具体测试值</w:t>
                  </w:r>
                </w:p>
                <w:p w14:paraId="58EA0DD2">
                  <w:pPr>
                    <w:spacing w:line="222" w:lineRule="auto"/>
                    <w:ind w:left="114" w:right="168" w:hanging="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塔式服务器噪声在空闲状态下不大</w:t>
                  </w:r>
                  <w:r>
                    <w:rPr>
                      <w:rFonts w:hint="eastAsia" w:ascii="宋体" w:hAnsi="宋体" w:eastAsia="宋体" w:cs="宋体"/>
                      <w:i/>
                      <w:iCs/>
                      <w:color w:val="auto"/>
                      <w:spacing w:val="-3"/>
                      <w:sz w:val="24"/>
                      <w:szCs w:val="24"/>
                      <w:highlight w:val="none"/>
                      <w:u w:val="single"/>
                    </w:rPr>
                    <w:t>于50dB</w:t>
                  </w:r>
                </w:p>
              </w:tc>
            </w:tr>
            <w:tr w14:paraId="403404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jc w:val="center"/>
              </w:trPr>
              <w:tc>
                <w:tcPr>
                  <w:tcW w:w="719" w:type="dxa"/>
                  <w:shd w:val="clear" w:color="auto" w:fill="auto"/>
                  <w:noWrap w:val="0"/>
                  <w:vAlign w:val="center"/>
                </w:tcPr>
                <w:p w14:paraId="161DFB1C">
                  <w:pPr>
                    <w:spacing w:before="58"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43</w:t>
                  </w:r>
                </w:p>
              </w:tc>
              <w:tc>
                <w:tcPr>
                  <w:tcW w:w="1239" w:type="dxa"/>
                  <w:vMerge w:val="restart"/>
                  <w:tcBorders>
                    <w:bottom w:val="nil"/>
                  </w:tcBorders>
                  <w:shd w:val="clear" w:color="auto" w:fill="auto"/>
                  <w:noWrap w:val="0"/>
                  <w:vAlign w:val="center"/>
                </w:tcPr>
                <w:p w14:paraId="77D2E47A">
                  <w:pPr>
                    <w:spacing w:before="23" w:line="223" w:lineRule="auto"/>
                    <w:ind w:left="192"/>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AI计</w:t>
                  </w:r>
                  <w:r>
                    <w:rPr>
                      <w:rFonts w:hint="eastAsia" w:ascii="宋体" w:hAnsi="宋体" w:eastAsia="宋体" w:cs="宋体"/>
                      <w:color w:val="auto"/>
                      <w:spacing w:val="-4"/>
                      <w:sz w:val="24"/>
                      <w:szCs w:val="24"/>
                      <w:highlight w:val="none"/>
                      <w:lang w:eastAsia="en-US"/>
                    </w:rPr>
                    <w:t>算单</w:t>
                  </w:r>
                  <w:r>
                    <w:rPr>
                      <w:rFonts w:hint="eastAsia" w:ascii="宋体" w:hAnsi="宋体" w:eastAsia="宋体" w:cs="宋体"/>
                      <w:color w:val="auto"/>
                      <w:spacing w:val="-6"/>
                      <w:sz w:val="24"/>
                      <w:szCs w:val="24"/>
                      <w:highlight w:val="none"/>
                      <w:lang w:eastAsia="en-US"/>
                    </w:rPr>
                    <w:t>元规</w:t>
                  </w:r>
                  <w:r>
                    <w:rPr>
                      <w:rFonts w:hint="eastAsia" w:ascii="宋体" w:hAnsi="宋体" w:eastAsia="宋体" w:cs="宋体"/>
                      <w:color w:val="auto"/>
                      <w:sz w:val="24"/>
                      <w:szCs w:val="24"/>
                      <w:highlight w:val="none"/>
                      <w:lang w:eastAsia="en-US"/>
                    </w:rPr>
                    <w:t>格</w:t>
                  </w:r>
                </w:p>
              </w:tc>
              <w:tc>
                <w:tcPr>
                  <w:tcW w:w="1335" w:type="dxa"/>
                  <w:shd w:val="clear" w:color="auto" w:fill="auto"/>
                  <w:noWrap w:val="0"/>
                  <w:vAlign w:val="center"/>
                </w:tcPr>
                <w:p w14:paraId="54244155">
                  <w:pPr>
                    <w:spacing w:before="58" w:line="249" w:lineRule="auto"/>
                    <w:ind w:right="168"/>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AI 计算单元</w:t>
                  </w:r>
                </w:p>
              </w:tc>
              <w:tc>
                <w:tcPr>
                  <w:tcW w:w="4535" w:type="dxa"/>
                  <w:shd w:val="clear" w:color="auto" w:fill="auto"/>
                  <w:noWrap w:val="0"/>
                  <w:vAlign w:val="center"/>
                </w:tcPr>
                <w:p w14:paraId="4DECB2E0">
                  <w:pPr>
                    <w:spacing w:before="43" w:line="246" w:lineRule="auto"/>
                    <w:ind w:left="114" w:right="259" w:hanging="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6"/>
                      <w:sz w:val="24"/>
                      <w:szCs w:val="24"/>
                      <w:highlight w:val="none"/>
                      <w:u w:val="single"/>
                    </w:rPr>
                    <w:t>若配备</w:t>
                  </w:r>
                  <w:r>
                    <w:rPr>
                      <w:rFonts w:hint="eastAsia" w:ascii="宋体" w:hAnsi="宋体" w:eastAsia="宋体" w:cs="宋体"/>
                      <w:i/>
                      <w:iCs/>
                      <w:color w:val="auto"/>
                      <w:sz w:val="24"/>
                      <w:szCs w:val="24"/>
                      <w:highlight w:val="none"/>
                      <w:u w:val="single"/>
                    </w:rPr>
                    <w:t>AI</w:t>
                  </w:r>
                  <w:r>
                    <w:rPr>
                      <w:rFonts w:hint="eastAsia" w:ascii="宋体" w:hAnsi="宋体" w:eastAsia="宋体" w:cs="宋体"/>
                      <w:i/>
                      <w:iCs/>
                      <w:color w:val="auto"/>
                      <w:spacing w:val="6"/>
                      <w:sz w:val="24"/>
                      <w:szCs w:val="24"/>
                      <w:highlight w:val="none"/>
                      <w:u w:val="single"/>
                    </w:rPr>
                    <w:t>计算单元应符合如下要</w:t>
                  </w:r>
                  <w:r>
                    <w:rPr>
                      <w:rFonts w:hint="eastAsia" w:ascii="宋体" w:hAnsi="宋体" w:eastAsia="宋体" w:cs="宋体"/>
                      <w:i/>
                      <w:iCs/>
                      <w:color w:val="auto"/>
                      <w:spacing w:val="-5"/>
                      <w:sz w:val="24"/>
                      <w:szCs w:val="24"/>
                      <w:highlight w:val="none"/>
                      <w:u w:val="single"/>
                    </w:rPr>
                    <w:t>求：</w:t>
                  </w:r>
                </w:p>
                <w:p w14:paraId="47DC5A60">
                  <w:pPr>
                    <w:spacing w:line="244" w:lineRule="auto"/>
                    <w:ind w:left="112" w:right="103"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a) 具备人工智能加速处理器，计算</w:t>
                  </w:r>
                  <w:r>
                    <w:rPr>
                      <w:rFonts w:hint="eastAsia" w:ascii="宋体" w:hAnsi="宋体" w:eastAsia="宋体" w:cs="宋体"/>
                      <w:i/>
                      <w:iCs/>
                      <w:color w:val="auto"/>
                      <w:sz w:val="24"/>
                      <w:szCs w:val="24"/>
                      <w:highlight w:val="none"/>
                      <w:u w:val="single"/>
                    </w:rPr>
                    <w:t xml:space="preserve">精度至少支持FP16、BF16、FP32、 </w:t>
                  </w:r>
                  <w:r>
                    <w:rPr>
                      <w:rFonts w:hint="eastAsia" w:ascii="宋体" w:hAnsi="宋体" w:eastAsia="宋体" w:cs="宋体"/>
                      <w:i/>
                      <w:iCs/>
                      <w:color w:val="auto"/>
                      <w:spacing w:val="-5"/>
                      <w:sz w:val="24"/>
                      <w:szCs w:val="24"/>
                      <w:highlight w:val="none"/>
                      <w:u w:val="single"/>
                    </w:rPr>
                    <w:t>FP64、INT8和 INT16等中的1种；</w:t>
                  </w:r>
                </w:p>
                <w:p w14:paraId="27D65A53">
                  <w:pPr>
                    <w:spacing w:before="5" w:line="236" w:lineRule="auto"/>
                    <w:ind w:left="112" w:right="168"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b) 单推理卡或模块，具备视频解析、文本识别、语音分析等推理能力；在视觉场景下配备可直接调用的接口实现视觉计算加速，路数不小于64（1080P 30FPS）</w:t>
                  </w:r>
                </w:p>
              </w:tc>
            </w:tr>
            <w:tr w14:paraId="4D06A7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58097BBB">
                  <w:pPr>
                    <w:spacing w:before="276" w:line="239"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44</w:t>
                  </w:r>
                </w:p>
              </w:tc>
              <w:tc>
                <w:tcPr>
                  <w:tcW w:w="1239" w:type="dxa"/>
                  <w:vMerge w:val="continue"/>
                  <w:tcBorders>
                    <w:top w:val="nil"/>
                  </w:tcBorders>
                  <w:shd w:val="clear" w:color="auto" w:fill="auto"/>
                  <w:noWrap w:val="0"/>
                  <w:vAlign w:val="center"/>
                </w:tcPr>
                <w:p w14:paraId="193800C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FC747B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一键式迁移</w:t>
                  </w:r>
                </w:p>
              </w:tc>
              <w:tc>
                <w:tcPr>
                  <w:tcW w:w="4535" w:type="dxa"/>
                  <w:shd w:val="clear" w:color="auto" w:fill="auto"/>
                  <w:noWrap w:val="0"/>
                  <w:vAlign w:val="center"/>
                </w:tcPr>
                <w:p w14:paraId="49A297B0">
                  <w:pPr>
                    <w:spacing w:before="163" w:line="248" w:lineRule="auto"/>
                    <w:ind w:left="113" w:right="10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若服务器配备</w:t>
                  </w:r>
                  <w:r>
                    <w:rPr>
                      <w:rFonts w:hint="eastAsia" w:ascii="宋体" w:hAnsi="宋体" w:eastAsia="宋体" w:cs="宋体"/>
                      <w:i/>
                      <w:iCs/>
                      <w:color w:val="auto"/>
                      <w:sz w:val="24"/>
                      <w:szCs w:val="24"/>
                      <w:highlight w:val="none"/>
                      <w:u w:val="single"/>
                    </w:rPr>
                    <w:t>AI</w:t>
                  </w:r>
                  <w:r>
                    <w:rPr>
                      <w:rFonts w:hint="eastAsia" w:ascii="宋体" w:hAnsi="宋体" w:eastAsia="宋体" w:cs="宋体"/>
                      <w:i/>
                      <w:iCs/>
                      <w:color w:val="auto"/>
                      <w:spacing w:val="4"/>
                      <w:sz w:val="24"/>
                      <w:szCs w:val="24"/>
                      <w:highlight w:val="none"/>
                      <w:u w:val="single"/>
                    </w:rPr>
                    <w:t>计算单元，提供训</w:t>
                  </w:r>
                  <w:r>
                    <w:rPr>
                      <w:rFonts w:hint="eastAsia" w:ascii="宋体" w:hAnsi="宋体" w:eastAsia="宋体" w:cs="宋体"/>
                      <w:i/>
                      <w:iCs/>
                      <w:color w:val="auto"/>
                      <w:spacing w:val="-2"/>
                      <w:sz w:val="24"/>
                      <w:szCs w:val="24"/>
                      <w:highlight w:val="none"/>
                      <w:u w:val="single"/>
                    </w:rPr>
                    <w:t>练脚本迁移工具</w:t>
                  </w:r>
                </w:p>
              </w:tc>
            </w:tr>
            <w:tr w14:paraId="026962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43D6CA47">
                  <w:pPr>
                    <w:spacing w:before="156" w:line="242"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45</w:t>
                  </w:r>
                </w:p>
              </w:tc>
              <w:tc>
                <w:tcPr>
                  <w:tcW w:w="1239" w:type="dxa"/>
                  <w:vMerge w:val="restart"/>
                  <w:tcBorders>
                    <w:bottom w:val="nil"/>
                  </w:tcBorders>
                  <w:shd w:val="clear" w:color="auto" w:fill="auto"/>
                  <w:noWrap w:val="0"/>
                  <w:vAlign w:val="center"/>
                </w:tcPr>
                <w:p w14:paraId="547C526A">
                  <w:pPr>
                    <w:widowControl/>
                    <w:spacing w:line="267" w:lineRule="auto"/>
                    <w:rPr>
                      <w:rFonts w:hint="default" w:ascii="宋体" w:hAnsi="宋体" w:eastAsia="宋体" w:cs="宋体"/>
                      <w:color w:val="auto"/>
                      <w:sz w:val="24"/>
                      <w:szCs w:val="24"/>
                      <w:highlight w:val="none"/>
                    </w:rPr>
                  </w:pPr>
                </w:p>
                <w:p w14:paraId="7E7AC488">
                  <w:pPr>
                    <w:spacing w:before="59" w:line="248" w:lineRule="auto"/>
                    <w:ind w:left="186" w:righ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机柜规格</w:t>
                  </w:r>
                </w:p>
              </w:tc>
              <w:tc>
                <w:tcPr>
                  <w:tcW w:w="1335" w:type="dxa"/>
                  <w:shd w:val="clear" w:color="auto" w:fill="auto"/>
                  <w:noWrap w:val="0"/>
                  <w:vAlign w:val="center"/>
                </w:tcPr>
                <w:p w14:paraId="42352FE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机柜尺寸</w:t>
                  </w:r>
                </w:p>
              </w:tc>
              <w:tc>
                <w:tcPr>
                  <w:tcW w:w="4535" w:type="dxa"/>
                  <w:shd w:val="clear" w:color="auto" w:fill="auto"/>
                  <w:noWrap w:val="0"/>
                  <w:vAlign w:val="center"/>
                </w:tcPr>
                <w:p w14:paraId="376E09CA">
                  <w:pPr>
                    <w:widowControl w:val="0"/>
                    <w:jc w:val="left"/>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6</w:t>
                  </w:r>
                  <w:r>
                    <w:rPr>
                      <w:rFonts w:hint="eastAsia" w:ascii="宋体" w:hAnsi="宋体" w:eastAsia="宋体" w:cs="宋体"/>
                      <w:i/>
                      <w:iCs/>
                      <w:color w:val="auto"/>
                      <w:spacing w:val="4"/>
                      <w:sz w:val="24"/>
                      <w:szCs w:val="24"/>
                      <w:highlight w:val="none"/>
                      <w:u w:val="single"/>
                      <w:lang w:val="en-US" w:eastAsia="zh-CN" w:bidi="ar-SA"/>
                    </w:rPr>
                    <w:t>00*800*2000mm、42U标准尺寸</w:t>
                  </w:r>
                </w:p>
              </w:tc>
            </w:tr>
            <w:tr w14:paraId="32AF4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2FCAAD16">
                  <w:pPr>
                    <w:spacing w:before="276" w:line="242"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46</w:t>
                  </w:r>
                </w:p>
              </w:tc>
              <w:tc>
                <w:tcPr>
                  <w:tcW w:w="1239" w:type="dxa"/>
                  <w:vMerge w:val="continue"/>
                  <w:tcBorders>
                    <w:top w:val="nil"/>
                    <w:bottom w:val="nil"/>
                  </w:tcBorders>
                  <w:shd w:val="clear" w:color="auto" w:fill="auto"/>
                  <w:noWrap w:val="0"/>
                  <w:vAlign w:val="center"/>
                </w:tcPr>
                <w:p w14:paraId="10170CFF">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1B70EF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机柜管理板</w:t>
                  </w:r>
                </w:p>
              </w:tc>
              <w:tc>
                <w:tcPr>
                  <w:tcW w:w="4535" w:type="dxa"/>
                  <w:shd w:val="clear" w:color="auto" w:fill="auto"/>
                  <w:noWrap w:val="0"/>
                  <w:vAlign w:val="center"/>
                </w:tcPr>
                <w:p w14:paraId="0836E97C">
                  <w:pPr>
                    <w:spacing w:before="282" w:line="221" w:lineRule="auto"/>
                    <w:ind w:left="11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配备机柜管理板</w:t>
                  </w:r>
                </w:p>
              </w:tc>
            </w:tr>
            <w:tr w14:paraId="49F55E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shd w:val="clear" w:color="auto" w:fill="auto"/>
                  <w:noWrap w:val="0"/>
                  <w:vAlign w:val="center"/>
                </w:tcPr>
                <w:p w14:paraId="05868F83">
                  <w:pPr>
                    <w:spacing w:before="58" w:line="240"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47</w:t>
                  </w:r>
                </w:p>
              </w:tc>
              <w:tc>
                <w:tcPr>
                  <w:tcW w:w="1239" w:type="dxa"/>
                  <w:vMerge w:val="continue"/>
                  <w:tcBorders>
                    <w:top w:val="nil"/>
                  </w:tcBorders>
                  <w:shd w:val="clear" w:color="auto" w:fill="auto"/>
                  <w:noWrap w:val="0"/>
                  <w:vAlign w:val="center"/>
                </w:tcPr>
                <w:p w14:paraId="0270B19F">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EB41B69">
                  <w:pPr>
                    <w:spacing w:before="59" w:line="248"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机柜电源规格</w:t>
                  </w:r>
                </w:p>
              </w:tc>
              <w:tc>
                <w:tcPr>
                  <w:tcW w:w="4535" w:type="dxa"/>
                  <w:shd w:val="clear" w:color="auto" w:fill="auto"/>
                  <w:noWrap w:val="0"/>
                  <w:vAlign w:val="center"/>
                </w:tcPr>
                <w:p w14:paraId="17FEBEFD">
                  <w:pPr>
                    <w:spacing w:before="283" w:line="243" w:lineRule="auto"/>
                    <w:ind w:left="113" w:right="103"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a) 机柜电源支持集中供电，电源输入不少于2路且支持自动切换；</w:t>
                  </w:r>
                </w:p>
                <w:p w14:paraId="4CA04C4F">
                  <w:pPr>
                    <w:spacing w:before="6" w:line="243" w:lineRule="auto"/>
                    <w:ind w:left="117" w:right="259"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b) 机柜电源模块支持N+1冗余配</w:t>
                  </w:r>
                  <w:r>
                    <w:rPr>
                      <w:rFonts w:hint="eastAsia" w:ascii="宋体" w:hAnsi="宋体" w:eastAsia="宋体" w:cs="宋体"/>
                      <w:i/>
                      <w:iCs/>
                      <w:color w:val="auto"/>
                      <w:spacing w:val="-2"/>
                      <w:sz w:val="24"/>
                      <w:szCs w:val="24"/>
                      <w:highlight w:val="none"/>
                      <w:u w:val="single"/>
                    </w:rPr>
                    <w:t>置，电源模块可独立更换</w:t>
                  </w:r>
                </w:p>
              </w:tc>
            </w:tr>
            <w:tr w14:paraId="5F57F7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jc w:val="center"/>
              </w:trPr>
              <w:tc>
                <w:tcPr>
                  <w:tcW w:w="719" w:type="dxa"/>
                  <w:shd w:val="clear" w:color="auto" w:fill="auto"/>
                  <w:noWrap w:val="0"/>
                  <w:vAlign w:val="center"/>
                </w:tcPr>
                <w:p w14:paraId="1F8142C3">
                  <w:pPr>
                    <w:spacing w:before="38" w:line="205"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48</w:t>
                  </w:r>
                </w:p>
              </w:tc>
              <w:tc>
                <w:tcPr>
                  <w:tcW w:w="1239" w:type="dxa"/>
                  <w:shd w:val="clear" w:color="auto" w:fill="auto"/>
                  <w:noWrap w:val="0"/>
                  <w:vAlign w:val="center"/>
                </w:tcPr>
                <w:p w14:paraId="5410096B">
                  <w:pPr>
                    <w:spacing w:before="43" w:line="200"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主板</w:t>
                  </w:r>
                  <w:r>
                    <w:rPr>
                      <w:rFonts w:hint="eastAsia" w:ascii="宋体" w:hAnsi="宋体" w:eastAsia="宋体" w:cs="宋体"/>
                      <w:color w:val="auto"/>
                      <w:spacing w:val="-5"/>
                      <w:sz w:val="24"/>
                      <w:szCs w:val="24"/>
                      <w:highlight w:val="none"/>
                      <w:lang w:eastAsia="en-US"/>
                    </w:rPr>
                    <w:t>功能</w:t>
                  </w:r>
                </w:p>
              </w:tc>
              <w:tc>
                <w:tcPr>
                  <w:tcW w:w="1335" w:type="dxa"/>
                  <w:shd w:val="clear" w:color="auto" w:fill="auto"/>
                  <w:noWrap w:val="0"/>
                  <w:vAlign w:val="center"/>
                </w:tcPr>
                <w:p w14:paraId="1B2CD56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主板外部接口种类</w:t>
                  </w:r>
                </w:p>
              </w:tc>
              <w:tc>
                <w:tcPr>
                  <w:tcW w:w="4535" w:type="dxa"/>
                  <w:shd w:val="clear" w:color="auto" w:fill="auto"/>
                  <w:noWrap w:val="0"/>
                  <w:vAlign w:val="center"/>
                </w:tcPr>
                <w:p w14:paraId="0895A434">
                  <w:pPr>
                    <w:spacing w:before="43" w:line="200"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支持USB、显示、管理等接口，如：</w:t>
                  </w:r>
                  <w:r>
                    <w:rPr>
                      <w:rFonts w:hint="eastAsia" w:ascii="宋体" w:hAnsi="宋体" w:eastAsia="宋体" w:cs="宋体"/>
                      <w:i/>
                      <w:iCs/>
                      <w:color w:val="auto"/>
                      <w:spacing w:val="-2"/>
                      <w:sz w:val="24"/>
                      <w:szCs w:val="24"/>
                      <w:highlight w:val="none"/>
                      <w:u w:val="single"/>
                    </w:rPr>
                    <w:t>VGA、</w:t>
                  </w:r>
                  <w:r>
                    <w:rPr>
                      <w:rFonts w:hint="eastAsia" w:ascii="宋体" w:hAnsi="宋体" w:eastAsia="宋体" w:cs="宋体"/>
                      <w:i/>
                      <w:iCs/>
                      <w:color w:val="auto"/>
                      <w:spacing w:val="-8"/>
                      <w:sz w:val="24"/>
                      <w:szCs w:val="24"/>
                      <w:highlight w:val="none"/>
                      <w:u w:val="single"/>
                      <w:lang w:eastAsia="en-US"/>
                    </w:rPr>
                    <w:t>DP、HDMI、USB3.0、</w:t>
                  </w:r>
                  <w:r>
                    <w:rPr>
                      <w:rFonts w:hint="eastAsia" w:ascii="宋体" w:hAnsi="宋体" w:eastAsia="宋体" w:cs="宋体"/>
                      <w:i/>
                      <w:iCs/>
                      <w:color w:val="auto"/>
                      <w:spacing w:val="-3"/>
                      <w:sz w:val="24"/>
                      <w:szCs w:val="24"/>
                      <w:highlight w:val="none"/>
                      <w:u w:val="single"/>
                      <w:lang w:eastAsia="en-US"/>
                    </w:rPr>
                    <w:t>BMC管理端口</w:t>
                  </w:r>
                </w:p>
              </w:tc>
            </w:tr>
            <w:tr w14:paraId="6AF6CA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46CAEC27">
                  <w:pPr>
                    <w:spacing w:before="59"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49</w:t>
                  </w:r>
                </w:p>
              </w:tc>
              <w:tc>
                <w:tcPr>
                  <w:tcW w:w="1239" w:type="dxa"/>
                  <w:tcBorders>
                    <w:top w:val="nil"/>
                    <w:bottom w:val="nil"/>
                  </w:tcBorders>
                  <w:shd w:val="clear" w:color="auto" w:fill="auto"/>
                  <w:noWrap w:val="0"/>
                  <w:vAlign w:val="center"/>
                </w:tcPr>
                <w:p w14:paraId="6DE1CBF1">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39EB41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主板防烧板设计</w:t>
                  </w:r>
                </w:p>
              </w:tc>
              <w:tc>
                <w:tcPr>
                  <w:tcW w:w="4535" w:type="dxa"/>
                  <w:shd w:val="clear" w:color="auto" w:fill="auto"/>
                  <w:noWrap w:val="0"/>
                  <w:vAlign w:val="center"/>
                </w:tcPr>
                <w:p w14:paraId="205D4889">
                  <w:pPr>
                    <w:spacing w:before="279" w:line="248" w:lineRule="auto"/>
                    <w:ind w:left="118" w:right="168"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支持主板防烧板设计，保证电源故</w:t>
                  </w:r>
                  <w:r>
                    <w:rPr>
                      <w:rFonts w:hint="eastAsia" w:ascii="宋体" w:hAnsi="宋体" w:eastAsia="宋体" w:cs="宋体"/>
                      <w:i/>
                      <w:iCs/>
                      <w:color w:val="auto"/>
                      <w:spacing w:val="-3"/>
                      <w:sz w:val="24"/>
                      <w:szCs w:val="24"/>
                      <w:highlight w:val="none"/>
                      <w:u w:val="single"/>
                    </w:rPr>
                    <w:t>障后不扩散</w:t>
                  </w:r>
                </w:p>
              </w:tc>
            </w:tr>
            <w:tr w14:paraId="5D180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4C6BB495">
                  <w:pPr>
                    <w:spacing w:before="275"/>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50</w:t>
                  </w:r>
                </w:p>
              </w:tc>
              <w:tc>
                <w:tcPr>
                  <w:tcW w:w="1239" w:type="dxa"/>
                  <w:tcBorders>
                    <w:top w:val="nil"/>
                  </w:tcBorders>
                  <w:shd w:val="clear" w:color="auto" w:fill="auto"/>
                  <w:noWrap w:val="0"/>
                  <w:vAlign w:val="center"/>
                </w:tcPr>
                <w:p w14:paraId="38BE2FB3">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415937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扩展功能</w:t>
                  </w:r>
                </w:p>
              </w:tc>
              <w:tc>
                <w:tcPr>
                  <w:tcW w:w="4535" w:type="dxa"/>
                  <w:shd w:val="clear" w:color="auto" w:fill="auto"/>
                  <w:noWrap w:val="0"/>
                  <w:vAlign w:val="center"/>
                </w:tcPr>
                <w:p w14:paraId="4C3D9659">
                  <w:pPr>
                    <w:spacing w:before="42" w:line="230" w:lineRule="auto"/>
                    <w:ind w:left="115" w:right="168" w:firstLine="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实现至少一种扩展功能，如存储功能卡、显示功能卡、运算加速功能卡及网络功能卡等扩展功能</w:t>
                  </w:r>
                </w:p>
              </w:tc>
            </w:tr>
            <w:tr w14:paraId="7BC6C7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29DF8841">
                  <w:pPr>
                    <w:spacing w:before="155"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51</w:t>
                  </w:r>
                </w:p>
              </w:tc>
              <w:tc>
                <w:tcPr>
                  <w:tcW w:w="1239" w:type="dxa"/>
                  <w:shd w:val="clear" w:color="auto" w:fill="auto"/>
                  <w:noWrap w:val="0"/>
                  <w:vAlign w:val="center"/>
                </w:tcPr>
                <w:p w14:paraId="264EC552">
                  <w:pPr>
                    <w:spacing w:before="42" w:line="222" w:lineRule="auto"/>
                    <w:ind w:left="189" w:right="141" w:hanging="5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网络</w:t>
                  </w:r>
                  <w:r>
                    <w:rPr>
                      <w:rFonts w:hint="eastAsia" w:ascii="宋体" w:hAnsi="宋体" w:eastAsia="宋体" w:cs="宋体"/>
                      <w:color w:val="auto"/>
                      <w:spacing w:val="-5"/>
                      <w:sz w:val="24"/>
                      <w:szCs w:val="24"/>
                      <w:highlight w:val="none"/>
                      <w:lang w:eastAsia="en-US"/>
                    </w:rPr>
                    <w:t>功能</w:t>
                  </w:r>
                </w:p>
              </w:tc>
              <w:tc>
                <w:tcPr>
                  <w:tcW w:w="1335" w:type="dxa"/>
                  <w:shd w:val="clear" w:color="auto" w:fill="auto"/>
                  <w:noWrap w:val="0"/>
                  <w:vAlign w:val="center"/>
                </w:tcPr>
                <w:p w14:paraId="1026704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网络功能</w:t>
                  </w:r>
                </w:p>
              </w:tc>
              <w:tc>
                <w:tcPr>
                  <w:tcW w:w="4535" w:type="dxa"/>
                  <w:shd w:val="clear" w:color="auto" w:fill="auto"/>
                  <w:noWrap w:val="0"/>
                  <w:vAlign w:val="center"/>
                </w:tcPr>
                <w:p w14:paraId="075F577D">
                  <w:pPr>
                    <w:spacing w:before="42" w:line="222" w:lineRule="auto"/>
                    <w:ind w:left="113" w:right="168" w:firstLine="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支持网络连接、网络访问、数据交换和网络管控功能</w:t>
                  </w:r>
                </w:p>
              </w:tc>
            </w:tr>
            <w:tr w14:paraId="3A093B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shd w:val="clear" w:color="auto" w:fill="auto"/>
                  <w:noWrap w:val="0"/>
                  <w:vAlign w:val="center"/>
                </w:tcPr>
                <w:p w14:paraId="6B2D1B69">
                  <w:pPr>
                    <w:spacing w:before="59"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52</w:t>
                  </w:r>
                </w:p>
              </w:tc>
              <w:tc>
                <w:tcPr>
                  <w:tcW w:w="1239" w:type="dxa"/>
                  <w:vMerge w:val="restart"/>
                  <w:tcBorders>
                    <w:bottom w:val="nil"/>
                  </w:tcBorders>
                  <w:shd w:val="clear" w:color="auto" w:fill="auto"/>
                  <w:noWrap w:val="0"/>
                  <w:vAlign w:val="center"/>
                </w:tcPr>
                <w:p w14:paraId="5636CF2E">
                  <w:pPr>
                    <w:spacing w:before="58" w:line="258" w:lineRule="auto"/>
                    <w:ind w:right="1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CPU</w:t>
                  </w:r>
                  <w:r>
                    <w:rPr>
                      <w:rFonts w:hint="eastAsia" w:ascii="宋体" w:hAnsi="宋体" w:eastAsia="宋体" w:cs="宋体"/>
                      <w:color w:val="auto"/>
                      <w:spacing w:val="-5"/>
                      <w:sz w:val="24"/>
                      <w:szCs w:val="24"/>
                      <w:highlight w:val="none"/>
                      <w:lang w:eastAsia="en-US"/>
                    </w:rPr>
                    <w:t>功能</w:t>
                  </w:r>
                </w:p>
              </w:tc>
              <w:tc>
                <w:tcPr>
                  <w:tcW w:w="1335" w:type="dxa"/>
                  <w:shd w:val="clear" w:color="auto" w:fill="auto"/>
                  <w:noWrap w:val="0"/>
                  <w:vAlign w:val="center"/>
                </w:tcPr>
                <w:p w14:paraId="0A0E35B5">
                  <w:pPr>
                    <w:spacing w:before="59"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计算处理</w:t>
                  </w:r>
                </w:p>
              </w:tc>
              <w:tc>
                <w:tcPr>
                  <w:tcW w:w="4535" w:type="dxa"/>
                  <w:shd w:val="clear" w:color="auto" w:fill="auto"/>
                  <w:noWrap w:val="0"/>
                  <w:vAlign w:val="center"/>
                </w:tcPr>
                <w:p w14:paraId="7EAFEA8B">
                  <w:pPr>
                    <w:spacing w:before="41" w:line="238" w:lineRule="auto"/>
                    <w:ind w:left="113" w:right="103" w:firstLine="6"/>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支持通用计算及虚拟化功能。处理器需集成整型计算单元、浮点计算</w:t>
                  </w:r>
                  <w:r>
                    <w:rPr>
                      <w:rFonts w:hint="eastAsia" w:ascii="宋体" w:hAnsi="宋体" w:eastAsia="宋体" w:cs="宋体"/>
                      <w:i/>
                      <w:iCs/>
                      <w:color w:val="auto"/>
                      <w:spacing w:val="-6"/>
                      <w:sz w:val="24"/>
                      <w:szCs w:val="24"/>
                      <w:highlight w:val="none"/>
                      <w:u w:val="single"/>
                    </w:rPr>
                    <w:t>单元、内存控制器、I/O模块等，处</w:t>
                  </w:r>
                  <w:r>
                    <w:rPr>
                      <w:rFonts w:hint="eastAsia" w:ascii="宋体" w:hAnsi="宋体" w:eastAsia="宋体" w:cs="宋体"/>
                      <w:i/>
                      <w:iCs/>
                      <w:color w:val="auto"/>
                      <w:spacing w:val="-1"/>
                      <w:sz w:val="24"/>
                      <w:szCs w:val="24"/>
                      <w:highlight w:val="none"/>
                      <w:u w:val="single"/>
                    </w:rPr>
                    <w:t>理器与存储部件、网络部件、I/O部件等组成计算系统，提供数据处理、网络接入等计算相关功能</w:t>
                  </w:r>
                </w:p>
              </w:tc>
            </w:tr>
            <w:tr w14:paraId="517DE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shd w:val="clear" w:color="auto" w:fill="auto"/>
                  <w:noWrap w:val="0"/>
                  <w:vAlign w:val="center"/>
                </w:tcPr>
                <w:p w14:paraId="7A2C51CA">
                  <w:pPr>
                    <w:spacing w:before="59"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53</w:t>
                  </w:r>
                </w:p>
              </w:tc>
              <w:tc>
                <w:tcPr>
                  <w:tcW w:w="1239" w:type="dxa"/>
                  <w:vMerge w:val="continue"/>
                  <w:tcBorders>
                    <w:top w:val="nil"/>
                  </w:tcBorders>
                  <w:shd w:val="clear" w:color="auto" w:fill="auto"/>
                  <w:noWrap w:val="0"/>
                  <w:vAlign w:val="center"/>
                </w:tcPr>
                <w:p w14:paraId="442119D4">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4F93E16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*密码算法实现</w:t>
                  </w:r>
                </w:p>
              </w:tc>
              <w:tc>
                <w:tcPr>
                  <w:tcW w:w="4535" w:type="dxa"/>
                  <w:shd w:val="clear" w:color="auto" w:fill="auto"/>
                  <w:noWrap w:val="0"/>
                  <w:vAlign w:val="center"/>
                </w:tcPr>
                <w:p w14:paraId="2DCAF26D">
                  <w:pPr>
                    <w:spacing w:before="162" w:line="243" w:lineRule="auto"/>
                    <w:ind w:left="111" w:right="103"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CPU芯片应符合GM/T0008的相关规</w:t>
                  </w:r>
                  <w:r>
                    <w:rPr>
                      <w:rFonts w:hint="eastAsia" w:ascii="宋体" w:hAnsi="宋体" w:eastAsia="宋体" w:cs="宋体"/>
                      <w:i/>
                      <w:iCs/>
                      <w:color w:val="auto"/>
                      <w:spacing w:val="2"/>
                      <w:sz w:val="24"/>
                      <w:szCs w:val="24"/>
                      <w:highlight w:val="none"/>
                      <w:u w:val="single"/>
                    </w:rPr>
                    <w:t>定，或芯片密码模块应符合</w:t>
                  </w:r>
                  <w:r>
                    <w:rPr>
                      <w:rFonts w:hint="eastAsia" w:ascii="宋体" w:hAnsi="宋体" w:eastAsia="宋体" w:cs="宋体"/>
                      <w:i/>
                      <w:iCs/>
                      <w:color w:val="auto"/>
                      <w:sz w:val="24"/>
                      <w:szCs w:val="24"/>
                      <w:highlight w:val="none"/>
                      <w:u w:val="single"/>
                    </w:rPr>
                    <w:t>GB</w:t>
                  </w:r>
                  <w:r>
                    <w:rPr>
                      <w:rFonts w:hint="eastAsia" w:ascii="宋体" w:hAnsi="宋体" w:eastAsia="宋体" w:cs="宋体"/>
                      <w:i/>
                      <w:iCs/>
                      <w:color w:val="auto"/>
                      <w:spacing w:val="2"/>
                      <w:sz w:val="24"/>
                      <w:szCs w:val="24"/>
                      <w:highlight w:val="none"/>
                      <w:u w:val="single"/>
                    </w:rPr>
                    <w:t>/T</w:t>
                  </w:r>
                </w:p>
                <w:p w14:paraId="5DBC1BB7">
                  <w:pPr>
                    <w:spacing w:before="5" w:line="222"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37092或GM/T 0028的相关规定</w:t>
                  </w:r>
                </w:p>
              </w:tc>
            </w:tr>
            <w:tr w14:paraId="1FC32E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shd w:val="clear" w:color="auto" w:fill="auto"/>
                  <w:noWrap w:val="0"/>
                  <w:vAlign w:val="center"/>
                </w:tcPr>
                <w:p w14:paraId="054A5D41">
                  <w:pPr>
                    <w:spacing w:before="58"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54</w:t>
                  </w:r>
                </w:p>
              </w:tc>
              <w:tc>
                <w:tcPr>
                  <w:tcW w:w="1239" w:type="dxa"/>
                  <w:vMerge w:val="restart"/>
                  <w:tcBorders>
                    <w:bottom w:val="nil"/>
                  </w:tcBorders>
                  <w:shd w:val="clear" w:color="auto" w:fill="auto"/>
                  <w:noWrap w:val="0"/>
                  <w:vAlign w:val="center"/>
                </w:tcPr>
                <w:p w14:paraId="6738E878">
                  <w:pPr>
                    <w:widowControl/>
                    <w:spacing w:line="316" w:lineRule="auto"/>
                    <w:rPr>
                      <w:rFonts w:hint="default" w:ascii="宋体" w:hAnsi="宋体" w:eastAsia="宋体" w:cs="宋体"/>
                      <w:color w:val="auto"/>
                      <w:sz w:val="24"/>
                      <w:szCs w:val="24"/>
                      <w:highlight w:val="none"/>
                    </w:rPr>
                  </w:pPr>
                </w:p>
                <w:p w14:paraId="625BBEFA">
                  <w:pPr>
                    <w:spacing w:before="59" w:line="248" w:lineRule="auto"/>
                    <w:ind w:left="189" w:righ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存储功能</w:t>
                  </w:r>
                </w:p>
              </w:tc>
              <w:tc>
                <w:tcPr>
                  <w:tcW w:w="1335" w:type="dxa"/>
                  <w:shd w:val="clear" w:color="auto" w:fill="auto"/>
                  <w:noWrap w:val="0"/>
                  <w:vAlign w:val="center"/>
                </w:tcPr>
                <w:p w14:paraId="1CF596AC">
                  <w:pPr>
                    <w:widowControl/>
                    <w:spacing w:line="340" w:lineRule="auto"/>
                    <w:jc w:val="center"/>
                    <w:rPr>
                      <w:rFonts w:hint="default" w:ascii="宋体" w:hAnsi="宋体" w:eastAsia="宋体" w:cs="宋体"/>
                      <w:color w:val="auto"/>
                      <w:spacing w:val="-2"/>
                      <w:sz w:val="24"/>
                      <w:szCs w:val="24"/>
                      <w:highlight w:val="none"/>
                      <w:lang w:eastAsia="en-US"/>
                    </w:rPr>
                  </w:pPr>
                </w:p>
                <w:p w14:paraId="4D4F760F">
                  <w:pPr>
                    <w:spacing w:before="59" w:line="222" w:lineRule="auto"/>
                    <w:ind w:left="121"/>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内存校验</w:t>
                  </w:r>
                </w:p>
              </w:tc>
              <w:tc>
                <w:tcPr>
                  <w:tcW w:w="4535" w:type="dxa"/>
                  <w:shd w:val="clear" w:color="auto" w:fill="auto"/>
                  <w:noWrap w:val="0"/>
                  <w:vAlign w:val="center"/>
                </w:tcPr>
                <w:p w14:paraId="4517745B">
                  <w:pPr>
                    <w:spacing w:before="281" w:line="248" w:lineRule="auto"/>
                    <w:ind w:left="119"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支持内存校验或内存增强型纠错功</w:t>
                  </w:r>
                  <w:r>
                    <w:rPr>
                      <w:rFonts w:hint="eastAsia" w:ascii="宋体" w:hAnsi="宋体" w:eastAsia="宋体" w:cs="宋体"/>
                      <w:i/>
                      <w:iCs/>
                      <w:color w:val="auto"/>
                      <w:sz w:val="24"/>
                      <w:szCs w:val="24"/>
                      <w:highlight w:val="none"/>
                      <w:u w:val="single"/>
                    </w:rPr>
                    <w:t>能</w:t>
                  </w:r>
                </w:p>
              </w:tc>
            </w:tr>
            <w:tr w14:paraId="4A2F2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0AF6361A">
                  <w:pPr>
                    <w:spacing w:before="276"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55</w:t>
                  </w:r>
                </w:p>
              </w:tc>
              <w:tc>
                <w:tcPr>
                  <w:tcW w:w="1239" w:type="dxa"/>
                  <w:vMerge w:val="continue"/>
                  <w:tcBorders>
                    <w:top w:val="nil"/>
                    <w:bottom w:val="nil"/>
                  </w:tcBorders>
                  <w:shd w:val="clear" w:color="auto" w:fill="auto"/>
                  <w:noWrap w:val="0"/>
                  <w:vAlign w:val="center"/>
                </w:tcPr>
                <w:p w14:paraId="117034A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761291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SATA SSD NAND 健康状态上报</w:t>
                  </w:r>
                </w:p>
              </w:tc>
              <w:tc>
                <w:tcPr>
                  <w:tcW w:w="4535" w:type="dxa"/>
                  <w:shd w:val="clear" w:color="auto" w:fill="auto"/>
                  <w:noWrap w:val="0"/>
                  <w:vAlign w:val="center"/>
                </w:tcPr>
                <w:p w14:paraId="1E13E812">
                  <w:pPr>
                    <w:spacing w:before="42" w:line="230" w:lineRule="auto"/>
                    <w:ind w:left="112" w:right="102" w:firstLine="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支持关键外部存储器（硬磁盘、SSD</w:t>
                  </w:r>
                  <w:r>
                    <w:rPr>
                      <w:rFonts w:hint="eastAsia" w:ascii="宋体" w:hAnsi="宋体" w:eastAsia="宋体" w:cs="宋体"/>
                      <w:i/>
                      <w:iCs/>
                      <w:color w:val="auto"/>
                      <w:spacing w:val="-1"/>
                      <w:sz w:val="24"/>
                      <w:szCs w:val="24"/>
                      <w:highlight w:val="none"/>
                      <w:u w:val="single"/>
                    </w:rPr>
                    <w:t>等）的健康状态上报并进行故障诊</w:t>
                  </w:r>
                  <w:r>
                    <w:rPr>
                      <w:rFonts w:hint="eastAsia" w:ascii="宋体" w:hAnsi="宋体" w:eastAsia="宋体" w:cs="宋体"/>
                      <w:i/>
                      <w:iCs/>
                      <w:color w:val="auto"/>
                      <w:sz w:val="24"/>
                      <w:szCs w:val="24"/>
                      <w:highlight w:val="none"/>
                      <w:u w:val="single"/>
                    </w:rPr>
                    <w:t>断</w:t>
                  </w:r>
                </w:p>
              </w:tc>
            </w:tr>
            <w:tr w14:paraId="15702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24CF302A">
                  <w:pPr>
                    <w:spacing w:before="276"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56</w:t>
                  </w:r>
                </w:p>
              </w:tc>
              <w:tc>
                <w:tcPr>
                  <w:tcW w:w="1239" w:type="dxa"/>
                  <w:vMerge w:val="continue"/>
                  <w:tcBorders>
                    <w:top w:val="nil"/>
                  </w:tcBorders>
                  <w:shd w:val="clear" w:color="auto" w:fill="auto"/>
                  <w:noWrap w:val="0"/>
                  <w:vAlign w:val="center"/>
                </w:tcPr>
                <w:p w14:paraId="0E44BB3E">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A7AFF3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SATA SSD单 die 故障隔离</w:t>
                  </w:r>
                </w:p>
              </w:tc>
              <w:tc>
                <w:tcPr>
                  <w:tcW w:w="4535" w:type="dxa"/>
                  <w:shd w:val="clear" w:color="auto" w:fill="auto"/>
                  <w:noWrap w:val="0"/>
                  <w:vAlign w:val="center"/>
                </w:tcPr>
                <w:p w14:paraId="640F4013">
                  <w:pPr>
                    <w:spacing w:before="163" w:line="248" w:lineRule="auto"/>
                    <w:ind w:left="121" w:right="168"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支持SSD关键外部存储器中单存储晶元故障隔离</w:t>
                  </w:r>
                </w:p>
              </w:tc>
            </w:tr>
            <w:tr w14:paraId="0ABF19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19" w:type="dxa"/>
                  <w:shd w:val="clear" w:color="auto" w:fill="auto"/>
                  <w:noWrap w:val="0"/>
                  <w:vAlign w:val="center"/>
                </w:tcPr>
                <w:p w14:paraId="06208DCE">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57</w:t>
                  </w:r>
                </w:p>
              </w:tc>
              <w:tc>
                <w:tcPr>
                  <w:tcW w:w="1239" w:type="dxa"/>
                  <w:vMerge w:val="restart"/>
                  <w:tcBorders>
                    <w:bottom w:val="nil"/>
                  </w:tcBorders>
                  <w:shd w:val="clear" w:color="auto" w:fill="auto"/>
                  <w:noWrap w:val="0"/>
                  <w:vAlign w:val="center"/>
                </w:tcPr>
                <w:p w14:paraId="46A73B0E">
                  <w:pPr>
                    <w:spacing w:before="58" w:line="247" w:lineRule="auto"/>
                    <w:ind w:left="117" w:right="107" w:firstLine="7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RAID</w:t>
                  </w:r>
                  <w:r>
                    <w:rPr>
                      <w:rFonts w:hint="eastAsia" w:ascii="宋体" w:hAnsi="宋体" w:eastAsia="宋体" w:cs="宋体"/>
                      <w:color w:val="auto"/>
                      <w:spacing w:val="32"/>
                      <w:sz w:val="24"/>
                      <w:szCs w:val="24"/>
                      <w:highlight w:val="none"/>
                      <w:lang w:eastAsia="en-US"/>
                    </w:rPr>
                    <w:t>卡功</w:t>
                  </w:r>
                  <w:r>
                    <w:rPr>
                      <w:rFonts w:hint="eastAsia" w:ascii="宋体" w:hAnsi="宋体" w:eastAsia="宋体" w:cs="宋体"/>
                      <w:color w:val="auto"/>
                      <w:spacing w:val="-13"/>
                      <w:sz w:val="24"/>
                      <w:szCs w:val="24"/>
                      <w:highlight w:val="none"/>
                      <w:lang w:eastAsia="en-US"/>
                    </w:rPr>
                    <w:t>能（若</w:t>
                  </w:r>
                  <w:r>
                    <w:rPr>
                      <w:rFonts w:hint="eastAsia" w:ascii="宋体" w:hAnsi="宋体" w:eastAsia="宋体" w:cs="宋体"/>
                      <w:color w:val="auto"/>
                      <w:spacing w:val="32"/>
                      <w:sz w:val="24"/>
                      <w:szCs w:val="24"/>
                      <w:highlight w:val="none"/>
                      <w:lang w:eastAsia="en-US"/>
                    </w:rPr>
                    <w:t>支持</w:t>
                  </w:r>
                  <w:r>
                    <w:rPr>
                      <w:rFonts w:hint="eastAsia" w:ascii="宋体" w:hAnsi="宋体" w:eastAsia="宋体" w:cs="宋体"/>
                      <w:color w:val="auto"/>
                      <w:spacing w:val="16"/>
                      <w:sz w:val="24"/>
                      <w:szCs w:val="24"/>
                      <w:highlight w:val="none"/>
                      <w:lang w:eastAsia="en-US"/>
                    </w:rPr>
                    <w:t>RAID</w:t>
                  </w:r>
                  <w:r>
                    <w:rPr>
                      <w:rFonts w:hint="eastAsia" w:ascii="宋体" w:hAnsi="宋体" w:eastAsia="宋体" w:cs="宋体"/>
                      <w:color w:val="auto"/>
                      <w:spacing w:val="32"/>
                      <w:sz w:val="24"/>
                      <w:szCs w:val="24"/>
                      <w:highlight w:val="none"/>
                      <w:lang w:eastAsia="en-US"/>
                    </w:rPr>
                    <w:t>卡）</w:t>
                  </w:r>
                </w:p>
              </w:tc>
              <w:tc>
                <w:tcPr>
                  <w:tcW w:w="1335" w:type="dxa"/>
                  <w:shd w:val="clear" w:color="auto" w:fill="auto"/>
                  <w:noWrap w:val="0"/>
                  <w:vAlign w:val="center"/>
                </w:tcPr>
                <w:p w14:paraId="280AFAD2">
                  <w:pPr>
                    <w:spacing w:before="58" w:line="224"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w:t>
                  </w:r>
                </w:p>
                <w:p w14:paraId="7FEE0E3D">
                  <w:pPr>
                    <w:spacing w:before="21" w:line="248" w:lineRule="auto"/>
                    <w:ind w:left="115" w:right="168" w:hanging="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级别支持</w:t>
                  </w:r>
                </w:p>
              </w:tc>
              <w:tc>
                <w:tcPr>
                  <w:tcW w:w="4535" w:type="dxa"/>
                  <w:shd w:val="clear" w:color="auto" w:fill="auto"/>
                  <w:noWrap w:val="0"/>
                  <w:vAlign w:val="center"/>
                </w:tcPr>
                <w:p w14:paraId="1898DD1F">
                  <w:pPr>
                    <w:spacing w:before="59" w:line="248" w:lineRule="auto"/>
                    <w:ind w:left="112" w:right="168"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RAID模式支持0/1/5/6/10/50/60</w:t>
                  </w:r>
                </w:p>
              </w:tc>
            </w:tr>
            <w:tr w14:paraId="05E44F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56EAFD48">
                  <w:pPr>
                    <w:spacing w:before="156"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58</w:t>
                  </w:r>
                </w:p>
              </w:tc>
              <w:tc>
                <w:tcPr>
                  <w:tcW w:w="1239" w:type="dxa"/>
                  <w:vMerge w:val="continue"/>
                  <w:tcBorders>
                    <w:top w:val="nil"/>
                  </w:tcBorders>
                  <w:shd w:val="clear" w:color="auto" w:fill="auto"/>
                  <w:noWrap w:val="0"/>
                  <w:vAlign w:val="center"/>
                </w:tcPr>
                <w:p w14:paraId="01B83778">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1DABCB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w:t>
                  </w:r>
                </w:p>
                <w:p w14:paraId="3E4186C0">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BBU 单元</w:t>
                  </w:r>
                </w:p>
              </w:tc>
              <w:tc>
                <w:tcPr>
                  <w:tcW w:w="4535" w:type="dxa"/>
                  <w:shd w:val="clear" w:color="auto" w:fill="auto"/>
                  <w:noWrap w:val="0"/>
                  <w:vAlign w:val="center"/>
                </w:tcPr>
                <w:p w14:paraId="1C3CAC8D">
                  <w:pPr>
                    <w:spacing w:before="162" w:line="222" w:lineRule="auto"/>
                    <w:ind w:left="11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RAID卡支持电池或电容备份单元</w:t>
                  </w:r>
                </w:p>
              </w:tc>
            </w:tr>
            <w:tr w14:paraId="6B4CA4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jc w:val="center"/>
              </w:trPr>
              <w:tc>
                <w:tcPr>
                  <w:tcW w:w="719" w:type="dxa"/>
                  <w:shd w:val="clear" w:color="auto" w:fill="auto"/>
                  <w:noWrap w:val="0"/>
                  <w:vAlign w:val="center"/>
                </w:tcPr>
                <w:p w14:paraId="72C87A77">
                  <w:pPr>
                    <w:spacing w:before="276"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59</w:t>
                  </w:r>
                </w:p>
              </w:tc>
              <w:tc>
                <w:tcPr>
                  <w:tcW w:w="1239" w:type="dxa"/>
                  <w:shd w:val="clear" w:color="auto" w:fill="auto"/>
                  <w:noWrap w:val="0"/>
                  <w:vAlign w:val="center"/>
                </w:tcPr>
                <w:p w14:paraId="7A6B69F2">
                  <w:pPr>
                    <w:spacing w:before="162" w:line="248" w:lineRule="auto"/>
                    <w:ind w:left="189" w:right="186" w:hanging="2"/>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光驱</w:t>
                  </w:r>
                  <w:r>
                    <w:rPr>
                      <w:rFonts w:hint="eastAsia" w:ascii="宋体" w:hAnsi="宋体" w:eastAsia="宋体" w:cs="宋体"/>
                      <w:color w:val="auto"/>
                      <w:spacing w:val="-5"/>
                      <w:sz w:val="24"/>
                      <w:szCs w:val="24"/>
                      <w:highlight w:val="none"/>
                      <w:lang w:eastAsia="en-US"/>
                    </w:rPr>
                    <w:t>功能</w:t>
                  </w:r>
                </w:p>
              </w:tc>
              <w:tc>
                <w:tcPr>
                  <w:tcW w:w="1335" w:type="dxa"/>
                  <w:shd w:val="clear" w:color="auto" w:fill="auto"/>
                  <w:noWrap w:val="0"/>
                  <w:vAlign w:val="center"/>
                </w:tcPr>
                <w:p w14:paraId="2C554C75">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光驱类型</w:t>
                  </w:r>
                </w:p>
                <w:p w14:paraId="142D720B">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（是否支持 RW，以及光盘类型</w:t>
                  </w:r>
                </w:p>
                <w:p w14:paraId="38C46D8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CD/DVD）</w:t>
                  </w:r>
                </w:p>
              </w:tc>
              <w:tc>
                <w:tcPr>
                  <w:tcW w:w="4535" w:type="dxa"/>
                  <w:shd w:val="clear" w:color="auto" w:fill="auto"/>
                  <w:noWrap w:val="0"/>
                  <w:vAlign w:val="center"/>
                </w:tcPr>
                <w:p w14:paraId="2F0345D3">
                  <w:pPr>
                    <w:spacing w:before="44" w:line="230" w:lineRule="auto"/>
                    <w:ind w:left="115" w:right="168"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若配备光驱，应提供光驱的安装形式（如内置、外置）、光驱读写类型（如只读、可刻录等）、光盘类</w:t>
                  </w:r>
                  <w:r>
                    <w:rPr>
                      <w:rFonts w:hint="eastAsia" w:ascii="宋体" w:hAnsi="宋体" w:eastAsia="宋体" w:cs="宋体"/>
                      <w:i/>
                      <w:iCs/>
                      <w:color w:val="auto"/>
                      <w:spacing w:val="-3"/>
                      <w:sz w:val="24"/>
                      <w:szCs w:val="24"/>
                      <w:highlight w:val="none"/>
                      <w:u w:val="single"/>
                    </w:rPr>
                    <w:t>型的兼容列表（如CD-ROM、CD-RW、</w:t>
                  </w:r>
                  <w:r>
                    <w:rPr>
                      <w:rFonts w:hint="eastAsia" w:ascii="宋体" w:hAnsi="宋体" w:eastAsia="宋体" w:cs="宋体"/>
                      <w:i/>
                      <w:iCs/>
                      <w:color w:val="auto"/>
                      <w:spacing w:val="-2"/>
                      <w:sz w:val="24"/>
                      <w:szCs w:val="24"/>
                      <w:highlight w:val="none"/>
                      <w:u w:val="single"/>
                    </w:rPr>
                    <w:t>DVD±RW等）</w:t>
                  </w:r>
                </w:p>
              </w:tc>
            </w:tr>
            <w:tr w14:paraId="488C0B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75E9C319">
                  <w:pPr>
                    <w:spacing w:before="154"/>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60</w:t>
                  </w:r>
                </w:p>
              </w:tc>
              <w:tc>
                <w:tcPr>
                  <w:tcW w:w="1239" w:type="dxa"/>
                  <w:vMerge w:val="restart"/>
                  <w:tcBorders>
                    <w:bottom w:val="nil"/>
                  </w:tcBorders>
                  <w:shd w:val="clear" w:color="auto" w:fill="auto"/>
                  <w:noWrap w:val="0"/>
                  <w:vAlign w:val="center"/>
                </w:tcPr>
                <w:p w14:paraId="00ECD1E0">
                  <w:pPr>
                    <w:spacing w:before="286" w:line="248" w:lineRule="auto"/>
                    <w:ind w:left="112" w:right="174" w:hanging="4"/>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电源</w:t>
                  </w:r>
                  <w:r>
                    <w:rPr>
                      <w:rFonts w:hint="eastAsia" w:ascii="宋体" w:hAnsi="宋体" w:eastAsia="宋体" w:cs="宋体"/>
                      <w:color w:val="auto"/>
                      <w:spacing w:val="-5"/>
                      <w:sz w:val="24"/>
                      <w:szCs w:val="24"/>
                      <w:highlight w:val="none"/>
                      <w:lang w:eastAsia="en-US"/>
                    </w:rPr>
                    <w:t>功能</w:t>
                  </w:r>
                </w:p>
              </w:tc>
              <w:tc>
                <w:tcPr>
                  <w:tcW w:w="1335" w:type="dxa"/>
                  <w:shd w:val="clear" w:color="auto" w:fill="auto"/>
                  <w:noWrap w:val="0"/>
                  <w:vAlign w:val="center"/>
                </w:tcPr>
                <w:p w14:paraId="6B55387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电源热插拔</w:t>
                  </w:r>
                </w:p>
              </w:tc>
              <w:tc>
                <w:tcPr>
                  <w:tcW w:w="4535" w:type="dxa"/>
                  <w:shd w:val="clear" w:color="auto" w:fill="auto"/>
                  <w:noWrap w:val="0"/>
                  <w:vAlign w:val="center"/>
                </w:tcPr>
                <w:p w14:paraId="12BEFA79">
                  <w:pPr>
                    <w:spacing w:before="159" w:line="221" w:lineRule="auto"/>
                    <w:ind w:left="11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整机电源模块应具备热插拔功能</w:t>
                  </w:r>
                </w:p>
              </w:tc>
            </w:tr>
            <w:tr w14:paraId="7B6B99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332F6E46">
                  <w:pPr>
                    <w:spacing w:before="154"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61</w:t>
                  </w:r>
                </w:p>
              </w:tc>
              <w:tc>
                <w:tcPr>
                  <w:tcW w:w="1239" w:type="dxa"/>
                  <w:vMerge w:val="continue"/>
                  <w:tcBorders>
                    <w:top w:val="nil"/>
                  </w:tcBorders>
                  <w:shd w:val="clear" w:color="auto" w:fill="auto"/>
                  <w:noWrap w:val="0"/>
                  <w:vAlign w:val="center"/>
                </w:tcPr>
                <w:p w14:paraId="2E014118">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E350B8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电源过流保护</w:t>
                  </w:r>
                </w:p>
              </w:tc>
              <w:tc>
                <w:tcPr>
                  <w:tcW w:w="4535" w:type="dxa"/>
                  <w:shd w:val="clear" w:color="auto" w:fill="auto"/>
                  <w:noWrap w:val="0"/>
                  <w:vAlign w:val="center"/>
                </w:tcPr>
                <w:p w14:paraId="1CDAC5B7">
                  <w:pPr>
                    <w:spacing w:before="161" w:line="221" w:lineRule="auto"/>
                    <w:ind w:left="11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支持过流及短路保护的功能</w:t>
                  </w:r>
                </w:p>
              </w:tc>
            </w:tr>
            <w:tr w14:paraId="110EF2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462B4097">
                  <w:pPr>
                    <w:spacing w:before="154"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62</w:t>
                  </w:r>
                </w:p>
              </w:tc>
              <w:tc>
                <w:tcPr>
                  <w:tcW w:w="1239" w:type="dxa"/>
                  <w:vMerge w:val="restart"/>
                  <w:tcBorders>
                    <w:bottom w:val="nil"/>
                  </w:tcBorders>
                  <w:shd w:val="clear" w:color="auto" w:fill="auto"/>
                  <w:noWrap w:val="0"/>
                  <w:vAlign w:val="center"/>
                </w:tcPr>
                <w:p w14:paraId="136FC2A7">
                  <w:pPr>
                    <w:widowControl/>
                    <w:spacing w:line="344" w:lineRule="auto"/>
                    <w:jc w:val="center"/>
                    <w:rPr>
                      <w:rFonts w:hint="default" w:ascii="宋体" w:hAnsi="宋体" w:eastAsia="宋体" w:cs="宋体"/>
                      <w:color w:val="auto"/>
                      <w:sz w:val="24"/>
                      <w:szCs w:val="24"/>
                      <w:highlight w:val="none"/>
                    </w:rPr>
                  </w:pPr>
                </w:p>
                <w:p w14:paraId="7772524A">
                  <w:pPr>
                    <w:spacing w:before="59" w:line="248" w:lineRule="auto"/>
                    <w:ind w:left="189" w:right="141" w:hanging="5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整机</w:t>
                  </w:r>
                  <w:r>
                    <w:rPr>
                      <w:rFonts w:hint="eastAsia" w:ascii="宋体" w:hAnsi="宋体" w:eastAsia="宋体" w:cs="宋体"/>
                      <w:color w:val="auto"/>
                      <w:spacing w:val="-5"/>
                      <w:sz w:val="24"/>
                      <w:szCs w:val="24"/>
                      <w:highlight w:val="none"/>
                      <w:lang w:eastAsia="en-US"/>
                    </w:rPr>
                    <w:t>功能</w:t>
                  </w:r>
                </w:p>
              </w:tc>
              <w:tc>
                <w:tcPr>
                  <w:tcW w:w="1335" w:type="dxa"/>
                  <w:shd w:val="clear" w:color="auto" w:fill="auto"/>
                  <w:noWrap w:val="0"/>
                  <w:vAlign w:val="center"/>
                </w:tcPr>
                <w:p w14:paraId="392788E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散热方式</w:t>
                  </w:r>
                </w:p>
              </w:tc>
              <w:tc>
                <w:tcPr>
                  <w:tcW w:w="4535" w:type="dxa"/>
                  <w:shd w:val="clear" w:color="auto" w:fill="auto"/>
                  <w:noWrap w:val="0"/>
                  <w:vAlign w:val="center"/>
                </w:tcPr>
                <w:p w14:paraId="1B984B0B">
                  <w:pPr>
                    <w:spacing w:before="160" w:line="221" w:lineRule="auto"/>
                    <w:ind w:left="11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支持风冷或液冷等散热方式</w:t>
                  </w:r>
                </w:p>
              </w:tc>
            </w:tr>
            <w:tr w14:paraId="6C4ABA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5B78DBD7">
                  <w:pPr>
                    <w:spacing w:before="273"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63</w:t>
                  </w:r>
                </w:p>
              </w:tc>
              <w:tc>
                <w:tcPr>
                  <w:tcW w:w="1239" w:type="dxa"/>
                  <w:vMerge w:val="continue"/>
                  <w:tcBorders>
                    <w:top w:val="nil"/>
                  </w:tcBorders>
                  <w:shd w:val="clear" w:color="auto" w:fill="auto"/>
                  <w:noWrap w:val="0"/>
                  <w:vAlign w:val="center"/>
                </w:tcPr>
                <w:p w14:paraId="18A3859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02F15D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其他功能</w:t>
                  </w:r>
                </w:p>
              </w:tc>
              <w:tc>
                <w:tcPr>
                  <w:tcW w:w="4535" w:type="dxa"/>
                  <w:shd w:val="clear" w:color="auto" w:fill="auto"/>
                  <w:noWrap w:val="0"/>
                  <w:vAlign w:val="center"/>
                </w:tcPr>
                <w:p w14:paraId="37451BFE">
                  <w:pPr>
                    <w:spacing w:before="40" w:line="243" w:lineRule="auto"/>
                    <w:ind w:left="114" w:right="10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a) 支持关键部件冗余（包括电源、风扇等</w:t>
                  </w:r>
                  <w:r>
                    <w:rPr>
                      <w:rFonts w:hint="eastAsia" w:ascii="宋体" w:hAnsi="宋体" w:eastAsia="宋体" w:cs="宋体"/>
                      <w:i/>
                      <w:iCs/>
                      <w:color w:val="auto"/>
                      <w:sz w:val="24"/>
                      <w:szCs w:val="24"/>
                      <w:highlight w:val="none"/>
                      <w:u w:val="single"/>
                    </w:rPr>
                    <w:t>）；</w:t>
                  </w:r>
                </w:p>
                <w:p w14:paraId="0D625225">
                  <w:pPr>
                    <w:spacing w:before="5" w:line="200" w:lineRule="auto"/>
                    <w:ind w:left="11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b) 支持熔断保护与恢复功能</w:t>
                  </w:r>
                </w:p>
              </w:tc>
            </w:tr>
            <w:tr w14:paraId="7890B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9" w:hRule="atLeast"/>
                <w:jc w:val="center"/>
              </w:trPr>
              <w:tc>
                <w:tcPr>
                  <w:tcW w:w="719" w:type="dxa"/>
                  <w:shd w:val="clear" w:color="auto" w:fill="auto"/>
                  <w:noWrap w:val="0"/>
                  <w:vAlign w:val="center"/>
                </w:tcPr>
                <w:p w14:paraId="4BC92AFD">
                  <w:pPr>
                    <w:spacing w:before="59"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64</w:t>
                  </w:r>
                </w:p>
              </w:tc>
              <w:tc>
                <w:tcPr>
                  <w:tcW w:w="1239" w:type="dxa"/>
                  <w:shd w:val="clear" w:color="auto" w:fill="auto"/>
                  <w:noWrap w:val="0"/>
                  <w:vAlign w:val="center"/>
                </w:tcPr>
                <w:p w14:paraId="181AFDA5">
                  <w:pPr>
                    <w:spacing w:before="58" w:line="247" w:lineRule="auto"/>
                    <w:ind w:left="189" w:right="141" w:hanging="5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管理</w:t>
                  </w:r>
                  <w:r>
                    <w:rPr>
                      <w:rFonts w:hint="eastAsia" w:ascii="宋体" w:hAnsi="宋体" w:eastAsia="宋体" w:cs="宋体"/>
                      <w:color w:val="auto"/>
                      <w:spacing w:val="-5"/>
                      <w:sz w:val="24"/>
                      <w:szCs w:val="24"/>
                      <w:highlight w:val="none"/>
                      <w:lang w:eastAsia="en-US"/>
                    </w:rPr>
                    <w:t>系统功能</w:t>
                  </w:r>
                </w:p>
              </w:tc>
              <w:tc>
                <w:tcPr>
                  <w:tcW w:w="1335" w:type="dxa"/>
                  <w:shd w:val="clear" w:color="auto" w:fill="auto"/>
                  <w:noWrap w:val="0"/>
                  <w:vAlign w:val="center"/>
                </w:tcPr>
                <w:p w14:paraId="2AE1F1BB">
                  <w:pPr>
                    <w:spacing w:before="59" w:line="247" w:lineRule="auto"/>
                    <w:ind w:right="168"/>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BMC 固件基础功能</w:t>
                  </w:r>
                </w:p>
              </w:tc>
              <w:tc>
                <w:tcPr>
                  <w:tcW w:w="4535" w:type="dxa"/>
                  <w:shd w:val="clear" w:color="auto" w:fill="auto"/>
                  <w:noWrap w:val="0"/>
                  <w:vAlign w:val="center"/>
                </w:tcPr>
                <w:p w14:paraId="2BCD284E">
                  <w:pPr>
                    <w:spacing w:before="39" w:line="213" w:lineRule="auto"/>
                    <w:ind w:left="12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1)支持DHCP设置网络功能；</w:t>
                  </w:r>
                </w:p>
                <w:p w14:paraId="6D5A5864">
                  <w:pPr>
                    <w:spacing w:before="32" w:line="213" w:lineRule="auto"/>
                    <w:ind w:left="11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2)支持静态 IP设置网络功能；</w:t>
                  </w:r>
                </w:p>
                <w:p w14:paraId="052269F9">
                  <w:pPr>
                    <w:spacing w:before="33" w:line="244" w:lineRule="auto"/>
                    <w:ind w:left="112" w:right="168"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3)支持设备日志记录，包括但不限于登录日志、操作日志和报警日志</w:t>
                  </w:r>
                  <w:r>
                    <w:rPr>
                      <w:rFonts w:hint="eastAsia" w:ascii="宋体" w:hAnsi="宋体" w:eastAsia="宋体" w:cs="宋体"/>
                      <w:i/>
                      <w:iCs/>
                      <w:color w:val="auto"/>
                      <w:spacing w:val="-2"/>
                      <w:sz w:val="24"/>
                      <w:szCs w:val="24"/>
                      <w:highlight w:val="none"/>
                      <w:u w:val="single"/>
                    </w:rPr>
                    <w:t>等功能；</w:t>
                  </w:r>
                </w:p>
                <w:p w14:paraId="0B0979D6">
                  <w:pPr>
                    <w:spacing w:before="6" w:line="243" w:lineRule="auto"/>
                    <w:ind w:left="118" w:right="168" w:hanging="10"/>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4)支持日志信息导出和记录删除功</w:t>
                  </w:r>
                  <w:r>
                    <w:rPr>
                      <w:rFonts w:hint="eastAsia" w:ascii="宋体" w:hAnsi="宋体" w:eastAsia="宋体" w:cs="宋体"/>
                      <w:i/>
                      <w:iCs/>
                      <w:color w:val="auto"/>
                      <w:spacing w:val="-7"/>
                      <w:sz w:val="24"/>
                      <w:szCs w:val="24"/>
                      <w:highlight w:val="none"/>
                      <w:u w:val="single"/>
                    </w:rPr>
                    <w:t>能；</w:t>
                  </w:r>
                </w:p>
                <w:p w14:paraId="19D015F9">
                  <w:pPr>
                    <w:spacing w:before="6" w:line="243" w:lineRule="auto"/>
                    <w:ind w:left="123" w:right="168" w:hanging="1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5)支持通过管理接口向外输出准确</w:t>
                  </w:r>
                  <w:r>
                    <w:rPr>
                      <w:rFonts w:hint="eastAsia" w:ascii="宋体" w:hAnsi="宋体" w:eastAsia="宋体" w:cs="宋体"/>
                      <w:i/>
                      <w:iCs/>
                      <w:color w:val="auto"/>
                      <w:spacing w:val="-3"/>
                      <w:sz w:val="24"/>
                      <w:szCs w:val="24"/>
                      <w:highlight w:val="none"/>
                      <w:u w:val="single"/>
                    </w:rPr>
                    <w:t>的报警信息功能；</w:t>
                  </w:r>
                </w:p>
                <w:p w14:paraId="36AE360E">
                  <w:pPr>
                    <w:spacing w:before="6" w:line="243" w:lineRule="auto"/>
                    <w:ind w:left="112"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6)设备的</w:t>
                  </w:r>
                  <w:r>
                    <w:rPr>
                      <w:rFonts w:hint="eastAsia" w:ascii="宋体" w:hAnsi="宋体" w:eastAsia="宋体" w:cs="宋体"/>
                      <w:i/>
                      <w:iCs/>
                      <w:color w:val="auto"/>
                      <w:sz w:val="24"/>
                      <w:szCs w:val="24"/>
                      <w:highlight w:val="none"/>
                      <w:u w:val="single"/>
                    </w:rPr>
                    <w:t>BMC</w:t>
                  </w:r>
                  <w:r>
                    <w:rPr>
                      <w:rFonts w:hint="eastAsia" w:ascii="宋体" w:hAnsi="宋体" w:eastAsia="宋体" w:cs="宋体"/>
                      <w:i/>
                      <w:iCs/>
                      <w:color w:val="auto"/>
                      <w:spacing w:val="1"/>
                      <w:sz w:val="24"/>
                      <w:szCs w:val="24"/>
                      <w:highlight w:val="none"/>
                      <w:u w:val="single"/>
                    </w:rPr>
                    <w:t>管理软件应能够按报</w:t>
                  </w:r>
                  <w:r>
                    <w:rPr>
                      <w:rFonts w:hint="eastAsia" w:ascii="宋体" w:hAnsi="宋体" w:eastAsia="宋体" w:cs="宋体"/>
                      <w:i/>
                      <w:iCs/>
                      <w:color w:val="auto"/>
                      <w:spacing w:val="-1"/>
                      <w:sz w:val="24"/>
                      <w:szCs w:val="24"/>
                      <w:highlight w:val="none"/>
                      <w:u w:val="single"/>
                    </w:rPr>
                    <w:t>警的严重程度进行区分；</w:t>
                  </w:r>
                </w:p>
                <w:p w14:paraId="4A2F52AB">
                  <w:pPr>
                    <w:spacing w:before="6" w:line="243" w:lineRule="auto"/>
                    <w:ind w:left="112" w:right="215"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7)支持 IPMI2.0、SNMP或Redfish</w:t>
                  </w:r>
                  <w:r>
                    <w:rPr>
                      <w:rFonts w:hint="eastAsia" w:ascii="宋体" w:hAnsi="宋体" w:eastAsia="宋体" w:cs="宋体"/>
                      <w:i/>
                      <w:iCs/>
                      <w:color w:val="auto"/>
                      <w:spacing w:val="-1"/>
                      <w:sz w:val="24"/>
                      <w:szCs w:val="24"/>
                      <w:highlight w:val="none"/>
                      <w:u w:val="single"/>
                      <w:lang w:eastAsia="en-US"/>
                    </w:rPr>
                    <w:t>等接口功能；</w:t>
                  </w:r>
                </w:p>
                <w:p w14:paraId="6BDF82B2">
                  <w:pPr>
                    <w:spacing w:before="6" w:line="244" w:lineRule="auto"/>
                    <w:ind w:left="112" w:right="41" w:hanging="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8)支持键盘、鼠标和视频的重定向、</w:t>
                  </w:r>
                  <w:r>
                    <w:rPr>
                      <w:rFonts w:hint="eastAsia" w:ascii="宋体" w:hAnsi="宋体" w:eastAsia="宋体" w:cs="宋体"/>
                      <w:i/>
                      <w:iCs/>
                      <w:color w:val="auto"/>
                      <w:spacing w:val="-1"/>
                      <w:sz w:val="24"/>
                      <w:szCs w:val="24"/>
                      <w:highlight w:val="none"/>
                      <w:u w:val="single"/>
                    </w:rPr>
                    <w:t>文本控制台的重定向、远程虚拟媒</w:t>
                  </w:r>
                  <w:r>
                    <w:rPr>
                      <w:rFonts w:hint="eastAsia" w:ascii="宋体" w:hAnsi="宋体" w:eastAsia="宋体" w:cs="宋体"/>
                      <w:i/>
                      <w:iCs/>
                      <w:color w:val="auto"/>
                      <w:spacing w:val="-4"/>
                      <w:sz w:val="24"/>
                      <w:szCs w:val="24"/>
                      <w:highlight w:val="none"/>
                      <w:u w:val="single"/>
                    </w:rPr>
                    <w:t>体、高可靠的硬件监控和管理功能；</w:t>
                  </w:r>
                </w:p>
                <w:p w14:paraId="45F9A328">
                  <w:pPr>
                    <w:spacing w:before="6" w:line="244" w:lineRule="auto"/>
                    <w:ind w:left="113" w:right="168" w:hanging="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9)支持基于网络开启、关闭和重启设备的功能，并查询当前设备开机</w:t>
                  </w:r>
                  <w:r>
                    <w:rPr>
                      <w:rFonts w:hint="eastAsia" w:ascii="宋体" w:hAnsi="宋体" w:eastAsia="宋体" w:cs="宋体"/>
                      <w:i/>
                      <w:iCs/>
                      <w:color w:val="auto"/>
                      <w:spacing w:val="-2"/>
                      <w:sz w:val="24"/>
                      <w:szCs w:val="24"/>
                      <w:highlight w:val="none"/>
                      <w:u w:val="single"/>
                    </w:rPr>
                    <w:t>运行状态；</w:t>
                  </w:r>
                </w:p>
                <w:p w14:paraId="66A1F7AD">
                  <w:pPr>
                    <w:spacing w:before="6" w:line="243" w:lineRule="auto"/>
                    <w:ind w:left="134" w:right="103" w:hanging="1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10)支持故障提示功能，并可通过接口读取服务器故障信息；</w:t>
                  </w:r>
                </w:p>
                <w:p w14:paraId="3E85AE25">
                  <w:pPr>
                    <w:spacing w:before="6" w:line="243" w:lineRule="auto"/>
                    <w:ind w:left="112" w:right="124" w:firstLine="10"/>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11)支持基于网络的固件更新功能，包括BMC和BIOS等；</w:t>
                  </w:r>
                </w:p>
                <w:p w14:paraId="1BD78589">
                  <w:pPr>
                    <w:spacing w:before="7" w:line="244" w:lineRule="auto"/>
                    <w:ind w:left="113" w:right="168" w:firstLine="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12)支持基于网络安装操作系统的</w:t>
                  </w:r>
                  <w:r>
                    <w:rPr>
                      <w:rFonts w:hint="eastAsia" w:ascii="宋体" w:hAnsi="宋体" w:eastAsia="宋体" w:cs="宋体"/>
                      <w:i/>
                      <w:iCs/>
                      <w:color w:val="auto"/>
                      <w:spacing w:val="-1"/>
                      <w:sz w:val="24"/>
                      <w:szCs w:val="24"/>
                      <w:highlight w:val="none"/>
                      <w:u w:val="single"/>
                    </w:rPr>
                    <w:t>功能，并可通过网络控制台访问设</w:t>
                  </w:r>
                  <w:r>
                    <w:rPr>
                      <w:rFonts w:hint="eastAsia" w:ascii="宋体" w:hAnsi="宋体" w:eastAsia="宋体" w:cs="宋体"/>
                      <w:i/>
                      <w:iCs/>
                      <w:color w:val="auto"/>
                      <w:spacing w:val="-4"/>
                      <w:sz w:val="24"/>
                      <w:szCs w:val="24"/>
                      <w:highlight w:val="none"/>
                      <w:u w:val="single"/>
                    </w:rPr>
                    <w:t>备；</w:t>
                  </w:r>
                </w:p>
                <w:p w14:paraId="5822CE31">
                  <w:pPr>
                    <w:spacing w:before="6" w:line="244" w:lineRule="auto"/>
                    <w:ind w:left="112" w:right="168" w:firstLine="10"/>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13)支持通过本地的硬盘或光驱等</w:t>
                  </w:r>
                  <w:r>
                    <w:rPr>
                      <w:rFonts w:hint="eastAsia" w:ascii="宋体" w:hAnsi="宋体" w:eastAsia="宋体" w:cs="宋体"/>
                      <w:i/>
                      <w:iCs/>
                      <w:color w:val="auto"/>
                      <w:spacing w:val="-1"/>
                      <w:sz w:val="24"/>
                      <w:szCs w:val="24"/>
                      <w:highlight w:val="none"/>
                      <w:u w:val="single"/>
                    </w:rPr>
                    <w:t>存储设备，基于网络完成设备的操作系统安装功能；</w:t>
                  </w:r>
                </w:p>
                <w:p w14:paraId="07C0F525">
                  <w:pPr>
                    <w:spacing w:before="6" w:line="243" w:lineRule="auto"/>
                    <w:ind w:left="115" w:right="259" w:firstLine="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14)支持通过浏览器打开管理界面并登录功能；</w:t>
                  </w:r>
                </w:p>
                <w:p w14:paraId="0A31E616">
                  <w:pPr>
                    <w:spacing w:before="6" w:line="213" w:lineRule="auto"/>
                    <w:ind w:left="12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15)支持设置口令策略功能；</w:t>
                  </w:r>
                </w:p>
                <w:p w14:paraId="1F6F49B7">
                  <w:pPr>
                    <w:spacing w:before="33" w:line="243" w:lineRule="auto"/>
                    <w:ind w:left="141" w:right="103" w:hanging="1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16)支持访问权限设置功能，并通过</w:t>
                  </w:r>
                  <w:r>
                    <w:rPr>
                      <w:rFonts w:hint="eastAsia" w:ascii="宋体" w:hAnsi="宋体" w:eastAsia="宋体" w:cs="宋体"/>
                      <w:i/>
                      <w:iCs/>
                      <w:color w:val="auto"/>
                      <w:spacing w:val="-4"/>
                      <w:sz w:val="24"/>
                      <w:szCs w:val="24"/>
                      <w:highlight w:val="none"/>
                      <w:u w:val="single"/>
                    </w:rPr>
                    <w:t>日志记录访问事件；</w:t>
                  </w:r>
                </w:p>
                <w:p w14:paraId="0ED79A0A">
                  <w:pPr>
                    <w:spacing w:before="6" w:line="244" w:lineRule="auto"/>
                    <w:ind w:left="112" w:right="168" w:firstLine="10"/>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17)支持对出厂默认的用户名及口</w:t>
                  </w:r>
                  <w:r>
                    <w:rPr>
                      <w:rFonts w:hint="eastAsia" w:ascii="宋体" w:hAnsi="宋体" w:eastAsia="宋体" w:cs="宋体"/>
                      <w:i/>
                      <w:iCs/>
                      <w:color w:val="auto"/>
                      <w:spacing w:val="-1"/>
                      <w:sz w:val="24"/>
                      <w:szCs w:val="24"/>
                      <w:highlight w:val="none"/>
                      <w:u w:val="single"/>
                    </w:rPr>
                    <w:t>令进行安全保护功能，并提供默认口令修改提示；</w:t>
                  </w:r>
                </w:p>
                <w:p w14:paraId="019B9315">
                  <w:pPr>
                    <w:spacing w:before="6" w:line="243" w:lineRule="auto"/>
                    <w:ind w:left="114" w:right="259" w:firstLine="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18)支持读取设备主板的工作环境温度功能；</w:t>
                  </w:r>
                </w:p>
                <w:p w14:paraId="765547E6">
                  <w:pPr>
                    <w:spacing w:before="6" w:line="243" w:lineRule="auto"/>
                    <w:ind w:left="123" w:right="10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19)支持读取服务器CPU等核心器件</w:t>
                  </w:r>
                  <w:r>
                    <w:rPr>
                      <w:rFonts w:hint="eastAsia" w:ascii="宋体" w:hAnsi="宋体" w:eastAsia="宋体" w:cs="宋体"/>
                      <w:i/>
                      <w:iCs/>
                      <w:color w:val="auto"/>
                      <w:spacing w:val="-3"/>
                      <w:sz w:val="24"/>
                      <w:szCs w:val="24"/>
                      <w:highlight w:val="none"/>
                      <w:u w:val="single"/>
                    </w:rPr>
                    <w:t>的温度功能；</w:t>
                  </w:r>
                </w:p>
                <w:p w14:paraId="1F2A8DFD">
                  <w:pPr>
                    <w:spacing w:before="6" w:line="199" w:lineRule="auto"/>
                    <w:ind w:left="11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20)支持通过外部管理工具进行BMC参数设置的功能，并可基于网络通</w:t>
                  </w:r>
                  <w:r>
                    <w:rPr>
                      <w:rFonts w:hint="eastAsia" w:ascii="宋体" w:hAnsi="宋体" w:eastAsia="宋体" w:cs="宋体"/>
                      <w:i/>
                      <w:iCs/>
                      <w:color w:val="auto"/>
                      <w:spacing w:val="-2"/>
                      <w:sz w:val="24"/>
                      <w:szCs w:val="24"/>
                      <w:highlight w:val="none"/>
                      <w:u w:val="single"/>
                    </w:rPr>
                    <w:t>过外部管理工具对BMC进行管理；</w:t>
                  </w:r>
                </w:p>
                <w:p w14:paraId="1C04C800">
                  <w:pPr>
                    <w:spacing w:before="5" w:line="221" w:lineRule="auto"/>
                    <w:ind w:left="11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21)应支持固件版本查询、固件升级</w:t>
                  </w:r>
                </w:p>
                <w:p w14:paraId="6ED8DADB">
                  <w:pPr>
                    <w:spacing w:before="25" w:line="243" w:lineRule="auto"/>
                    <w:ind w:left="112" w:right="25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22)支持基于网络实现开关机和复位控制的功能；</w:t>
                  </w:r>
                </w:p>
                <w:p w14:paraId="20EE6510">
                  <w:pPr>
                    <w:spacing w:before="6" w:line="244" w:lineRule="auto"/>
                    <w:ind w:left="113" w:right="103" w:hanging="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23)BMC启动时间应不超过180s，实</w:t>
                  </w:r>
                  <w:r>
                    <w:rPr>
                      <w:rFonts w:hint="eastAsia" w:ascii="宋体" w:hAnsi="宋体" w:eastAsia="宋体" w:cs="宋体"/>
                      <w:i/>
                      <w:iCs/>
                      <w:color w:val="auto"/>
                      <w:spacing w:val="-1"/>
                      <w:sz w:val="24"/>
                      <w:szCs w:val="24"/>
                      <w:highlight w:val="none"/>
                      <w:u w:val="single"/>
                    </w:rPr>
                    <w:t>现功能包括网络、IPMI、散热、传</w:t>
                  </w:r>
                  <w:r>
                    <w:rPr>
                      <w:rFonts w:hint="eastAsia" w:ascii="宋体" w:hAnsi="宋体" w:eastAsia="宋体" w:cs="宋体"/>
                      <w:i/>
                      <w:iCs/>
                      <w:color w:val="auto"/>
                      <w:spacing w:val="-2"/>
                      <w:sz w:val="24"/>
                      <w:szCs w:val="24"/>
                      <w:highlight w:val="none"/>
                      <w:u w:val="single"/>
                    </w:rPr>
                    <w:t>感器服务可用；</w:t>
                  </w:r>
                </w:p>
                <w:p w14:paraId="4FD99062">
                  <w:pPr>
                    <w:spacing w:before="6" w:line="199" w:lineRule="auto"/>
                    <w:ind w:left="112"/>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2"/>
                      <w:sz w:val="24"/>
                      <w:szCs w:val="24"/>
                      <w:highlight w:val="none"/>
                      <w:u w:val="single"/>
                    </w:rPr>
                    <w:t>24)支持BMC固件设置的恢复出厂功</w:t>
                  </w:r>
                  <w:r>
                    <w:rPr>
                      <w:rFonts w:hint="eastAsia" w:ascii="宋体" w:hAnsi="宋体" w:eastAsia="宋体" w:cs="宋体"/>
                      <w:i/>
                      <w:iCs/>
                      <w:color w:val="auto"/>
                      <w:sz w:val="24"/>
                      <w:szCs w:val="24"/>
                      <w:highlight w:val="none"/>
                      <w:u w:val="single"/>
                    </w:rPr>
                    <w:t>能</w:t>
                  </w:r>
                </w:p>
              </w:tc>
            </w:tr>
            <w:tr w14:paraId="3B3F69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719" w:type="dxa"/>
                  <w:shd w:val="clear" w:color="auto" w:fill="auto"/>
                  <w:noWrap w:val="0"/>
                  <w:vAlign w:val="center"/>
                </w:tcPr>
                <w:p w14:paraId="73A6690F">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65</w:t>
                  </w:r>
                </w:p>
              </w:tc>
              <w:tc>
                <w:tcPr>
                  <w:tcW w:w="1239" w:type="dxa"/>
                  <w:vMerge w:val="restart"/>
                  <w:tcBorders>
                    <w:top w:val="nil"/>
                  </w:tcBorders>
                  <w:shd w:val="clear" w:color="auto" w:fill="auto"/>
                  <w:noWrap w:val="0"/>
                  <w:vAlign w:val="center"/>
                </w:tcPr>
                <w:p w14:paraId="76D9243F">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69C27E3">
                  <w:pPr>
                    <w:spacing w:before="59" w:line="248"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BMC 固件增强功能</w:t>
                  </w:r>
                </w:p>
              </w:tc>
              <w:tc>
                <w:tcPr>
                  <w:tcW w:w="4535" w:type="dxa"/>
                  <w:shd w:val="clear" w:color="auto" w:fill="auto"/>
                  <w:noWrap w:val="0"/>
                  <w:vAlign w:val="center"/>
                </w:tcPr>
                <w:p w14:paraId="0413E17E">
                  <w:pPr>
                    <w:spacing w:before="29" w:line="236" w:lineRule="auto"/>
                    <w:ind w:left="118" w:right="103" w:hanging="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a）网络控制、安装提供图形访问界面网络；</w:t>
                  </w:r>
                </w:p>
                <w:p w14:paraId="205A6671">
                  <w:pPr>
                    <w:spacing w:before="5" w:line="238" w:lineRule="auto"/>
                    <w:ind w:left="112" w:right="103"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b）设备的BMC管理软件界面显示报</w:t>
                  </w:r>
                  <w:r>
                    <w:rPr>
                      <w:rFonts w:hint="eastAsia" w:ascii="宋体" w:hAnsi="宋体" w:eastAsia="宋体" w:cs="宋体"/>
                      <w:i/>
                      <w:iCs/>
                      <w:color w:val="auto"/>
                      <w:spacing w:val="-1"/>
                      <w:sz w:val="24"/>
                      <w:szCs w:val="24"/>
                      <w:highlight w:val="none"/>
                      <w:u w:val="single"/>
                    </w:rPr>
                    <w:t>警信息，且能够按报警的严重程度</w:t>
                  </w:r>
                  <w:r>
                    <w:rPr>
                      <w:rFonts w:hint="eastAsia" w:ascii="宋体" w:hAnsi="宋体" w:eastAsia="宋体" w:cs="宋体"/>
                      <w:i/>
                      <w:iCs/>
                      <w:color w:val="auto"/>
                      <w:spacing w:val="-2"/>
                      <w:sz w:val="24"/>
                      <w:szCs w:val="24"/>
                      <w:highlight w:val="none"/>
                      <w:u w:val="single"/>
                    </w:rPr>
                    <w:t>进行区分；</w:t>
                  </w:r>
                </w:p>
                <w:p w14:paraId="02C9877C">
                  <w:pPr>
                    <w:spacing w:before="3" w:line="222" w:lineRule="auto"/>
                    <w:ind w:left="113" w:right="12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c）Web GUI采用BMC端口直连，平</w:t>
                  </w:r>
                  <w:r>
                    <w:rPr>
                      <w:rFonts w:hint="eastAsia" w:ascii="宋体" w:hAnsi="宋体" w:eastAsia="宋体" w:cs="宋体"/>
                      <w:i/>
                      <w:iCs/>
                      <w:color w:val="auto"/>
                      <w:spacing w:val="-3"/>
                      <w:sz w:val="24"/>
                      <w:szCs w:val="24"/>
                      <w:highlight w:val="none"/>
                      <w:u w:val="single"/>
                      <w:lang w:eastAsia="en-US"/>
                    </w:rPr>
                    <w:t>均响应时间为不大于1s</w:t>
                  </w:r>
                </w:p>
              </w:tc>
            </w:tr>
            <w:tr w14:paraId="28C44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2" w:hRule="atLeast"/>
                <w:jc w:val="center"/>
              </w:trPr>
              <w:tc>
                <w:tcPr>
                  <w:tcW w:w="719" w:type="dxa"/>
                  <w:shd w:val="clear" w:color="auto" w:fill="auto"/>
                  <w:noWrap w:val="0"/>
                  <w:vAlign w:val="center"/>
                </w:tcPr>
                <w:p w14:paraId="48CDD425">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66</w:t>
                  </w:r>
                </w:p>
              </w:tc>
              <w:tc>
                <w:tcPr>
                  <w:tcW w:w="1239" w:type="dxa"/>
                  <w:vMerge w:val="continue"/>
                  <w:tcBorders>
                    <w:top w:val="nil"/>
                    <w:bottom w:val="nil"/>
                  </w:tcBorders>
                  <w:shd w:val="clear" w:color="auto" w:fill="auto"/>
                  <w:noWrap w:val="0"/>
                  <w:vAlign w:val="center"/>
                </w:tcPr>
                <w:p w14:paraId="689DAC88">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0B3B449">
                  <w:pPr>
                    <w:spacing w:before="58" w:line="247"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BIOS 固件基础功能</w:t>
                  </w:r>
                </w:p>
              </w:tc>
              <w:tc>
                <w:tcPr>
                  <w:tcW w:w="4535" w:type="dxa"/>
                  <w:shd w:val="clear" w:color="auto" w:fill="auto"/>
                  <w:noWrap w:val="0"/>
                  <w:vAlign w:val="center"/>
                </w:tcPr>
                <w:p w14:paraId="1322D1A8">
                  <w:pPr>
                    <w:spacing w:before="30" w:line="237" w:lineRule="auto"/>
                    <w:ind w:left="113" w:right="10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a）支持查看固件版本、内存信息、</w:t>
                  </w:r>
                  <w:r>
                    <w:rPr>
                      <w:rFonts w:hint="eastAsia" w:ascii="宋体" w:hAnsi="宋体" w:eastAsia="宋体" w:cs="宋体"/>
                      <w:i/>
                      <w:iCs/>
                      <w:color w:val="auto"/>
                      <w:spacing w:val="-1"/>
                      <w:sz w:val="24"/>
                      <w:szCs w:val="24"/>
                      <w:highlight w:val="none"/>
                      <w:u w:val="single"/>
                    </w:rPr>
                    <w:t>主板信息、处理器信息和系统时间</w:t>
                  </w:r>
                  <w:r>
                    <w:rPr>
                      <w:rFonts w:hint="eastAsia" w:ascii="宋体" w:hAnsi="宋体" w:eastAsia="宋体" w:cs="宋体"/>
                      <w:i/>
                      <w:iCs/>
                      <w:color w:val="auto"/>
                      <w:spacing w:val="-2"/>
                      <w:sz w:val="24"/>
                      <w:szCs w:val="24"/>
                      <w:highlight w:val="none"/>
                      <w:u w:val="single"/>
                    </w:rPr>
                    <w:t>信息功能；</w:t>
                  </w:r>
                </w:p>
                <w:p w14:paraId="5FD6F837">
                  <w:pPr>
                    <w:spacing w:before="7" w:line="237" w:lineRule="auto"/>
                    <w:ind w:left="112" w:right="103"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b）支持上电初始化界面显示CPU信</w:t>
                  </w:r>
                  <w:r>
                    <w:rPr>
                      <w:rFonts w:hint="eastAsia" w:ascii="宋体" w:hAnsi="宋体" w:eastAsia="宋体" w:cs="宋体"/>
                      <w:i/>
                      <w:iCs/>
                      <w:color w:val="auto"/>
                      <w:spacing w:val="-1"/>
                      <w:sz w:val="24"/>
                      <w:szCs w:val="24"/>
                      <w:highlight w:val="none"/>
                      <w:u w:val="single"/>
                    </w:rPr>
                    <w:t>息、内存信息、固件版本和部分快捷键信息功能；</w:t>
                  </w:r>
                </w:p>
                <w:p w14:paraId="6129D7B8">
                  <w:pPr>
                    <w:spacing w:before="6" w:line="238" w:lineRule="auto"/>
                    <w:ind w:left="119" w:right="103" w:hanging="6"/>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c）支持设置界面中英文显示切换功</w:t>
                  </w:r>
                  <w:r>
                    <w:rPr>
                      <w:rFonts w:hint="eastAsia" w:ascii="宋体" w:hAnsi="宋体" w:eastAsia="宋体" w:cs="宋体"/>
                      <w:i/>
                      <w:iCs/>
                      <w:color w:val="auto"/>
                      <w:spacing w:val="-7"/>
                      <w:sz w:val="24"/>
                      <w:szCs w:val="24"/>
                      <w:highlight w:val="none"/>
                      <w:u w:val="single"/>
                    </w:rPr>
                    <w:t>能；</w:t>
                  </w:r>
                </w:p>
                <w:p w14:paraId="1A524737">
                  <w:pPr>
                    <w:spacing w:before="2" w:line="236" w:lineRule="auto"/>
                    <w:ind w:left="114" w:right="169" w:hanging="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d）支持查看PCIe设备信息，SATA设备信息功能；</w:t>
                  </w:r>
                </w:p>
                <w:p w14:paraId="3B39B4A8">
                  <w:pPr>
                    <w:spacing w:before="5" w:line="238" w:lineRule="auto"/>
                    <w:ind w:left="114" w:right="124" w:hanging="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e）支持操作系统安装和引导功能，</w:t>
                  </w:r>
                  <w:r>
                    <w:rPr>
                      <w:rFonts w:hint="eastAsia" w:ascii="宋体" w:hAnsi="宋体" w:eastAsia="宋体" w:cs="宋体"/>
                      <w:i/>
                      <w:iCs/>
                      <w:color w:val="auto"/>
                      <w:spacing w:val="-1"/>
                      <w:sz w:val="24"/>
                      <w:szCs w:val="24"/>
                      <w:highlight w:val="none"/>
                      <w:u w:val="single"/>
                    </w:rPr>
                    <w:t>应并向操作系统提供计算机主板信</w:t>
                  </w:r>
                  <w:r>
                    <w:rPr>
                      <w:rFonts w:hint="eastAsia" w:ascii="宋体" w:hAnsi="宋体" w:eastAsia="宋体" w:cs="宋体"/>
                      <w:i/>
                      <w:iCs/>
                      <w:color w:val="auto"/>
                      <w:spacing w:val="-2"/>
                      <w:sz w:val="24"/>
                      <w:szCs w:val="24"/>
                      <w:highlight w:val="none"/>
                      <w:u w:val="single"/>
                    </w:rPr>
                    <w:t>息和服务接口；</w:t>
                  </w:r>
                </w:p>
                <w:p w14:paraId="22AF1A16">
                  <w:pPr>
                    <w:spacing w:before="6" w:line="238" w:lineRule="auto"/>
                    <w:ind w:left="123" w:right="103" w:hanging="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f）支持设置启动顺序，并按照设置</w:t>
                  </w:r>
                  <w:r>
                    <w:rPr>
                      <w:rFonts w:hint="eastAsia" w:ascii="宋体" w:hAnsi="宋体" w:eastAsia="宋体" w:cs="宋体"/>
                      <w:i/>
                      <w:iCs/>
                      <w:color w:val="auto"/>
                      <w:spacing w:val="-2"/>
                      <w:sz w:val="24"/>
                      <w:szCs w:val="24"/>
                      <w:highlight w:val="none"/>
                      <w:u w:val="single"/>
                    </w:rPr>
                    <w:t>的启动顺序启动功能；</w:t>
                  </w:r>
                </w:p>
                <w:p w14:paraId="13496D5C">
                  <w:pPr>
                    <w:spacing w:before="3" w:line="213" w:lineRule="auto"/>
                    <w:ind w:left="11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g）支持安全启动功能；</w:t>
                  </w:r>
                </w:p>
                <w:p w14:paraId="49806285">
                  <w:pPr>
                    <w:spacing w:before="25" w:line="236" w:lineRule="auto"/>
                    <w:ind w:left="134" w:right="103" w:hanging="1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h）支持设置口令、修改口令、验证</w:t>
                  </w:r>
                  <w:r>
                    <w:rPr>
                      <w:rFonts w:hint="eastAsia" w:ascii="宋体" w:hAnsi="宋体" w:eastAsia="宋体" w:cs="宋体"/>
                      <w:i/>
                      <w:iCs/>
                      <w:color w:val="auto"/>
                      <w:spacing w:val="-6"/>
                      <w:sz w:val="24"/>
                      <w:szCs w:val="24"/>
                      <w:highlight w:val="none"/>
                      <w:u w:val="single"/>
                    </w:rPr>
                    <w:t>口令功能；</w:t>
                  </w:r>
                </w:p>
                <w:p w14:paraId="1FD1107C">
                  <w:pPr>
                    <w:spacing w:before="6" w:line="238" w:lineRule="auto"/>
                    <w:ind w:left="118" w:right="103" w:firstLine="2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i）支持板载显示控制或独立显卡的</w:t>
                  </w:r>
                  <w:r>
                    <w:rPr>
                      <w:rFonts w:hint="eastAsia" w:ascii="宋体" w:hAnsi="宋体" w:eastAsia="宋体" w:cs="宋体"/>
                      <w:i/>
                      <w:iCs/>
                      <w:color w:val="auto"/>
                      <w:spacing w:val="-2"/>
                      <w:sz w:val="24"/>
                      <w:szCs w:val="24"/>
                      <w:highlight w:val="none"/>
                      <w:u w:val="single"/>
                    </w:rPr>
                    <w:t>显示控制功能；</w:t>
                  </w:r>
                </w:p>
                <w:p w14:paraId="54DAD21E">
                  <w:pPr>
                    <w:spacing w:before="3" w:line="213" w:lineRule="auto"/>
                    <w:ind w:left="12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j）支持RAID识别和启动功能；</w:t>
                  </w:r>
                </w:p>
                <w:p w14:paraId="4C24EA44">
                  <w:pPr>
                    <w:spacing w:before="25" w:line="213" w:lineRule="auto"/>
                    <w:ind w:left="11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k）支持串口重定向功能；</w:t>
                  </w:r>
                </w:p>
                <w:p w14:paraId="607A93A5">
                  <w:pPr>
                    <w:spacing w:before="25" w:line="213" w:lineRule="auto"/>
                    <w:ind w:left="14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l）支持固件更新功能；</w:t>
                  </w:r>
                </w:p>
                <w:p w14:paraId="7E0659E5">
                  <w:pPr>
                    <w:spacing w:before="28" w:line="236" w:lineRule="auto"/>
                    <w:ind w:left="114" w:right="168" w:hanging="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m）支持</w:t>
                  </w:r>
                  <w:r>
                    <w:rPr>
                      <w:rFonts w:hint="eastAsia" w:ascii="宋体" w:hAnsi="宋体" w:eastAsia="宋体" w:cs="宋体"/>
                      <w:i/>
                      <w:iCs/>
                      <w:color w:val="auto"/>
                      <w:sz w:val="24"/>
                      <w:szCs w:val="24"/>
                      <w:highlight w:val="none"/>
                      <w:u w:val="single"/>
                    </w:rPr>
                    <w:t>BIOS</w:t>
                  </w:r>
                  <w:r>
                    <w:rPr>
                      <w:rFonts w:hint="eastAsia" w:ascii="宋体" w:hAnsi="宋体" w:eastAsia="宋体" w:cs="宋体"/>
                      <w:i/>
                      <w:iCs/>
                      <w:color w:val="auto"/>
                      <w:spacing w:val="1"/>
                      <w:sz w:val="24"/>
                      <w:szCs w:val="24"/>
                      <w:highlight w:val="none"/>
                      <w:u w:val="single"/>
                    </w:rPr>
                    <w:t>固件设置的恢复出厂</w:t>
                  </w:r>
                  <w:r>
                    <w:rPr>
                      <w:rFonts w:hint="eastAsia" w:ascii="宋体" w:hAnsi="宋体" w:eastAsia="宋体" w:cs="宋体"/>
                      <w:i/>
                      <w:iCs/>
                      <w:color w:val="auto"/>
                      <w:spacing w:val="-3"/>
                      <w:sz w:val="24"/>
                      <w:szCs w:val="24"/>
                      <w:highlight w:val="none"/>
                      <w:u w:val="single"/>
                    </w:rPr>
                    <w:t>功能；</w:t>
                  </w:r>
                </w:p>
                <w:p w14:paraId="3E739CE0">
                  <w:pPr>
                    <w:spacing w:before="5" w:line="202" w:lineRule="auto"/>
                    <w:ind w:left="116"/>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n）支持网络引导启用和关闭功能</w:t>
                  </w:r>
                </w:p>
              </w:tc>
            </w:tr>
            <w:tr w14:paraId="0A4660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3FB637D8">
                  <w:pPr>
                    <w:spacing w:before="155"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67</w:t>
                  </w:r>
                </w:p>
              </w:tc>
              <w:tc>
                <w:tcPr>
                  <w:tcW w:w="1239" w:type="dxa"/>
                  <w:vMerge w:val="continue"/>
                  <w:tcBorders>
                    <w:top w:val="nil"/>
                  </w:tcBorders>
                  <w:shd w:val="clear" w:color="auto" w:fill="auto"/>
                  <w:noWrap w:val="0"/>
                  <w:vAlign w:val="center"/>
                </w:tcPr>
                <w:p w14:paraId="0FFA25B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5DB78A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远程控制</w:t>
                  </w:r>
                </w:p>
              </w:tc>
              <w:tc>
                <w:tcPr>
                  <w:tcW w:w="4535" w:type="dxa"/>
                  <w:shd w:val="clear" w:color="auto" w:fill="auto"/>
                  <w:noWrap w:val="0"/>
                  <w:vAlign w:val="center"/>
                </w:tcPr>
                <w:p w14:paraId="4D2E4449">
                  <w:pPr>
                    <w:spacing w:before="162" w:line="221" w:lineRule="auto"/>
                    <w:ind w:left="11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支持远程关机和重新启动功能</w:t>
                  </w:r>
                </w:p>
              </w:tc>
            </w:tr>
            <w:tr w14:paraId="219A3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346AD46F">
                  <w:pPr>
                    <w:spacing w:before="277"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68</w:t>
                  </w:r>
                </w:p>
              </w:tc>
              <w:tc>
                <w:tcPr>
                  <w:tcW w:w="1239" w:type="dxa"/>
                  <w:vMerge w:val="restart"/>
                  <w:tcBorders>
                    <w:bottom w:val="nil"/>
                  </w:tcBorders>
                  <w:shd w:val="clear" w:color="auto" w:fill="auto"/>
                  <w:noWrap w:val="0"/>
                  <w:vAlign w:val="center"/>
                </w:tcPr>
                <w:p w14:paraId="78FF646C">
                  <w:pPr>
                    <w:spacing w:before="58" w:line="22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操作</w:t>
                  </w:r>
                </w:p>
                <w:p w14:paraId="69ECBAB4">
                  <w:pPr>
                    <w:spacing w:before="23" w:line="221" w:lineRule="auto"/>
                    <w:ind w:left="192"/>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系统</w:t>
                  </w:r>
                </w:p>
                <w:p w14:paraId="7E3EC227">
                  <w:pPr>
                    <w:spacing w:before="24" w:line="222" w:lineRule="auto"/>
                    <w:ind w:left="18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及驱</w:t>
                  </w:r>
                </w:p>
                <w:p w14:paraId="0B4DB2A0">
                  <w:pPr>
                    <w:spacing w:before="23" w:line="222" w:lineRule="auto"/>
                    <w:ind w:left="18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动功</w:t>
                  </w:r>
                </w:p>
                <w:p w14:paraId="55A65E87">
                  <w:pPr>
                    <w:spacing w:before="24" w:line="222" w:lineRule="auto"/>
                    <w:ind w:left="2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能</w:t>
                  </w:r>
                </w:p>
              </w:tc>
              <w:tc>
                <w:tcPr>
                  <w:tcW w:w="1335" w:type="dxa"/>
                  <w:shd w:val="clear" w:color="auto" w:fill="auto"/>
                  <w:noWrap w:val="0"/>
                  <w:vAlign w:val="center"/>
                </w:tcPr>
                <w:p w14:paraId="2A729D08">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操作系统及驱动的升级</w:t>
                  </w:r>
                </w:p>
              </w:tc>
              <w:tc>
                <w:tcPr>
                  <w:tcW w:w="4535" w:type="dxa"/>
                  <w:shd w:val="clear" w:color="auto" w:fill="auto"/>
                  <w:noWrap w:val="0"/>
                  <w:vAlign w:val="center"/>
                </w:tcPr>
                <w:p w14:paraId="19F5C369">
                  <w:pPr>
                    <w:spacing w:before="164" w:line="247" w:lineRule="auto"/>
                    <w:ind w:left="112" w:right="41" w:firstLine="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支持通过网络、闪存盘对操作系统、</w:t>
                  </w:r>
                  <w:r>
                    <w:rPr>
                      <w:rFonts w:hint="eastAsia" w:ascii="宋体" w:hAnsi="宋体" w:eastAsia="宋体" w:cs="宋体"/>
                      <w:i/>
                      <w:iCs/>
                      <w:color w:val="auto"/>
                      <w:spacing w:val="-1"/>
                      <w:sz w:val="24"/>
                      <w:szCs w:val="24"/>
                      <w:highlight w:val="none"/>
                      <w:u w:val="single"/>
                    </w:rPr>
                    <w:t>驱动进行升级</w:t>
                  </w:r>
                </w:p>
              </w:tc>
            </w:tr>
            <w:tr w14:paraId="39861D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4B78E2AC">
                  <w:pPr>
                    <w:spacing w:before="277"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69</w:t>
                  </w:r>
                </w:p>
              </w:tc>
              <w:tc>
                <w:tcPr>
                  <w:tcW w:w="1239" w:type="dxa"/>
                  <w:vMerge w:val="continue"/>
                  <w:tcBorders>
                    <w:top w:val="nil"/>
                    <w:bottom w:val="nil"/>
                  </w:tcBorders>
                  <w:shd w:val="clear" w:color="auto" w:fill="auto"/>
                  <w:noWrap w:val="0"/>
                  <w:vAlign w:val="center"/>
                </w:tcPr>
                <w:p w14:paraId="572662E7">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B8BB26B">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操作系统</w:t>
                  </w:r>
                </w:p>
                <w:p w14:paraId="364D5485">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及驱动的</w:t>
                  </w:r>
                </w:p>
                <w:p w14:paraId="046A9DA1">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备份还原</w:t>
                  </w:r>
                </w:p>
              </w:tc>
              <w:tc>
                <w:tcPr>
                  <w:tcW w:w="4535" w:type="dxa"/>
                  <w:shd w:val="clear" w:color="auto" w:fill="auto"/>
                  <w:noWrap w:val="0"/>
                  <w:vAlign w:val="center"/>
                </w:tcPr>
                <w:p w14:paraId="7F983881">
                  <w:pPr>
                    <w:spacing w:before="283" w:line="221" w:lineRule="auto"/>
                    <w:ind w:left="11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支持操作系统备份及还原功能</w:t>
                  </w:r>
                </w:p>
              </w:tc>
            </w:tr>
            <w:tr w14:paraId="4CA86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719" w:type="dxa"/>
                  <w:shd w:val="clear" w:color="auto" w:fill="auto"/>
                  <w:noWrap w:val="0"/>
                  <w:vAlign w:val="center"/>
                </w:tcPr>
                <w:p w14:paraId="5D0D4C4B">
                  <w:pPr>
                    <w:spacing w:before="58"/>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70</w:t>
                  </w:r>
                </w:p>
              </w:tc>
              <w:tc>
                <w:tcPr>
                  <w:tcW w:w="1239" w:type="dxa"/>
                  <w:vMerge w:val="continue"/>
                  <w:tcBorders>
                    <w:top w:val="nil"/>
                  </w:tcBorders>
                  <w:shd w:val="clear" w:color="auto" w:fill="auto"/>
                  <w:noWrap w:val="0"/>
                  <w:vAlign w:val="center"/>
                </w:tcPr>
                <w:p w14:paraId="3127A912">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427DA9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操作系统功能</w:t>
                  </w:r>
                </w:p>
              </w:tc>
              <w:tc>
                <w:tcPr>
                  <w:tcW w:w="4535" w:type="dxa"/>
                  <w:shd w:val="clear" w:color="auto" w:fill="auto"/>
                  <w:noWrap w:val="0"/>
                  <w:vAlign w:val="center"/>
                </w:tcPr>
                <w:p w14:paraId="4C7FFC41">
                  <w:pPr>
                    <w:spacing w:before="44" w:line="243" w:lineRule="auto"/>
                    <w:ind w:left="113" w:right="103"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a) 支持访问控制、安全审计、网络</w:t>
                  </w:r>
                  <w:r>
                    <w:rPr>
                      <w:rFonts w:hint="eastAsia" w:ascii="宋体" w:hAnsi="宋体" w:eastAsia="宋体" w:cs="宋体"/>
                      <w:i/>
                      <w:iCs/>
                      <w:color w:val="auto"/>
                      <w:spacing w:val="-1"/>
                      <w:sz w:val="24"/>
                      <w:szCs w:val="24"/>
                      <w:highlight w:val="none"/>
                      <w:u w:val="single"/>
                    </w:rPr>
                    <w:t>接入鉴别等功能；</w:t>
                  </w:r>
                </w:p>
                <w:p w14:paraId="6ACABDE6">
                  <w:pPr>
                    <w:spacing w:before="6" w:line="222" w:lineRule="auto"/>
                    <w:ind w:left="117" w:right="259"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b) 操作系统其他功能应满足操作系统政府采购需求标准中加*的指</w:t>
                  </w:r>
                  <w:r>
                    <w:rPr>
                      <w:rFonts w:hint="eastAsia" w:ascii="宋体" w:hAnsi="宋体" w:eastAsia="宋体" w:cs="宋体"/>
                      <w:i/>
                      <w:iCs/>
                      <w:color w:val="auto"/>
                      <w:spacing w:val="-2"/>
                      <w:sz w:val="24"/>
                      <w:szCs w:val="24"/>
                      <w:highlight w:val="none"/>
                      <w:u w:val="single"/>
                    </w:rPr>
                    <w:t>标要求</w:t>
                  </w:r>
                </w:p>
              </w:tc>
            </w:tr>
            <w:tr w14:paraId="570D82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5CD4A951">
                  <w:pPr>
                    <w:spacing w:before="59" w:line="239"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71</w:t>
                  </w:r>
                </w:p>
              </w:tc>
              <w:tc>
                <w:tcPr>
                  <w:tcW w:w="1239" w:type="dxa"/>
                  <w:shd w:val="clear" w:color="auto" w:fill="auto"/>
                  <w:noWrap w:val="0"/>
                  <w:vAlign w:val="center"/>
                </w:tcPr>
                <w:p w14:paraId="27655DD6">
                  <w:pPr>
                    <w:spacing w:before="38" w:line="246" w:lineRule="auto"/>
                    <w:ind w:left="188" w:right="141" w:hanging="4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中文</w:t>
                  </w:r>
                  <w:r>
                    <w:rPr>
                      <w:rFonts w:hint="eastAsia" w:ascii="宋体" w:hAnsi="宋体" w:eastAsia="宋体" w:cs="宋体"/>
                      <w:color w:val="auto"/>
                      <w:spacing w:val="-4"/>
                      <w:sz w:val="24"/>
                      <w:szCs w:val="24"/>
                      <w:highlight w:val="none"/>
                      <w:lang w:eastAsia="en-US"/>
                    </w:rPr>
                    <w:t>信息处理</w:t>
                  </w:r>
                  <w:r>
                    <w:rPr>
                      <w:rFonts w:hint="eastAsia" w:ascii="宋体" w:hAnsi="宋体" w:eastAsia="宋体" w:cs="宋体"/>
                      <w:color w:val="auto"/>
                      <w:spacing w:val="-5"/>
                      <w:sz w:val="24"/>
                      <w:szCs w:val="24"/>
                      <w:highlight w:val="none"/>
                      <w:lang w:eastAsia="en-US"/>
                    </w:rPr>
                    <w:t>功能</w:t>
                  </w:r>
                </w:p>
              </w:tc>
              <w:tc>
                <w:tcPr>
                  <w:tcW w:w="1335" w:type="dxa"/>
                  <w:shd w:val="clear" w:color="auto" w:fill="auto"/>
                  <w:noWrap w:val="0"/>
                  <w:vAlign w:val="center"/>
                </w:tcPr>
                <w:p w14:paraId="63A88FE0">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中文信息处理</w:t>
                  </w:r>
                </w:p>
              </w:tc>
              <w:tc>
                <w:tcPr>
                  <w:tcW w:w="4535" w:type="dxa"/>
                  <w:shd w:val="clear" w:color="auto" w:fill="auto"/>
                  <w:noWrap w:val="0"/>
                  <w:vAlign w:val="center"/>
                </w:tcPr>
                <w:p w14:paraId="1A9F415C">
                  <w:pPr>
                    <w:widowControl/>
                    <w:spacing w:line="337" w:lineRule="auto"/>
                    <w:rPr>
                      <w:rFonts w:hint="default" w:ascii="宋体" w:hAnsi="宋体" w:eastAsia="宋体" w:cs="宋体"/>
                      <w:i/>
                      <w:iCs/>
                      <w:color w:val="auto"/>
                      <w:sz w:val="24"/>
                      <w:szCs w:val="24"/>
                      <w:highlight w:val="none"/>
                      <w:u w:val="single"/>
                    </w:rPr>
                  </w:pPr>
                </w:p>
                <w:p w14:paraId="47C37CDF">
                  <w:pPr>
                    <w:spacing w:before="58" w:line="222"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符合GB18030的有关规定</w:t>
                  </w:r>
                </w:p>
              </w:tc>
            </w:tr>
            <w:tr w14:paraId="6223B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0D681FA4">
                  <w:pPr>
                    <w:spacing w:before="273" w:line="240"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72</w:t>
                  </w:r>
                </w:p>
              </w:tc>
              <w:tc>
                <w:tcPr>
                  <w:tcW w:w="1239" w:type="dxa"/>
                  <w:vMerge w:val="restart"/>
                  <w:tcBorders>
                    <w:bottom w:val="nil"/>
                  </w:tcBorders>
                  <w:shd w:val="clear" w:color="auto" w:fill="auto"/>
                  <w:noWrap w:val="0"/>
                  <w:vAlign w:val="center"/>
                </w:tcPr>
                <w:p w14:paraId="1D96C399">
                  <w:pPr>
                    <w:spacing w:before="58" w:line="248" w:lineRule="auto"/>
                    <w:ind w:righ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机柜</w:t>
                  </w:r>
                  <w:r>
                    <w:rPr>
                      <w:rFonts w:hint="eastAsia" w:ascii="宋体" w:hAnsi="宋体" w:eastAsia="宋体" w:cs="宋体"/>
                      <w:color w:val="auto"/>
                      <w:spacing w:val="-5"/>
                      <w:sz w:val="24"/>
                      <w:szCs w:val="24"/>
                      <w:highlight w:val="none"/>
                      <w:lang w:eastAsia="en-US"/>
                    </w:rPr>
                    <w:t>功能</w:t>
                  </w:r>
                </w:p>
              </w:tc>
              <w:tc>
                <w:tcPr>
                  <w:tcW w:w="1335" w:type="dxa"/>
                  <w:shd w:val="clear" w:color="auto" w:fill="auto"/>
                  <w:noWrap w:val="0"/>
                  <w:vAlign w:val="center"/>
                </w:tcPr>
                <w:p w14:paraId="5F70308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机柜管理功能</w:t>
                  </w:r>
                </w:p>
              </w:tc>
              <w:tc>
                <w:tcPr>
                  <w:tcW w:w="4535" w:type="dxa"/>
                  <w:shd w:val="clear" w:color="auto" w:fill="auto"/>
                  <w:noWrap w:val="0"/>
                  <w:vAlign w:val="center"/>
                </w:tcPr>
                <w:p w14:paraId="239DB379">
                  <w:pPr>
                    <w:spacing w:before="42" w:line="230" w:lineRule="auto"/>
                    <w:ind w:left="114" w:right="168"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机柜管理系统包括服务器节点BMC管理系统、机柜管理系统或交换节</w:t>
                  </w:r>
                  <w:r>
                    <w:rPr>
                      <w:rFonts w:hint="eastAsia" w:ascii="宋体" w:hAnsi="宋体" w:eastAsia="宋体" w:cs="宋体"/>
                      <w:i/>
                      <w:iCs/>
                      <w:color w:val="auto"/>
                      <w:spacing w:val="-2"/>
                      <w:sz w:val="24"/>
                      <w:szCs w:val="24"/>
                      <w:highlight w:val="none"/>
                      <w:u w:val="single"/>
                    </w:rPr>
                    <w:t>点管理系统</w:t>
                  </w:r>
                </w:p>
              </w:tc>
            </w:tr>
            <w:tr w14:paraId="56DB0E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5B0DF0CD">
                  <w:pPr>
                    <w:spacing w:before="273" w:line="237"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73</w:t>
                  </w:r>
                </w:p>
              </w:tc>
              <w:tc>
                <w:tcPr>
                  <w:tcW w:w="1239" w:type="dxa"/>
                  <w:vMerge w:val="continue"/>
                  <w:tcBorders>
                    <w:top w:val="nil"/>
                    <w:bottom w:val="nil"/>
                  </w:tcBorders>
                  <w:shd w:val="clear" w:color="auto" w:fill="auto"/>
                  <w:noWrap w:val="0"/>
                  <w:vAlign w:val="center"/>
                </w:tcPr>
                <w:p w14:paraId="64C419B2">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F6B26A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机柜通信方式</w:t>
                  </w:r>
                </w:p>
              </w:tc>
              <w:tc>
                <w:tcPr>
                  <w:tcW w:w="4535" w:type="dxa"/>
                  <w:shd w:val="clear" w:color="auto" w:fill="auto"/>
                  <w:noWrap w:val="0"/>
                  <w:vAlign w:val="center"/>
                </w:tcPr>
                <w:p w14:paraId="0AFD0C59">
                  <w:pPr>
                    <w:spacing w:before="39" w:line="231" w:lineRule="auto"/>
                    <w:ind w:left="112" w:right="168"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若配备机柜管理板可实现包括：资产管理、电源模块、功耗管理和液冷漏液检测等功能</w:t>
                  </w:r>
                </w:p>
              </w:tc>
            </w:tr>
            <w:tr w14:paraId="48591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126D1B87">
                  <w:pPr>
                    <w:spacing w:before="273" w:line="239"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74</w:t>
                  </w:r>
                </w:p>
              </w:tc>
              <w:tc>
                <w:tcPr>
                  <w:tcW w:w="1239" w:type="dxa"/>
                  <w:vMerge w:val="continue"/>
                  <w:tcBorders>
                    <w:top w:val="nil"/>
                  </w:tcBorders>
                  <w:shd w:val="clear" w:color="auto" w:fill="auto"/>
                  <w:noWrap w:val="0"/>
                  <w:vAlign w:val="center"/>
                </w:tcPr>
                <w:p w14:paraId="78BB5DE4">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F50447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多集群作业管理</w:t>
                  </w:r>
                </w:p>
              </w:tc>
              <w:tc>
                <w:tcPr>
                  <w:tcW w:w="4535" w:type="dxa"/>
                  <w:shd w:val="clear" w:color="auto" w:fill="auto"/>
                  <w:noWrap w:val="0"/>
                  <w:vAlign w:val="center"/>
                </w:tcPr>
                <w:p w14:paraId="2991A605">
                  <w:pPr>
                    <w:spacing w:before="280" w:line="221" w:lineRule="auto"/>
                    <w:ind w:left="11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支持多集群作业管理功能</w:t>
                  </w:r>
                </w:p>
              </w:tc>
            </w:tr>
            <w:tr w14:paraId="6CA678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 w:hRule="atLeast"/>
                <w:jc w:val="center"/>
              </w:trPr>
              <w:tc>
                <w:tcPr>
                  <w:tcW w:w="719" w:type="dxa"/>
                  <w:shd w:val="clear" w:color="auto" w:fill="auto"/>
                  <w:noWrap w:val="0"/>
                  <w:vAlign w:val="center"/>
                </w:tcPr>
                <w:p w14:paraId="481E4795">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75</w:t>
                  </w:r>
                </w:p>
              </w:tc>
              <w:tc>
                <w:tcPr>
                  <w:tcW w:w="1239" w:type="dxa"/>
                  <w:shd w:val="clear" w:color="auto" w:fill="auto"/>
                  <w:noWrap w:val="0"/>
                  <w:vAlign w:val="center"/>
                </w:tcPr>
                <w:p w14:paraId="5EBC59C6">
                  <w:pPr>
                    <w:spacing w:before="59" w:line="247" w:lineRule="auto"/>
                    <w:ind w:right="174"/>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关键</w:t>
                  </w:r>
                  <w:r>
                    <w:rPr>
                      <w:rFonts w:hint="eastAsia" w:ascii="宋体" w:hAnsi="宋体" w:eastAsia="宋体" w:cs="宋体"/>
                      <w:color w:val="auto"/>
                      <w:spacing w:val="-3"/>
                      <w:sz w:val="24"/>
                      <w:szCs w:val="24"/>
                      <w:highlight w:val="none"/>
                      <w:lang w:eastAsia="en-US"/>
                    </w:rPr>
                    <w:t>部件安全要求</w:t>
                  </w:r>
                </w:p>
              </w:tc>
              <w:tc>
                <w:tcPr>
                  <w:tcW w:w="1335" w:type="dxa"/>
                  <w:shd w:val="clear" w:color="auto" w:fill="auto"/>
                  <w:noWrap w:val="0"/>
                  <w:vAlign w:val="center"/>
                </w:tcPr>
                <w:p w14:paraId="56E5569F">
                  <w:pPr>
                    <w:spacing w:before="59" w:line="223"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关键部件</w:t>
                  </w:r>
                </w:p>
                <w:p w14:paraId="754F1ECF">
                  <w:pPr>
                    <w:spacing w:before="7" w:line="238" w:lineRule="auto"/>
                    <w:ind w:left="117"/>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安全要求</w:t>
                  </w:r>
                </w:p>
              </w:tc>
              <w:tc>
                <w:tcPr>
                  <w:tcW w:w="4535" w:type="dxa"/>
                  <w:shd w:val="clear" w:color="auto" w:fill="auto"/>
                  <w:noWrap w:val="0"/>
                  <w:vAlign w:val="center"/>
                </w:tcPr>
                <w:p w14:paraId="67CF3DE1">
                  <w:pPr>
                    <w:spacing w:before="58" w:line="248" w:lineRule="auto"/>
                    <w:ind w:right="21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CPU和操作系统等关键部件应当符</w:t>
                  </w:r>
                  <w:r>
                    <w:rPr>
                      <w:rFonts w:hint="eastAsia" w:ascii="宋体" w:hAnsi="宋体" w:eastAsia="宋体" w:cs="宋体"/>
                      <w:i/>
                      <w:iCs/>
                      <w:color w:val="auto"/>
                      <w:spacing w:val="-1"/>
                      <w:sz w:val="24"/>
                      <w:szCs w:val="24"/>
                      <w:highlight w:val="none"/>
                      <w:u w:val="single"/>
                    </w:rPr>
                    <w:t>合安全可靠测评要求</w:t>
                  </w:r>
                </w:p>
              </w:tc>
            </w:tr>
            <w:tr w14:paraId="7A0949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7B14B2F0">
                  <w:pPr>
                    <w:spacing w:before="273" w:line="242" w:lineRule="auto"/>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76</w:t>
                  </w:r>
                </w:p>
              </w:tc>
              <w:tc>
                <w:tcPr>
                  <w:tcW w:w="1239" w:type="dxa"/>
                  <w:vMerge w:val="restart"/>
                  <w:tcBorders>
                    <w:bottom w:val="nil"/>
                  </w:tcBorders>
                  <w:shd w:val="clear" w:color="auto" w:fill="auto"/>
                  <w:noWrap w:val="0"/>
                  <w:vAlign w:val="center"/>
                </w:tcPr>
                <w:p w14:paraId="2A7506E6">
                  <w:pPr>
                    <w:spacing w:before="58" w:line="247"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固件</w:t>
                  </w:r>
                  <w:r>
                    <w:rPr>
                      <w:rFonts w:hint="eastAsia" w:ascii="宋体" w:hAnsi="宋体" w:eastAsia="宋体" w:cs="宋体"/>
                      <w:color w:val="auto"/>
                      <w:spacing w:val="-3"/>
                      <w:sz w:val="24"/>
                      <w:szCs w:val="24"/>
                      <w:highlight w:val="none"/>
                      <w:lang w:eastAsia="en-US"/>
                    </w:rPr>
                    <w:t>安全要求</w:t>
                  </w:r>
                </w:p>
              </w:tc>
              <w:tc>
                <w:tcPr>
                  <w:tcW w:w="1335" w:type="dxa"/>
                  <w:shd w:val="clear" w:color="auto" w:fill="auto"/>
                  <w:noWrap w:val="0"/>
                  <w:vAlign w:val="center"/>
                </w:tcPr>
                <w:p w14:paraId="71CB122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故障检测</w:t>
                  </w:r>
                </w:p>
              </w:tc>
              <w:tc>
                <w:tcPr>
                  <w:tcW w:w="4535" w:type="dxa"/>
                  <w:shd w:val="clear" w:color="auto" w:fill="auto"/>
                  <w:noWrap w:val="0"/>
                  <w:vAlign w:val="center"/>
                </w:tcPr>
                <w:p w14:paraId="14A957F9">
                  <w:pPr>
                    <w:spacing w:before="39" w:line="231" w:lineRule="auto"/>
                    <w:ind w:left="113" w:right="103" w:firstLine="6"/>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支持故障检测功能，可以检测到具</w:t>
                  </w:r>
                  <w:r>
                    <w:rPr>
                      <w:rFonts w:hint="eastAsia" w:ascii="宋体" w:hAnsi="宋体" w:eastAsia="宋体" w:cs="宋体"/>
                      <w:i/>
                      <w:iCs/>
                      <w:color w:val="auto"/>
                      <w:spacing w:val="-5"/>
                      <w:sz w:val="24"/>
                      <w:szCs w:val="24"/>
                      <w:highlight w:val="none"/>
                      <w:u w:val="single"/>
                    </w:rPr>
                    <w:t>体的FRU（内存、硬盘等）的故障并</w:t>
                  </w:r>
                  <w:r>
                    <w:rPr>
                      <w:rFonts w:hint="eastAsia" w:ascii="宋体" w:hAnsi="宋体" w:eastAsia="宋体" w:cs="宋体"/>
                      <w:i/>
                      <w:iCs/>
                      <w:color w:val="auto"/>
                      <w:spacing w:val="-2"/>
                      <w:sz w:val="24"/>
                      <w:szCs w:val="24"/>
                      <w:highlight w:val="none"/>
                      <w:u w:val="single"/>
                    </w:rPr>
                    <w:t>发出告警</w:t>
                  </w:r>
                </w:p>
              </w:tc>
            </w:tr>
            <w:tr w14:paraId="1A25E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0902811C">
                  <w:pPr>
                    <w:spacing w:before="59" w:line="239"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77</w:t>
                  </w:r>
                </w:p>
              </w:tc>
              <w:tc>
                <w:tcPr>
                  <w:tcW w:w="1239" w:type="dxa"/>
                  <w:vMerge w:val="continue"/>
                  <w:tcBorders>
                    <w:top w:val="nil"/>
                    <w:bottom w:val="nil"/>
                  </w:tcBorders>
                  <w:shd w:val="clear" w:color="auto" w:fill="auto"/>
                  <w:noWrap w:val="0"/>
                  <w:vAlign w:val="center"/>
                </w:tcPr>
                <w:p w14:paraId="6C9AA75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0234699">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内存故障</w:t>
                  </w:r>
                </w:p>
                <w:p w14:paraId="2FB74C08">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智能预测</w:t>
                  </w:r>
                </w:p>
                <w:p w14:paraId="759ABB6A">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和自愈修复</w:t>
                  </w:r>
                </w:p>
              </w:tc>
              <w:tc>
                <w:tcPr>
                  <w:tcW w:w="4535" w:type="dxa"/>
                  <w:shd w:val="clear" w:color="auto" w:fill="auto"/>
                  <w:noWrap w:val="0"/>
                  <w:vAlign w:val="center"/>
                </w:tcPr>
                <w:p w14:paraId="769F309B">
                  <w:pPr>
                    <w:spacing w:before="39" w:line="222" w:lineRule="auto"/>
                    <w:ind w:left="11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支持内存故障智能预测和自愈修</w:t>
                  </w:r>
                </w:p>
                <w:p w14:paraId="10B6C9FF">
                  <w:pPr>
                    <w:spacing w:before="25" w:line="230" w:lineRule="auto"/>
                    <w:ind w:left="117" w:right="168"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复，提前自动硬隔离，避免内存故障引起的非预期宕机以及内存寿命</w:t>
                  </w:r>
                  <w:r>
                    <w:rPr>
                      <w:rFonts w:hint="eastAsia" w:ascii="宋体" w:hAnsi="宋体" w:eastAsia="宋体" w:cs="宋体"/>
                      <w:i/>
                      <w:iCs/>
                      <w:color w:val="auto"/>
                      <w:spacing w:val="-4"/>
                      <w:sz w:val="24"/>
                      <w:szCs w:val="24"/>
                      <w:highlight w:val="none"/>
                      <w:u w:val="single"/>
                    </w:rPr>
                    <w:t>的降低</w:t>
                  </w:r>
                </w:p>
              </w:tc>
            </w:tr>
            <w:tr w14:paraId="30B581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35740EC1">
                  <w:pPr>
                    <w:spacing w:before="275" w:line="238"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78</w:t>
                  </w:r>
                </w:p>
              </w:tc>
              <w:tc>
                <w:tcPr>
                  <w:tcW w:w="1239" w:type="dxa"/>
                  <w:vMerge w:val="continue"/>
                  <w:tcBorders>
                    <w:top w:val="nil"/>
                    <w:bottom w:val="nil"/>
                  </w:tcBorders>
                  <w:shd w:val="clear" w:color="auto" w:fill="auto"/>
                  <w:noWrap w:val="0"/>
                  <w:vAlign w:val="center"/>
                </w:tcPr>
                <w:p w14:paraId="0E256FC0">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1772DFB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硬盘故障智能预测</w:t>
                  </w:r>
                </w:p>
              </w:tc>
              <w:tc>
                <w:tcPr>
                  <w:tcW w:w="4535" w:type="dxa"/>
                  <w:shd w:val="clear" w:color="auto" w:fill="auto"/>
                  <w:noWrap w:val="0"/>
                  <w:vAlign w:val="center"/>
                </w:tcPr>
                <w:p w14:paraId="1FE51AC6">
                  <w:pPr>
                    <w:spacing w:before="162" w:line="248" w:lineRule="auto"/>
                    <w:ind w:left="112" w:right="168" w:firstLine="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支持硬盘故障智能预测，基于故障模型预测出硬盘的故障</w:t>
                  </w:r>
                </w:p>
              </w:tc>
            </w:tr>
            <w:tr w14:paraId="4A76C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74E69414">
                  <w:pPr>
                    <w:spacing w:before="275" w:line="237"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79</w:t>
                  </w:r>
                </w:p>
              </w:tc>
              <w:tc>
                <w:tcPr>
                  <w:tcW w:w="1239" w:type="dxa"/>
                  <w:vMerge w:val="continue"/>
                  <w:tcBorders>
                    <w:top w:val="nil"/>
                    <w:bottom w:val="nil"/>
                  </w:tcBorders>
                  <w:shd w:val="clear" w:color="auto" w:fill="auto"/>
                  <w:noWrap w:val="0"/>
                  <w:vAlign w:val="center"/>
                </w:tcPr>
                <w:p w14:paraId="7804F7E8">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6E592B0">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PCIe 链路故障智能诊断</w:t>
                  </w:r>
                </w:p>
              </w:tc>
              <w:tc>
                <w:tcPr>
                  <w:tcW w:w="4535" w:type="dxa"/>
                  <w:shd w:val="clear" w:color="auto" w:fill="auto"/>
                  <w:noWrap w:val="0"/>
                  <w:vAlign w:val="center"/>
                </w:tcPr>
                <w:p w14:paraId="34AAA564">
                  <w:pPr>
                    <w:spacing w:before="162" w:line="248" w:lineRule="auto"/>
                    <w:ind w:left="125" w:right="103" w:hanging="6"/>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支持PCIe链路故障智能诊断，判断</w:t>
                  </w:r>
                  <w:r>
                    <w:rPr>
                      <w:rFonts w:hint="eastAsia" w:ascii="宋体" w:hAnsi="宋体" w:eastAsia="宋体" w:cs="宋体"/>
                      <w:i/>
                      <w:iCs/>
                      <w:color w:val="auto"/>
                      <w:spacing w:val="2"/>
                      <w:sz w:val="24"/>
                      <w:szCs w:val="24"/>
                      <w:highlight w:val="none"/>
                      <w:u w:val="single"/>
                    </w:rPr>
                    <w:t>出现故障的</w:t>
                  </w:r>
                  <w:r>
                    <w:rPr>
                      <w:rFonts w:hint="eastAsia" w:ascii="宋体" w:hAnsi="宋体" w:eastAsia="宋体" w:cs="宋体"/>
                      <w:i/>
                      <w:iCs/>
                      <w:color w:val="auto"/>
                      <w:sz w:val="24"/>
                      <w:szCs w:val="24"/>
                      <w:highlight w:val="none"/>
                      <w:u w:val="single"/>
                    </w:rPr>
                    <w:t>PCIe</w:t>
                  </w:r>
                  <w:r>
                    <w:rPr>
                      <w:rFonts w:hint="eastAsia" w:ascii="宋体" w:hAnsi="宋体" w:eastAsia="宋体" w:cs="宋体"/>
                      <w:i/>
                      <w:iCs/>
                      <w:color w:val="auto"/>
                      <w:spacing w:val="2"/>
                      <w:sz w:val="24"/>
                      <w:szCs w:val="24"/>
                      <w:highlight w:val="none"/>
                      <w:u w:val="single"/>
                    </w:rPr>
                    <w:t>链路</w:t>
                  </w:r>
                </w:p>
              </w:tc>
            </w:tr>
            <w:tr w14:paraId="3DCCC4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4ACFDB8B">
                  <w:pPr>
                    <w:spacing w:before="275"/>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80</w:t>
                  </w:r>
                </w:p>
              </w:tc>
              <w:tc>
                <w:tcPr>
                  <w:tcW w:w="1239" w:type="dxa"/>
                  <w:vMerge w:val="continue"/>
                  <w:tcBorders>
                    <w:top w:val="nil"/>
                    <w:bottom w:val="nil"/>
                  </w:tcBorders>
                  <w:shd w:val="clear" w:color="auto" w:fill="auto"/>
                  <w:noWrap w:val="0"/>
                  <w:vAlign w:val="center"/>
                </w:tcPr>
                <w:p w14:paraId="6CFC1BE1">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C5FE39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内存故障隔离</w:t>
                  </w:r>
                </w:p>
              </w:tc>
              <w:tc>
                <w:tcPr>
                  <w:tcW w:w="4535" w:type="dxa"/>
                  <w:shd w:val="clear" w:color="auto" w:fill="auto"/>
                  <w:noWrap w:val="0"/>
                  <w:vAlign w:val="center"/>
                </w:tcPr>
                <w:p w14:paraId="30DF5128">
                  <w:pPr>
                    <w:spacing w:before="42" w:line="230" w:lineRule="auto"/>
                    <w:ind w:left="115" w:right="123" w:firstLine="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支持内存故障隔离，在内存产生CE</w:t>
                  </w:r>
                  <w:r>
                    <w:rPr>
                      <w:rFonts w:hint="eastAsia" w:ascii="宋体" w:hAnsi="宋体" w:eastAsia="宋体" w:cs="宋体"/>
                      <w:i/>
                      <w:iCs/>
                      <w:color w:val="auto"/>
                      <w:spacing w:val="-1"/>
                      <w:sz w:val="24"/>
                      <w:szCs w:val="24"/>
                      <w:highlight w:val="none"/>
                      <w:u w:val="single"/>
                    </w:rPr>
                    <w:t>故障时，内存地址被隔离成功，服务器正常运行，业务系统不中断</w:t>
                  </w:r>
                </w:p>
              </w:tc>
            </w:tr>
            <w:tr w14:paraId="6F018F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3093F3BD">
                  <w:pPr>
                    <w:spacing w:before="58"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81</w:t>
                  </w:r>
                </w:p>
              </w:tc>
              <w:tc>
                <w:tcPr>
                  <w:tcW w:w="1239" w:type="dxa"/>
                  <w:vMerge w:val="continue"/>
                  <w:tcBorders>
                    <w:top w:val="nil"/>
                    <w:bottom w:val="nil"/>
                  </w:tcBorders>
                  <w:shd w:val="clear" w:color="auto" w:fill="auto"/>
                  <w:noWrap w:val="0"/>
                  <w:vAlign w:val="center"/>
                </w:tcPr>
                <w:p w14:paraId="7EADA7C3">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101C875">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内存、PCIe卡的故障</w:t>
                  </w:r>
                </w:p>
                <w:p w14:paraId="023980A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精准告警功能</w:t>
                  </w:r>
                </w:p>
              </w:tc>
              <w:tc>
                <w:tcPr>
                  <w:tcW w:w="4535" w:type="dxa"/>
                  <w:shd w:val="clear" w:color="auto" w:fill="auto"/>
                  <w:noWrap w:val="0"/>
                  <w:vAlign w:val="center"/>
                </w:tcPr>
                <w:p w14:paraId="1C4B0057">
                  <w:pPr>
                    <w:spacing w:before="163" w:line="247" w:lineRule="auto"/>
                    <w:ind w:left="115" w:right="125" w:firstLine="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支持内存、PCIe卡的故障精准告警</w:t>
                  </w:r>
                  <w:r>
                    <w:rPr>
                      <w:rFonts w:hint="eastAsia" w:ascii="宋体" w:hAnsi="宋体" w:eastAsia="宋体" w:cs="宋体"/>
                      <w:i/>
                      <w:iCs/>
                      <w:color w:val="auto"/>
                      <w:spacing w:val="-1"/>
                      <w:sz w:val="24"/>
                      <w:szCs w:val="24"/>
                      <w:highlight w:val="none"/>
                      <w:u w:val="single"/>
                    </w:rPr>
                    <w:t>功能，触发告警并明确指示具体的</w:t>
                  </w:r>
                  <w:r>
                    <w:rPr>
                      <w:rFonts w:hint="eastAsia" w:ascii="宋体" w:hAnsi="宋体" w:eastAsia="宋体" w:cs="宋体"/>
                      <w:i/>
                      <w:iCs/>
                      <w:color w:val="auto"/>
                      <w:spacing w:val="-3"/>
                      <w:sz w:val="24"/>
                      <w:szCs w:val="24"/>
                      <w:highlight w:val="none"/>
                      <w:u w:val="single"/>
                    </w:rPr>
                    <w:t>故障位置</w:t>
                  </w:r>
                </w:p>
              </w:tc>
            </w:tr>
            <w:tr w14:paraId="1AB28F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710269D4">
                  <w:pPr>
                    <w:spacing w:before="275"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82</w:t>
                  </w:r>
                </w:p>
              </w:tc>
              <w:tc>
                <w:tcPr>
                  <w:tcW w:w="1239" w:type="dxa"/>
                  <w:vMerge w:val="continue"/>
                  <w:tcBorders>
                    <w:top w:val="nil"/>
                    <w:bottom w:val="nil"/>
                  </w:tcBorders>
                  <w:shd w:val="clear" w:color="auto" w:fill="auto"/>
                  <w:noWrap w:val="0"/>
                  <w:vAlign w:val="center"/>
                </w:tcPr>
                <w:p w14:paraId="6FED77F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3766FE2">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异常下电</w:t>
                  </w:r>
                </w:p>
                <w:p w14:paraId="107AD015">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关键数据保护</w:t>
                  </w:r>
                </w:p>
              </w:tc>
              <w:tc>
                <w:tcPr>
                  <w:tcW w:w="4535" w:type="dxa"/>
                  <w:shd w:val="clear" w:color="auto" w:fill="auto"/>
                  <w:noWrap w:val="0"/>
                  <w:vAlign w:val="center"/>
                </w:tcPr>
                <w:p w14:paraId="7B959304">
                  <w:pPr>
                    <w:spacing w:before="42" w:line="230" w:lineRule="auto"/>
                    <w:ind w:left="113" w:right="168" w:firstLine="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支持异常下电关键数据保护，支持数据备份恢复机制，防止系统异常掉电导致的数据文件丢失</w:t>
                  </w:r>
                </w:p>
              </w:tc>
            </w:tr>
            <w:tr w14:paraId="6B6DD4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48ECE632">
                  <w:pPr>
                    <w:spacing w:before="277"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83</w:t>
                  </w:r>
                </w:p>
              </w:tc>
              <w:tc>
                <w:tcPr>
                  <w:tcW w:w="1239" w:type="dxa"/>
                  <w:vMerge w:val="continue"/>
                  <w:tcBorders>
                    <w:top w:val="nil"/>
                    <w:bottom w:val="nil"/>
                  </w:tcBorders>
                  <w:shd w:val="clear" w:color="auto" w:fill="auto"/>
                  <w:noWrap w:val="0"/>
                  <w:vAlign w:val="center"/>
                </w:tcPr>
                <w:p w14:paraId="35D55EE4">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234D727">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BMC/BIOS固件双镜像保护</w:t>
                  </w:r>
                </w:p>
              </w:tc>
              <w:tc>
                <w:tcPr>
                  <w:tcW w:w="4535" w:type="dxa"/>
                  <w:shd w:val="clear" w:color="auto" w:fill="auto"/>
                  <w:noWrap w:val="0"/>
                  <w:vAlign w:val="center"/>
                </w:tcPr>
                <w:p w14:paraId="3BC5E65D">
                  <w:pPr>
                    <w:spacing w:before="42" w:line="246" w:lineRule="auto"/>
                    <w:ind w:left="113" w:right="103" w:firstLine="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支持BMC/BIOS固件双镜像保护，运</w:t>
                  </w:r>
                  <w:r>
                    <w:rPr>
                      <w:rFonts w:hint="eastAsia" w:ascii="宋体" w:hAnsi="宋体" w:eastAsia="宋体" w:cs="宋体"/>
                      <w:i/>
                      <w:iCs/>
                      <w:color w:val="auto"/>
                      <w:spacing w:val="-1"/>
                      <w:sz w:val="24"/>
                      <w:szCs w:val="24"/>
                      <w:highlight w:val="none"/>
                      <w:u w:val="single"/>
                    </w:rPr>
                    <w:t>行异常时自动切换到备份镜像运</w:t>
                  </w:r>
                </w:p>
                <w:p w14:paraId="7870411B">
                  <w:pPr>
                    <w:spacing w:line="197"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行，提升系统稳定性</w:t>
                  </w:r>
                </w:p>
              </w:tc>
            </w:tr>
            <w:tr w14:paraId="1D9F2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1B799E2C">
                  <w:pPr>
                    <w:widowControl/>
                    <w:spacing w:line="336" w:lineRule="auto"/>
                    <w:jc w:val="center"/>
                    <w:rPr>
                      <w:rFonts w:hint="default" w:ascii="宋体" w:hAnsi="宋体" w:eastAsia="宋体" w:cs="宋体"/>
                      <w:color w:val="auto"/>
                      <w:sz w:val="24"/>
                      <w:szCs w:val="24"/>
                      <w:highlight w:val="none"/>
                    </w:rPr>
                  </w:pPr>
                </w:p>
                <w:p w14:paraId="64F1B449">
                  <w:pPr>
                    <w:spacing w:before="58" w:line="238"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84</w:t>
                  </w:r>
                </w:p>
              </w:tc>
              <w:tc>
                <w:tcPr>
                  <w:tcW w:w="1239" w:type="dxa"/>
                  <w:vMerge w:val="continue"/>
                  <w:tcBorders>
                    <w:top w:val="nil"/>
                    <w:bottom w:val="nil"/>
                  </w:tcBorders>
                  <w:shd w:val="clear" w:color="auto" w:fill="auto"/>
                  <w:noWrap w:val="0"/>
                  <w:vAlign w:val="center"/>
                </w:tcPr>
                <w:p w14:paraId="7E0067A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525A4E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CPU 核重启隔离</w:t>
                  </w:r>
                </w:p>
              </w:tc>
              <w:tc>
                <w:tcPr>
                  <w:tcW w:w="4535" w:type="dxa"/>
                  <w:shd w:val="clear" w:color="auto" w:fill="auto"/>
                  <w:noWrap w:val="0"/>
                  <w:vAlign w:val="center"/>
                </w:tcPr>
                <w:p w14:paraId="6092ADBC">
                  <w:pPr>
                    <w:spacing w:before="44" w:line="213" w:lineRule="auto"/>
                    <w:ind w:left="11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支持CPU核发生不可纠正故障后，</w:t>
                  </w:r>
                </w:p>
                <w:p w14:paraId="69A50073">
                  <w:pPr>
                    <w:spacing w:before="32" w:line="229" w:lineRule="auto"/>
                    <w:ind w:left="115" w:right="103"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重启后由</w:t>
                  </w:r>
                  <w:r>
                    <w:rPr>
                      <w:rFonts w:hint="eastAsia" w:ascii="宋体" w:hAnsi="宋体" w:eastAsia="宋体" w:cs="宋体"/>
                      <w:i/>
                      <w:iCs/>
                      <w:color w:val="auto"/>
                      <w:sz w:val="24"/>
                      <w:szCs w:val="24"/>
                      <w:highlight w:val="none"/>
                      <w:u w:val="single"/>
                    </w:rPr>
                    <w:t>BIOS</w:t>
                  </w:r>
                  <w:r>
                    <w:rPr>
                      <w:rFonts w:hint="eastAsia" w:ascii="宋体" w:hAnsi="宋体" w:eastAsia="宋体" w:cs="宋体"/>
                      <w:i/>
                      <w:iCs/>
                      <w:color w:val="auto"/>
                      <w:spacing w:val="1"/>
                      <w:sz w:val="24"/>
                      <w:szCs w:val="24"/>
                      <w:highlight w:val="none"/>
                      <w:u w:val="single"/>
                    </w:rPr>
                    <w:t>隔离该故障核，</w:t>
                  </w:r>
                  <w:r>
                    <w:rPr>
                      <w:rFonts w:hint="eastAsia" w:ascii="宋体" w:hAnsi="宋体" w:eastAsia="宋体" w:cs="宋体"/>
                      <w:i/>
                      <w:iCs/>
                      <w:color w:val="auto"/>
                      <w:sz w:val="24"/>
                      <w:szCs w:val="24"/>
                      <w:highlight w:val="none"/>
                      <w:u w:val="single"/>
                    </w:rPr>
                    <w:t>OS</w:t>
                  </w:r>
                  <w:r>
                    <w:rPr>
                      <w:rFonts w:hint="eastAsia" w:ascii="宋体" w:hAnsi="宋体" w:eastAsia="宋体" w:cs="宋体"/>
                      <w:i/>
                      <w:iCs/>
                      <w:color w:val="auto"/>
                      <w:spacing w:val="-3"/>
                      <w:sz w:val="24"/>
                      <w:szCs w:val="24"/>
                      <w:highlight w:val="none"/>
                      <w:u w:val="single"/>
                    </w:rPr>
                    <w:t>不可见，防止OS再次使用导致系统</w:t>
                  </w:r>
                  <w:r>
                    <w:rPr>
                      <w:rFonts w:hint="eastAsia" w:ascii="宋体" w:hAnsi="宋体" w:eastAsia="宋体" w:cs="宋体"/>
                      <w:i/>
                      <w:iCs/>
                      <w:color w:val="auto"/>
                      <w:spacing w:val="-5"/>
                      <w:sz w:val="24"/>
                      <w:szCs w:val="24"/>
                      <w:highlight w:val="none"/>
                      <w:u w:val="single"/>
                    </w:rPr>
                    <w:t>异常，核0除外</w:t>
                  </w:r>
                </w:p>
              </w:tc>
            </w:tr>
            <w:tr w14:paraId="4B68FF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jc w:val="center"/>
              </w:trPr>
              <w:tc>
                <w:tcPr>
                  <w:tcW w:w="719" w:type="dxa"/>
                  <w:shd w:val="clear" w:color="auto" w:fill="auto"/>
                  <w:noWrap w:val="0"/>
                  <w:vAlign w:val="center"/>
                </w:tcPr>
                <w:p w14:paraId="32AC04F5">
                  <w:pPr>
                    <w:spacing w:before="37" w:line="206" w:lineRule="auto"/>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85</w:t>
                  </w:r>
                </w:p>
              </w:tc>
              <w:tc>
                <w:tcPr>
                  <w:tcW w:w="1239" w:type="dxa"/>
                  <w:vMerge w:val="continue"/>
                  <w:tcBorders>
                    <w:top w:val="nil"/>
                  </w:tcBorders>
                  <w:shd w:val="clear" w:color="auto" w:fill="auto"/>
                  <w:noWrap w:val="0"/>
                  <w:vAlign w:val="center"/>
                </w:tcPr>
                <w:p w14:paraId="2FF359B7">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4579BC80">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内存地址隔离</w:t>
                  </w:r>
                </w:p>
              </w:tc>
              <w:tc>
                <w:tcPr>
                  <w:tcW w:w="4535" w:type="dxa"/>
                  <w:shd w:val="clear" w:color="auto" w:fill="auto"/>
                  <w:noWrap w:val="0"/>
                  <w:vAlign w:val="center"/>
                </w:tcPr>
                <w:p w14:paraId="7AFF1BEF">
                  <w:pPr>
                    <w:spacing w:before="44" w:line="198" w:lineRule="auto"/>
                    <w:ind w:left="11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在硬件支持的情况下，支持故障内</w:t>
                  </w:r>
                  <w:r>
                    <w:rPr>
                      <w:rFonts w:hint="eastAsia" w:ascii="宋体" w:hAnsi="宋体" w:eastAsia="宋体" w:cs="宋体"/>
                      <w:i/>
                      <w:iCs/>
                      <w:color w:val="auto"/>
                      <w:spacing w:val="-2"/>
                      <w:sz w:val="24"/>
                      <w:szCs w:val="24"/>
                      <w:highlight w:val="none"/>
                      <w:u w:val="single"/>
                    </w:rPr>
                    <w:t>存地址重启后隔离</w:t>
                  </w:r>
                </w:p>
              </w:tc>
            </w:tr>
            <w:tr w14:paraId="06B2D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33556481">
                  <w:pPr>
                    <w:spacing w:before="273" w:line="242" w:lineRule="auto"/>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86</w:t>
                  </w:r>
                </w:p>
              </w:tc>
              <w:tc>
                <w:tcPr>
                  <w:tcW w:w="1239" w:type="dxa"/>
                  <w:vMerge w:val="continue"/>
                  <w:tcBorders>
                    <w:top w:val="nil"/>
                    <w:bottom w:val="nil"/>
                  </w:tcBorders>
                  <w:shd w:val="clear" w:color="auto" w:fill="auto"/>
                  <w:noWrap w:val="0"/>
                  <w:vAlign w:val="center"/>
                </w:tcPr>
                <w:p w14:paraId="17D652EE">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13128FC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内存存储阵列替换</w:t>
                  </w:r>
                </w:p>
              </w:tc>
              <w:tc>
                <w:tcPr>
                  <w:tcW w:w="4535" w:type="dxa"/>
                  <w:shd w:val="clear" w:color="auto" w:fill="auto"/>
                  <w:noWrap w:val="0"/>
                  <w:vAlign w:val="center"/>
                </w:tcPr>
                <w:p w14:paraId="639F127A">
                  <w:pPr>
                    <w:spacing w:before="157" w:line="248" w:lineRule="auto"/>
                    <w:ind w:left="114" w:right="168"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在硬件支持的情况下，支持故障内</w:t>
                  </w:r>
                  <w:r>
                    <w:rPr>
                      <w:rFonts w:hint="eastAsia" w:ascii="宋体" w:hAnsi="宋体" w:eastAsia="宋体" w:cs="宋体"/>
                      <w:i/>
                      <w:iCs/>
                      <w:color w:val="auto"/>
                      <w:spacing w:val="-2"/>
                      <w:sz w:val="24"/>
                      <w:szCs w:val="24"/>
                      <w:highlight w:val="none"/>
                      <w:u w:val="single"/>
                    </w:rPr>
                    <w:t>存存储阵列替换</w:t>
                  </w:r>
                </w:p>
              </w:tc>
            </w:tr>
            <w:tr w14:paraId="7DA3FF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4E913BD7">
                  <w:pPr>
                    <w:spacing w:before="272" w:line="238"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87</w:t>
                  </w:r>
                </w:p>
              </w:tc>
              <w:tc>
                <w:tcPr>
                  <w:tcW w:w="1239" w:type="dxa"/>
                  <w:vMerge w:val="continue"/>
                  <w:tcBorders>
                    <w:top w:val="nil"/>
                  </w:tcBorders>
                  <w:shd w:val="clear" w:color="auto" w:fill="auto"/>
                  <w:noWrap w:val="0"/>
                  <w:vAlign w:val="center"/>
                </w:tcPr>
                <w:p w14:paraId="7F19DD0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E9B06D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安全启动</w:t>
                  </w:r>
                </w:p>
              </w:tc>
              <w:tc>
                <w:tcPr>
                  <w:tcW w:w="4535" w:type="dxa"/>
                  <w:shd w:val="clear" w:color="auto" w:fill="auto"/>
                  <w:noWrap w:val="0"/>
                  <w:vAlign w:val="center"/>
                </w:tcPr>
                <w:p w14:paraId="29C7FAB4">
                  <w:pPr>
                    <w:spacing w:before="39" w:line="231" w:lineRule="auto"/>
                    <w:ind w:left="112" w:right="168" w:firstLine="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支持执行环境要求在整个系统启动的过程中，系统应提供一个机制来保护平台的完整性</w:t>
                  </w:r>
                </w:p>
              </w:tc>
            </w:tr>
            <w:tr w14:paraId="5FF68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01CCA46E">
                  <w:pPr>
                    <w:spacing w:before="272"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88</w:t>
                  </w:r>
                </w:p>
              </w:tc>
              <w:tc>
                <w:tcPr>
                  <w:tcW w:w="1239" w:type="dxa"/>
                  <w:vMerge w:val="restart"/>
                  <w:tcBorders>
                    <w:bottom w:val="nil"/>
                  </w:tcBorders>
                  <w:shd w:val="clear" w:color="auto" w:fill="auto"/>
                  <w:noWrap w:val="0"/>
                  <w:vAlign w:val="center"/>
                </w:tcPr>
                <w:p w14:paraId="126B9CDA">
                  <w:pPr>
                    <w:spacing w:before="59" w:line="247"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系统</w:t>
                  </w:r>
                  <w:r>
                    <w:rPr>
                      <w:rFonts w:hint="eastAsia" w:ascii="宋体" w:hAnsi="宋体" w:eastAsia="宋体" w:cs="宋体"/>
                      <w:color w:val="auto"/>
                      <w:spacing w:val="-3"/>
                      <w:sz w:val="24"/>
                      <w:szCs w:val="24"/>
                      <w:highlight w:val="none"/>
                      <w:lang w:eastAsia="en-US"/>
                    </w:rPr>
                    <w:t>安全要求</w:t>
                  </w:r>
                </w:p>
              </w:tc>
              <w:tc>
                <w:tcPr>
                  <w:tcW w:w="1335" w:type="dxa"/>
                  <w:shd w:val="clear" w:color="auto" w:fill="auto"/>
                  <w:noWrap w:val="0"/>
                  <w:vAlign w:val="center"/>
                </w:tcPr>
                <w:p w14:paraId="0F064998">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syslog 双向鉴别</w:t>
                  </w:r>
                </w:p>
              </w:tc>
              <w:tc>
                <w:tcPr>
                  <w:tcW w:w="4535" w:type="dxa"/>
                  <w:shd w:val="clear" w:color="auto" w:fill="auto"/>
                  <w:noWrap w:val="0"/>
                  <w:vAlign w:val="center"/>
                </w:tcPr>
                <w:p w14:paraId="50506254">
                  <w:pPr>
                    <w:spacing w:before="160" w:line="247" w:lineRule="auto"/>
                    <w:ind w:left="112" w:right="168" w:firstLine="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支持系统日志双向鉴别，对服务器根证书和客户端根证书进行鉴别</w:t>
                  </w:r>
                </w:p>
              </w:tc>
            </w:tr>
            <w:tr w14:paraId="48AB94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55CCCAD6">
                  <w:pPr>
                    <w:spacing w:before="272"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89</w:t>
                  </w:r>
                </w:p>
              </w:tc>
              <w:tc>
                <w:tcPr>
                  <w:tcW w:w="1239" w:type="dxa"/>
                  <w:vMerge w:val="continue"/>
                  <w:tcBorders>
                    <w:top w:val="nil"/>
                    <w:bottom w:val="nil"/>
                  </w:tcBorders>
                  <w:shd w:val="clear" w:color="auto" w:fill="auto"/>
                  <w:noWrap w:val="0"/>
                  <w:vAlign w:val="center"/>
                </w:tcPr>
                <w:p w14:paraId="7567AFC8">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148E2815">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弱口令字典检查</w:t>
                  </w:r>
                </w:p>
              </w:tc>
              <w:tc>
                <w:tcPr>
                  <w:tcW w:w="4535" w:type="dxa"/>
                  <w:shd w:val="clear" w:color="auto" w:fill="auto"/>
                  <w:noWrap w:val="0"/>
                  <w:vAlign w:val="center"/>
                </w:tcPr>
                <w:p w14:paraId="15607D42">
                  <w:pPr>
                    <w:spacing w:before="39" w:line="231" w:lineRule="auto"/>
                    <w:ind w:left="118" w:right="168"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支持弱口令字典检查功能，出现在弱口令字典中的字符串不能被设置</w:t>
                  </w:r>
                  <w:r>
                    <w:rPr>
                      <w:rFonts w:hint="eastAsia" w:ascii="宋体" w:hAnsi="宋体" w:eastAsia="宋体" w:cs="宋体"/>
                      <w:i/>
                      <w:iCs/>
                      <w:color w:val="auto"/>
                      <w:spacing w:val="-3"/>
                      <w:sz w:val="24"/>
                      <w:szCs w:val="24"/>
                      <w:highlight w:val="none"/>
                      <w:u w:val="single"/>
                    </w:rPr>
                    <w:t>为用户口令</w:t>
                  </w:r>
                </w:p>
              </w:tc>
            </w:tr>
            <w:tr w14:paraId="4F57F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5AD7638A">
                  <w:pPr>
                    <w:spacing w:before="272"/>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90</w:t>
                  </w:r>
                </w:p>
              </w:tc>
              <w:tc>
                <w:tcPr>
                  <w:tcW w:w="1239" w:type="dxa"/>
                  <w:vMerge w:val="continue"/>
                  <w:tcBorders>
                    <w:top w:val="nil"/>
                    <w:bottom w:val="nil"/>
                  </w:tcBorders>
                  <w:shd w:val="clear" w:color="auto" w:fill="auto"/>
                  <w:noWrap w:val="0"/>
                  <w:vAlign w:val="center"/>
                </w:tcPr>
                <w:p w14:paraId="5DDB1482">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CD9DF0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白名单访问控制</w:t>
                  </w:r>
                </w:p>
              </w:tc>
              <w:tc>
                <w:tcPr>
                  <w:tcW w:w="4535" w:type="dxa"/>
                  <w:shd w:val="clear" w:color="auto" w:fill="auto"/>
                  <w:noWrap w:val="0"/>
                  <w:vAlign w:val="center"/>
                </w:tcPr>
                <w:p w14:paraId="127F3963">
                  <w:pPr>
                    <w:spacing w:before="159" w:line="248" w:lineRule="auto"/>
                    <w:ind w:left="123" w:right="125" w:hanging="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支持基于时间、IP或MAC 白名单访</w:t>
                  </w:r>
                  <w:r>
                    <w:rPr>
                      <w:rFonts w:hint="eastAsia" w:ascii="宋体" w:hAnsi="宋体" w:eastAsia="宋体" w:cs="宋体"/>
                      <w:i/>
                      <w:iCs/>
                      <w:color w:val="auto"/>
                      <w:spacing w:val="-6"/>
                      <w:sz w:val="24"/>
                      <w:szCs w:val="24"/>
                      <w:highlight w:val="none"/>
                      <w:u w:val="single"/>
                    </w:rPr>
                    <w:t>问控制</w:t>
                  </w:r>
                </w:p>
              </w:tc>
            </w:tr>
            <w:tr w14:paraId="3E8B4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269643EE">
                  <w:pPr>
                    <w:spacing w:before="271"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91</w:t>
                  </w:r>
                </w:p>
              </w:tc>
              <w:tc>
                <w:tcPr>
                  <w:tcW w:w="1239" w:type="dxa"/>
                  <w:vMerge w:val="continue"/>
                  <w:tcBorders>
                    <w:top w:val="nil"/>
                    <w:bottom w:val="nil"/>
                  </w:tcBorders>
                  <w:shd w:val="clear" w:color="auto" w:fill="auto"/>
                  <w:noWrap w:val="0"/>
                  <w:vAlign w:val="center"/>
                </w:tcPr>
                <w:p w14:paraId="7A66C15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5357CD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双因素鉴别</w:t>
                  </w:r>
                </w:p>
              </w:tc>
              <w:tc>
                <w:tcPr>
                  <w:tcW w:w="4535" w:type="dxa"/>
                  <w:shd w:val="clear" w:color="auto" w:fill="auto"/>
                  <w:noWrap w:val="0"/>
                  <w:vAlign w:val="center"/>
                </w:tcPr>
                <w:p w14:paraId="7D1187AE">
                  <w:pPr>
                    <w:spacing w:before="159" w:line="247" w:lineRule="auto"/>
                    <w:ind w:left="116" w:right="168"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支持使用客户端证书和证书密码的双因素鉴别方式登录管理系统</w:t>
                  </w:r>
                </w:p>
              </w:tc>
            </w:tr>
            <w:tr w14:paraId="7B69F7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38A86EBD">
                  <w:pPr>
                    <w:widowControl/>
                    <w:spacing w:line="332" w:lineRule="auto"/>
                    <w:rPr>
                      <w:rFonts w:hint="default" w:ascii="宋体" w:hAnsi="宋体" w:eastAsia="宋体" w:cs="宋体"/>
                      <w:color w:val="auto"/>
                      <w:sz w:val="24"/>
                      <w:szCs w:val="24"/>
                      <w:highlight w:val="none"/>
                    </w:rPr>
                  </w:pPr>
                </w:p>
                <w:p w14:paraId="5B663763">
                  <w:pPr>
                    <w:spacing w:before="59"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92</w:t>
                  </w:r>
                </w:p>
              </w:tc>
              <w:tc>
                <w:tcPr>
                  <w:tcW w:w="1239" w:type="dxa"/>
                  <w:vMerge w:val="continue"/>
                  <w:tcBorders>
                    <w:top w:val="nil"/>
                    <w:bottom w:val="nil"/>
                  </w:tcBorders>
                  <w:shd w:val="clear" w:color="auto" w:fill="auto"/>
                  <w:noWrap w:val="0"/>
                  <w:vAlign w:val="center"/>
                </w:tcPr>
                <w:p w14:paraId="13CD1451">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2CBC3AD">
                  <w:pPr>
                    <w:spacing w:before="58"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二次鉴别</w:t>
                  </w:r>
                </w:p>
              </w:tc>
              <w:tc>
                <w:tcPr>
                  <w:tcW w:w="4535" w:type="dxa"/>
                  <w:shd w:val="clear" w:color="auto" w:fill="auto"/>
                  <w:noWrap w:val="0"/>
                  <w:vAlign w:val="center"/>
                </w:tcPr>
                <w:p w14:paraId="41324489">
                  <w:pPr>
                    <w:spacing w:before="37" w:line="235" w:lineRule="auto"/>
                    <w:ind w:left="112" w:right="41" w:firstLine="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支持二次鉴别功能。对于用户配置、</w:t>
                  </w:r>
                  <w:r>
                    <w:rPr>
                      <w:rFonts w:hint="eastAsia" w:ascii="宋体" w:hAnsi="宋体" w:eastAsia="宋体" w:cs="宋体"/>
                      <w:i/>
                      <w:iCs/>
                      <w:color w:val="auto"/>
                      <w:spacing w:val="-1"/>
                      <w:sz w:val="24"/>
                      <w:szCs w:val="24"/>
                      <w:highlight w:val="none"/>
                      <w:u w:val="single"/>
                    </w:rPr>
                    <w:t>权限配置、公钥导入等重要的管理操作，已登录用户应通过二次鉴别后，才能执行操作</w:t>
                  </w:r>
                </w:p>
              </w:tc>
            </w:tr>
            <w:tr w14:paraId="2E4283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69640A2F">
                  <w:pPr>
                    <w:spacing w:before="273" w:line="238"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93</w:t>
                  </w:r>
                </w:p>
              </w:tc>
              <w:tc>
                <w:tcPr>
                  <w:tcW w:w="1239" w:type="dxa"/>
                  <w:vMerge w:val="continue"/>
                  <w:tcBorders>
                    <w:top w:val="nil"/>
                    <w:bottom w:val="nil"/>
                  </w:tcBorders>
                  <w:shd w:val="clear" w:color="auto" w:fill="auto"/>
                  <w:noWrap w:val="0"/>
                  <w:vAlign w:val="center"/>
                </w:tcPr>
                <w:p w14:paraId="5B54132D">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D9DA19F">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匿名化用</w:t>
                  </w:r>
                </w:p>
                <w:p w14:paraId="37371B82">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户告警接收邮箱</w:t>
                  </w:r>
                </w:p>
              </w:tc>
              <w:tc>
                <w:tcPr>
                  <w:tcW w:w="4535" w:type="dxa"/>
                  <w:shd w:val="clear" w:color="auto" w:fill="auto"/>
                  <w:noWrap w:val="0"/>
                  <w:vAlign w:val="center"/>
                </w:tcPr>
                <w:p w14:paraId="0511103B">
                  <w:pPr>
                    <w:spacing w:before="160" w:line="248" w:lineRule="auto"/>
                    <w:ind w:left="113" w:right="168" w:firstLine="6"/>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支持带外管理系统中的用户告警接收邮箱进行匿名化处理</w:t>
                  </w:r>
                </w:p>
              </w:tc>
            </w:tr>
            <w:tr w14:paraId="4BB1EB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2B83A3F5">
                  <w:pPr>
                    <w:spacing w:before="58"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94</w:t>
                  </w:r>
                </w:p>
              </w:tc>
              <w:tc>
                <w:tcPr>
                  <w:tcW w:w="1239" w:type="dxa"/>
                  <w:vMerge w:val="continue"/>
                  <w:tcBorders>
                    <w:top w:val="nil"/>
                    <w:bottom w:val="nil"/>
                  </w:tcBorders>
                  <w:shd w:val="clear" w:color="auto" w:fill="auto"/>
                  <w:noWrap w:val="0"/>
                  <w:vAlign w:val="center"/>
                </w:tcPr>
                <w:p w14:paraId="1C7E6B70">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8753107">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密码证书安全加密存储</w:t>
                  </w:r>
                </w:p>
              </w:tc>
              <w:tc>
                <w:tcPr>
                  <w:tcW w:w="4535" w:type="dxa"/>
                  <w:shd w:val="clear" w:color="auto" w:fill="auto"/>
                  <w:noWrap w:val="0"/>
                  <w:vAlign w:val="center"/>
                </w:tcPr>
                <w:p w14:paraId="78AEBE23">
                  <w:pPr>
                    <w:spacing w:before="41" w:line="234" w:lineRule="auto"/>
                    <w:ind w:left="114" w:right="168" w:firstLine="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支持对带外管理系统中的用户口令和证书等敏感信息进行加密存储，禁止使用私有的和业界已知不安全</w:t>
                  </w:r>
                  <w:r>
                    <w:rPr>
                      <w:rFonts w:hint="eastAsia" w:ascii="宋体" w:hAnsi="宋体" w:eastAsia="宋体" w:cs="宋体"/>
                      <w:i/>
                      <w:iCs/>
                      <w:color w:val="auto"/>
                      <w:spacing w:val="-2"/>
                      <w:sz w:val="24"/>
                      <w:szCs w:val="24"/>
                      <w:highlight w:val="none"/>
                      <w:u w:val="single"/>
                    </w:rPr>
                    <w:t>的密码算法</w:t>
                  </w:r>
                </w:p>
              </w:tc>
            </w:tr>
            <w:tr w14:paraId="54444D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011D1737">
                  <w:pPr>
                    <w:spacing w:before="274" w:line="242"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95</w:t>
                  </w:r>
                </w:p>
              </w:tc>
              <w:tc>
                <w:tcPr>
                  <w:tcW w:w="1239" w:type="dxa"/>
                  <w:vMerge w:val="continue"/>
                  <w:tcBorders>
                    <w:top w:val="nil"/>
                  </w:tcBorders>
                  <w:shd w:val="clear" w:color="auto" w:fill="auto"/>
                  <w:noWrap w:val="0"/>
                  <w:vAlign w:val="center"/>
                </w:tcPr>
                <w:p w14:paraId="2DF1B7B1">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3915B36">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敏感信息安全加密传输</w:t>
                  </w:r>
                </w:p>
              </w:tc>
              <w:tc>
                <w:tcPr>
                  <w:tcW w:w="4535" w:type="dxa"/>
                  <w:shd w:val="clear" w:color="auto" w:fill="auto"/>
                  <w:noWrap w:val="0"/>
                  <w:vAlign w:val="center"/>
                </w:tcPr>
                <w:p w14:paraId="625367A3">
                  <w:pPr>
                    <w:spacing w:before="42" w:line="230" w:lineRule="auto"/>
                    <w:ind w:left="113" w:right="103" w:firstLine="6"/>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支持使用安全的传输加密协议（如</w:t>
                  </w:r>
                  <w:r>
                    <w:rPr>
                      <w:rFonts w:hint="eastAsia" w:ascii="宋体" w:hAnsi="宋体" w:eastAsia="宋体" w:cs="宋体"/>
                      <w:i/>
                      <w:iCs/>
                      <w:color w:val="auto"/>
                      <w:spacing w:val="-6"/>
                      <w:sz w:val="24"/>
                      <w:szCs w:val="24"/>
                      <w:highlight w:val="none"/>
                      <w:u w:val="single"/>
                    </w:rPr>
                    <w:t>SSH或</w:t>
                  </w:r>
                  <w:r>
                    <w:rPr>
                      <w:rFonts w:hint="default" w:eastAsia="宋体" w:cs="Times New Roman"/>
                      <w:color w:val="auto"/>
                      <w:highlight w:val="none"/>
                    </w:rPr>
                    <w:fldChar w:fldCharType="begin"/>
                  </w:r>
                  <w:r>
                    <w:rPr>
                      <w:rFonts w:hint="default" w:eastAsia="宋体" w:cs="Times New Roman"/>
                      <w:color w:val="auto"/>
                      <w:highlight w:val="none"/>
                    </w:rPr>
                    <w:instrText xml:space="preserve">HYPERLINK "../../Administrator/Documents/WeChat Files/zj19900816zj/FileStorage/File/2026-07/HTTPS"</w:instrText>
                  </w:r>
                  <w:r>
                    <w:rPr>
                      <w:rFonts w:hint="default" w:eastAsia="宋体" w:cs="Times New Roman"/>
                      <w:color w:val="auto"/>
                      <w:highlight w:val="none"/>
                    </w:rPr>
                    <w:fldChar w:fldCharType="separate"/>
                  </w:r>
                  <w:r>
                    <w:rPr>
                      <w:rFonts w:hint="eastAsia" w:ascii="宋体" w:hAnsi="宋体" w:eastAsia="宋体" w:cs="宋体"/>
                      <w:i/>
                      <w:iCs/>
                      <w:color w:val="auto"/>
                      <w:spacing w:val="-6"/>
                      <w:sz w:val="24"/>
                      <w:szCs w:val="24"/>
                      <w:highlight w:val="none"/>
                      <w:u w:val="single"/>
                    </w:rPr>
                    <w:t>HTTPS</w:t>
                  </w:r>
                  <w:r>
                    <w:rPr>
                      <w:rFonts w:hint="eastAsia" w:ascii="宋体" w:hAnsi="宋体" w:eastAsia="宋体" w:cs="宋体"/>
                      <w:i/>
                      <w:iCs/>
                      <w:color w:val="auto"/>
                      <w:spacing w:val="-6"/>
                      <w:sz w:val="24"/>
                      <w:szCs w:val="24"/>
                      <w:highlight w:val="none"/>
                      <w:u w:val="single"/>
                      <w:lang w:eastAsia="en-US"/>
                    </w:rPr>
                    <w:fldChar w:fldCharType="end"/>
                  </w:r>
                  <w:r>
                    <w:rPr>
                      <w:rFonts w:hint="eastAsia" w:ascii="宋体" w:hAnsi="宋体" w:eastAsia="宋体" w:cs="宋体"/>
                      <w:i/>
                      <w:iCs/>
                      <w:color w:val="auto"/>
                      <w:spacing w:val="-6"/>
                      <w:sz w:val="24"/>
                      <w:szCs w:val="24"/>
                      <w:highlight w:val="none"/>
                      <w:u w:val="single"/>
                    </w:rPr>
                    <w:t>等）传输用户的敏感信</w:t>
                  </w:r>
                  <w:r>
                    <w:rPr>
                      <w:rFonts w:hint="eastAsia" w:ascii="宋体" w:hAnsi="宋体" w:eastAsia="宋体" w:cs="宋体"/>
                      <w:i/>
                      <w:iCs/>
                      <w:color w:val="auto"/>
                      <w:sz w:val="24"/>
                      <w:szCs w:val="24"/>
                      <w:highlight w:val="none"/>
                      <w:u w:val="single"/>
                    </w:rPr>
                    <w:t>息</w:t>
                  </w:r>
                </w:p>
              </w:tc>
            </w:tr>
            <w:tr w14:paraId="125ACB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8" w:hRule="atLeast"/>
                <w:jc w:val="center"/>
              </w:trPr>
              <w:tc>
                <w:tcPr>
                  <w:tcW w:w="719" w:type="dxa"/>
                  <w:shd w:val="clear" w:color="auto" w:fill="auto"/>
                  <w:noWrap w:val="0"/>
                  <w:vAlign w:val="center"/>
                </w:tcPr>
                <w:p w14:paraId="30336C72">
                  <w:pPr>
                    <w:spacing w:before="58" w:line="242"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96</w:t>
                  </w:r>
                </w:p>
              </w:tc>
              <w:tc>
                <w:tcPr>
                  <w:tcW w:w="1239" w:type="dxa"/>
                  <w:vMerge w:val="restart"/>
                  <w:tcBorders>
                    <w:bottom w:val="nil"/>
                  </w:tcBorders>
                  <w:shd w:val="clear" w:color="auto" w:fill="auto"/>
                  <w:noWrap w:val="0"/>
                  <w:vAlign w:val="center"/>
                </w:tcPr>
                <w:p w14:paraId="688C6F2C">
                  <w:pPr>
                    <w:spacing w:before="59" w:line="247"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信息</w:t>
                  </w:r>
                  <w:r>
                    <w:rPr>
                      <w:rFonts w:hint="eastAsia" w:ascii="宋体" w:hAnsi="宋体" w:eastAsia="宋体" w:cs="宋体"/>
                      <w:color w:val="auto"/>
                      <w:spacing w:val="-3"/>
                      <w:sz w:val="24"/>
                      <w:szCs w:val="24"/>
                      <w:highlight w:val="none"/>
                      <w:lang w:eastAsia="en-US"/>
                    </w:rPr>
                    <w:t>安全要求</w:t>
                  </w:r>
                </w:p>
              </w:tc>
              <w:tc>
                <w:tcPr>
                  <w:tcW w:w="1335" w:type="dxa"/>
                  <w:shd w:val="clear" w:color="auto" w:fill="auto"/>
                  <w:noWrap w:val="0"/>
                  <w:vAlign w:val="center"/>
                </w:tcPr>
                <w:p w14:paraId="1A135D3E">
                  <w:pPr>
                    <w:spacing w:before="58" w:line="248" w:lineRule="auto"/>
                    <w:ind w:right="12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研发过程安全</w:t>
                  </w:r>
                </w:p>
              </w:tc>
              <w:tc>
                <w:tcPr>
                  <w:tcW w:w="4535" w:type="dxa"/>
                  <w:shd w:val="clear" w:color="auto" w:fill="auto"/>
                  <w:noWrap w:val="0"/>
                  <w:vAlign w:val="center"/>
                </w:tcPr>
                <w:p w14:paraId="58AA6022">
                  <w:pPr>
                    <w:spacing w:before="41" w:line="246" w:lineRule="auto"/>
                    <w:ind w:left="114" w:right="41" w:hanging="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供应商承诺，生产商已建立从需求、</w:t>
                  </w:r>
                  <w:r>
                    <w:rPr>
                      <w:rFonts w:hint="eastAsia" w:ascii="宋体" w:hAnsi="宋体" w:eastAsia="宋体" w:cs="宋体"/>
                      <w:i/>
                      <w:iCs/>
                      <w:color w:val="auto"/>
                      <w:spacing w:val="-1"/>
                      <w:sz w:val="24"/>
                      <w:szCs w:val="24"/>
                      <w:highlight w:val="none"/>
                      <w:u w:val="single"/>
                    </w:rPr>
                    <w:t>设计、开发、测试、维护端到端的开发流程管理机制，输出和保存开发流程中每个阶段的产品需求清</w:t>
                  </w:r>
                </w:p>
                <w:p w14:paraId="2FE08C66">
                  <w:pPr>
                    <w:spacing w:line="222" w:lineRule="auto"/>
                    <w:ind w:left="115" w:right="168" w:firstLine="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单、设计文档、开发文档、测试记录等材料，保证各个流程可追溯</w:t>
                  </w:r>
                </w:p>
              </w:tc>
            </w:tr>
            <w:tr w14:paraId="5E91C7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4ACEC647">
                  <w:pPr>
                    <w:spacing w:before="59"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97</w:t>
                  </w:r>
                </w:p>
              </w:tc>
              <w:tc>
                <w:tcPr>
                  <w:tcW w:w="1239" w:type="dxa"/>
                  <w:vMerge w:val="continue"/>
                  <w:tcBorders>
                    <w:top w:val="nil"/>
                    <w:bottom w:val="nil"/>
                  </w:tcBorders>
                  <w:shd w:val="clear" w:color="auto" w:fill="auto"/>
                  <w:noWrap w:val="0"/>
                  <w:vAlign w:val="center"/>
                </w:tcPr>
                <w:p w14:paraId="057E76E4">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C4EEDC8">
                  <w:pPr>
                    <w:spacing w:before="59" w:line="222" w:lineRule="auto"/>
                    <w:ind w:left="110"/>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漏洞管理</w:t>
                  </w:r>
                </w:p>
              </w:tc>
              <w:tc>
                <w:tcPr>
                  <w:tcW w:w="4535" w:type="dxa"/>
                  <w:shd w:val="clear" w:color="auto" w:fill="auto"/>
                  <w:noWrap w:val="0"/>
                  <w:vAlign w:val="center"/>
                </w:tcPr>
                <w:p w14:paraId="48BF03B2">
                  <w:pPr>
                    <w:spacing w:before="41" w:line="234" w:lineRule="auto"/>
                    <w:ind w:left="113"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供应商承诺，生产商已建立漏洞全量视图，保证产品版本涉及到的所</w:t>
                  </w:r>
                  <w:r>
                    <w:rPr>
                      <w:rFonts w:hint="eastAsia" w:ascii="宋体" w:hAnsi="宋体" w:eastAsia="宋体" w:cs="宋体"/>
                      <w:i/>
                      <w:iCs/>
                      <w:color w:val="auto"/>
                      <w:spacing w:val="-2"/>
                      <w:sz w:val="24"/>
                      <w:szCs w:val="24"/>
                      <w:highlight w:val="none"/>
                      <w:u w:val="single"/>
                    </w:rPr>
                    <w:t>有漏洞(如驱动程序、BMC软件等)都可以查看</w:t>
                  </w:r>
                </w:p>
              </w:tc>
            </w:tr>
            <w:tr w14:paraId="5A0429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6791C20F">
                  <w:pPr>
                    <w:spacing w:before="277"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98</w:t>
                  </w:r>
                </w:p>
              </w:tc>
              <w:tc>
                <w:tcPr>
                  <w:tcW w:w="1239" w:type="dxa"/>
                  <w:vMerge w:val="continue"/>
                  <w:tcBorders>
                    <w:top w:val="nil"/>
                    <w:bottom w:val="nil"/>
                  </w:tcBorders>
                  <w:shd w:val="clear" w:color="auto" w:fill="auto"/>
                  <w:noWrap w:val="0"/>
                  <w:vAlign w:val="center"/>
                </w:tcPr>
                <w:p w14:paraId="7133E15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2C04460">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网络关键</w:t>
                  </w:r>
                </w:p>
                <w:p w14:paraId="3A661676">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设备服务器要求</w:t>
                  </w:r>
                </w:p>
              </w:tc>
              <w:tc>
                <w:tcPr>
                  <w:tcW w:w="4535" w:type="dxa"/>
                  <w:shd w:val="clear" w:color="auto" w:fill="auto"/>
                  <w:noWrap w:val="0"/>
                  <w:vAlign w:val="center"/>
                </w:tcPr>
                <w:p w14:paraId="706A27F4">
                  <w:pPr>
                    <w:spacing w:before="162" w:line="248" w:lineRule="auto"/>
                    <w:ind w:left="112"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作为网络关键设备的服务器应符合</w:t>
                  </w:r>
                  <w:r>
                    <w:rPr>
                      <w:rFonts w:hint="eastAsia" w:ascii="宋体" w:hAnsi="宋体" w:eastAsia="宋体" w:cs="宋体"/>
                      <w:i/>
                      <w:iCs/>
                      <w:color w:val="auto"/>
                      <w:spacing w:val="-3"/>
                      <w:sz w:val="24"/>
                      <w:szCs w:val="24"/>
                      <w:highlight w:val="none"/>
                      <w:u w:val="single"/>
                    </w:rPr>
                    <w:t>GB 40050的相关规定</w:t>
                  </w:r>
                </w:p>
              </w:tc>
            </w:tr>
            <w:tr w14:paraId="093B7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7" w:hRule="atLeast"/>
                <w:jc w:val="center"/>
              </w:trPr>
              <w:tc>
                <w:tcPr>
                  <w:tcW w:w="719" w:type="dxa"/>
                  <w:shd w:val="clear" w:color="auto" w:fill="auto"/>
                  <w:noWrap w:val="0"/>
                  <w:vAlign w:val="center"/>
                </w:tcPr>
                <w:p w14:paraId="2E446E36">
                  <w:pPr>
                    <w:spacing w:before="58"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99</w:t>
                  </w:r>
                </w:p>
              </w:tc>
              <w:tc>
                <w:tcPr>
                  <w:tcW w:w="1239" w:type="dxa"/>
                  <w:vMerge w:val="continue"/>
                  <w:tcBorders>
                    <w:top w:val="nil"/>
                  </w:tcBorders>
                  <w:shd w:val="clear" w:color="auto" w:fill="auto"/>
                  <w:noWrap w:val="0"/>
                  <w:vAlign w:val="center"/>
                </w:tcPr>
                <w:p w14:paraId="4E46F327">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B89F3D2">
                  <w:pPr>
                    <w:spacing w:before="59" w:line="222" w:lineRule="auto"/>
                    <w:ind w:left="109"/>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增强要求</w:t>
                  </w:r>
                </w:p>
              </w:tc>
              <w:tc>
                <w:tcPr>
                  <w:tcW w:w="4535" w:type="dxa"/>
                  <w:shd w:val="clear" w:color="auto" w:fill="auto"/>
                  <w:noWrap w:val="0"/>
                  <w:vAlign w:val="center"/>
                </w:tcPr>
                <w:p w14:paraId="49B2BE41">
                  <w:pPr>
                    <w:spacing w:before="44" w:line="243" w:lineRule="auto"/>
                    <w:ind w:left="113" w:right="103"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a) 嵌入物理可信根，实现设备的信任链构建；</w:t>
                  </w:r>
                </w:p>
                <w:p w14:paraId="4F9C4B51">
                  <w:pPr>
                    <w:spacing w:before="5" w:line="213" w:lineRule="auto"/>
                    <w:ind w:left="11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b) 支持可信平台控制模块(TPCM)；</w:t>
                  </w:r>
                </w:p>
                <w:p w14:paraId="7369AE2B">
                  <w:pPr>
                    <w:spacing w:before="32" w:line="221" w:lineRule="auto"/>
                    <w:ind w:left="11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c) 支持在固件系统（BMC、BIOS）</w:t>
                  </w:r>
                </w:p>
                <w:p w14:paraId="71056227">
                  <w:pPr>
                    <w:spacing w:before="24" w:line="230" w:lineRule="auto"/>
                    <w:ind w:left="112" w:right="103" w:firstLine="1"/>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启动前实现对固件度量的功能，支持物理可信根对BMC固件或BIOS固件进行完整性检测、更新和恢复；</w:t>
                  </w:r>
                </w:p>
                <w:p w14:paraId="36299E22">
                  <w:pPr>
                    <w:spacing w:before="38" w:line="246" w:lineRule="auto"/>
                    <w:ind w:left="113" w:right="12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d) 支持对CPU、网络控制器等关键处理器进行身份识别与度量的功</w:t>
                  </w:r>
                </w:p>
                <w:p w14:paraId="36329A25">
                  <w:pPr>
                    <w:spacing w:line="212" w:lineRule="auto"/>
                    <w:ind w:left="11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7"/>
                      <w:sz w:val="24"/>
                      <w:szCs w:val="24"/>
                      <w:highlight w:val="none"/>
                      <w:u w:val="single"/>
                    </w:rPr>
                    <w:t>能；</w:t>
                  </w:r>
                </w:p>
                <w:p w14:paraId="6A0FACFD">
                  <w:pPr>
                    <w:spacing w:before="32" w:line="243" w:lineRule="auto"/>
                    <w:ind w:left="112" w:right="259"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e) 支持基于处理器或可信计算模块度量的功能；</w:t>
                  </w:r>
                </w:p>
                <w:p w14:paraId="2490A5C7">
                  <w:pPr>
                    <w:spacing w:before="6" w:line="243" w:lineRule="auto"/>
                    <w:ind w:left="113" w:right="259"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f) 所采用的可信密码模块接口应</w:t>
                  </w:r>
                  <w:r>
                    <w:rPr>
                      <w:rFonts w:hint="eastAsia" w:ascii="宋体" w:hAnsi="宋体" w:eastAsia="宋体" w:cs="宋体"/>
                      <w:i/>
                      <w:iCs/>
                      <w:color w:val="auto"/>
                      <w:spacing w:val="-2"/>
                      <w:sz w:val="24"/>
                      <w:szCs w:val="24"/>
                      <w:highlight w:val="none"/>
                      <w:u w:val="single"/>
                    </w:rPr>
                    <w:t>符合GM/T 0012的相关规定；</w:t>
                  </w:r>
                </w:p>
                <w:p w14:paraId="182C898A">
                  <w:pPr>
                    <w:spacing w:before="24" w:line="230" w:lineRule="auto"/>
                    <w:ind w:left="112" w:right="103" w:firstLine="1"/>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2"/>
                      <w:sz w:val="24"/>
                      <w:szCs w:val="24"/>
                      <w:highlight w:val="none"/>
                      <w:u w:val="single"/>
                    </w:rPr>
                    <w:t>g) 可信安全管理模块、处理器等硬</w:t>
                  </w:r>
                  <w:r>
                    <w:rPr>
                      <w:rFonts w:hint="eastAsia" w:ascii="宋体" w:hAnsi="宋体" w:eastAsia="宋体" w:cs="宋体"/>
                      <w:i/>
                      <w:iCs/>
                      <w:color w:val="auto"/>
                      <w:spacing w:val="-1"/>
                      <w:sz w:val="24"/>
                      <w:szCs w:val="24"/>
                      <w:highlight w:val="none"/>
                      <w:u w:val="single"/>
                    </w:rPr>
                    <w:t>件载体应通过国家相关部门的认证</w:t>
                  </w:r>
                  <w:r>
                    <w:rPr>
                      <w:rFonts w:hint="eastAsia" w:ascii="宋体" w:hAnsi="宋体" w:eastAsia="宋体" w:cs="宋体"/>
                      <w:i/>
                      <w:iCs/>
                      <w:color w:val="auto"/>
                      <w:spacing w:val="-2"/>
                      <w:sz w:val="24"/>
                      <w:szCs w:val="24"/>
                      <w:highlight w:val="none"/>
                      <w:u w:val="single"/>
                    </w:rPr>
                    <w:t>和许可</w:t>
                  </w:r>
                </w:p>
              </w:tc>
            </w:tr>
            <w:tr w14:paraId="39BA7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385CCDA9">
                  <w:pPr>
                    <w:spacing w:before="154"/>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100</w:t>
                  </w:r>
                </w:p>
              </w:tc>
              <w:tc>
                <w:tcPr>
                  <w:tcW w:w="1239" w:type="dxa"/>
                  <w:shd w:val="clear" w:color="auto" w:fill="auto"/>
                  <w:noWrap w:val="0"/>
                  <w:vAlign w:val="center"/>
                </w:tcPr>
                <w:p w14:paraId="0004C50E">
                  <w:pPr>
                    <w:spacing w:before="40" w:line="223" w:lineRule="auto"/>
                    <w:ind w:left="195" w:right="141" w:hanging="5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物理</w:t>
                  </w:r>
                  <w:r>
                    <w:rPr>
                      <w:rFonts w:hint="eastAsia" w:ascii="宋体" w:hAnsi="宋体" w:eastAsia="宋体" w:cs="宋体"/>
                      <w:color w:val="auto"/>
                      <w:spacing w:val="-8"/>
                      <w:sz w:val="24"/>
                      <w:szCs w:val="24"/>
                      <w:highlight w:val="none"/>
                      <w:lang w:eastAsia="en-US"/>
                    </w:rPr>
                    <w:t>安全</w:t>
                  </w:r>
                </w:p>
              </w:tc>
              <w:tc>
                <w:tcPr>
                  <w:tcW w:w="1335" w:type="dxa"/>
                  <w:shd w:val="clear" w:color="auto" w:fill="auto"/>
                  <w:noWrap w:val="0"/>
                  <w:vAlign w:val="center"/>
                </w:tcPr>
                <w:p w14:paraId="6707B72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物理安全</w:t>
                  </w:r>
                </w:p>
              </w:tc>
              <w:tc>
                <w:tcPr>
                  <w:tcW w:w="4535" w:type="dxa"/>
                  <w:shd w:val="clear" w:color="auto" w:fill="auto"/>
                  <w:noWrap w:val="0"/>
                  <w:vAlign w:val="center"/>
                </w:tcPr>
                <w:p w14:paraId="3DEB5197">
                  <w:pPr>
                    <w:spacing w:before="158" w:line="222" w:lineRule="auto"/>
                    <w:ind w:left="120"/>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安全要求应符合GB 4943.1的规定</w:t>
                  </w:r>
                </w:p>
              </w:tc>
            </w:tr>
            <w:tr w14:paraId="289044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jc w:val="center"/>
              </w:trPr>
              <w:tc>
                <w:tcPr>
                  <w:tcW w:w="719" w:type="dxa"/>
                  <w:shd w:val="clear" w:color="auto" w:fill="auto"/>
                  <w:noWrap w:val="0"/>
                  <w:vAlign w:val="center"/>
                </w:tcPr>
                <w:p w14:paraId="6AC71312">
                  <w:pPr>
                    <w:spacing w:before="5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101</w:t>
                  </w:r>
                </w:p>
              </w:tc>
              <w:tc>
                <w:tcPr>
                  <w:tcW w:w="1239" w:type="dxa"/>
                  <w:shd w:val="clear" w:color="auto" w:fill="auto"/>
                  <w:noWrap w:val="0"/>
                  <w:vAlign w:val="center"/>
                </w:tcPr>
                <w:p w14:paraId="183008D5">
                  <w:pPr>
                    <w:spacing w:before="28" w:line="239" w:lineRule="auto"/>
                    <w:ind w:left="187" w:right="141" w:hanging="4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限用</w:t>
                  </w:r>
                  <w:r>
                    <w:rPr>
                      <w:rFonts w:hint="eastAsia" w:ascii="宋体" w:hAnsi="宋体" w:eastAsia="宋体" w:cs="宋体"/>
                      <w:color w:val="auto"/>
                      <w:spacing w:val="-4"/>
                      <w:sz w:val="24"/>
                      <w:szCs w:val="24"/>
                      <w:highlight w:val="none"/>
                      <w:lang w:eastAsia="en-US"/>
                    </w:rPr>
                    <w:t>物质</w:t>
                  </w:r>
                </w:p>
                <w:p w14:paraId="722E4D02">
                  <w:pPr>
                    <w:spacing w:line="223" w:lineRule="auto"/>
                    <w:ind w:left="19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的限</w:t>
                  </w:r>
                </w:p>
                <w:p w14:paraId="44455A6E">
                  <w:pPr>
                    <w:spacing w:before="17" w:line="221" w:lineRule="auto"/>
                    <w:ind w:left="280" w:right="186" w:hanging="9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量要</w:t>
                  </w:r>
                  <w:r>
                    <w:rPr>
                      <w:rFonts w:hint="eastAsia" w:ascii="宋体" w:hAnsi="宋体" w:eastAsia="宋体" w:cs="宋体"/>
                      <w:color w:val="auto"/>
                      <w:sz w:val="24"/>
                      <w:szCs w:val="24"/>
                      <w:highlight w:val="none"/>
                      <w:lang w:eastAsia="en-US"/>
                    </w:rPr>
                    <w:t>求</w:t>
                  </w:r>
                </w:p>
              </w:tc>
              <w:tc>
                <w:tcPr>
                  <w:tcW w:w="1335" w:type="dxa"/>
                  <w:shd w:val="clear" w:color="auto" w:fill="auto"/>
                  <w:noWrap w:val="0"/>
                  <w:vAlign w:val="center"/>
                </w:tcPr>
                <w:p w14:paraId="1AE2F9E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限用物质的限量要求</w:t>
                  </w:r>
                </w:p>
              </w:tc>
              <w:tc>
                <w:tcPr>
                  <w:tcW w:w="4535" w:type="dxa"/>
                  <w:shd w:val="clear" w:color="auto" w:fill="auto"/>
                  <w:noWrap w:val="0"/>
                  <w:vAlign w:val="center"/>
                </w:tcPr>
                <w:p w14:paraId="5C3089B2">
                  <w:pPr>
                    <w:widowControl/>
                    <w:spacing w:line="318" w:lineRule="auto"/>
                    <w:rPr>
                      <w:rFonts w:hint="default" w:ascii="宋体" w:hAnsi="宋体" w:eastAsia="宋体" w:cs="宋体"/>
                      <w:i/>
                      <w:iCs/>
                      <w:color w:val="auto"/>
                      <w:sz w:val="24"/>
                      <w:szCs w:val="24"/>
                      <w:highlight w:val="none"/>
                      <w:u w:val="single"/>
                    </w:rPr>
                  </w:pPr>
                </w:p>
                <w:p w14:paraId="149F96E8">
                  <w:pPr>
                    <w:spacing w:before="58" w:line="241" w:lineRule="auto"/>
                    <w:ind w:left="123" w:right="123"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限用物质的限量应符合</w:t>
                  </w:r>
                  <w:r>
                    <w:rPr>
                      <w:rFonts w:hint="eastAsia" w:ascii="宋体" w:hAnsi="宋体" w:eastAsia="宋体" w:cs="宋体"/>
                      <w:i/>
                      <w:iCs/>
                      <w:color w:val="auto"/>
                      <w:sz w:val="24"/>
                      <w:szCs w:val="24"/>
                      <w:highlight w:val="none"/>
                      <w:u w:val="single"/>
                    </w:rPr>
                    <w:t>GB</w:t>
                  </w:r>
                  <w:r>
                    <w:rPr>
                      <w:rFonts w:hint="eastAsia" w:ascii="宋体" w:hAnsi="宋体" w:eastAsia="宋体" w:cs="宋体"/>
                      <w:i/>
                      <w:iCs/>
                      <w:color w:val="auto"/>
                      <w:spacing w:val="1"/>
                      <w:sz w:val="24"/>
                      <w:szCs w:val="24"/>
                      <w:highlight w:val="none"/>
                      <w:u w:val="single"/>
                    </w:rPr>
                    <w:t>/T 26572</w:t>
                  </w:r>
                  <w:r>
                    <w:rPr>
                      <w:rFonts w:hint="eastAsia" w:ascii="宋体" w:hAnsi="宋体" w:eastAsia="宋体" w:cs="宋体"/>
                      <w:i/>
                      <w:iCs/>
                      <w:color w:val="auto"/>
                      <w:spacing w:val="-6"/>
                      <w:sz w:val="24"/>
                      <w:szCs w:val="24"/>
                      <w:highlight w:val="none"/>
                      <w:u w:val="single"/>
                    </w:rPr>
                    <w:t>的要求</w:t>
                  </w:r>
                </w:p>
              </w:tc>
            </w:tr>
            <w:tr w14:paraId="3856D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shd w:val="clear" w:color="auto" w:fill="auto"/>
                  <w:noWrap w:val="0"/>
                  <w:vAlign w:val="center"/>
                </w:tcPr>
                <w:p w14:paraId="203DE713">
                  <w:pPr>
                    <w:spacing w:before="147"/>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102</w:t>
                  </w:r>
                </w:p>
              </w:tc>
              <w:tc>
                <w:tcPr>
                  <w:tcW w:w="1239" w:type="dxa"/>
                  <w:vMerge w:val="restart"/>
                  <w:tcBorders>
                    <w:bottom w:val="nil"/>
                  </w:tcBorders>
                  <w:shd w:val="clear" w:color="auto" w:fill="auto"/>
                  <w:noWrap w:val="0"/>
                  <w:vAlign w:val="center"/>
                </w:tcPr>
                <w:p w14:paraId="771403D4">
                  <w:pPr>
                    <w:spacing w:before="59" w:line="249" w:lineRule="auto"/>
                    <w:ind w:left="187" w:right="185" w:hanging="3"/>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CPU</w:t>
                  </w:r>
                  <w:r>
                    <w:rPr>
                      <w:rFonts w:hint="eastAsia" w:ascii="宋体" w:hAnsi="宋体" w:eastAsia="宋体" w:cs="宋体"/>
                      <w:color w:val="auto"/>
                      <w:spacing w:val="-4"/>
                      <w:sz w:val="24"/>
                      <w:szCs w:val="24"/>
                      <w:highlight w:val="none"/>
                      <w:lang w:eastAsia="en-US"/>
                    </w:rPr>
                    <w:t>性能</w:t>
                  </w:r>
                </w:p>
              </w:tc>
              <w:tc>
                <w:tcPr>
                  <w:tcW w:w="1335" w:type="dxa"/>
                  <w:shd w:val="clear" w:color="auto" w:fill="auto"/>
                  <w:noWrap w:val="0"/>
                  <w:vAlign w:val="center"/>
                </w:tcPr>
                <w:p w14:paraId="6657AE7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CPU 主频</w:t>
                  </w:r>
                </w:p>
              </w:tc>
              <w:tc>
                <w:tcPr>
                  <w:tcW w:w="4535" w:type="dxa"/>
                  <w:shd w:val="clear" w:color="auto" w:fill="auto"/>
                  <w:noWrap w:val="0"/>
                  <w:vAlign w:val="center"/>
                </w:tcPr>
                <w:p w14:paraId="2D245710">
                  <w:pPr>
                    <w:spacing w:before="147"/>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w:t>
                  </w:r>
                  <w:r>
                    <w:rPr>
                      <w:rFonts w:hint="eastAsia" w:ascii="宋体" w:hAnsi="宋体" w:eastAsia="宋体" w:cs="宋体"/>
                      <w:i/>
                      <w:iCs/>
                      <w:color w:val="auto"/>
                      <w:spacing w:val="-4"/>
                      <w:sz w:val="24"/>
                      <w:szCs w:val="24"/>
                      <w:highlight w:val="none"/>
                      <w:u w:val="single"/>
                    </w:rPr>
                    <w:t>2</w:t>
                  </w:r>
                  <w:r>
                    <w:rPr>
                      <w:rFonts w:hint="eastAsia" w:ascii="宋体" w:hAnsi="宋体" w:eastAsia="宋体" w:cs="宋体"/>
                      <w:i/>
                      <w:iCs/>
                      <w:color w:val="auto"/>
                      <w:spacing w:val="-4"/>
                      <w:sz w:val="24"/>
                      <w:szCs w:val="24"/>
                      <w:highlight w:val="none"/>
                      <w:u w:val="single"/>
                      <w:lang w:eastAsia="en-US"/>
                    </w:rPr>
                    <w:t>.</w:t>
                  </w:r>
                  <w:r>
                    <w:rPr>
                      <w:rFonts w:hint="default" w:ascii="宋体" w:hAnsi="宋体" w:eastAsia="宋体" w:cs="宋体"/>
                      <w:i/>
                      <w:iCs/>
                      <w:color w:val="auto"/>
                      <w:spacing w:val="-4"/>
                      <w:sz w:val="24"/>
                      <w:szCs w:val="24"/>
                      <w:highlight w:val="none"/>
                      <w:u w:val="single"/>
                    </w:rPr>
                    <w:t>0</w:t>
                  </w:r>
                  <w:r>
                    <w:rPr>
                      <w:rFonts w:hint="eastAsia" w:ascii="宋体" w:hAnsi="宋体" w:eastAsia="宋体" w:cs="宋体"/>
                      <w:i/>
                      <w:iCs/>
                      <w:color w:val="auto"/>
                      <w:spacing w:val="-4"/>
                      <w:sz w:val="24"/>
                      <w:szCs w:val="24"/>
                      <w:highlight w:val="none"/>
                      <w:u w:val="single"/>
                      <w:lang w:eastAsia="en-US"/>
                    </w:rPr>
                    <w:t>GHz</w:t>
                  </w:r>
                </w:p>
              </w:tc>
            </w:tr>
            <w:tr w14:paraId="096A64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19" w:type="dxa"/>
                  <w:shd w:val="clear" w:color="auto" w:fill="auto"/>
                  <w:noWrap w:val="0"/>
                  <w:vAlign w:val="center"/>
                </w:tcPr>
                <w:p w14:paraId="4F6DB55B">
                  <w:pPr>
                    <w:spacing w:before="265"/>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103</w:t>
                  </w:r>
                </w:p>
              </w:tc>
              <w:tc>
                <w:tcPr>
                  <w:tcW w:w="1239" w:type="dxa"/>
                  <w:vMerge w:val="continue"/>
                  <w:tcBorders>
                    <w:top w:val="nil"/>
                    <w:bottom w:val="nil"/>
                  </w:tcBorders>
                  <w:shd w:val="clear" w:color="auto" w:fill="auto"/>
                  <w:noWrap w:val="0"/>
                  <w:vAlign w:val="center"/>
                </w:tcPr>
                <w:p w14:paraId="0BF4A1B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12698D5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单 CPU 核数</w:t>
                  </w:r>
                </w:p>
              </w:tc>
              <w:tc>
                <w:tcPr>
                  <w:tcW w:w="4535" w:type="dxa"/>
                  <w:shd w:val="clear" w:color="auto" w:fill="auto"/>
                  <w:noWrap w:val="0"/>
                  <w:vAlign w:val="center"/>
                </w:tcPr>
                <w:p w14:paraId="23A6FA5E">
                  <w:pPr>
                    <w:spacing w:before="262"/>
                    <w:ind w:left="13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lang w:eastAsia="en-US"/>
                    </w:rPr>
                    <w:t>≥</w:t>
                  </w:r>
                  <w:r>
                    <w:rPr>
                      <w:rFonts w:hint="default" w:ascii="宋体" w:hAnsi="宋体" w:eastAsia="宋体" w:cs="宋体"/>
                      <w:i/>
                      <w:iCs/>
                      <w:color w:val="auto"/>
                      <w:spacing w:val="-13"/>
                      <w:sz w:val="24"/>
                      <w:szCs w:val="24"/>
                      <w:highlight w:val="none"/>
                      <w:u w:val="single"/>
                    </w:rPr>
                    <w:t>24</w:t>
                  </w:r>
                </w:p>
              </w:tc>
            </w:tr>
            <w:tr w14:paraId="4A361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19" w:type="dxa"/>
                  <w:shd w:val="clear" w:color="auto" w:fill="auto"/>
                  <w:noWrap w:val="0"/>
                  <w:vAlign w:val="center"/>
                </w:tcPr>
                <w:p w14:paraId="0A58FA11">
                  <w:pPr>
                    <w:spacing w:before="5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104</w:t>
                  </w:r>
                </w:p>
              </w:tc>
              <w:tc>
                <w:tcPr>
                  <w:tcW w:w="1239" w:type="dxa"/>
                  <w:vMerge w:val="continue"/>
                  <w:tcBorders>
                    <w:top w:val="nil"/>
                  </w:tcBorders>
                  <w:shd w:val="clear" w:color="auto" w:fill="auto"/>
                  <w:noWrap w:val="0"/>
                  <w:vAlign w:val="center"/>
                </w:tcPr>
                <w:p w14:paraId="07A76E1E">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49669A08">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单CPU末级缓存容量</w:t>
                  </w:r>
                </w:p>
              </w:tc>
              <w:tc>
                <w:tcPr>
                  <w:tcW w:w="4535" w:type="dxa"/>
                  <w:shd w:val="clear" w:color="auto" w:fill="auto"/>
                  <w:noWrap w:val="0"/>
                  <w:vAlign w:val="center"/>
                </w:tcPr>
                <w:p w14:paraId="4A58E5C8">
                  <w:pPr>
                    <w:spacing w:before="59"/>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w:t>
                  </w:r>
                  <w:r>
                    <w:rPr>
                      <w:rFonts w:hint="default" w:ascii="宋体" w:hAnsi="宋体" w:eastAsia="宋体" w:cs="宋体"/>
                      <w:i/>
                      <w:iCs/>
                      <w:color w:val="auto"/>
                      <w:spacing w:val="-7"/>
                      <w:sz w:val="24"/>
                      <w:szCs w:val="24"/>
                      <w:highlight w:val="none"/>
                      <w:u w:val="single"/>
                    </w:rPr>
                    <w:t>45</w:t>
                  </w:r>
                  <w:r>
                    <w:rPr>
                      <w:rFonts w:hint="eastAsia" w:ascii="宋体" w:hAnsi="宋体" w:eastAsia="宋体" w:cs="宋体"/>
                      <w:i/>
                      <w:iCs/>
                      <w:color w:val="auto"/>
                      <w:spacing w:val="-7"/>
                      <w:sz w:val="24"/>
                      <w:szCs w:val="24"/>
                      <w:highlight w:val="none"/>
                      <w:u w:val="single"/>
                      <w:lang w:eastAsia="en-US"/>
                    </w:rPr>
                    <w:t>MB</w:t>
                  </w:r>
                </w:p>
              </w:tc>
            </w:tr>
            <w:tr w14:paraId="221E9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19" w:type="dxa"/>
                  <w:shd w:val="clear" w:color="auto" w:fill="auto"/>
                  <w:noWrap w:val="0"/>
                  <w:vAlign w:val="center"/>
                </w:tcPr>
                <w:p w14:paraId="2E240FB0">
                  <w:pPr>
                    <w:spacing w:before="14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105</w:t>
                  </w:r>
                </w:p>
              </w:tc>
              <w:tc>
                <w:tcPr>
                  <w:tcW w:w="1239" w:type="dxa"/>
                  <w:vMerge w:val="restart"/>
                  <w:tcBorders>
                    <w:bottom w:val="nil"/>
                  </w:tcBorders>
                  <w:shd w:val="clear" w:color="auto" w:fill="auto"/>
                  <w:noWrap w:val="0"/>
                  <w:vAlign w:val="center"/>
                </w:tcPr>
                <w:p w14:paraId="5A4A0105">
                  <w:pPr>
                    <w:spacing w:before="269" w:line="241" w:lineRule="auto"/>
                    <w:ind w:left="188" w:right="141" w:hanging="4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内存</w:t>
                  </w:r>
                  <w:r>
                    <w:rPr>
                      <w:rFonts w:hint="eastAsia" w:ascii="宋体" w:hAnsi="宋体" w:eastAsia="宋体" w:cs="宋体"/>
                      <w:color w:val="auto"/>
                      <w:spacing w:val="-4"/>
                      <w:sz w:val="24"/>
                      <w:szCs w:val="24"/>
                      <w:highlight w:val="none"/>
                      <w:lang w:eastAsia="en-US"/>
                    </w:rPr>
                    <w:t>性能</w:t>
                  </w:r>
                </w:p>
              </w:tc>
              <w:tc>
                <w:tcPr>
                  <w:tcW w:w="1335" w:type="dxa"/>
                  <w:shd w:val="clear" w:color="auto" w:fill="auto"/>
                  <w:noWrap w:val="0"/>
                  <w:vAlign w:val="center"/>
                </w:tcPr>
                <w:p w14:paraId="409EFFB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单内存模块容量</w:t>
                  </w:r>
                </w:p>
              </w:tc>
              <w:tc>
                <w:tcPr>
                  <w:tcW w:w="4535" w:type="dxa"/>
                  <w:shd w:val="clear" w:color="auto" w:fill="auto"/>
                  <w:noWrap w:val="0"/>
                  <w:vAlign w:val="center"/>
                </w:tcPr>
                <w:p w14:paraId="7716198E">
                  <w:pPr>
                    <w:spacing w:before="148"/>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w:t>
                  </w:r>
                  <w:r>
                    <w:rPr>
                      <w:rFonts w:hint="eastAsia" w:ascii="宋体" w:hAnsi="宋体" w:eastAsia="宋体" w:cs="宋体"/>
                      <w:i/>
                      <w:iCs/>
                      <w:color w:val="auto"/>
                      <w:spacing w:val="-6"/>
                      <w:sz w:val="24"/>
                      <w:szCs w:val="24"/>
                      <w:highlight w:val="none"/>
                      <w:u w:val="single"/>
                    </w:rPr>
                    <w:t>32</w:t>
                  </w:r>
                  <w:r>
                    <w:rPr>
                      <w:rFonts w:hint="eastAsia" w:ascii="宋体" w:hAnsi="宋体" w:eastAsia="宋体" w:cs="宋体"/>
                      <w:i/>
                      <w:iCs/>
                      <w:color w:val="auto"/>
                      <w:spacing w:val="-6"/>
                      <w:sz w:val="24"/>
                      <w:szCs w:val="24"/>
                      <w:highlight w:val="none"/>
                      <w:u w:val="single"/>
                      <w:lang w:eastAsia="en-US"/>
                    </w:rPr>
                    <w:t>GB</w:t>
                  </w:r>
                </w:p>
              </w:tc>
            </w:tr>
            <w:tr w14:paraId="38EA5C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shd w:val="clear" w:color="auto" w:fill="auto"/>
                  <w:noWrap w:val="0"/>
                  <w:vAlign w:val="center"/>
                </w:tcPr>
                <w:p w14:paraId="1418042F">
                  <w:pPr>
                    <w:spacing w:before="149"/>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106</w:t>
                  </w:r>
                </w:p>
              </w:tc>
              <w:tc>
                <w:tcPr>
                  <w:tcW w:w="1239" w:type="dxa"/>
                  <w:vMerge w:val="continue"/>
                  <w:tcBorders>
                    <w:top w:val="nil"/>
                  </w:tcBorders>
                  <w:shd w:val="clear" w:color="auto" w:fill="auto"/>
                  <w:noWrap w:val="0"/>
                  <w:vAlign w:val="center"/>
                </w:tcPr>
                <w:p w14:paraId="3E4FC2B5">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F76502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内存速率</w:t>
                  </w:r>
                </w:p>
              </w:tc>
              <w:tc>
                <w:tcPr>
                  <w:tcW w:w="4535" w:type="dxa"/>
                  <w:shd w:val="clear" w:color="auto" w:fill="auto"/>
                  <w:noWrap w:val="0"/>
                  <w:vAlign w:val="center"/>
                </w:tcPr>
                <w:p w14:paraId="4242BE89">
                  <w:pPr>
                    <w:spacing w:before="149" w:line="236" w:lineRule="auto"/>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w:t>
                  </w:r>
                  <w:r>
                    <w:rPr>
                      <w:rFonts w:hint="default" w:ascii="宋体" w:hAnsi="宋体" w:eastAsia="宋体" w:cs="宋体"/>
                      <w:i/>
                      <w:iCs/>
                      <w:color w:val="auto"/>
                      <w:spacing w:val="-3"/>
                      <w:sz w:val="24"/>
                      <w:szCs w:val="24"/>
                      <w:highlight w:val="none"/>
                      <w:u w:val="single"/>
                      <w:lang w:eastAsia="en-US"/>
                    </w:rPr>
                    <w:t>4800</w:t>
                  </w:r>
                  <w:r>
                    <w:rPr>
                      <w:rFonts w:hint="eastAsia" w:ascii="宋体" w:hAnsi="宋体" w:eastAsia="宋体" w:cs="宋体"/>
                      <w:i/>
                      <w:iCs/>
                      <w:color w:val="auto"/>
                      <w:spacing w:val="-3"/>
                      <w:sz w:val="24"/>
                      <w:szCs w:val="24"/>
                      <w:highlight w:val="none"/>
                      <w:u w:val="single"/>
                      <w:lang w:eastAsia="en-US"/>
                    </w:rPr>
                    <w:t>MT/s</w:t>
                  </w:r>
                </w:p>
              </w:tc>
            </w:tr>
            <w:tr w14:paraId="0A16B0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shd w:val="clear" w:color="auto" w:fill="auto"/>
                  <w:noWrap w:val="0"/>
                  <w:vAlign w:val="center"/>
                </w:tcPr>
                <w:p w14:paraId="7209499A">
                  <w:pPr>
                    <w:spacing w:before="150"/>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107</w:t>
                  </w:r>
                </w:p>
              </w:tc>
              <w:tc>
                <w:tcPr>
                  <w:tcW w:w="1239" w:type="dxa"/>
                  <w:shd w:val="clear" w:color="auto" w:fill="auto"/>
                  <w:noWrap w:val="0"/>
                  <w:vAlign w:val="center"/>
                </w:tcPr>
                <w:p w14:paraId="26691FF5">
                  <w:pPr>
                    <w:spacing w:before="31" w:line="222" w:lineRule="auto"/>
                    <w:ind w:left="18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存储</w:t>
                  </w:r>
                  <w:r>
                    <w:rPr>
                      <w:rFonts w:hint="eastAsia" w:ascii="宋体" w:hAnsi="宋体" w:eastAsia="宋体" w:cs="宋体"/>
                      <w:color w:val="auto"/>
                      <w:spacing w:val="-4"/>
                      <w:sz w:val="24"/>
                      <w:szCs w:val="24"/>
                      <w:highlight w:val="none"/>
                      <w:lang w:eastAsia="en-US"/>
                    </w:rPr>
                    <w:t>性能</w:t>
                  </w:r>
                </w:p>
              </w:tc>
              <w:tc>
                <w:tcPr>
                  <w:tcW w:w="1335" w:type="dxa"/>
                  <w:shd w:val="clear" w:color="auto" w:fill="auto"/>
                  <w:noWrap w:val="0"/>
                  <w:vAlign w:val="center"/>
                </w:tcPr>
                <w:p w14:paraId="0734F0D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硬盘转速</w:t>
                  </w:r>
                </w:p>
              </w:tc>
              <w:tc>
                <w:tcPr>
                  <w:tcW w:w="4535" w:type="dxa"/>
                  <w:shd w:val="clear" w:color="auto" w:fill="auto"/>
                  <w:noWrap w:val="0"/>
                  <w:vAlign w:val="center"/>
                </w:tcPr>
                <w:p w14:paraId="03848D84">
                  <w:pPr>
                    <w:spacing w:before="147" w:line="218" w:lineRule="auto"/>
                    <w:ind w:left="120"/>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安装的硬磁盘转速不小于7200</w:t>
                  </w:r>
                  <w:r>
                    <w:rPr>
                      <w:rFonts w:hint="eastAsia" w:ascii="宋体" w:hAnsi="宋体" w:eastAsia="宋体" w:cs="宋体"/>
                      <w:i/>
                      <w:iCs/>
                      <w:color w:val="auto"/>
                      <w:sz w:val="24"/>
                      <w:szCs w:val="24"/>
                      <w:highlight w:val="none"/>
                      <w:u w:val="single"/>
                    </w:rPr>
                    <w:t>rpm</w:t>
                  </w:r>
                </w:p>
              </w:tc>
            </w:tr>
            <w:tr w14:paraId="24333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shd w:val="clear" w:color="auto" w:fill="auto"/>
                  <w:noWrap w:val="0"/>
                  <w:vAlign w:val="center"/>
                </w:tcPr>
                <w:p w14:paraId="13ED46A6">
                  <w:pPr>
                    <w:spacing w:before="266"/>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108</w:t>
                  </w:r>
                </w:p>
              </w:tc>
              <w:tc>
                <w:tcPr>
                  <w:tcW w:w="1239" w:type="dxa"/>
                  <w:shd w:val="clear" w:color="auto" w:fill="auto"/>
                  <w:noWrap w:val="0"/>
                  <w:vAlign w:val="center"/>
                </w:tcPr>
                <w:p w14:paraId="2698216C">
                  <w:pPr>
                    <w:spacing w:before="32" w:line="227" w:lineRule="auto"/>
                    <w:ind w:left="189" w:right="1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RAID</w:t>
                  </w:r>
                  <w:r>
                    <w:rPr>
                      <w:rFonts w:hint="eastAsia" w:ascii="宋体" w:hAnsi="宋体" w:eastAsia="宋体" w:cs="宋体"/>
                      <w:color w:val="auto"/>
                      <w:spacing w:val="-5"/>
                      <w:sz w:val="24"/>
                      <w:szCs w:val="24"/>
                      <w:highlight w:val="none"/>
                      <w:lang w:eastAsia="en-US"/>
                    </w:rPr>
                    <w:t>卡性</w:t>
                  </w:r>
                  <w:r>
                    <w:rPr>
                      <w:rFonts w:hint="eastAsia" w:ascii="宋体" w:hAnsi="宋体" w:eastAsia="宋体" w:cs="宋体"/>
                      <w:color w:val="auto"/>
                      <w:spacing w:val="37"/>
                      <w:sz w:val="24"/>
                      <w:szCs w:val="24"/>
                      <w:highlight w:val="none"/>
                      <w:lang w:eastAsia="en-US"/>
                    </w:rPr>
                    <w:t>能</w:t>
                  </w:r>
                </w:p>
              </w:tc>
              <w:tc>
                <w:tcPr>
                  <w:tcW w:w="1335" w:type="dxa"/>
                  <w:shd w:val="clear" w:color="auto" w:fill="auto"/>
                  <w:noWrap w:val="0"/>
                  <w:vAlign w:val="center"/>
                </w:tcPr>
                <w:p w14:paraId="4CA07F0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卡缓存容量大小</w:t>
                  </w:r>
                </w:p>
              </w:tc>
              <w:tc>
                <w:tcPr>
                  <w:tcW w:w="4535" w:type="dxa"/>
                  <w:shd w:val="clear" w:color="auto" w:fill="auto"/>
                  <w:noWrap w:val="0"/>
                  <w:vAlign w:val="center"/>
                </w:tcPr>
                <w:p w14:paraId="21D4A6DB">
                  <w:pPr>
                    <w:spacing w:before="148" w:line="236" w:lineRule="auto"/>
                    <w:ind w:left="115"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若配备RAID卡且RAID卡有缓存容量，容量不少于</w:t>
                  </w:r>
                  <w:r>
                    <w:rPr>
                      <w:rFonts w:hint="default" w:ascii="宋体" w:hAnsi="宋体" w:eastAsia="宋体" w:cs="宋体"/>
                      <w:i/>
                      <w:iCs/>
                      <w:color w:val="auto"/>
                      <w:spacing w:val="-3"/>
                      <w:sz w:val="24"/>
                      <w:szCs w:val="24"/>
                      <w:highlight w:val="none"/>
                      <w:u w:val="single"/>
                      <w:lang w:eastAsia="en-US"/>
                    </w:rPr>
                    <w:t>4</w:t>
                  </w:r>
                  <w:r>
                    <w:rPr>
                      <w:rFonts w:hint="eastAsia" w:ascii="宋体" w:hAnsi="宋体" w:eastAsia="宋体" w:cs="宋体"/>
                      <w:i/>
                      <w:iCs/>
                      <w:color w:val="auto"/>
                      <w:spacing w:val="-3"/>
                      <w:sz w:val="24"/>
                      <w:szCs w:val="24"/>
                      <w:highlight w:val="none"/>
                      <w:u w:val="single"/>
                      <w:lang w:eastAsia="en-US"/>
                    </w:rPr>
                    <w:t>GB</w:t>
                  </w:r>
                </w:p>
              </w:tc>
            </w:tr>
            <w:tr w14:paraId="3698DF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719" w:type="dxa"/>
                  <w:shd w:val="clear" w:color="auto" w:fill="auto"/>
                  <w:noWrap w:val="0"/>
                  <w:vAlign w:val="center"/>
                </w:tcPr>
                <w:p w14:paraId="4636854F">
                  <w:pPr>
                    <w:spacing w:before="265"/>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109</w:t>
                  </w:r>
                </w:p>
              </w:tc>
              <w:tc>
                <w:tcPr>
                  <w:tcW w:w="1239" w:type="dxa"/>
                  <w:shd w:val="clear" w:color="auto" w:fill="auto"/>
                  <w:noWrap w:val="0"/>
                  <w:vAlign w:val="center"/>
                </w:tcPr>
                <w:p w14:paraId="75C672DC">
                  <w:pPr>
                    <w:spacing w:before="59" w:line="184" w:lineRule="auto"/>
                    <w:ind w:left="113"/>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FCHBA</w:t>
                  </w:r>
                </w:p>
                <w:p w14:paraId="393D679E">
                  <w:pPr>
                    <w:spacing w:before="25" w:line="223" w:lineRule="auto"/>
                    <w:ind w:left="18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卡性</w:t>
                  </w:r>
                </w:p>
                <w:p w14:paraId="7630E275">
                  <w:pPr>
                    <w:spacing w:before="15" w:line="202" w:lineRule="auto"/>
                    <w:ind w:left="2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能</w:t>
                  </w:r>
                </w:p>
              </w:tc>
              <w:tc>
                <w:tcPr>
                  <w:tcW w:w="1335" w:type="dxa"/>
                  <w:shd w:val="clear" w:color="auto" w:fill="auto"/>
                  <w:noWrap w:val="0"/>
                  <w:vAlign w:val="center"/>
                </w:tcPr>
                <w:p w14:paraId="0F93CB7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FC HBA 卡速率</w:t>
                  </w:r>
                </w:p>
              </w:tc>
              <w:tc>
                <w:tcPr>
                  <w:tcW w:w="4535" w:type="dxa"/>
                  <w:shd w:val="clear" w:color="auto" w:fill="auto"/>
                  <w:noWrap w:val="0"/>
                  <w:vAlign w:val="center"/>
                </w:tcPr>
                <w:p w14:paraId="2946F887">
                  <w:pPr>
                    <w:spacing w:before="146" w:line="241" w:lineRule="auto"/>
                    <w:ind w:left="113" w:right="10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若配备FC HBA卡，单端口最大的连</w:t>
                  </w:r>
                  <w:r>
                    <w:rPr>
                      <w:rFonts w:hint="eastAsia" w:ascii="宋体" w:hAnsi="宋体" w:eastAsia="宋体" w:cs="宋体"/>
                      <w:i/>
                      <w:iCs/>
                      <w:color w:val="auto"/>
                      <w:spacing w:val="4"/>
                      <w:sz w:val="24"/>
                      <w:szCs w:val="24"/>
                      <w:highlight w:val="none"/>
                      <w:u w:val="single"/>
                      <w:lang w:eastAsia="en-US"/>
                    </w:rPr>
                    <w:t>接速率不少于</w:t>
                  </w:r>
                  <w:r>
                    <w:rPr>
                      <w:rFonts w:hint="default" w:ascii="宋体" w:hAnsi="宋体" w:eastAsia="宋体" w:cs="宋体"/>
                      <w:i/>
                      <w:iCs/>
                      <w:color w:val="auto"/>
                      <w:spacing w:val="4"/>
                      <w:sz w:val="24"/>
                      <w:szCs w:val="24"/>
                      <w:highlight w:val="none"/>
                      <w:u w:val="single"/>
                      <w:lang w:eastAsia="en-US"/>
                    </w:rPr>
                    <w:t>16</w:t>
                  </w:r>
                  <w:r>
                    <w:rPr>
                      <w:rFonts w:hint="eastAsia" w:ascii="宋体" w:hAnsi="宋体" w:eastAsia="宋体" w:cs="宋体"/>
                      <w:i/>
                      <w:iCs/>
                      <w:color w:val="auto"/>
                      <w:sz w:val="24"/>
                      <w:szCs w:val="24"/>
                      <w:highlight w:val="none"/>
                      <w:u w:val="single"/>
                      <w:lang w:eastAsia="en-US"/>
                    </w:rPr>
                    <w:t>Gb</w:t>
                  </w:r>
                  <w:r>
                    <w:rPr>
                      <w:rFonts w:hint="eastAsia" w:ascii="宋体" w:hAnsi="宋体" w:eastAsia="宋体" w:cs="宋体"/>
                      <w:i/>
                      <w:iCs/>
                      <w:color w:val="auto"/>
                      <w:spacing w:val="4"/>
                      <w:sz w:val="24"/>
                      <w:szCs w:val="24"/>
                      <w:highlight w:val="none"/>
                      <w:u w:val="single"/>
                      <w:lang w:eastAsia="en-US"/>
                    </w:rPr>
                    <w:t>/s</w:t>
                  </w:r>
                </w:p>
              </w:tc>
            </w:tr>
            <w:tr w14:paraId="006103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shd w:val="clear" w:color="auto" w:fill="auto"/>
                  <w:noWrap w:val="0"/>
                  <w:vAlign w:val="center"/>
                </w:tcPr>
                <w:p w14:paraId="4678F106">
                  <w:pPr>
                    <w:spacing w:before="14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110</w:t>
                  </w:r>
                </w:p>
              </w:tc>
              <w:tc>
                <w:tcPr>
                  <w:tcW w:w="1239" w:type="dxa"/>
                  <w:vMerge w:val="restart"/>
                  <w:tcBorders>
                    <w:bottom w:val="nil"/>
                  </w:tcBorders>
                  <w:shd w:val="clear" w:color="auto" w:fill="auto"/>
                  <w:noWrap w:val="0"/>
                  <w:vAlign w:val="center"/>
                </w:tcPr>
                <w:p w14:paraId="1A24A653">
                  <w:pPr>
                    <w:spacing w:before="269" w:line="241" w:lineRule="auto"/>
                    <w:ind w:left="188" w:right="186" w:firstLine="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8"/>
                      <w:sz w:val="24"/>
                      <w:szCs w:val="24"/>
                      <w:highlight w:val="none"/>
                      <w:lang w:eastAsia="en-US"/>
                    </w:rPr>
                    <w:t>网络</w:t>
                  </w:r>
                  <w:r>
                    <w:rPr>
                      <w:rFonts w:hint="eastAsia" w:ascii="宋体" w:hAnsi="宋体" w:eastAsia="宋体" w:cs="宋体"/>
                      <w:color w:val="auto"/>
                      <w:spacing w:val="-4"/>
                      <w:sz w:val="24"/>
                      <w:szCs w:val="24"/>
                      <w:highlight w:val="none"/>
                      <w:lang w:eastAsia="en-US"/>
                    </w:rPr>
                    <w:t>性能</w:t>
                  </w:r>
                </w:p>
              </w:tc>
              <w:tc>
                <w:tcPr>
                  <w:tcW w:w="1335" w:type="dxa"/>
                  <w:shd w:val="clear" w:color="auto" w:fill="auto"/>
                  <w:noWrap w:val="0"/>
                  <w:vAlign w:val="center"/>
                </w:tcPr>
                <w:p w14:paraId="7434B77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独立网卡速率</w:t>
                  </w:r>
                </w:p>
              </w:tc>
              <w:tc>
                <w:tcPr>
                  <w:tcW w:w="4535" w:type="dxa"/>
                  <w:shd w:val="clear" w:color="auto" w:fill="auto"/>
                  <w:noWrap w:val="0"/>
                  <w:vAlign w:val="center"/>
                </w:tcPr>
                <w:p w14:paraId="5C219D53">
                  <w:pPr>
                    <w:spacing w:before="148"/>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≥1GE</w:t>
                  </w:r>
                </w:p>
              </w:tc>
            </w:tr>
            <w:tr w14:paraId="08355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shd w:val="clear" w:color="auto" w:fill="auto"/>
                  <w:noWrap w:val="0"/>
                  <w:vAlign w:val="center"/>
                </w:tcPr>
                <w:p w14:paraId="766A1432">
                  <w:pPr>
                    <w:spacing w:before="148"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111</w:t>
                  </w:r>
                </w:p>
              </w:tc>
              <w:tc>
                <w:tcPr>
                  <w:tcW w:w="1239" w:type="dxa"/>
                  <w:vMerge w:val="continue"/>
                  <w:tcBorders>
                    <w:top w:val="nil"/>
                  </w:tcBorders>
                  <w:shd w:val="clear" w:color="auto" w:fill="auto"/>
                  <w:noWrap w:val="0"/>
                  <w:vAlign w:val="center"/>
                </w:tcPr>
                <w:p w14:paraId="47983ED3">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E487E2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板载网卡速率</w:t>
                  </w:r>
                </w:p>
              </w:tc>
              <w:tc>
                <w:tcPr>
                  <w:tcW w:w="4535" w:type="dxa"/>
                  <w:shd w:val="clear" w:color="auto" w:fill="auto"/>
                  <w:noWrap w:val="0"/>
                  <w:vAlign w:val="center"/>
                </w:tcPr>
                <w:p w14:paraId="73B83A2C">
                  <w:pPr>
                    <w:spacing w:before="146"/>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≥1GE</w:t>
                  </w:r>
                </w:p>
              </w:tc>
            </w:tr>
            <w:tr w14:paraId="36A704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19" w:type="dxa"/>
                  <w:shd w:val="clear" w:color="auto" w:fill="auto"/>
                  <w:noWrap w:val="0"/>
                  <w:vAlign w:val="center"/>
                </w:tcPr>
                <w:p w14:paraId="7498D205">
                  <w:pPr>
                    <w:spacing w:before="149"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112</w:t>
                  </w:r>
                </w:p>
              </w:tc>
              <w:tc>
                <w:tcPr>
                  <w:tcW w:w="1239" w:type="dxa"/>
                  <w:shd w:val="clear" w:color="auto" w:fill="auto"/>
                  <w:noWrap w:val="0"/>
                  <w:vAlign w:val="center"/>
                </w:tcPr>
                <w:p w14:paraId="60B7DFEC">
                  <w:pPr>
                    <w:spacing w:before="32" w:line="220" w:lineRule="auto"/>
                    <w:ind w:left="193" w:right="141" w:hanging="54"/>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电源</w:t>
                  </w:r>
                  <w:r>
                    <w:rPr>
                      <w:rFonts w:hint="eastAsia" w:ascii="宋体" w:hAnsi="宋体" w:eastAsia="宋体" w:cs="宋体"/>
                      <w:color w:val="auto"/>
                      <w:spacing w:val="-7"/>
                      <w:sz w:val="24"/>
                      <w:szCs w:val="24"/>
                      <w:highlight w:val="none"/>
                      <w:lang w:eastAsia="en-US"/>
                    </w:rPr>
                    <w:t>能耗</w:t>
                  </w:r>
                </w:p>
              </w:tc>
              <w:tc>
                <w:tcPr>
                  <w:tcW w:w="1335" w:type="dxa"/>
                  <w:shd w:val="clear" w:color="auto" w:fill="auto"/>
                  <w:noWrap w:val="0"/>
                  <w:vAlign w:val="center"/>
                </w:tcPr>
                <w:p w14:paraId="340BC42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电源能耗</w:t>
                  </w:r>
                </w:p>
              </w:tc>
              <w:tc>
                <w:tcPr>
                  <w:tcW w:w="4535" w:type="dxa"/>
                  <w:shd w:val="clear" w:color="auto" w:fill="auto"/>
                  <w:noWrap w:val="0"/>
                  <w:vAlign w:val="center"/>
                </w:tcPr>
                <w:p w14:paraId="7416BCD2">
                  <w:pPr>
                    <w:spacing w:before="146" w:line="222" w:lineRule="auto"/>
                    <w:ind w:left="11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符合GB/T 9813.3的有关规定</w:t>
                  </w:r>
                </w:p>
              </w:tc>
            </w:tr>
            <w:tr w14:paraId="40AA3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shd w:val="clear" w:color="auto" w:fill="auto"/>
                  <w:noWrap w:val="0"/>
                  <w:vAlign w:val="center"/>
                </w:tcPr>
                <w:p w14:paraId="1F6218E2">
                  <w:pPr>
                    <w:spacing w:before="14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113</w:t>
                  </w:r>
                </w:p>
              </w:tc>
              <w:tc>
                <w:tcPr>
                  <w:tcW w:w="1239" w:type="dxa"/>
                  <w:vMerge w:val="restart"/>
                  <w:tcBorders>
                    <w:bottom w:val="nil"/>
                  </w:tcBorders>
                  <w:shd w:val="clear" w:color="auto" w:fill="auto"/>
                  <w:noWrap w:val="0"/>
                  <w:vAlign w:val="center"/>
                </w:tcPr>
                <w:p w14:paraId="22F0B6D8">
                  <w:pPr>
                    <w:spacing w:before="59" w:line="223"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部件</w:t>
                  </w:r>
                </w:p>
                <w:p w14:paraId="52A7BC9F">
                  <w:pPr>
                    <w:spacing w:before="15" w:line="222" w:lineRule="auto"/>
                    <w:ind w:left="19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兼容</w:t>
                  </w:r>
                </w:p>
                <w:p w14:paraId="61178271">
                  <w:pPr>
                    <w:spacing w:before="16" w:line="222" w:lineRule="auto"/>
                    <w:ind w:left="18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性要</w:t>
                  </w:r>
                </w:p>
                <w:p w14:paraId="4BB65734">
                  <w:pPr>
                    <w:spacing w:before="18" w:line="226" w:lineRule="auto"/>
                    <w:ind w:left="28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求</w:t>
                  </w:r>
                </w:p>
              </w:tc>
              <w:tc>
                <w:tcPr>
                  <w:tcW w:w="1335" w:type="dxa"/>
                  <w:shd w:val="clear" w:color="auto" w:fill="auto"/>
                  <w:noWrap w:val="0"/>
                  <w:vAlign w:val="center"/>
                </w:tcPr>
                <w:p w14:paraId="15D07E1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内存兼容性</w:t>
                  </w:r>
                </w:p>
              </w:tc>
              <w:tc>
                <w:tcPr>
                  <w:tcW w:w="4535" w:type="dxa"/>
                  <w:shd w:val="clear" w:color="auto" w:fill="auto"/>
                  <w:noWrap w:val="0"/>
                  <w:vAlign w:val="center"/>
                </w:tcPr>
                <w:p w14:paraId="5308E79C">
                  <w:pPr>
                    <w:spacing w:before="32" w:line="220" w:lineRule="auto"/>
                    <w:ind w:left="115" w:right="21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5"/>
                      <w:sz w:val="24"/>
                      <w:szCs w:val="24"/>
                      <w:highlight w:val="none"/>
                      <w:u w:val="single"/>
                    </w:rPr>
                    <w:t>适配3种及以上厂商的内存产品，</w:t>
                  </w:r>
                  <w:r>
                    <w:rPr>
                      <w:rFonts w:hint="eastAsia" w:ascii="宋体" w:hAnsi="宋体" w:eastAsia="宋体" w:cs="宋体"/>
                      <w:i/>
                      <w:iCs/>
                      <w:color w:val="auto"/>
                      <w:spacing w:val="-1"/>
                      <w:sz w:val="24"/>
                      <w:szCs w:val="24"/>
                      <w:highlight w:val="none"/>
                      <w:u w:val="single"/>
                    </w:rPr>
                    <w:t>且均不低于产品支持的内存规格</w:t>
                  </w:r>
                </w:p>
              </w:tc>
            </w:tr>
            <w:tr w14:paraId="3AED5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shd w:val="clear" w:color="auto" w:fill="auto"/>
                  <w:noWrap w:val="0"/>
                  <w:vAlign w:val="center"/>
                </w:tcPr>
                <w:p w14:paraId="51C60B22">
                  <w:pPr>
                    <w:spacing w:before="266"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114</w:t>
                  </w:r>
                </w:p>
              </w:tc>
              <w:tc>
                <w:tcPr>
                  <w:tcW w:w="1239" w:type="dxa"/>
                  <w:vMerge w:val="continue"/>
                  <w:tcBorders>
                    <w:top w:val="nil"/>
                    <w:bottom w:val="nil"/>
                  </w:tcBorders>
                  <w:shd w:val="clear" w:color="auto" w:fill="auto"/>
                  <w:noWrap w:val="0"/>
                  <w:vAlign w:val="center"/>
                </w:tcPr>
                <w:p w14:paraId="01029E2B">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D9823F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固态存储兼容性</w:t>
                  </w:r>
                </w:p>
              </w:tc>
              <w:tc>
                <w:tcPr>
                  <w:tcW w:w="4535" w:type="dxa"/>
                  <w:shd w:val="clear" w:color="auto" w:fill="auto"/>
                  <w:noWrap w:val="0"/>
                  <w:vAlign w:val="center"/>
                </w:tcPr>
                <w:p w14:paraId="0C3F2A67">
                  <w:pPr>
                    <w:spacing w:before="32" w:line="227" w:lineRule="auto"/>
                    <w:ind w:left="112" w:right="168" w:firstLine="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适配3种或以上厂商的固态存储产</w:t>
                  </w:r>
                  <w:r>
                    <w:rPr>
                      <w:rFonts w:hint="eastAsia" w:ascii="宋体" w:hAnsi="宋体" w:eastAsia="宋体" w:cs="宋体"/>
                      <w:i/>
                      <w:iCs/>
                      <w:color w:val="auto"/>
                      <w:spacing w:val="-1"/>
                      <w:sz w:val="24"/>
                      <w:szCs w:val="24"/>
                      <w:highlight w:val="none"/>
                      <w:u w:val="single"/>
                    </w:rPr>
                    <w:t>品，且均不低于产品支持的固态存</w:t>
                  </w:r>
                  <w:r>
                    <w:rPr>
                      <w:rFonts w:hint="eastAsia" w:ascii="宋体" w:hAnsi="宋体" w:eastAsia="宋体" w:cs="宋体"/>
                      <w:i/>
                      <w:iCs/>
                      <w:color w:val="auto"/>
                      <w:spacing w:val="-2"/>
                      <w:sz w:val="24"/>
                      <w:szCs w:val="24"/>
                      <w:highlight w:val="none"/>
                      <w:u w:val="single"/>
                    </w:rPr>
                    <w:t>储设备规格</w:t>
                  </w:r>
                </w:p>
              </w:tc>
            </w:tr>
            <w:tr w14:paraId="6FE65D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shd w:val="clear" w:color="auto" w:fill="auto"/>
                  <w:noWrap w:val="0"/>
                  <w:vAlign w:val="center"/>
                </w:tcPr>
                <w:p w14:paraId="7D214D7B">
                  <w:pPr>
                    <w:spacing w:before="148"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115</w:t>
                  </w:r>
                </w:p>
              </w:tc>
              <w:tc>
                <w:tcPr>
                  <w:tcW w:w="1239" w:type="dxa"/>
                  <w:vMerge w:val="continue"/>
                  <w:tcBorders>
                    <w:top w:val="nil"/>
                    <w:bottom w:val="nil"/>
                  </w:tcBorders>
                  <w:shd w:val="clear" w:color="auto" w:fill="auto"/>
                  <w:noWrap w:val="0"/>
                  <w:vAlign w:val="center"/>
                </w:tcPr>
                <w:p w14:paraId="0E5FAF03">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8D5522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FC HBA 卡兼容性</w:t>
                  </w:r>
                </w:p>
              </w:tc>
              <w:tc>
                <w:tcPr>
                  <w:tcW w:w="4535" w:type="dxa"/>
                  <w:shd w:val="clear" w:color="auto" w:fill="auto"/>
                  <w:noWrap w:val="0"/>
                  <w:vAlign w:val="center"/>
                </w:tcPr>
                <w:p w14:paraId="3EBC94F7">
                  <w:pPr>
                    <w:spacing w:before="148" w:line="221" w:lineRule="auto"/>
                    <w:ind w:left="11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FC HBA应适配两种或以上厂商产品</w:t>
                  </w:r>
                </w:p>
              </w:tc>
            </w:tr>
            <w:tr w14:paraId="46BF19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19" w:type="dxa"/>
                  <w:shd w:val="clear" w:color="auto" w:fill="auto"/>
                  <w:noWrap w:val="0"/>
                  <w:vAlign w:val="center"/>
                </w:tcPr>
                <w:p w14:paraId="73330026">
                  <w:pPr>
                    <w:spacing w:before="149"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116</w:t>
                  </w:r>
                </w:p>
              </w:tc>
              <w:tc>
                <w:tcPr>
                  <w:tcW w:w="1239" w:type="dxa"/>
                  <w:vMerge w:val="continue"/>
                  <w:tcBorders>
                    <w:top w:val="nil"/>
                    <w:bottom w:val="nil"/>
                  </w:tcBorders>
                  <w:shd w:val="clear" w:color="auto" w:fill="auto"/>
                  <w:noWrap w:val="0"/>
                  <w:vAlign w:val="center"/>
                </w:tcPr>
                <w:p w14:paraId="4E136F15">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5CA0270">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卡兼容性</w:t>
                  </w:r>
                </w:p>
              </w:tc>
              <w:tc>
                <w:tcPr>
                  <w:tcW w:w="4535" w:type="dxa"/>
                  <w:shd w:val="clear" w:color="auto" w:fill="auto"/>
                  <w:noWrap w:val="0"/>
                  <w:vAlign w:val="center"/>
                </w:tcPr>
                <w:p w14:paraId="5E117CDE">
                  <w:pPr>
                    <w:spacing w:before="146" w:line="221" w:lineRule="auto"/>
                    <w:ind w:left="11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RAID卡应适配两种或以上厂商产品</w:t>
                  </w:r>
                </w:p>
              </w:tc>
            </w:tr>
            <w:tr w14:paraId="3A9360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719" w:type="dxa"/>
                  <w:shd w:val="clear" w:color="auto" w:fill="auto"/>
                  <w:noWrap w:val="0"/>
                  <w:vAlign w:val="center"/>
                </w:tcPr>
                <w:p w14:paraId="13D1CB0C">
                  <w:pPr>
                    <w:spacing w:before="35" w:line="207"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117</w:t>
                  </w:r>
                </w:p>
              </w:tc>
              <w:tc>
                <w:tcPr>
                  <w:tcW w:w="1239" w:type="dxa"/>
                  <w:vMerge w:val="continue"/>
                  <w:tcBorders>
                    <w:top w:val="nil"/>
                  </w:tcBorders>
                  <w:shd w:val="clear" w:color="auto" w:fill="auto"/>
                  <w:noWrap w:val="0"/>
                  <w:vAlign w:val="center"/>
                </w:tcPr>
                <w:p w14:paraId="202A1DF7">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EB44EA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网卡兼容性</w:t>
                  </w:r>
                </w:p>
              </w:tc>
              <w:tc>
                <w:tcPr>
                  <w:tcW w:w="4535" w:type="dxa"/>
                  <w:shd w:val="clear" w:color="auto" w:fill="auto"/>
                  <w:noWrap w:val="0"/>
                  <w:vAlign w:val="center"/>
                </w:tcPr>
                <w:p w14:paraId="7B3B40EF">
                  <w:pPr>
                    <w:spacing w:before="35" w:line="207" w:lineRule="auto"/>
                    <w:ind w:left="12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网卡应适配两种或以上厂商产品</w:t>
                  </w:r>
                </w:p>
              </w:tc>
            </w:tr>
            <w:tr w14:paraId="164A9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shd w:val="clear" w:color="auto" w:fill="auto"/>
                  <w:noWrap w:val="0"/>
                  <w:vAlign w:val="center"/>
                </w:tcPr>
                <w:p w14:paraId="12494101">
                  <w:pPr>
                    <w:spacing w:before="261"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118</w:t>
                  </w:r>
                </w:p>
              </w:tc>
              <w:tc>
                <w:tcPr>
                  <w:tcW w:w="1239" w:type="dxa"/>
                  <w:tcBorders>
                    <w:top w:val="nil"/>
                  </w:tcBorders>
                  <w:shd w:val="clear" w:color="auto" w:fill="auto"/>
                  <w:noWrap w:val="0"/>
                  <w:vAlign w:val="center"/>
                </w:tcPr>
                <w:p w14:paraId="1CEEF052">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5354AE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功能卡兼容性</w:t>
                  </w:r>
                </w:p>
              </w:tc>
              <w:tc>
                <w:tcPr>
                  <w:tcW w:w="4535" w:type="dxa"/>
                  <w:shd w:val="clear" w:color="auto" w:fill="auto"/>
                  <w:noWrap w:val="0"/>
                  <w:vAlign w:val="center"/>
                </w:tcPr>
                <w:p w14:paraId="1540443C">
                  <w:pPr>
                    <w:spacing w:before="29" w:line="228" w:lineRule="auto"/>
                    <w:ind w:left="120" w:right="50" w:firstLine="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0"/>
                      <w:sz w:val="24"/>
                      <w:szCs w:val="24"/>
                      <w:highlight w:val="none"/>
                      <w:u w:val="single"/>
                    </w:rPr>
                    <w:t>内置或适配符合PCIe的功能卡，如：</w:t>
                  </w:r>
                  <w:r>
                    <w:rPr>
                      <w:rFonts w:hint="eastAsia" w:ascii="宋体" w:hAnsi="宋体" w:eastAsia="宋体" w:cs="宋体"/>
                      <w:i/>
                      <w:iCs/>
                      <w:color w:val="auto"/>
                      <w:spacing w:val="-1"/>
                      <w:sz w:val="24"/>
                      <w:szCs w:val="24"/>
                      <w:highlight w:val="none"/>
                      <w:u w:val="single"/>
                    </w:rPr>
                    <w:t>网络功能卡、存储功能卡及图形显</w:t>
                  </w:r>
                  <w:r>
                    <w:rPr>
                      <w:rFonts w:hint="eastAsia" w:ascii="宋体" w:hAnsi="宋体" w:eastAsia="宋体" w:cs="宋体"/>
                      <w:i/>
                      <w:iCs/>
                      <w:color w:val="auto"/>
                      <w:spacing w:val="-4"/>
                      <w:sz w:val="24"/>
                      <w:szCs w:val="24"/>
                      <w:highlight w:val="none"/>
                      <w:u w:val="single"/>
                    </w:rPr>
                    <w:t>示功能卡</w:t>
                  </w:r>
                </w:p>
              </w:tc>
            </w:tr>
            <w:tr w14:paraId="5DF475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jc w:val="center"/>
              </w:trPr>
              <w:tc>
                <w:tcPr>
                  <w:tcW w:w="719" w:type="dxa"/>
                  <w:shd w:val="clear" w:color="auto" w:fill="auto"/>
                  <w:noWrap w:val="0"/>
                  <w:vAlign w:val="center"/>
                </w:tcPr>
                <w:p w14:paraId="2D02BA40">
                  <w:pPr>
                    <w:spacing w:before="5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119</w:t>
                  </w:r>
                </w:p>
              </w:tc>
              <w:tc>
                <w:tcPr>
                  <w:tcW w:w="1239" w:type="dxa"/>
                  <w:shd w:val="clear" w:color="auto" w:fill="auto"/>
                  <w:noWrap w:val="0"/>
                  <w:vAlign w:val="center"/>
                </w:tcPr>
                <w:p w14:paraId="0EEADAB3">
                  <w:pPr>
                    <w:spacing w:before="260" w:line="222"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外设</w:t>
                  </w:r>
                </w:p>
                <w:p w14:paraId="7D81DEC0">
                  <w:pPr>
                    <w:spacing w:before="17" w:line="222" w:lineRule="auto"/>
                    <w:ind w:left="19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兼容</w:t>
                  </w:r>
                </w:p>
                <w:p w14:paraId="249B08DD">
                  <w:pPr>
                    <w:spacing w:before="16" w:line="223" w:lineRule="auto"/>
                    <w:ind w:left="27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性</w:t>
                  </w:r>
                </w:p>
              </w:tc>
              <w:tc>
                <w:tcPr>
                  <w:tcW w:w="1335" w:type="dxa"/>
                  <w:shd w:val="clear" w:color="auto" w:fill="auto"/>
                  <w:noWrap w:val="0"/>
                  <w:vAlign w:val="center"/>
                </w:tcPr>
                <w:p w14:paraId="2F8B89D2">
                  <w:pPr>
                    <w:spacing w:before="59" w:line="241" w:lineRule="auto"/>
                    <w:ind w:right="12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外设兼容性</w:t>
                  </w:r>
                </w:p>
              </w:tc>
              <w:tc>
                <w:tcPr>
                  <w:tcW w:w="4535" w:type="dxa"/>
                  <w:shd w:val="clear" w:color="auto" w:fill="auto"/>
                  <w:noWrap w:val="0"/>
                  <w:vAlign w:val="center"/>
                </w:tcPr>
                <w:p w14:paraId="68DC43EB">
                  <w:pPr>
                    <w:spacing w:before="27" w:line="213" w:lineRule="auto"/>
                    <w:ind w:left="11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兼容多种主流生产商的外部设备，</w:t>
                  </w:r>
                </w:p>
                <w:p w14:paraId="49F849AD">
                  <w:pPr>
                    <w:spacing w:before="24" w:line="231" w:lineRule="auto"/>
                    <w:ind w:left="112" w:right="4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4"/>
                      <w:sz w:val="24"/>
                      <w:szCs w:val="24"/>
                      <w:highlight w:val="none"/>
                      <w:u w:val="single"/>
                    </w:rPr>
                    <w:t>包括显示器、键盘、鼠标、闪存盘、</w:t>
                  </w:r>
                  <w:r>
                    <w:rPr>
                      <w:rFonts w:hint="eastAsia" w:ascii="宋体" w:hAnsi="宋体" w:eastAsia="宋体" w:cs="宋体"/>
                      <w:i/>
                      <w:iCs/>
                      <w:color w:val="auto"/>
                      <w:spacing w:val="-6"/>
                      <w:sz w:val="24"/>
                      <w:szCs w:val="24"/>
                      <w:highlight w:val="none"/>
                      <w:u w:val="single"/>
                    </w:rPr>
                    <w:t>移动硬盘、USB光驱及KVM等，要求</w:t>
                  </w:r>
                  <w:r>
                    <w:rPr>
                      <w:rFonts w:hint="eastAsia" w:ascii="宋体" w:hAnsi="宋体" w:eastAsia="宋体" w:cs="宋体"/>
                      <w:i/>
                      <w:iCs/>
                      <w:color w:val="auto"/>
                      <w:spacing w:val="-1"/>
                      <w:sz w:val="24"/>
                      <w:szCs w:val="24"/>
                      <w:highlight w:val="none"/>
                      <w:u w:val="single"/>
                    </w:rPr>
                    <w:t>使用不同厂商的外部设备时，系统均能正常识别和安装驱动</w:t>
                  </w:r>
                </w:p>
              </w:tc>
            </w:tr>
            <w:tr w14:paraId="184AB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shd w:val="clear" w:color="auto" w:fill="auto"/>
                  <w:noWrap w:val="0"/>
                  <w:vAlign w:val="center"/>
                </w:tcPr>
                <w:p w14:paraId="4288430F">
                  <w:pPr>
                    <w:spacing w:before="145"/>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120</w:t>
                  </w:r>
                </w:p>
              </w:tc>
              <w:tc>
                <w:tcPr>
                  <w:tcW w:w="1239" w:type="dxa"/>
                  <w:vMerge w:val="restart"/>
                  <w:tcBorders>
                    <w:bottom w:val="nil"/>
                  </w:tcBorders>
                  <w:shd w:val="clear" w:color="auto" w:fill="auto"/>
                  <w:noWrap w:val="0"/>
                  <w:vAlign w:val="center"/>
                </w:tcPr>
                <w:p w14:paraId="43C47819">
                  <w:pPr>
                    <w:spacing w:before="58" w:line="222"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软件</w:t>
                  </w:r>
                </w:p>
                <w:p w14:paraId="7FFC1E3E">
                  <w:pPr>
                    <w:spacing w:before="23" w:line="222" w:lineRule="auto"/>
                    <w:ind w:left="19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兼容</w:t>
                  </w:r>
                </w:p>
                <w:p w14:paraId="74DF960E">
                  <w:pPr>
                    <w:spacing w:before="23" w:line="223" w:lineRule="auto"/>
                    <w:ind w:left="27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性</w:t>
                  </w:r>
                </w:p>
              </w:tc>
              <w:tc>
                <w:tcPr>
                  <w:tcW w:w="1335" w:type="dxa"/>
                  <w:shd w:val="clear" w:color="auto" w:fill="auto"/>
                  <w:noWrap w:val="0"/>
                  <w:vAlign w:val="center"/>
                </w:tcPr>
                <w:p w14:paraId="078DAC3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数据库兼容</w:t>
                  </w:r>
                </w:p>
              </w:tc>
              <w:tc>
                <w:tcPr>
                  <w:tcW w:w="4535" w:type="dxa"/>
                  <w:shd w:val="clear" w:color="auto" w:fill="auto"/>
                  <w:noWrap w:val="0"/>
                  <w:vAlign w:val="center"/>
                </w:tcPr>
                <w:p w14:paraId="7C7CEFB6">
                  <w:pPr>
                    <w:spacing w:before="145" w:line="221" w:lineRule="auto"/>
                    <w:ind w:left="11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兼容3个及以上厂商的数据库产品</w:t>
                  </w:r>
                </w:p>
              </w:tc>
            </w:tr>
            <w:tr w14:paraId="557155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19A360B0">
                  <w:pPr>
                    <w:spacing w:before="153"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121</w:t>
                  </w:r>
                </w:p>
              </w:tc>
              <w:tc>
                <w:tcPr>
                  <w:tcW w:w="1239" w:type="dxa"/>
                  <w:vMerge w:val="continue"/>
                  <w:tcBorders>
                    <w:top w:val="nil"/>
                    <w:bottom w:val="nil"/>
                  </w:tcBorders>
                  <w:shd w:val="clear" w:color="auto" w:fill="auto"/>
                  <w:noWrap w:val="0"/>
                  <w:vAlign w:val="center"/>
                </w:tcPr>
                <w:p w14:paraId="4455E4B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6EC667C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中间件兼容</w:t>
                  </w:r>
                </w:p>
              </w:tc>
              <w:tc>
                <w:tcPr>
                  <w:tcW w:w="4535" w:type="dxa"/>
                  <w:shd w:val="clear" w:color="auto" w:fill="auto"/>
                  <w:noWrap w:val="0"/>
                  <w:vAlign w:val="center"/>
                </w:tcPr>
                <w:p w14:paraId="7C950BB0">
                  <w:pPr>
                    <w:spacing w:before="160" w:line="221" w:lineRule="auto"/>
                    <w:ind w:left="11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兼容3个及以上厂商的中间件产品</w:t>
                  </w:r>
                </w:p>
              </w:tc>
            </w:tr>
            <w:tr w14:paraId="7C642F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6CB78086">
                  <w:pPr>
                    <w:spacing w:before="152"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122</w:t>
                  </w:r>
                </w:p>
              </w:tc>
              <w:tc>
                <w:tcPr>
                  <w:tcW w:w="1239" w:type="dxa"/>
                  <w:vMerge w:val="continue"/>
                  <w:tcBorders>
                    <w:top w:val="nil"/>
                    <w:bottom w:val="nil"/>
                  </w:tcBorders>
                  <w:shd w:val="clear" w:color="auto" w:fill="auto"/>
                  <w:noWrap w:val="0"/>
                  <w:vAlign w:val="center"/>
                </w:tcPr>
                <w:p w14:paraId="5A59508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4F5111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平台软件兼容</w:t>
                  </w:r>
                </w:p>
              </w:tc>
              <w:tc>
                <w:tcPr>
                  <w:tcW w:w="4535" w:type="dxa"/>
                  <w:shd w:val="clear" w:color="auto" w:fill="auto"/>
                  <w:noWrap w:val="0"/>
                  <w:vAlign w:val="center"/>
                </w:tcPr>
                <w:p w14:paraId="0DB14BA5">
                  <w:pPr>
                    <w:spacing w:before="159" w:line="221" w:lineRule="auto"/>
                    <w:ind w:left="11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兼容3个及以上厂商的大数据平台</w:t>
                  </w:r>
                </w:p>
              </w:tc>
            </w:tr>
            <w:tr w14:paraId="0FB63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22B84711">
                  <w:pPr>
                    <w:spacing w:before="152"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123</w:t>
                  </w:r>
                </w:p>
              </w:tc>
              <w:tc>
                <w:tcPr>
                  <w:tcW w:w="1239" w:type="dxa"/>
                  <w:vMerge w:val="continue"/>
                  <w:tcBorders>
                    <w:top w:val="nil"/>
                  </w:tcBorders>
                  <w:shd w:val="clear" w:color="auto" w:fill="auto"/>
                  <w:noWrap w:val="0"/>
                  <w:vAlign w:val="center"/>
                </w:tcPr>
                <w:p w14:paraId="5323D481">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C83C13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虚拟化软件兼容</w:t>
                  </w:r>
                </w:p>
              </w:tc>
              <w:tc>
                <w:tcPr>
                  <w:tcW w:w="4535" w:type="dxa"/>
                  <w:shd w:val="clear" w:color="auto" w:fill="auto"/>
                  <w:noWrap w:val="0"/>
                  <w:vAlign w:val="center"/>
                </w:tcPr>
                <w:p w14:paraId="322A0900">
                  <w:pPr>
                    <w:spacing w:before="159" w:line="221" w:lineRule="auto"/>
                    <w:ind w:left="11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兼容2款及以上虚拟化软件</w:t>
                  </w:r>
                </w:p>
              </w:tc>
            </w:tr>
            <w:tr w14:paraId="5B6C27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0F4285F8">
                  <w:pPr>
                    <w:spacing w:before="58" w:line="240"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124</w:t>
                  </w:r>
                </w:p>
              </w:tc>
              <w:tc>
                <w:tcPr>
                  <w:tcW w:w="1239" w:type="dxa"/>
                  <w:shd w:val="clear" w:color="auto" w:fill="auto"/>
                  <w:noWrap w:val="0"/>
                  <w:vAlign w:val="center"/>
                </w:tcPr>
                <w:p w14:paraId="42977A6C">
                  <w:pPr>
                    <w:spacing w:before="38" w:line="222" w:lineRule="auto"/>
                    <w:ind w:left="18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存储</w:t>
                  </w:r>
                </w:p>
                <w:p w14:paraId="1C6B1E6A">
                  <w:pPr>
                    <w:spacing w:before="23" w:line="222" w:lineRule="auto"/>
                    <w:ind w:left="19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可靠</w:t>
                  </w:r>
                </w:p>
                <w:p w14:paraId="1B7FB44B">
                  <w:pPr>
                    <w:spacing w:before="23" w:line="223" w:lineRule="auto"/>
                    <w:ind w:left="280" w:right="186" w:hanging="92"/>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性要</w:t>
                  </w:r>
                  <w:r>
                    <w:rPr>
                      <w:rFonts w:hint="eastAsia" w:ascii="宋体" w:hAnsi="宋体" w:eastAsia="宋体" w:cs="宋体"/>
                      <w:color w:val="auto"/>
                      <w:sz w:val="24"/>
                      <w:szCs w:val="24"/>
                      <w:highlight w:val="none"/>
                      <w:lang w:eastAsia="en-US"/>
                    </w:rPr>
                    <w:t>求</w:t>
                  </w:r>
                </w:p>
              </w:tc>
              <w:tc>
                <w:tcPr>
                  <w:tcW w:w="1335" w:type="dxa"/>
                  <w:shd w:val="clear" w:color="auto" w:fill="auto"/>
                  <w:noWrap w:val="0"/>
                  <w:vAlign w:val="center"/>
                </w:tcPr>
                <w:p w14:paraId="20331674">
                  <w:pPr>
                    <w:spacing w:before="58" w:line="258" w:lineRule="auto"/>
                    <w:ind w:right="21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SATA SSD可靠性</w:t>
                  </w:r>
                </w:p>
              </w:tc>
              <w:tc>
                <w:tcPr>
                  <w:tcW w:w="4535" w:type="dxa"/>
                  <w:shd w:val="clear" w:color="auto" w:fill="auto"/>
                  <w:noWrap w:val="0"/>
                  <w:vAlign w:val="center"/>
                </w:tcPr>
                <w:p w14:paraId="0B3126FE">
                  <w:pPr>
                    <w:spacing w:before="279" w:line="248" w:lineRule="auto"/>
                    <w:ind w:left="115" w:right="102"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SSD的m1值（MTBF的不可接受值）</w:t>
                  </w:r>
                  <w:r>
                    <w:rPr>
                      <w:rFonts w:hint="eastAsia" w:ascii="宋体" w:hAnsi="宋体" w:eastAsia="宋体" w:cs="宋体"/>
                      <w:i/>
                      <w:iCs/>
                      <w:color w:val="auto"/>
                      <w:spacing w:val="-2"/>
                      <w:sz w:val="24"/>
                      <w:szCs w:val="24"/>
                      <w:highlight w:val="none"/>
                      <w:u w:val="single"/>
                      <w:lang w:eastAsia="en-US"/>
                    </w:rPr>
                    <w:t>不低于200000h</w:t>
                  </w:r>
                </w:p>
              </w:tc>
            </w:tr>
            <w:tr w14:paraId="0DFA6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shd w:val="clear" w:color="auto" w:fill="auto"/>
                  <w:noWrap w:val="0"/>
                  <w:vAlign w:val="center"/>
                </w:tcPr>
                <w:p w14:paraId="03DF8089">
                  <w:pPr>
                    <w:spacing w:before="273"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125</w:t>
                  </w:r>
                </w:p>
              </w:tc>
              <w:tc>
                <w:tcPr>
                  <w:tcW w:w="1239" w:type="dxa"/>
                  <w:vMerge w:val="restart"/>
                  <w:tcBorders>
                    <w:bottom w:val="nil"/>
                  </w:tcBorders>
                  <w:shd w:val="clear" w:color="auto" w:fill="auto"/>
                  <w:noWrap w:val="0"/>
                  <w:vAlign w:val="center"/>
                </w:tcPr>
                <w:p w14:paraId="08D2452C">
                  <w:pPr>
                    <w:spacing w:before="58" w:line="224"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整机</w:t>
                  </w:r>
                </w:p>
                <w:p w14:paraId="78F02B6F">
                  <w:pPr>
                    <w:spacing w:before="20" w:line="222" w:lineRule="auto"/>
                    <w:ind w:left="19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可靠</w:t>
                  </w:r>
                </w:p>
                <w:p w14:paraId="2EAE88B5">
                  <w:pPr>
                    <w:spacing w:before="24" w:line="222" w:lineRule="auto"/>
                    <w:ind w:left="18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性要</w:t>
                  </w:r>
                </w:p>
                <w:p w14:paraId="245544E9">
                  <w:pPr>
                    <w:spacing w:before="23" w:line="226" w:lineRule="auto"/>
                    <w:ind w:left="28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求</w:t>
                  </w:r>
                </w:p>
              </w:tc>
              <w:tc>
                <w:tcPr>
                  <w:tcW w:w="1335" w:type="dxa"/>
                  <w:shd w:val="clear" w:color="auto" w:fill="auto"/>
                  <w:noWrap w:val="0"/>
                  <w:vAlign w:val="center"/>
                </w:tcPr>
                <w:p w14:paraId="5363192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整机可靠性</w:t>
                  </w:r>
                </w:p>
              </w:tc>
              <w:tc>
                <w:tcPr>
                  <w:tcW w:w="4535" w:type="dxa"/>
                  <w:shd w:val="clear" w:color="auto" w:fill="auto"/>
                  <w:noWrap w:val="0"/>
                  <w:vAlign w:val="center"/>
                </w:tcPr>
                <w:p w14:paraId="60B7A11B">
                  <w:pPr>
                    <w:spacing w:before="159" w:line="250" w:lineRule="auto"/>
                    <w:ind w:left="113" w:right="103" w:hanging="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m1值（MTBF的不可接受值）不得低于30000h</w:t>
                  </w:r>
                </w:p>
              </w:tc>
            </w:tr>
            <w:tr w14:paraId="6A38E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5779DD67">
                  <w:pPr>
                    <w:spacing w:before="152"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126</w:t>
                  </w:r>
                </w:p>
              </w:tc>
              <w:tc>
                <w:tcPr>
                  <w:tcW w:w="1239" w:type="dxa"/>
                  <w:vMerge w:val="continue"/>
                  <w:tcBorders>
                    <w:top w:val="nil"/>
                    <w:bottom w:val="nil"/>
                  </w:tcBorders>
                  <w:shd w:val="clear" w:color="auto" w:fill="auto"/>
                  <w:noWrap w:val="0"/>
                  <w:vAlign w:val="center"/>
                </w:tcPr>
                <w:p w14:paraId="51512D7A">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A29024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风扇可靠性</w:t>
                  </w:r>
                </w:p>
              </w:tc>
              <w:tc>
                <w:tcPr>
                  <w:tcW w:w="4535" w:type="dxa"/>
                  <w:shd w:val="clear" w:color="auto" w:fill="auto"/>
                  <w:noWrap w:val="0"/>
                  <w:vAlign w:val="center"/>
                </w:tcPr>
                <w:p w14:paraId="46C97F89">
                  <w:pPr>
                    <w:spacing w:before="158" w:line="222" w:lineRule="auto"/>
                    <w:ind w:left="11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风扇寿命应不低于40000h</w:t>
                  </w:r>
                </w:p>
              </w:tc>
            </w:tr>
            <w:tr w14:paraId="7EF9B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76155125">
                  <w:pPr>
                    <w:spacing w:before="154"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127</w:t>
                  </w:r>
                </w:p>
              </w:tc>
              <w:tc>
                <w:tcPr>
                  <w:tcW w:w="1239" w:type="dxa"/>
                  <w:vMerge w:val="continue"/>
                  <w:tcBorders>
                    <w:top w:val="nil"/>
                  </w:tcBorders>
                  <w:shd w:val="clear" w:color="auto" w:fill="auto"/>
                  <w:noWrap w:val="0"/>
                  <w:vAlign w:val="center"/>
                </w:tcPr>
                <w:p w14:paraId="05D99CBF">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3E569A5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部件可靠性</w:t>
                  </w:r>
                </w:p>
              </w:tc>
              <w:tc>
                <w:tcPr>
                  <w:tcW w:w="4535" w:type="dxa"/>
                  <w:shd w:val="clear" w:color="auto" w:fill="auto"/>
                  <w:noWrap w:val="0"/>
                  <w:vAlign w:val="center"/>
                </w:tcPr>
                <w:p w14:paraId="7D956F31">
                  <w:pPr>
                    <w:spacing w:before="42" w:line="222" w:lineRule="auto"/>
                    <w:ind w:left="114" w:right="103" w:firstLine="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支持硬盘、电源、风扇热插拔(内置</w:t>
                  </w:r>
                  <w:r>
                    <w:rPr>
                      <w:rFonts w:hint="eastAsia" w:ascii="宋体" w:hAnsi="宋体" w:eastAsia="宋体" w:cs="宋体"/>
                      <w:i/>
                      <w:iCs/>
                      <w:color w:val="auto"/>
                      <w:spacing w:val="-2"/>
                      <w:sz w:val="24"/>
                      <w:szCs w:val="24"/>
                      <w:highlight w:val="none"/>
                      <w:u w:val="single"/>
                    </w:rPr>
                    <w:t>风扇除外)</w:t>
                  </w:r>
                </w:p>
              </w:tc>
            </w:tr>
            <w:tr w14:paraId="591CB0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5600BC7D">
                  <w:pPr>
                    <w:spacing w:before="5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128</w:t>
                  </w:r>
                </w:p>
              </w:tc>
              <w:tc>
                <w:tcPr>
                  <w:tcW w:w="1239" w:type="dxa"/>
                  <w:shd w:val="clear" w:color="auto" w:fill="auto"/>
                  <w:noWrap w:val="0"/>
                  <w:vAlign w:val="center"/>
                </w:tcPr>
                <w:p w14:paraId="51C52EA4">
                  <w:pPr>
                    <w:spacing w:before="41" w:line="246" w:lineRule="auto"/>
                    <w:ind w:left="188" w:right="141" w:hanging="4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包装</w:t>
                  </w:r>
                  <w:r>
                    <w:rPr>
                      <w:rFonts w:hint="eastAsia" w:ascii="宋体" w:hAnsi="宋体" w:eastAsia="宋体" w:cs="宋体"/>
                      <w:color w:val="auto"/>
                      <w:spacing w:val="-4"/>
                      <w:sz w:val="24"/>
                      <w:szCs w:val="24"/>
                      <w:highlight w:val="none"/>
                      <w:lang w:eastAsia="en-US"/>
                    </w:rPr>
                    <w:t>及运</w:t>
                  </w:r>
                </w:p>
                <w:p w14:paraId="627B28FC">
                  <w:pPr>
                    <w:spacing w:line="222" w:lineRule="auto"/>
                    <w:ind w:left="280" w:right="186" w:hanging="93"/>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输要</w:t>
                  </w:r>
                  <w:r>
                    <w:rPr>
                      <w:rFonts w:hint="eastAsia" w:ascii="宋体" w:hAnsi="宋体" w:eastAsia="宋体" w:cs="宋体"/>
                      <w:color w:val="auto"/>
                      <w:sz w:val="24"/>
                      <w:szCs w:val="24"/>
                      <w:highlight w:val="none"/>
                      <w:lang w:eastAsia="en-US"/>
                    </w:rPr>
                    <w:t>求</w:t>
                  </w:r>
                </w:p>
              </w:tc>
              <w:tc>
                <w:tcPr>
                  <w:tcW w:w="1335" w:type="dxa"/>
                  <w:shd w:val="clear" w:color="auto" w:fill="auto"/>
                  <w:noWrap w:val="0"/>
                  <w:vAlign w:val="center"/>
                </w:tcPr>
                <w:p w14:paraId="5B40D7E7">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标志、包</w:t>
                  </w:r>
                </w:p>
                <w:p w14:paraId="2D4376E9">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装、运输和贮存</w:t>
                  </w:r>
                </w:p>
              </w:tc>
              <w:tc>
                <w:tcPr>
                  <w:tcW w:w="4535" w:type="dxa"/>
                  <w:shd w:val="clear" w:color="auto" w:fill="auto"/>
                  <w:noWrap w:val="0"/>
                  <w:vAlign w:val="center"/>
                </w:tcPr>
                <w:p w14:paraId="165379AB">
                  <w:pPr>
                    <w:spacing w:before="281" w:line="248" w:lineRule="auto"/>
                    <w:ind w:left="112"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符合</w:t>
                  </w:r>
                  <w:r>
                    <w:rPr>
                      <w:rFonts w:hint="eastAsia" w:ascii="宋体" w:hAnsi="宋体" w:eastAsia="宋体" w:cs="宋体"/>
                      <w:i/>
                      <w:iCs/>
                      <w:color w:val="auto"/>
                      <w:sz w:val="24"/>
                      <w:szCs w:val="24"/>
                      <w:highlight w:val="none"/>
                      <w:u w:val="single"/>
                    </w:rPr>
                    <w:t>GB</w:t>
                  </w:r>
                  <w:r>
                    <w:rPr>
                      <w:rFonts w:hint="eastAsia" w:ascii="宋体" w:hAnsi="宋体" w:eastAsia="宋体" w:cs="宋体"/>
                      <w:i/>
                      <w:iCs/>
                      <w:color w:val="auto"/>
                      <w:spacing w:val="1"/>
                      <w:sz w:val="24"/>
                      <w:szCs w:val="24"/>
                      <w:highlight w:val="none"/>
                      <w:u w:val="single"/>
                    </w:rPr>
                    <w:t>/T 9813.3和商品包装政府</w:t>
                  </w:r>
                  <w:r>
                    <w:rPr>
                      <w:rFonts w:hint="eastAsia" w:ascii="宋体" w:hAnsi="宋体" w:eastAsia="宋体" w:cs="宋体"/>
                      <w:i/>
                      <w:iCs/>
                      <w:color w:val="auto"/>
                      <w:spacing w:val="-1"/>
                      <w:sz w:val="24"/>
                      <w:szCs w:val="24"/>
                      <w:highlight w:val="none"/>
                      <w:u w:val="single"/>
                    </w:rPr>
                    <w:t>采购需求标准的相关规定</w:t>
                  </w:r>
                </w:p>
              </w:tc>
            </w:tr>
            <w:tr w14:paraId="746561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4" w:hRule="atLeast"/>
                <w:jc w:val="center"/>
              </w:trPr>
              <w:tc>
                <w:tcPr>
                  <w:tcW w:w="719" w:type="dxa"/>
                  <w:shd w:val="clear" w:color="auto" w:fill="auto"/>
                  <w:noWrap w:val="0"/>
                  <w:vAlign w:val="center"/>
                </w:tcPr>
                <w:p w14:paraId="66EE0B82">
                  <w:pPr>
                    <w:spacing w:before="59"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129</w:t>
                  </w:r>
                </w:p>
              </w:tc>
              <w:tc>
                <w:tcPr>
                  <w:tcW w:w="1239" w:type="dxa"/>
                  <w:vMerge w:val="restart"/>
                  <w:tcBorders>
                    <w:bottom w:val="nil"/>
                  </w:tcBorders>
                  <w:shd w:val="clear" w:color="auto" w:fill="auto"/>
                  <w:noWrap w:val="0"/>
                  <w:vAlign w:val="center"/>
                </w:tcPr>
                <w:p w14:paraId="71A909B7">
                  <w:pPr>
                    <w:spacing w:before="59"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服务</w:t>
                  </w:r>
                  <w:r>
                    <w:rPr>
                      <w:rFonts w:hint="eastAsia" w:ascii="宋体" w:hAnsi="宋体" w:eastAsia="宋体" w:cs="宋体"/>
                      <w:color w:val="auto"/>
                      <w:spacing w:val="-8"/>
                      <w:sz w:val="24"/>
                      <w:szCs w:val="24"/>
                      <w:highlight w:val="none"/>
                      <w:lang w:eastAsia="en-US"/>
                    </w:rPr>
                    <w:t>响应</w:t>
                  </w:r>
                </w:p>
              </w:tc>
              <w:tc>
                <w:tcPr>
                  <w:tcW w:w="1335" w:type="dxa"/>
                  <w:shd w:val="clear" w:color="auto" w:fill="auto"/>
                  <w:noWrap w:val="0"/>
                  <w:vAlign w:val="center"/>
                </w:tcPr>
                <w:p w14:paraId="777936D3">
                  <w:pPr>
                    <w:spacing w:before="59" w:line="221"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服务响应</w:t>
                  </w:r>
                </w:p>
              </w:tc>
              <w:tc>
                <w:tcPr>
                  <w:tcW w:w="4535" w:type="dxa"/>
                  <w:shd w:val="clear" w:color="auto" w:fill="auto"/>
                  <w:noWrap w:val="0"/>
                  <w:vAlign w:val="center"/>
                </w:tcPr>
                <w:p w14:paraId="602BB8FF">
                  <w:pPr>
                    <w:spacing w:before="42" w:line="243" w:lineRule="auto"/>
                    <w:ind w:left="112" w:right="103"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a) 提供电话、电子邮件、远程连接</w:t>
                  </w:r>
                  <w:r>
                    <w:rPr>
                      <w:rFonts w:hint="eastAsia" w:ascii="宋体" w:hAnsi="宋体" w:eastAsia="宋体" w:cs="宋体"/>
                      <w:i/>
                      <w:iCs/>
                      <w:color w:val="auto"/>
                      <w:spacing w:val="-1"/>
                      <w:sz w:val="24"/>
                      <w:szCs w:val="24"/>
                      <w:highlight w:val="none"/>
                      <w:u w:val="single"/>
                    </w:rPr>
                    <w:t>等多种形式服务；</w:t>
                  </w:r>
                </w:p>
                <w:p w14:paraId="6F7F43A6">
                  <w:pPr>
                    <w:spacing w:before="4" w:line="245" w:lineRule="auto"/>
                    <w:ind w:left="113" w:right="103"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6"/>
                      <w:sz w:val="24"/>
                      <w:szCs w:val="24"/>
                      <w:highlight w:val="none"/>
                      <w:u w:val="single"/>
                    </w:rPr>
                    <w:t>b) 提供同城4h、异地12h技术响应服务，2个工作日解决问题，对于未</w:t>
                  </w:r>
                  <w:r>
                    <w:rPr>
                      <w:rFonts w:hint="eastAsia" w:ascii="宋体" w:hAnsi="宋体" w:eastAsia="宋体" w:cs="宋体"/>
                      <w:i/>
                      <w:iCs/>
                      <w:color w:val="auto"/>
                      <w:spacing w:val="-1"/>
                      <w:sz w:val="24"/>
                      <w:szCs w:val="24"/>
                      <w:highlight w:val="none"/>
                      <w:u w:val="single"/>
                    </w:rPr>
                    <w:t>能解决的问题和故障应提供可行的升级方案，并提供周转设备；</w:t>
                  </w:r>
                </w:p>
                <w:p w14:paraId="4F0DB651">
                  <w:pPr>
                    <w:spacing w:before="6" w:line="244" w:lineRule="auto"/>
                    <w:ind w:left="112" w:right="5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c) 建立全国技术服务体系和服务</w:t>
                  </w:r>
                  <w:r>
                    <w:rPr>
                      <w:rFonts w:hint="eastAsia" w:ascii="宋体" w:hAnsi="宋体" w:eastAsia="宋体" w:cs="宋体"/>
                      <w:i/>
                      <w:iCs/>
                      <w:color w:val="auto"/>
                      <w:spacing w:val="-5"/>
                      <w:sz w:val="24"/>
                      <w:szCs w:val="24"/>
                      <w:highlight w:val="none"/>
                      <w:u w:val="single"/>
                    </w:rPr>
                    <w:t>团体，符合专业服务体系标准要求，</w:t>
                  </w:r>
                  <w:r>
                    <w:rPr>
                      <w:rFonts w:hint="eastAsia" w:ascii="宋体" w:hAnsi="宋体" w:eastAsia="宋体" w:cs="宋体"/>
                      <w:i/>
                      <w:iCs/>
                      <w:color w:val="auto"/>
                      <w:spacing w:val="-1"/>
                      <w:sz w:val="24"/>
                      <w:szCs w:val="24"/>
                      <w:highlight w:val="none"/>
                      <w:u w:val="single"/>
                    </w:rPr>
                    <w:t>提供原厂中文服务；</w:t>
                  </w:r>
                </w:p>
                <w:p w14:paraId="448E5343">
                  <w:pPr>
                    <w:spacing w:before="5" w:line="222" w:lineRule="auto"/>
                    <w:ind w:left="112" w:right="10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d) 服务周期内提供产品的维修、换</w:t>
                  </w:r>
                  <w:r>
                    <w:rPr>
                      <w:rFonts w:hint="eastAsia" w:ascii="宋体" w:hAnsi="宋体" w:eastAsia="宋体" w:cs="宋体"/>
                      <w:i/>
                      <w:iCs/>
                      <w:color w:val="auto"/>
                      <w:spacing w:val="-1"/>
                      <w:sz w:val="24"/>
                      <w:szCs w:val="24"/>
                      <w:highlight w:val="none"/>
                      <w:u w:val="single"/>
                    </w:rPr>
                    <w:t>件和升级服务</w:t>
                  </w:r>
                </w:p>
              </w:tc>
            </w:tr>
            <w:tr w14:paraId="7670D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0971286D">
                  <w:pPr>
                    <w:spacing w:before="155"/>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130</w:t>
                  </w:r>
                </w:p>
              </w:tc>
              <w:tc>
                <w:tcPr>
                  <w:tcW w:w="1239" w:type="dxa"/>
                  <w:vMerge w:val="continue"/>
                  <w:tcBorders>
                    <w:top w:val="nil"/>
                  </w:tcBorders>
                  <w:shd w:val="clear" w:color="auto" w:fill="auto"/>
                  <w:noWrap w:val="0"/>
                  <w:vAlign w:val="center"/>
                </w:tcPr>
                <w:p w14:paraId="09F8367F">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4522534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培训服务</w:t>
                  </w:r>
                </w:p>
              </w:tc>
              <w:tc>
                <w:tcPr>
                  <w:tcW w:w="4535" w:type="dxa"/>
                  <w:shd w:val="clear" w:color="auto" w:fill="auto"/>
                  <w:noWrap w:val="0"/>
                  <w:vAlign w:val="center"/>
                </w:tcPr>
                <w:p w14:paraId="401A8213">
                  <w:pPr>
                    <w:spacing w:before="42" w:line="222" w:lineRule="auto"/>
                    <w:ind w:left="113" w:right="19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供应商提供培训材料、产品手册、</w:t>
                  </w:r>
                  <w:r>
                    <w:rPr>
                      <w:rFonts w:hint="eastAsia" w:ascii="宋体" w:hAnsi="宋体" w:eastAsia="宋体" w:cs="宋体"/>
                      <w:i/>
                      <w:iCs/>
                      <w:color w:val="auto"/>
                      <w:spacing w:val="-1"/>
                      <w:sz w:val="24"/>
                      <w:szCs w:val="24"/>
                      <w:highlight w:val="none"/>
                      <w:u w:val="single"/>
                    </w:rPr>
                    <w:t>培训视频等培训相关内容</w:t>
                  </w:r>
                </w:p>
              </w:tc>
            </w:tr>
            <w:tr w14:paraId="143FD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7" w:hRule="atLeast"/>
                <w:jc w:val="center"/>
              </w:trPr>
              <w:tc>
                <w:tcPr>
                  <w:tcW w:w="719" w:type="dxa"/>
                  <w:shd w:val="clear" w:color="auto" w:fill="auto"/>
                  <w:noWrap w:val="0"/>
                  <w:vAlign w:val="center"/>
                </w:tcPr>
                <w:p w14:paraId="5C395113">
                  <w:pPr>
                    <w:spacing w:before="58"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131</w:t>
                  </w:r>
                </w:p>
              </w:tc>
              <w:tc>
                <w:tcPr>
                  <w:tcW w:w="1239" w:type="dxa"/>
                  <w:shd w:val="clear" w:color="auto" w:fill="auto"/>
                  <w:noWrap w:val="0"/>
                  <w:vAlign w:val="center"/>
                </w:tcPr>
                <w:p w14:paraId="4FF1520D">
                  <w:pPr>
                    <w:spacing w:before="59"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服务</w:t>
                  </w:r>
                  <w:r>
                    <w:rPr>
                      <w:rFonts w:hint="eastAsia" w:ascii="宋体" w:hAnsi="宋体" w:eastAsia="宋体" w:cs="宋体"/>
                      <w:color w:val="auto"/>
                      <w:spacing w:val="-4"/>
                      <w:sz w:val="24"/>
                      <w:szCs w:val="24"/>
                      <w:highlight w:val="none"/>
                      <w:lang w:eastAsia="en-US"/>
                    </w:rPr>
                    <w:t>周期</w:t>
                  </w:r>
                </w:p>
              </w:tc>
              <w:tc>
                <w:tcPr>
                  <w:tcW w:w="1335" w:type="dxa"/>
                  <w:shd w:val="clear" w:color="auto" w:fill="auto"/>
                  <w:noWrap w:val="0"/>
                  <w:vAlign w:val="center"/>
                </w:tcPr>
                <w:p w14:paraId="5B256040">
                  <w:pPr>
                    <w:spacing w:before="58" w:line="221"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服务周期</w:t>
                  </w:r>
                </w:p>
              </w:tc>
              <w:tc>
                <w:tcPr>
                  <w:tcW w:w="4535" w:type="dxa"/>
                  <w:shd w:val="clear" w:color="auto" w:fill="auto"/>
                  <w:noWrap w:val="0"/>
                  <w:vAlign w:val="center"/>
                </w:tcPr>
                <w:p w14:paraId="024AE15A">
                  <w:pPr>
                    <w:spacing w:before="42" w:line="243" w:lineRule="auto"/>
                    <w:ind w:left="113" w:right="103"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a) 产品免费服务周期（含换件和维</w:t>
                  </w:r>
                  <w:r>
                    <w:rPr>
                      <w:rFonts w:hint="eastAsia" w:ascii="宋体" w:hAnsi="宋体" w:eastAsia="宋体" w:cs="宋体"/>
                      <w:i/>
                      <w:iCs/>
                      <w:color w:val="auto"/>
                      <w:spacing w:val="-3"/>
                      <w:sz w:val="24"/>
                      <w:szCs w:val="24"/>
                      <w:highlight w:val="none"/>
                      <w:u w:val="single"/>
                    </w:rPr>
                    <w:t>修）应不小于3年；</w:t>
                  </w:r>
                </w:p>
                <w:p w14:paraId="3486FC8E">
                  <w:pPr>
                    <w:spacing w:before="4" w:line="245" w:lineRule="auto"/>
                    <w:ind w:left="113" w:right="168" w:firstLine="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b) 设备停产后继续提供质量保障服务（含备品备件</w:t>
                  </w:r>
                  <w:r>
                    <w:rPr>
                      <w:rFonts w:hint="eastAsia" w:ascii="宋体" w:hAnsi="宋体" w:eastAsia="宋体" w:cs="宋体"/>
                      <w:i/>
                      <w:iCs/>
                      <w:color w:val="auto"/>
                      <w:spacing w:val="3"/>
                      <w:sz w:val="24"/>
                      <w:szCs w:val="24"/>
                      <w:highlight w:val="none"/>
                      <w:u w:val="single"/>
                    </w:rPr>
                    <w:t>），</w:t>
                  </w:r>
                  <w:r>
                    <w:rPr>
                      <w:rFonts w:hint="eastAsia" w:ascii="宋体" w:hAnsi="宋体" w:eastAsia="宋体" w:cs="宋体"/>
                      <w:i/>
                      <w:iCs/>
                      <w:color w:val="auto"/>
                      <w:spacing w:val="-1"/>
                      <w:sz w:val="24"/>
                      <w:szCs w:val="24"/>
                      <w:highlight w:val="none"/>
                      <w:u w:val="single"/>
                    </w:rPr>
                    <w:t>服务终止时间与最后一批设备交付时间间隔不</w:t>
                  </w:r>
                  <w:r>
                    <w:rPr>
                      <w:rFonts w:hint="eastAsia" w:ascii="宋体" w:hAnsi="宋体" w:eastAsia="宋体" w:cs="宋体"/>
                      <w:i/>
                      <w:iCs/>
                      <w:color w:val="auto"/>
                      <w:spacing w:val="-5"/>
                      <w:sz w:val="24"/>
                      <w:szCs w:val="24"/>
                      <w:highlight w:val="none"/>
                      <w:u w:val="single"/>
                    </w:rPr>
                    <w:t>低于6年；</w:t>
                  </w:r>
                </w:p>
                <w:p w14:paraId="2F570076">
                  <w:pPr>
                    <w:spacing w:before="6" w:line="243" w:lineRule="auto"/>
                    <w:ind w:left="118" w:right="103" w:hanging="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c) 产品停止服务时间应提前1年告</w:t>
                  </w:r>
                  <w:r>
                    <w:rPr>
                      <w:rFonts w:hint="eastAsia" w:ascii="宋体" w:hAnsi="宋体" w:eastAsia="宋体" w:cs="宋体"/>
                      <w:i/>
                      <w:iCs/>
                      <w:color w:val="auto"/>
                      <w:spacing w:val="-3"/>
                      <w:sz w:val="24"/>
                      <w:szCs w:val="24"/>
                      <w:highlight w:val="none"/>
                      <w:u w:val="single"/>
                    </w:rPr>
                    <w:t>知客户；</w:t>
                  </w:r>
                </w:p>
                <w:p w14:paraId="36901BF6">
                  <w:pPr>
                    <w:spacing w:before="5" w:line="200" w:lineRule="auto"/>
                    <w:ind w:left="11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d) 产品发布日期需在随机文件中</w:t>
                  </w:r>
                  <w:r>
                    <w:rPr>
                      <w:rFonts w:hint="eastAsia" w:ascii="宋体" w:hAnsi="宋体" w:eastAsia="宋体" w:cs="宋体"/>
                      <w:i/>
                      <w:iCs/>
                      <w:color w:val="auto"/>
                      <w:spacing w:val="-8"/>
                      <w:sz w:val="24"/>
                      <w:szCs w:val="24"/>
                      <w:highlight w:val="none"/>
                      <w:u w:val="single"/>
                    </w:rPr>
                    <w:t>明确</w:t>
                  </w:r>
                </w:p>
              </w:tc>
            </w:tr>
            <w:tr w14:paraId="304F7E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shd w:val="clear" w:color="auto" w:fill="auto"/>
                  <w:noWrap w:val="0"/>
                  <w:vAlign w:val="center"/>
                </w:tcPr>
                <w:p w14:paraId="55B47745">
                  <w:pPr>
                    <w:spacing w:before="59"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132</w:t>
                  </w:r>
                </w:p>
              </w:tc>
              <w:tc>
                <w:tcPr>
                  <w:tcW w:w="1239" w:type="dxa"/>
                  <w:vMerge w:val="restart"/>
                  <w:tcBorders>
                    <w:bottom w:val="nil"/>
                  </w:tcBorders>
                  <w:shd w:val="clear" w:color="auto" w:fill="auto"/>
                  <w:noWrap w:val="0"/>
                  <w:vAlign w:val="center"/>
                </w:tcPr>
                <w:p w14:paraId="34594D0F">
                  <w:pPr>
                    <w:spacing w:before="59" w:line="247"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服务</w:t>
                  </w:r>
                  <w:r>
                    <w:rPr>
                      <w:rFonts w:hint="eastAsia" w:ascii="宋体" w:hAnsi="宋体" w:eastAsia="宋体" w:cs="宋体"/>
                      <w:color w:val="auto"/>
                      <w:spacing w:val="-3"/>
                      <w:sz w:val="24"/>
                      <w:szCs w:val="24"/>
                      <w:highlight w:val="none"/>
                      <w:lang w:eastAsia="en-US"/>
                    </w:rPr>
                    <w:t>工具要求</w:t>
                  </w:r>
                </w:p>
              </w:tc>
              <w:tc>
                <w:tcPr>
                  <w:tcW w:w="1335" w:type="dxa"/>
                  <w:shd w:val="clear" w:color="auto" w:fill="auto"/>
                  <w:noWrap w:val="0"/>
                  <w:vAlign w:val="center"/>
                </w:tcPr>
                <w:p w14:paraId="49FEE603">
                  <w:pPr>
                    <w:spacing w:before="59"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工具要求</w:t>
                  </w:r>
                </w:p>
              </w:tc>
              <w:tc>
                <w:tcPr>
                  <w:tcW w:w="4535" w:type="dxa"/>
                  <w:shd w:val="clear" w:color="auto" w:fill="auto"/>
                  <w:noWrap w:val="0"/>
                  <w:vAlign w:val="center"/>
                </w:tcPr>
                <w:p w14:paraId="53255753">
                  <w:pPr>
                    <w:spacing w:before="37" w:line="235" w:lineRule="auto"/>
                    <w:ind w:left="112"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供应商提供设置服务器硬件、辅助操作系统安装等功能的辅助工具和管理软件。且随附软件应具有合法</w:t>
                  </w:r>
                  <w:r>
                    <w:rPr>
                      <w:rFonts w:hint="eastAsia" w:ascii="宋体" w:hAnsi="宋体" w:eastAsia="宋体" w:cs="宋体"/>
                      <w:i/>
                      <w:iCs/>
                      <w:color w:val="auto"/>
                      <w:spacing w:val="-2"/>
                      <w:sz w:val="24"/>
                      <w:szCs w:val="24"/>
                      <w:highlight w:val="none"/>
                      <w:u w:val="single"/>
                    </w:rPr>
                    <w:t>授权或版权</w:t>
                  </w:r>
                </w:p>
              </w:tc>
            </w:tr>
            <w:tr w14:paraId="07ABD1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719" w:type="dxa"/>
                  <w:shd w:val="clear" w:color="auto" w:fill="auto"/>
                  <w:noWrap w:val="0"/>
                  <w:vAlign w:val="center"/>
                </w:tcPr>
                <w:p w14:paraId="287F71DE">
                  <w:pPr>
                    <w:spacing w:before="5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133</w:t>
                  </w:r>
                </w:p>
              </w:tc>
              <w:tc>
                <w:tcPr>
                  <w:tcW w:w="1239" w:type="dxa"/>
                  <w:vMerge w:val="continue"/>
                  <w:tcBorders>
                    <w:top w:val="nil"/>
                    <w:bottom w:val="nil"/>
                  </w:tcBorders>
                  <w:shd w:val="clear" w:color="auto" w:fill="auto"/>
                  <w:noWrap w:val="0"/>
                  <w:vAlign w:val="center"/>
                </w:tcPr>
                <w:p w14:paraId="63D84B40">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1FA6CD81">
                  <w:pPr>
                    <w:spacing w:before="59"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辅助工具</w:t>
                  </w:r>
                </w:p>
              </w:tc>
              <w:tc>
                <w:tcPr>
                  <w:tcW w:w="4535" w:type="dxa"/>
                  <w:shd w:val="clear" w:color="auto" w:fill="auto"/>
                  <w:noWrap w:val="0"/>
                  <w:vAlign w:val="center"/>
                </w:tcPr>
                <w:p w14:paraId="71845E73">
                  <w:pPr>
                    <w:spacing w:before="41" w:line="222" w:lineRule="auto"/>
                    <w:ind w:left="11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3"/>
                      <w:sz w:val="24"/>
                      <w:szCs w:val="24"/>
                      <w:highlight w:val="none"/>
                      <w:u w:val="single"/>
                    </w:rPr>
                    <w:t>支持如下功能</w:t>
                  </w:r>
                </w:p>
                <w:p w14:paraId="4EE882D1">
                  <w:pPr>
                    <w:spacing w:before="23" w:line="213" w:lineRule="auto"/>
                    <w:ind w:left="11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a) 本地的数据备份和还原功能；</w:t>
                  </w:r>
                </w:p>
                <w:p w14:paraId="28296B87">
                  <w:pPr>
                    <w:spacing w:before="32" w:line="213" w:lineRule="auto"/>
                    <w:ind w:left="11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b) 网络的数据备份和还原功能；</w:t>
                  </w:r>
                </w:p>
                <w:p w14:paraId="0089B738">
                  <w:pPr>
                    <w:spacing w:before="32" w:line="243" w:lineRule="auto"/>
                    <w:ind w:left="119" w:right="259" w:hanging="6"/>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c) 服务器操作系统的自动安装功</w:t>
                  </w:r>
                  <w:r>
                    <w:rPr>
                      <w:rFonts w:hint="eastAsia" w:ascii="宋体" w:hAnsi="宋体" w:eastAsia="宋体" w:cs="宋体"/>
                      <w:i/>
                      <w:iCs/>
                      <w:color w:val="auto"/>
                      <w:spacing w:val="-7"/>
                      <w:sz w:val="24"/>
                      <w:szCs w:val="24"/>
                      <w:highlight w:val="none"/>
                      <w:u w:val="single"/>
                    </w:rPr>
                    <w:t>能；</w:t>
                  </w:r>
                </w:p>
                <w:p w14:paraId="38C10936">
                  <w:pPr>
                    <w:spacing w:before="5" w:line="222" w:lineRule="auto"/>
                    <w:ind w:left="113" w:right="25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d) 服务器所配硬件需要的驱动程</w:t>
                  </w:r>
                  <w:r>
                    <w:rPr>
                      <w:rFonts w:hint="eastAsia" w:ascii="宋体" w:hAnsi="宋体" w:eastAsia="宋体" w:cs="宋体"/>
                      <w:i/>
                      <w:iCs/>
                      <w:color w:val="auto"/>
                      <w:spacing w:val="-2"/>
                      <w:sz w:val="24"/>
                      <w:szCs w:val="24"/>
                      <w:highlight w:val="none"/>
                      <w:u w:val="single"/>
                    </w:rPr>
                    <w:t>序和系统补丁</w:t>
                  </w:r>
                </w:p>
              </w:tc>
            </w:tr>
            <w:tr w14:paraId="2787CD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shd w:val="clear" w:color="auto" w:fill="auto"/>
                  <w:noWrap w:val="0"/>
                  <w:vAlign w:val="center"/>
                </w:tcPr>
                <w:p w14:paraId="71556970">
                  <w:pPr>
                    <w:spacing w:before="59"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134</w:t>
                  </w:r>
                </w:p>
              </w:tc>
              <w:tc>
                <w:tcPr>
                  <w:tcW w:w="1239" w:type="dxa"/>
                  <w:vMerge w:val="continue"/>
                  <w:tcBorders>
                    <w:top w:val="nil"/>
                    <w:bottom w:val="nil"/>
                  </w:tcBorders>
                  <w:shd w:val="clear" w:color="auto" w:fill="auto"/>
                  <w:noWrap w:val="0"/>
                  <w:vAlign w:val="center"/>
                </w:tcPr>
                <w:p w14:paraId="358E4136">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0BE17A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驱动安装升级指引</w:t>
                  </w:r>
                </w:p>
              </w:tc>
              <w:tc>
                <w:tcPr>
                  <w:tcW w:w="4535" w:type="dxa"/>
                  <w:shd w:val="clear" w:color="auto" w:fill="auto"/>
                  <w:noWrap w:val="0"/>
                  <w:vAlign w:val="center"/>
                </w:tcPr>
                <w:p w14:paraId="08FF70B2">
                  <w:pPr>
                    <w:spacing w:before="42" w:line="234"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rPr>
                    <w:t>供应商提供出厂安装的配件所需的驱动程序，形式包括但不限于驱动光盘、驱动下载链接等。</w:t>
                  </w:r>
                  <w:r>
                    <w:rPr>
                      <w:rFonts w:hint="eastAsia" w:ascii="宋体" w:hAnsi="宋体" w:eastAsia="宋体" w:cs="宋体"/>
                      <w:i/>
                      <w:iCs/>
                      <w:color w:val="auto"/>
                      <w:spacing w:val="-1"/>
                      <w:sz w:val="24"/>
                      <w:szCs w:val="24"/>
                      <w:highlight w:val="none"/>
                      <w:u w:val="single"/>
                      <w:lang w:eastAsia="en-US"/>
                    </w:rPr>
                    <w:t>其他配件</w:t>
                  </w:r>
                  <w:r>
                    <w:rPr>
                      <w:rFonts w:hint="eastAsia" w:ascii="宋体" w:hAnsi="宋体" w:eastAsia="宋体" w:cs="宋体"/>
                      <w:i/>
                      <w:iCs/>
                      <w:color w:val="auto"/>
                      <w:spacing w:val="-2"/>
                      <w:sz w:val="24"/>
                      <w:szCs w:val="24"/>
                      <w:highlight w:val="none"/>
                      <w:u w:val="single"/>
                      <w:lang w:eastAsia="en-US"/>
                    </w:rPr>
                    <w:t>应提供指引</w:t>
                  </w:r>
                </w:p>
              </w:tc>
            </w:tr>
            <w:tr w14:paraId="736DB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shd w:val="clear" w:color="auto" w:fill="auto"/>
                  <w:noWrap w:val="0"/>
                  <w:vAlign w:val="center"/>
                </w:tcPr>
                <w:p w14:paraId="599775ED">
                  <w:pPr>
                    <w:spacing w:before="154"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135</w:t>
                  </w:r>
                </w:p>
              </w:tc>
              <w:tc>
                <w:tcPr>
                  <w:tcW w:w="1239" w:type="dxa"/>
                  <w:vMerge w:val="continue"/>
                  <w:tcBorders>
                    <w:top w:val="nil"/>
                    <w:bottom w:val="nil"/>
                  </w:tcBorders>
                  <w:shd w:val="clear" w:color="auto" w:fill="auto"/>
                  <w:noWrap w:val="0"/>
                  <w:vAlign w:val="center"/>
                </w:tcPr>
                <w:p w14:paraId="3C82B8B0">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1E16B9C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随机附开盖工具</w:t>
                  </w:r>
                </w:p>
              </w:tc>
              <w:tc>
                <w:tcPr>
                  <w:tcW w:w="4535" w:type="dxa"/>
                  <w:shd w:val="clear" w:color="auto" w:fill="auto"/>
                  <w:noWrap w:val="0"/>
                  <w:vAlign w:val="center"/>
                </w:tcPr>
                <w:p w14:paraId="4D7B69FB">
                  <w:pPr>
                    <w:spacing w:before="161" w:line="221" w:lineRule="auto"/>
                    <w:ind w:left="11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随服务器打包提供开机箱工具</w:t>
                  </w:r>
                </w:p>
              </w:tc>
            </w:tr>
            <w:tr w14:paraId="28899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719" w:type="dxa"/>
                  <w:shd w:val="clear" w:color="auto" w:fill="auto"/>
                  <w:noWrap w:val="0"/>
                  <w:vAlign w:val="center"/>
                </w:tcPr>
                <w:p w14:paraId="1AA70D52">
                  <w:pPr>
                    <w:spacing w:before="58"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136</w:t>
                  </w:r>
                </w:p>
              </w:tc>
              <w:tc>
                <w:tcPr>
                  <w:tcW w:w="1239" w:type="dxa"/>
                  <w:vMerge w:val="continue"/>
                  <w:tcBorders>
                    <w:top w:val="nil"/>
                    <w:bottom w:val="nil"/>
                  </w:tcBorders>
                  <w:shd w:val="clear" w:color="auto" w:fill="auto"/>
                  <w:noWrap w:val="0"/>
                  <w:vAlign w:val="center"/>
                </w:tcPr>
                <w:p w14:paraId="5007796C">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B46A7BA">
                  <w:pPr>
                    <w:spacing w:before="59" w:line="249"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代码迁移工具</w:t>
                  </w:r>
                </w:p>
              </w:tc>
              <w:tc>
                <w:tcPr>
                  <w:tcW w:w="4535" w:type="dxa"/>
                  <w:shd w:val="clear" w:color="auto" w:fill="auto"/>
                  <w:noWrap w:val="0"/>
                  <w:vAlign w:val="center"/>
                </w:tcPr>
                <w:p w14:paraId="024C3D9E">
                  <w:pPr>
                    <w:spacing w:before="42" w:line="245" w:lineRule="auto"/>
                    <w:ind w:left="112"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供应商提供从其他CPU架构到当前服务器CPU架构的软件迁移工具产</w:t>
                  </w:r>
                  <w:r>
                    <w:rPr>
                      <w:rFonts w:hint="eastAsia" w:ascii="宋体" w:hAnsi="宋体" w:eastAsia="宋体" w:cs="宋体"/>
                      <w:i/>
                      <w:iCs/>
                      <w:color w:val="auto"/>
                      <w:spacing w:val="-1"/>
                      <w:sz w:val="24"/>
                      <w:szCs w:val="24"/>
                      <w:highlight w:val="none"/>
                      <w:u w:val="single"/>
                    </w:rPr>
                    <w:t>品，支持软件包迁移评估，对满足产品重构要求的软件包，能重构为</w:t>
                  </w:r>
                  <w:r>
                    <w:rPr>
                      <w:rFonts w:hint="eastAsia" w:ascii="宋体" w:hAnsi="宋体" w:eastAsia="宋体" w:cs="宋体"/>
                      <w:i/>
                      <w:iCs/>
                      <w:color w:val="auto"/>
                      <w:spacing w:val="-2"/>
                      <w:sz w:val="24"/>
                      <w:szCs w:val="24"/>
                      <w:highlight w:val="none"/>
                      <w:u w:val="single"/>
                    </w:rPr>
                    <w:t>当前服务器CPU架构的软件包。提</w:t>
                  </w:r>
                  <w:r>
                    <w:rPr>
                      <w:rFonts w:hint="eastAsia" w:ascii="宋体" w:hAnsi="宋体" w:eastAsia="宋体" w:cs="宋体"/>
                      <w:i/>
                      <w:iCs/>
                      <w:color w:val="auto"/>
                      <w:spacing w:val="-1"/>
                      <w:sz w:val="24"/>
                      <w:szCs w:val="24"/>
                      <w:highlight w:val="none"/>
                      <w:u w:val="single"/>
                    </w:rPr>
                    <w:t>供源码迁移功能，检查分析</w:t>
                  </w:r>
                </w:p>
                <w:p w14:paraId="081FAAFB">
                  <w:pPr>
                    <w:spacing w:before="5" w:line="230" w:lineRule="auto"/>
                    <w:ind w:left="112"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C/C++/Fortran/Go/解释型语言/汇编等源码文件，基于产品功能给出</w:t>
                  </w:r>
                  <w:r>
                    <w:rPr>
                      <w:rFonts w:hint="eastAsia" w:ascii="宋体" w:hAnsi="宋体" w:eastAsia="宋体" w:cs="宋体"/>
                      <w:i/>
                      <w:iCs/>
                      <w:color w:val="auto"/>
                      <w:spacing w:val="-2"/>
                      <w:sz w:val="24"/>
                      <w:szCs w:val="24"/>
                      <w:highlight w:val="none"/>
                      <w:u w:val="single"/>
                    </w:rPr>
                    <w:t>迁移指导</w:t>
                  </w:r>
                </w:p>
              </w:tc>
            </w:tr>
            <w:tr w14:paraId="1BCF2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shd w:val="clear" w:color="auto" w:fill="auto"/>
                  <w:noWrap w:val="0"/>
                  <w:vAlign w:val="center"/>
                </w:tcPr>
                <w:p w14:paraId="54A5C86B">
                  <w:pPr>
                    <w:spacing w:before="5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137</w:t>
                  </w:r>
                </w:p>
              </w:tc>
              <w:tc>
                <w:tcPr>
                  <w:tcW w:w="1239" w:type="dxa"/>
                  <w:vMerge w:val="continue"/>
                  <w:tcBorders>
                    <w:top w:val="nil"/>
                    <w:bottom w:val="nil"/>
                  </w:tcBorders>
                  <w:shd w:val="clear" w:color="auto" w:fill="auto"/>
                  <w:noWrap w:val="0"/>
                  <w:vAlign w:val="center"/>
                </w:tcPr>
                <w:p w14:paraId="4187D60D">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ACC9E69">
                  <w:pPr>
                    <w:spacing w:before="59" w:line="249"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性能分析工具</w:t>
                  </w:r>
                </w:p>
              </w:tc>
              <w:tc>
                <w:tcPr>
                  <w:tcW w:w="4535" w:type="dxa"/>
                  <w:shd w:val="clear" w:color="auto" w:fill="auto"/>
                  <w:noWrap w:val="0"/>
                  <w:vAlign w:val="center"/>
                </w:tcPr>
                <w:p w14:paraId="1FAD2547">
                  <w:pPr>
                    <w:spacing w:before="41" w:line="238" w:lineRule="auto"/>
                    <w:ind w:left="111" w:right="41"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供应商提供支持当前服务器CPU架</w:t>
                  </w:r>
                  <w:r>
                    <w:rPr>
                      <w:rFonts w:hint="eastAsia" w:ascii="宋体" w:hAnsi="宋体" w:eastAsia="宋体" w:cs="宋体"/>
                      <w:i/>
                      <w:iCs/>
                      <w:color w:val="auto"/>
                      <w:spacing w:val="-1"/>
                      <w:sz w:val="24"/>
                      <w:szCs w:val="24"/>
                      <w:highlight w:val="none"/>
                      <w:u w:val="single"/>
                    </w:rPr>
                    <w:t>构的性能分析工具产品，支持系统性能分析、Java性能分析和系统诊</w:t>
                  </w:r>
                  <w:r>
                    <w:rPr>
                      <w:rFonts w:hint="eastAsia" w:ascii="宋体" w:hAnsi="宋体" w:eastAsia="宋体" w:cs="宋体"/>
                      <w:i/>
                      <w:iCs/>
                      <w:color w:val="auto"/>
                      <w:spacing w:val="-12"/>
                      <w:sz w:val="24"/>
                      <w:szCs w:val="24"/>
                      <w:highlight w:val="none"/>
                      <w:u w:val="single"/>
                    </w:rPr>
                    <w:t>断，可分析系统或应用在CPU、内存、</w:t>
                  </w:r>
                  <w:r>
                    <w:rPr>
                      <w:rFonts w:hint="eastAsia" w:ascii="宋体" w:hAnsi="宋体" w:eastAsia="宋体" w:cs="宋体"/>
                      <w:i/>
                      <w:iCs/>
                      <w:color w:val="auto"/>
                      <w:spacing w:val="-1"/>
                      <w:sz w:val="24"/>
                      <w:szCs w:val="24"/>
                      <w:highlight w:val="none"/>
                      <w:u w:val="single"/>
                    </w:rPr>
                    <w:t>IO、网络等方面的性能，并给出优</w:t>
                  </w:r>
                  <w:r>
                    <w:rPr>
                      <w:rFonts w:hint="eastAsia" w:ascii="宋体" w:hAnsi="宋体" w:eastAsia="宋体" w:cs="宋体"/>
                      <w:i/>
                      <w:iCs/>
                      <w:color w:val="auto"/>
                      <w:spacing w:val="-2"/>
                      <w:sz w:val="24"/>
                      <w:szCs w:val="24"/>
                      <w:highlight w:val="none"/>
                      <w:u w:val="single"/>
                    </w:rPr>
                    <w:t>化建议</w:t>
                  </w:r>
                </w:p>
              </w:tc>
            </w:tr>
            <w:tr w14:paraId="3407B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719" w:type="dxa"/>
                  <w:shd w:val="clear" w:color="auto" w:fill="auto"/>
                  <w:noWrap w:val="0"/>
                  <w:vAlign w:val="center"/>
                </w:tcPr>
                <w:p w14:paraId="711092F5">
                  <w:pPr>
                    <w:spacing w:before="265"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138</w:t>
                  </w:r>
                </w:p>
              </w:tc>
              <w:tc>
                <w:tcPr>
                  <w:tcW w:w="1239" w:type="dxa"/>
                  <w:vMerge w:val="continue"/>
                  <w:tcBorders>
                    <w:top w:val="nil"/>
                    <w:bottom w:val="nil"/>
                  </w:tcBorders>
                  <w:shd w:val="clear" w:color="auto" w:fill="auto"/>
                  <w:noWrap w:val="0"/>
                  <w:vAlign w:val="center"/>
                </w:tcPr>
                <w:p w14:paraId="6BC30D91">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FD54C9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跨架构平</w:t>
                  </w:r>
                </w:p>
                <w:p w14:paraId="6680AD2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台应用兼容</w:t>
                  </w:r>
                </w:p>
              </w:tc>
              <w:tc>
                <w:tcPr>
                  <w:tcW w:w="4535" w:type="dxa"/>
                  <w:shd w:val="clear" w:color="auto" w:fill="auto"/>
                  <w:noWrap w:val="0"/>
                  <w:vAlign w:val="center"/>
                </w:tcPr>
                <w:p w14:paraId="4CEF5018">
                  <w:pPr>
                    <w:spacing w:before="33" w:line="226" w:lineRule="auto"/>
                    <w:ind w:left="115" w:right="168" w:hanging="2"/>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跨CPU架构平台应用兼容工具，可</w:t>
                  </w:r>
                  <w:r>
                    <w:rPr>
                      <w:rFonts w:hint="eastAsia" w:ascii="宋体" w:hAnsi="宋体" w:eastAsia="宋体" w:cs="宋体"/>
                      <w:i/>
                      <w:iCs/>
                      <w:color w:val="auto"/>
                      <w:spacing w:val="-1"/>
                      <w:sz w:val="24"/>
                      <w:szCs w:val="24"/>
                      <w:highlight w:val="none"/>
                      <w:u w:val="single"/>
                    </w:rPr>
                    <w:t>兼容一种或者一种以上不同架构平</w:t>
                  </w:r>
                  <w:r>
                    <w:rPr>
                      <w:rFonts w:hint="eastAsia" w:ascii="宋体" w:hAnsi="宋体" w:eastAsia="宋体" w:cs="宋体"/>
                      <w:i/>
                      <w:iCs/>
                      <w:color w:val="auto"/>
                      <w:spacing w:val="-3"/>
                      <w:sz w:val="24"/>
                      <w:szCs w:val="24"/>
                      <w:highlight w:val="none"/>
                      <w:u w:val="single"/>
                    </w:rPr>
                    <w:t>台的应用</w:t>
                  </w:r>
                </w:p>
              </w:tc>
            </w:tr>
            <w:tr w14:paraId="74001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shd w:val="clear" w:color="auto" w:fill="auto"/>
                  <w:noWrap w:val="0"/>
                  <w:vAlign w:val="center"/>
                </w:tcPr>
                <w:p w14:paraId="0D63B716">
                  <w:pPr>
                    <w:spacing w:before="265"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139</w:t>
                  </w:r>
                </w:p>
              </w:tc>
              <w:tc>
                <w:tcPr>
                  <w:tcW w:w="1239" w:type="dxa"/>
                  <w:vMerge w:val="continue"/>
                  <w:tcBorders>
                    <w:top w:val="nil"/>
                  </w:tcBorders>
                  <w:shd w:val="clear" w:color="auto" w:fill="auto"/>
                  <w:noWrap w:val="0"/>
                  <w:vAlign w:val="center"/>
                </w:tcPr>
                <w:p w14:paraId="26941AB7">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762A9F5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管理软件</w:t>
                  </w:r>
                </w:p>
              </w:tc>
              <w:tc>
                <w:tcPr>
                  <w:tcW w:w="4535" w:type="dxa"/>
                  <w:shd w:val="clear" w:color="auto" w:fill="auto"/>
                  <w:noWrap w:val="0"/>
                  <w:vAlign w:val="center"/>
                </w:tcPr>
                <w:p w14:paraId="5DEB3D6C">
                  <w:pPr>
                    <w:spacing w:before="32" w:line="227" w:lineRule="auto"/>
                    <w:ind w:left="112" w:right="168" w:firstLine="5"/>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具备资源管理、系统管理、性能监控、健康监控、基于网络控制、报</w:t>
                  </w:r>
                  <w:r>
                    <w:rPr>
                      <w:rFonts w:hint="eastAsia" w:ascii="宋体" w:hAnsi="宋体" w:eastAsia="宋体" w:cs="宋体"/>
                      <w:i/>
                      <w:iCs/>
                      <w:color w:val="auto"/>
                      <w:spacing w:val="-2"/>
                      <w:sz w:val="24"/>
                      <w:szCs w:val="24"/>
                      <w:highlight w:val="none"/>
                      <w:u w:val="single"/>
                    </w:rPr>
                    <w:t>警设置功能</w:t>
                  </w:r>
                </w:p>
              </w:tc>
            </w:tr>
            <w:tr w14:paraId="0F063D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719" w:type="dxa"/>
                  <w:shd w:val="clear" w:color="auto" w:fill="auto"/>
                  <w:noWrap w:val="0"/>
                  <w:vAlign w:val="center"/>
                </w:tcPr>
                <w:p w14:paraId="01175089">
                  <w:pPr>
                    <w:widowControl/>
                    <w:spacing w:line="320" w:lineRule="auto"/>
                    <w:jc w:val="center"/>
                    <w:rPr>
                      <w:rFonts w:hint="default" w:ascii="宋体" w:hAnsi="宋体" w:eastAsia="宋体" w:cs="宋体"/>
                      <w:color w:val="auto"/>
                      <w:sz w:val="24"/>
                      <w:szCs w:val="24"/>
                      <w:highlight w:val="none"/>
                    </w:rPr>
                  </w:pPr>
                </w:p>
                <w:p w14:paraId="36370694">
                  <w:pPr>
                    <w:spacing w:before="5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140</w:t>
                  </w:r>
                </w:p>
              </w:tc>
              <w:tc>
                <w:tcPr>
                  <w:tcW w:w="1239" w:type="dxa"/>
                  <w:vMerge w:val="restart"/>
                  <w:tcBorders>
                    <w:bottom w:val="nil"/>
                  </w:tcBorders>
                  <w:shd w:val="clear" w:color="auto" w:fill="auto"/>
                  <w:noWrap w:val="0"/>
                  <w:vAlign w:val="center"/>
                </w:tcPr>
                <w:p w14:paraId="0F24E098">
                  <w:pPr>
                    <w:spacing w:before="59" w:line="247" w:lineRule="auto"/>
                    <w:ind w:left="187" w:right="141" w:hanging="4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增值</w:t>
                  </w:r>
                  <w:r>
                    <w:rPr>
                      <w:rFonts w:hint="eastAsia" w:ascii="宋体" w:hAnsi="宋体" w:eastAsia="宋体" w:cs="宋体"/>
                      <w:color w:val="auto"/>
                      <w:spacing w:val="-4"/>
                      <w:sz w:val="24"/>
                      <w:szCs w:val="24"/>
                      <w:highlight w:val="none"/>
                      <w:lang w:eastAsia="en-US"/>
                    </w:rPr>
                    <w:t>服务</w:t>
                  </w:r>
                </w:p>
              </w:tc>
              <w:tc>
                <w:tcPr>
                  <w:tcW w:w="1335" w:type="dxa"/>
                  <w:shd w:val="clear" w:color="auto" w:fill="auto"/>
                  <w:noWrap w:val="0"/>
                  <w:vAlign w:val="center"/>
                </w:tcPr>
                <w:p w14:paraId="11852C49">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厂家升级产品软件与扩容服务</w:t>
                  </w:r>
                </w:p>
              </w:tc>
              <w:tc>
                <w:tcPr>
                  <w:tcW w:w="4535" w:type="dxa"/>
                  <w:shd w:val="clear" w:color="auto" w:fill="auto"/>
                  <w:noWrap w:val="0"/>
                  <w:vAlign w:val="center"/>
                </w:tcPr>
                <w:p w14:paraId="2D841197">
                  <w:pPr>
                    <w:spacing w:before="264"/>
                    <w:ind w:left="122" w:right="259" w:hanging="9"/>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供应商提供原厂级的部件/软件产</w:t>
                  </w:r>
                  <w:r>
                    <w:rPr>
                      <w:rFonts w:hint="eastAsia" w:ascii="宋体" w:hAnsi="宋体" w:eastAsia="宋体" w:cs="宋体"/>
                      <w:i/>
                      <w:iCs/>
                      <w:color w:val="auto"/>
                      <w:spacing w:val="-3"/>
                      <w:sz w:val="24"/>
                      <w:szCs w:val="24"/>
                      <w:highlight w:val="none"/>
                      <w:u w:val="single"/>
                    </w:rPr>
                    <w:t>品升级和扩容能力</w:t>
                  </w:r>
                </w:p>
              </w:tc>
            </w:tr>
            <w:tr w14:paraId="4A2908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shd w:val="clear" w:color="auto" w:fill="auto"/>
                  <w:noWrap w:val="0"/>
                  <w:vAlign w:val="center"/>
                </w:tcPr>
                <w:p w14:paraId="27995D8A">
                  <w:pPr>
                    <w:spacing w:before="265"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141</w:t>
                  </w:r>
                </w:p>
              </w:tc>
              <w:tc>
                <w:tcPr>
                  <w:tcW w:w="1239" w:type="dxa"/>
                  <w:vMerge w:val="continue"/>
                  <w:tcBorders>
                    <w:top w:val="nil"/>
                    <w:bottom w:val="nil"/>
                  </w:tcBorders>
                  <w:shd w:val="clear" w:color="auto" w:fill="auto"/>
                  <w:noWrap w:val="0"/>
                  <w:vAlign w:val="center"/>
                </w:tcPr>
                <w:p w14:paraId="54055C2D">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5A42132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服务保障升级</w:t>
                  </w:r>
                </w:p>
              </w:tc>
              <w:tc>
                <w:tcPr>
                  <w:tcW w:w="4535" w:type="dxa"/>
                  <w:shd w:val="clear" w:color="auto" w:fill="auto"/>
                  <w:noWrap w:val="0"/>
                  <w:vAlign w:val="center"/>
                </w:tcPr>
                <w:p w14:paraId="730F7B66">
                  <w:pPr>
                    <w:spacing w:before="32" w:line="227" w:lineRule="auto"/>
                    <w:ind w:left="112"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供应商有偿提供远程技术支持、软件授权服务、备件更换服务、现场</w:t>
                  </w:r>
                  <w:r>
                    <w:rPr>
                      <w:rFonts w:hint="eastAsia" w:ascii="宋体" w:hAnsi="宋体" w:eastAsia="宋体" w:cs="宋体"/>
                      <w:i/>
                      <w:iCs/>
                      <w:color w:val="auto"/>
                      <w:spacing w:val="-2"/>
                      <w:sz w:val="24"/>
                      <w:szCs w:val="24"/>
                      <w:highlight w:val="none"/>
                      <w:u w:val="single"/>
                    </w:rPr>
                    <w:t>支承服务</w:t>
                  </w:r>
                </w:p>
              </w:tc>
            </w:tr>
            <w:tr w14:paraId="26C128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shd w:val="clear" w:color="auto" w:fill="auto"/>
                  <w:noWrap w:val="0"/>
                  <w:vAlign w:val="center"/>
                </w:tcPr>
                <w:p w14:paraId="258FB32C">
                  <w:pPr>
                    <w:spacing w:before="147"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142</w:t>
                  </w:r>
                </w:p>
              </w:tc>
              <w:tc>
                <w:tcPr>
                  <w:tcW w:w="1239" w:type="dxa"/>
                  <w:vMerge w:val="continue"/>
                  <w:tcBorders>
                    <w:top w:val="nil"/>
                    <w:bottom w:val="nil"/>
                  </w:tcBorders>
                  <w:shd w:val="clear" w:color="auto" w:fill="auto"/>
                  <w:noWrap w:val="0"/>
                  <w:vAlign w:val="center"/>
                </w:tcPr>
                <w:p w14:paraId="5A4DAB61">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07793A2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提供上门服务</w:t>
                  </w:r>
                </w:p>
              </w:tc>
              <w:tc>
                <w:tcPr>
                  <w:tcW w:w="4535" w:type="dxa"/>
                  <w:shd w:val="clear" w:color="auto" w:fill="auto"/>
                  <w:noWrap w:val="0"/>
                  <w:vAlign w:val="center"/>
                </w:tcPr>
                <w:p w14:paraId="15C54A4F">
                  <w:pPr>
                    <w:spacing w:before="31" w:line="221" w:lineRule="auto"/>
                    <w:ind w:left="147" w:right="348" w:hanging="34"/>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供应商具备提供上门服务的能力</w:t>
                  </w:r>
                  <w:r>
                    <w:rPr>
                      <w:rFonts w:hint="eastAsia" w:ascii="宋体" w:hAnsi="宋体" w:eastAsia="宋体" w:cs="宋体"/>
                      <w:i/>
                      <w:iCs/>
                      <w:color w:val="auto"/>
                      <w:spacing w:val="-9"/>
                      <w:sz w:val="24"/>
                      <w:szCs w:val="24"/>
                      <w:highlight w:val="none"/>
                      <w:u w:val="single"/>
                    </w:rPr>
                    <w:t>(可收费)</w:t>
                  </w:r>
                </w:p>
              </w:tc>
            </w:tr>
            <w:tr w14:paraId="4A83F7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jc w:val="center"/>
              </w:trPr>
              <w:tc>
                <w:tcPr>
                  <w:tcW w:w="719" w:type="dxa"/>
                  <w:shd w:val="clear" w:color="auto" w:fill="auto"/>
                  <w:noWrap w:val="0"/>
                  <w:vAlign w:val="center"/>
                </w:tcPr>
                <w:p w14:paraId="0CB7DAA6">
                  <w:pPr>
                    <w:spacing w:before="59"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143</w:t>
                  </w:r>
                </w:p>
              </w:tc>
              <w:tc>
                <w:tcPr>
                  <w:tcW w:w="1239" w:type="dxa"/>
                  <w:vMerge w:val="continue"/>
                  <w:tcBorders>
                    <w:top w:val="nil"/>
                  </w:tcBorders>
                  <w:shd w:val="clear" w:color="auto" w:fill="auto"/>
                  <w:noWrap w:val="0"/>
                  <w:vAlign w:val="center"/>
                </w:tcPr>
                <w:p w14:paraId="17E733E1">
                  <w:pPr>
                    <w:widowControl/>
                    <w:jc w:val="center"/>
                    <w:rPr>
                      <w:rFonts w:hint="default" w:ascii="宋体" w:hAnsi="宋体" w:eastAsia="宋体" w:cs="宋体"/>
                      <w:color w:val="auto"/>
                      <w:sz w:val="24"/>
                      <w:szCs w:val="24"/>
                      <w:highlight w:val="none"/>
                    </w:rPr>
                  </w:pPr>
                </w:p>
              </w:tc>
              <w:tc>
                <w:tcPr>
                  <w:tcW w:w="1335" w:type="dxa"/>
                  <w:shd w:val="clear" w:color="auto" w:fill="auto"/>
                  <w:noWrap w:val="0"/>
                  <w:vAlign w:val="center"/>
                </w:tcPr>
                <w:p w14:paraId="249E2799">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业务场景</w:t>
                  </w:r>
                </w:p>
                <w:p w14:paraId="468A6EB0">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性能优化</w:t>
                  </w:r>
                </w:p>
                <w:p w14:paraId="3A8608A6">
                  <w:pPr>
                    <w:widowControl/>
                    <w:spacing w:line="248" w:lineRule="auto"/>
                    <w:jc w:val="center"/>
                    <w:rPr>
                      <w:rFonts w:hint="default"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服务及整</w:t>
                  </w:r>
                </w:p>
                <w:p w14:paraId="3530AE6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体架构升级服务</w:t>
                  </w:r>
                </w:p>
              </w:tc>
              <w:tc>
                <w:tcPr>
                  <w:tcW w:w="4535" w:type="dxa"/>
                  <w:shd w:val="clear" w:color="auto" w:fill="auto"/>
                  <w:noWrap w:val="0"/>
                  <w:vAlign w:val="center"/>
                </w:tcPr>
                <w:p w14:paraId="3091AB23">
                  <w:pPr>
                    <w:spacing w:before="58"/>
                    <w:ind w:right="168"/>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供应商提供针对特定业务场景性能优化服务及整体架构升级服务</w:t>
                  </w:r>
                </w:p>
              </w:tc>
            </w:tr>
            <w:tr w14:paraId="5E1D05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3" w:hRule="atLeast"/>
                <w:jc w:val="center"/>
              </w:trPr>
              <w:tc>
                <w:tcPr>
                  <w:tcW w:w="719" w:type="dxa"/>
                  <w:tcBorders>
                    <w:bottom w:val="single" w:color="000000" w:sz="2" w:space="0"/>
                  </w:tcBorders>
                  <w:shd w:val="clear" w:color="auto" w:fill="auto"/>
                  <w:noWrap w:val="0"/>
                  <w:vAlign w:val="center"/>
                </w:tcPr>
                <w:p w14:paraId="76680D17">
                  <w:pPr>
                    <w:spacing w:before="58" w:line="239"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144</w:t>
                  </w:r>
                </w:p>
              </w:tc>
              <w:tc>
                <w:tcPr>
                  <w:tcW w:w="1239" w:type="dxa"/>
                  <w:vMerge w:val="restart"/>
                  <w:tcBorders>
                    <w:bottom w:val="single" w:color="000000" w:sz="2" w:space="0"/>
                  </w:tcBorders>
                  <w:shd w:val="clear" w:color="auto" w:fill="auto"/>
                  <w:noWrap w:val="0"/>
                  <w:vAlign w:val="center"/>
                </w:tcPr>
                <w:p w14:paraId="7A797657">
                  <w:pPr>
                    <w:widowControl/>
                    <w:spacing w:line="463" w:lineRule="auto"/>
                    <w:rPr>
                      <w:rFonts w:hint="default" w:ascii="宋体" w:hAnsi="宋体" w:eastAsia="宋体" w:cs="宋体"/>
                      <w:color w:val="auto"/>
                      <w:sz w:val="24"/>
                      <w:szCs w:val="24"/>
                      <w:highlight w:val="none"/>
                    </w:rPr>
                  </w:pPr>
                </w:p>
                <w:p w14:paraId="795CB5CC">
                  <w:pPr>
                    <w:spacing w:before="58" w:line="223"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供应</w:t>
                  </w:r>
                </w:p>
                <w:p w14:paraId="6A4F0CBB">
                  <w:pPr>
                    <w:spacing w:before="22" w:line="222" w:lineRule="auto"/>
                    <w:ind w:lef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链质</w:t>
                  </w:r>
                </w:p>
                <w:p w14:paraId="715AA5EA">
                  <w:pPr>
                    <w:spacing w:before="23" w:line="229" w:lineRule="auto"/>
                    <w:ind w:left="28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量</w:t>
                  </w:r>
                </w:p>
              </w:tc>
              <w:tc>
                <w:tcPr>
                  <w:tcW w:w="1335" w:type="dxa"/>
                  <w:tcBorders>
                    <w:bottom w:val="single" w:color="000000" w:sz="2" w:space="0"/>
                  </w:tcBorders>
                  <w:shd w:val="clear" w:color="auto" w:fill="auto"/>
                  <w:noWrap w:val="0"/>
                  <w:vAlign w:val="center"/>
                </w:tcPr>
                <w:p w14:paraId="65890CD9">
                  <w:pPr>
                    <w:spacing w:before="58" w:line="221"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抗干扰性</w:t>
                  </w:r>
                </w:p>
              </w:tc>
              <w:tc>
                <w:tcPr>
                  <w:tcW w:w="4535" w:type="dxa"/>
                  <w:tcBorders>
                    <w:bottom w:val="single" w:color="000000" w:sz="2" w:space="0"/>
                  </w:tcBorders>
                  <w:shd w:val="clear" w:color="auto" w:fill="auto"/>
                  <w:noWrap w:val="0"/>
                  <w:vAlign w:val="center"/>
                </w:tcPr>
                <w:p w14:paraId="11EA62FC">
                  <w:pPr>
                    <w:spacing w:before="40" w:line="234" w:lineRule="auto"/>
                    <w:ind w:left="118" w:right="168" w:firstLine="7"/>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当产品部件出现供应风险时，应通</w:t>
                  </w:r>
                  <w:r>
                    <w:rPr>
                      <w:rFonts w:hint="eastAsia" w:ascii="宋体" w:hAnsi="宋体" w:eastAsia="宋体" w:cs="宋体"/>
                      <w:i/>
                      <w:iCs/>
                      <w:color w:val="auto"/>
                      <w:spacing w:val="-1"/>
                      <w:sz w:val="24"/>
                      <w:szCs w:val="24"/>
                      <w:highlight w:val="none"/>
                      <w:u w:val="single"/>
                    </w:rPr>
                    <w:t>知客户并提供风险应对方案确保产品的服务保障，必要时应停止相关</w:t>
                  </w:r>
                  <w:r>
                    <w:rPr>
                      <w:rFonts w:hint="eastAsia" w:ascii="宋体" w:hAnsi="宋体" w:eastAsia="宋体" w:cs="宋体"/>
                      <w:i/>
                      <w:iCs/>
                      <w:color w:val="auto"/>
                      <w:spacing w:val="-2"/>
                      <w:sz w:val="24"/>
                      <w:szCs w:val="24"/>
                      <w:highlight w:val="none"/>
                      <w:u w:val="single"/>
                    </w:rPr>
                    <w:t>受影响产品的销售</w:t>
                  </w:r>
                </w:p>
              </w:tc>
            </w:tr>
            <w:tr w14:paraId="710267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9" w:hRule="atLeast"/>
                <w:jc w:val="center"/>
              </w:trPr>
              <w:tc>
                <w:tcPr>
                  <w:tcW w:w="719" w:type="dxa"/>
                  <w:tcBorders>
                    <w:top w:val="single" w:color="000000" w:sz="2" w:space="0"/>
                    <w:bottom w:val="single" w:color="000000" w:sz="2" w:space="0"/>
                  </w:tcBorders>
                  <w:shd w:val="clear" w:color="auto" w:fill="auto"/>
                  <w:noWrap w:val="0"/>
                  <w:vAlign w:val="center"/>
                </w:tcPr>
                <w:p w14:paraId="32B424E0">
                  <w:pPr>
                    <w:spacing w:before="274"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145</w:t>
                  </w:r>
                </w:p>
              </w:tc>
              <w:tc>
                <w:tcPr>
                  <w:tcW w:w="1239" w:type="dxa"/>
                  <w:vMerge w:val="continue"/>
                  <w:tcBorders>
                    <w:top w:val="single" w:color="000000" w:sz="2" w:space="0"/>
                    <w:bottom w:val="single" w:color="000000" w:sz="2" w:space="0"/>
                  </w:tcBorders>
                  <w:shd w:val="clear" w:color="auto" w:fill="auto"/>
                  <w:noWrap w:val="0"/>
                  <w:vAlign w:val="center"/>
                </w:tcPr>
                <w:p w14:paraId="760C7548">
                  <w:pPr>
                    <w:widowControl/>
                    <w:jc w:val="center"/>
                    <w:rPr>
                      <w:rFonts w:hint="default" w:ascii="宋体" w:hAnsi="宋体" w:eastAsia="宋体" w:cs="宋体"/>
                      <w:color w:val="auto"/>
                      <w:sz w:val="24"/>
                      <w:szCs w:val="24"/>
                      <w:highlight w:val="none"/>
                    </w:rPr>
                  </w:pPr>
                </w:p>
              </w:tc>
              <w:tc>
                <w:tcPr>
                  <w:tcW w:w="1335" w:type="dxa"/>
                  <w:tcBorders>
                    <w:top w:val="single" w:color="000000" w:sz="2" w:space="0"/>
                    <w:bottom w:val="single" w:color="000000" w:sz="2" w:space="0"/>
                  </w:tcBorders>
                  <w:shd w:val="clear" w:color="auto" w:fill="auto"/>
                  <w:noWrap w:val="0"/>
                  <w:vAlign w:val="center"/>
                </w:tcPr>
                <w:p w14:paraId="7ECCDCC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供应能力证明</w:t>
                  </w:r>
                </w:p>
              </w:tc>
              <w:tc>
                <w:tcPr>
                  <w:tcW w:w="4535" w:type="dxa"/>
                  <w:tcBorders>
                    <w:top w:val="single" w:color="000000" w:sz="2" w:space="0"/>
                    <w:bottom w:val="single" w:color="000000" w:sz="2" w:space="0"/>
                  </w:tcBorders>
                  <w:shd w:val="clear" w:color="auto" w:fill="auto"/>
                  <w:noWrap w:val="0"/>
                  <w:vAlign w:val="center"/>
                </w:tcPr>
                <w:p w14:paraId="304D17A4">
                  <w:pPr>
                    <w:spacing w:before="40" w:line="232" w:lineRule="auto"/>
                    <w:ind w:left="111" w:right="168" w:firstLine="1"/>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1"/>
                      <w:sz w:val="24"/>
                      <w:szCs w:val="24"/>
                      <w:highlight w:val="none"/>
                      <w:u w:val="single"/>
                    </w:rPr>
                    <w:t>供应商提供供应链稳定承诺书，确保产品的部件在产品服务周期内稳</w:t>
                  </w:r>
                  <w:r>
                    <w:rPr>
                      <w:rFonts w:hint="eastAsia" w:ascii="宋体" w:hAnsi="宋体" w:eastAsia="宋体" w:cs="宋体"/>
                      <w:i/>
                      <w:iCs/>
                      <w:color w:val="auto"/>
                      <w:spacing w:val="-2"/>
                      <w:sz w:val="24"/>
                      <w:szCs w:val="24"/>
                      <w:highlight w:val="none"/>
                      <w:u w:val="single"/>
                    </w:rPr>
                    <w:t>定供货</w:t>
                  </w:r>
                </w:p>
              </w:tc>
            </w:tr>
          </w:tbl>
          <w:p w14:paraId="33481D79">
            <w:pPr>
              <w:rPr>
                <w:rFonts w:hint="default" w:eastAsia="宋体" w:cs="Times New Roman"/>
                <w:color w:val="auto"/>
              </w:rPr>
            </w:pPr>
          </w:p>
          <w:p w14:paraId="6D95918B">
            <w:pPr>
              <w:spacing w:line="440" w:lineRule="exact"/>
              <w:rPr>
                <w:rFonts w:hint="default" w:ascii="Times New Roman" w:hAnsi="Times New Roman" w:eastAsia="宋体" w:cs="Times New Roman"/>
                <w:color w:val="auto"/>
                <w:sz w:val="24"/>
                <w:szCs w:val="24"/>
                <w:highlight w:val="none"/>
                <w:lang w:val="en-US" w:eastAsia="zh-CN" w:bidi="ar-SA"/>
              </w:rPr>
            </w:pPr>
          </w:p>
        </w:tc>
      </w:tr>
      <w:tr w14:paraId="0DA6C3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2243CF5">
            <w:pPr>
              <w:widowControl/>
              <w:spacing w:line="440" w:lineRule="exact"/>
              <w:jc w:val="left"/>
              <w:rPr>
                <w:rFonts w:hint="eastAsia" w:ascii="Times New Roman" w:hAnsi="Times New Roman" w:eastAsia="宋体" w:cs="Times New Roman"/>
                <w:color w:val="auto"/>
                <w:sz w:val="24"/>
                <w:highlight w:val="none"/>
                <w:lang w:val="en-US" w:eastAsia="zh-CN"/>
              </w:rPr>
            </w:pPr>
          </w:p>
        </w:tc>
        <w:tc>
          <w:tcPr>
            <w:tcW w:w="360" w:type="dxa"/>
            <w:vMerge w:val="continue"/>
            <w:noWrap w:val="0"/>
            <w:vAlign w:val="center"/>
          </w:tcPr>
          <w:p w14:paraId="2279EB82">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ECD64C0">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4.4.8.2 微光抓拍单元</w:t>
            </w:r>
          </w:p>
          <w:p w14:paraId="392A45B0">
            <w:pPr>
              <w:spacing w:line="440" w:lineRule="exact"/>
              <w:ind w:firstLine="480" w:firstLineChars="200"/>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参数及功能要求</w:t>
            </w:r>
          </w:p>
          <w:p w14:paraId="1277CA57">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包含一体化高清摄像机、高清镜头、室外防护罩、相机内置网络信号防雷器、电源适配器等。</w:t>
            </w:r>
          </w:p>
          <w:p w14:paraId="1F8E1125">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支持车辆及车内前排人员的检测抓拍，针对人员可输出清晰人脸特征图，用于比对分析。</w:t>
            </w:r>
          </w:p>
          <w:p w14:paraId="10FE31D8">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传感器不低于1英寸GS CMOS，内含深度学习芯片。</w:t>
            </w:r>
          </w:p>
          <w:p w14:paraId="6E40F80F">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最低照度满足：彩色：≤0.0002lx，黑白：≤0.0001 lx。</w:t>
            </w:r>
          </w:p>
          <w:p w14:paraId="43AC1B4B">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抓图分辨率不低于4096*2160（不含OSD），4096*4208（含OSD）。</w:t>
            </w:r>
          </w:p>
          <w:p w14:paraId="41C70249">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具有单快门、双快门（半帧率/全帧率）、三快门共三种快门方式；具有抓拍快门、视频快门、识别快门共三种快门方式；支持快门自适应，支持快门1/1s~1/100000s 可调。</w:t>
            </w:r>
          </w:p>
          <w:p w14:paraId="707A9613">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支持导入普通监控视频进行二次分析，支持设备中记录车辆流水，并保存流水记录文件，支持文件导出。</w:t>
            </w:r>
          </w:p>
          <w:p w14:paraId="3F3DB693">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支持平整度和后焦手动调整。</w:t>
            </w:r>
            <w:r>
              <w:rPr>
                <w:rFonts w:hint="eastAsia" w:ascii="Times New Roman" w:hAnsi="Times New Roman" w:eastAsia="宋体" w:cs="Times New Roman"/>
                <w:color w:val="auto"/>
                <w:sz w:val="24"/>
                <w:szCs w:val="24"/>
                <w:highlight w:val="none"/>
                <w:lang w:val="en-US" w:eastAsia="zh-CN" w:bidi="ar-SA"/>
              </w:rPr>
              <w:tab/>
            </w:r>
          </w:p>
          <w:p w14:paraId="4A910DD9">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支持在水平倾斜范围最大40°的情况下能够对车牌进行识别。</w:t>
            </w:r>
          </w:p>
          <w:p w14:paraId="2FFFF673">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支持车辆捕获功能，白天准确率≥99%，晚上捕获率≥99%。</w:t>
            </w:r>
          </w:p>
          <w:p w14:paraId="33CB4B57">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支持车牌识别功能，白天准确率≥99%，晚上准确率≥99%。</w:t>
            </w:r>
          </w:p>
          <w:p w14:paraId="020821E4">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支持新能源车牌识别，白天准确率白天准确率≥99%，晚上准确率≥99%。</w:t>
            </w:r>
            <w:r>
              <w:rPr>
                <w:rFonts w:hint="eastAsia" w:ascii="Times New Roman" w:hAnsi="Times New Roman" w:eastAsia="宋体" w:cs="Times New Roman"/>
                <w:color w:val="auto"/>
                <w:sz w:val="24"/>
                <w:szCs w:val="24"/>
                <w:highlight w:val="none"/>
                <w:lang w:val="en-US" w:eastAsia="zh-CN" w:bidi="ar-SA"/>
              </w:rPr>
              <w:tab/>
            </w:r>
          </w:p>
          <w:p w14:paraId="2ABB81DC">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支持识别车头不少于3700种车系，车尾不少于1800种车系，白天准确率97%，晚上准确率90%。</w:t>
            </w:r>
          </w:p>
          <w:p w14:paraId="24DCC93A">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支持不少于350种车标识别，白天准确率≥98%，晚上准确率≥98%。</w:t>
            </w:r>
          </w:p>
          <w:p w14:paraId="5D740AB7">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支持不少于13种车身颜色识别，包括：黑、白、灰、红、绿、蓝、黄、粉、紫、棕、青、金、橙，白天准确率99%，晚上准确率95%。</w:t>
            </w:r>
          </w:p>
          <w:p w14:paraId="2948B2D6">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支持双网口，2个网口具有独立的MAC地址，可以独立设置IP地址信息</w:t>
            </w:r>
          </w:p>
          <w:p w14:paraId="79D33AA8">
            <w:pPr>
              <w:spacing w:line="440" w:lineRule="exact"/>
              <w:ind w:firstLine="480" w:firstLineChars="20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具有加热模块，可感应到玻璃上的水汽，自动加热。</w:t>
            </w:r>
          </w:p>
        </w:tc>
      </w:tr>
      <w:tr w14:paraId="2348CF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DA6C37C">
            <w:pPr>
              <w:widowControl/>
              <w:spacing w:line="440" w:lineRule="exact"/>
              <w:jc w:val="left"/>
              <w:rPr>
                <w:rFonts w:hint="eastAsia" w:ascii="Times New Roman" w:hAnsi="Times New Roman" w:eastAsia="宋体" w:cs="Times New Roman"/>
                <w:color w:val="auto"/>
                <w:sz w:val="24"/>
                <w:highlight w:val="none"/>
                <w:lang w:val="en-US" w:eastAsia="zh-CN"/>
              </w:rPr>
            </w:pPr>
          </w:p>
        </w:tc>
        <w:tc>
          <w:tcPr>
            <w:tcW w:w="360" w:type="dxa"/>
            <w:vMerge w:val="continue"/>
            <w:noWrap w:val="0"/>
            <w:vAlign w:val="center"/>
          </w:tcPr>
          <w:p w14:paraId="643119D9">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D58E9D3">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4.4.8.3 雷视一体化微波检测器</w:t>
            </w:r>
          </w:p>
          <w:p w14:paraId="6D7337C4">
            <w:pPr>
              <w:spacing w:line="440" w:lineRule="exact"/>
              <w:ind w:firstLine="480" w:firstLineChars="200"/>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参数及功能要求</w:t>
            </w:r>
          </w:p>
          <w:p w14:paraId="61CFBFA2">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内置12mm定焦镜头，视频图像分辨率不低于3072×1728（不低于500万像素），雷达发射频率77GHz；支持雷达数据和视频数据融合，在雷达可视化界面上显示跟踪目标速度、ID、距离， </w:t>
            </w:r>
          </w:p>
          <w:p w14:paraId="7F8A1C42">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支持对雷达参数进行设置，包括设置原点坐标、车道数、车道宽度、方向、架设高度、距离修正参数、角度修正参数</w:t>
            </w:r>
          </w:p>
          <w:p w14:paraId="618B66FB">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支持设置内置红外灯，可通过摄像机进行开启/关闭控制；支持自动模式的时控/光控设置；支持亮度等级设置，设置范围1～100可调</w:t>
            </w:r>
          </w:p>
          <w:p w14:paraId="34647F6D">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内置流量统计功能，可实现流量统计，平均速度统计，车头时距和间距统计，时间占有率和空间占有率统计，交通拥堵上报，道路状态监测；可实现路口和路段的交通测序</w:t>
            </w:r>
          </w:p>
          <w:p w14:paraId="3C4541C1">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支持行人、逆行、交通拥堵、停车、飙车、未保持车距、道路预警等交通事件事故检测上报</w:t>
            </w:r>
          </w:p>
          <w:p w14:paraId="5E23B9CD">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支持加塞检测设置，可设置拥堵阈值范围百分比、抓拍图片数量、录像总时长、抓前预录时间等。</w:t>
            </w:r>
          </w:p>
          <w:p w14:paraId="2E496B14">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支持雷达侦测数据和视频分析数据融合展示，可在雷达可视化界面中、各目标框上，显示跟踪目标的实时速度、序号ID和距设备安装位置的距离。</w:t>
            </w:r>
          </w:p>
          <w:p w14:paraId="742924EE">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双向4车道128个目标轨迹跟踪，机动车检测距离不低于250米，测速范围可设置为1km/h～180km/h。</w:t>
            </w:r>
          </w:p>
          <w:p w14:paraId="51328842">
            <w:pPr>
              <w:spacing w:line="440" w:lineRule="exact"/>
              <w:ind w:firstLine="480" w:firstLineChars="20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支持车距违章抓拍设置，可分别设置低车速值、中车速值、高车速值，同时设置两车的低安全距离、中安全距离、高安全距离。</w:t>
            </w:r>
          </w:p>
          <w:p w14:paraId="32DAB7AF">
            <w:pPr>
              <w:spacing w:line="440" w:lineRule="exact"/>
              <w:ind w:firstLine="480" w:firstLineChars="200"/>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不低于IP66防护等级，防浪涌和防突波保护 </w:t>
            </w:r>
          </w:p>
        </w:tc>
      </w:tr>
      <w:tr w14:paraId="2FD81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645EBDF">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C79D4DB">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B0A7C1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4.5 交通诱导发布系统技术要求</w:t>
            </w:r>
          </w:p>
        </w:tc>
      </w:tr>
      <w:tr w14:paraId="2AD288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4FCFE1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67512611">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BF746C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4.5.1 交通诱导发布系统功能要求</w:t>
            </w:r>
          </w:p>
          <w:p w14:paraId="6F9AE9D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发布信息的实时性：1）道路常态信息的发布实时性，路边可变信息标志显示的道路交通状态信息内容变化，与道路实际交通状态的变化时间延时，最大不超过1min。2）道路交通指挥中心发布时延，道路交通指挥中心发布信息或者指令，到路边可变信息标志显示这些信息和指令所需要的时间延时，最大不超过3s。</w:t>
            </w:r>
          </w:p>
          <w:p w14:paraId="4FC99EE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发布信息的准确性：1）图形方式交通信息发布的准确性，图形可变信息标志显示的道路交通状态信息，与道路的实际交通状态之间的吻合程度，应大于90％。2）行程时间信息发布的准确性，文字可变信息标志发布的到达特定地点的行程时间预测信息，与实际到达的行程时间之间的差异，应小于10％。</w:t>
            </w:r>
          </w:p>
          <w:p w14:paraId="352CDBE0">
            <w:pPr>
              <w:spacing w:line="440" w:lineRule="exact"/>
              <w:rPr>
                <w:rFonts w:ascii="Times New Roman" w:hAnsi="Times New Roman" w:eastAsia="宋体" w:cs="Times New Roman"/>
                <w:i/>
                <w:color w:val="auto"/>
                <w:sz w:val="24"/>
                <w:szCs w:val="24"/>
                <w:highlight w:val="none"/>
                <w:u w:val="single"/>
                <w:lang w:val="en-US" w:eastAsia="zh-CN" w:bidi="ar-SA"/>
              </w:rPr>
            </w:pPr>
            <w:r>
              <w:rPr>
                <w:rFonts w:hint="eastAsia" w:ascii="Times New Roman" w:hAnsi="Times New Roman" w:eastAsia="宋体" w:cs="Times New Roman"/>
                <w:i/>
                <w:color w:val="auto"/>
                <w:sz w:val="24"/>
                <w:szCs w:val="24"/>
                <w:highlight w:val="none"/>
                <w:u w:val="single"/>
                <w:lang w:val="en-US" w:eastAsia="zh-CN" w:bidi="ar-SA"/>
              </w:rPr>
              <w:t>3</w:t>
            </w:r>
            <w:r>
              <w:rPr>
                <w:rFonts w:ascii="Times New Roman" w:hAnsi="Times New Roman" w:eastAsia="宋体" w:cs="Times New Roman"/>
                <w:i/>
                <w:color w:val="auto"/>
                <w:sz w:val="24"/>
                <w:szCs w:val="24"/>
                <w:highlight w:val="none"/>
                <w:u w:val="single"/>
                <w:lang w:val="en-US" w:eastAsia="zh-CN" w:bidi="ar-SA"/>
              </w:rPr>
              <w:t>、诱导屏（交通微诱导屏、交通信息诱导屏、可变速显示屏）能够与中心现有的诱导屏发布软件进行顺畅对接，确保能够受中心发布软件的控制。</w:t>
            </w:r>
          </w:p>
          <w:p w14:paraId="61C24BC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4</w:t>
            </w:r>
            <w:r>
              <w:rPr>
                <w:rFonts w:ascii="Times New Roman" w:hAnsi="Times New Roman" w:eastAsia="宋体" w:cs="Times New Roman"/>
                <w:iCs/>
                <w:color w:val="auto"/>
                <w:sz w:val="24"/>
                <w:szCs w:val="24"/>
                <w:highlight w:val="none"/>
                <w:lang w:val="en-US" w:eastAsia="zh-CN" w:bidi="ar-SA"/>
              </w:rPr>
              <w:t>、现有诱导屏发布软件是通过集中控制方式对道路屏分类管理，达到根据不同路段分类统一发布信息的目的。能实时显示各网点网络通讯情况，反馈故障点位信息，方便及时维护。通过与第三方平台对接，可对不同路段的屏统一发布能实时反应各自路段流量信息及道路违法信息等。</w:t>
            </w:r>
          </w:p>
        </w:tc>
      </w:tr>
      <w:tr w14:paraId="4D8A23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E962D7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A0401F0">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D42C0A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4.5.2 交通微诱导屏</w:t>
            </w:r>
          </w:p>
          <w:p w14:paraId="600E53D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交通信息屏由箱体、LED显示单元、驱动控制器、通信接口以及供电电源等组成，要求诱导屏符合诱导屏符合的规定，并达到以下技术要求：</w:t>
            </w:r>
          </w:p>
          <w:p w14:paraId="5009C77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1、</w:t>
            </w:r>
            <w:r>
              <w:rPr>
                <w:rFonts w:ascii="Times New Roman" w:hAnsi="Times New Roman" w:eastAsia="宋体" w:cs="Times New Roman"/>
                <w:color w:val="auto"/>
                <w:sz w:val="24"/>
                <w:szCs w:val="24"/>
                <w:highlight w:val="none"/>
                <w:lang w:val="en-US" w:eastAsia="zh-CN" w:bidi="ar-SA"/>
              </w:rPr>
              <w:t>全点阵动态交通诱导屏外形尺寸</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2560mm*640mm，点间距10mm，采用双基色LED。</w:t>
            </w:r>
          </w:p>
          <w:p w14:paraId="3C377E87">
            <w:pPr>
              <w:numPr>
                <w:ilvl w:val="0"/>
                <w:numId w:val="0"/>
              </w:num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◆2、诱导屏的设计及施工中需考虑设施的防雷及电源的稳定性等因素，采用合理有效的安全接地措施，设备应具备良好的抗干扰和雷电浪涌防护特性，设备安全接地电阻不大于10Ω。</w:t>
            </w:r>
          </w:p>
          <w:p w14:paraId="48F80BE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◆3、诱导屏应处在可控状态下运行，能通过监控中心进行远程的控制操作，包括开关屏、亮度调整、参数设置以及显示信息修改等。</w:t>
            </w:r>
          </w:p>
          <w:p w14:paraId="18435CE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◆4、能实时自动检测诱导屏的工作状态并上传到控制中心，发生故障时自动黑屏；</w:t>
            </w:r>
          </w:p>
          <w:p w14:paraId="2E1F1C3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同时还需要满足下表LED参数要求：</w:t>
            </w:r>
          </w:p>
          <w:p w14:paraId="4448F99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）红色管芯：波长：620-624nm；亮度：2000-2400mcd。</w:t>
            </w:r>
          </w:p>
          <w:p w14:paraId="7998034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2</w:t>
            </w:r>
            <w:r>
              <w:rPr>
                <w:rFonts w:ascii="Times New Roman" w:hAnsi="Times New Roman" w:eastAsia="宋体" w:cs="Times New Roman"/>
                <w:i/>
                <w:iCs/>
                <w:color w:val="auto"/>
                <w:sz w:val="24"/>
                <w:szCs w:val="24"/>
                <w:highlight w:val="none"/>
                <w:u w:val="single"/>
                <w:lang w:val="en-US" w:eastAsia="zh-CN" w:bidi="ar-SA"/>
              </w:rPr>
              <w:t>）绿色管芯：波长：519-522nm；亮度：6800-8160mcd。</w:t>
            </w:r>
          </w:p>
          <w:p w14:paraId="059368C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）像素密度：10000dots/㎡。</w:t>
            </w:r>
          </w:p>
          <w:p w14:paraId="7AE9293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4</w:t>
            </w:r>
            <w:r>
              <w:rPr>
                <w:rFonts w:ascii="Times New Roman" w:hAnsi="Times New Roman" w:eastAsia="宋体" w:cs="Times New Roman"/>
                <w:i/>
                <w:iCs/>
                <w:color w:val="auto"/>
                <w:sz w:val="24"/>
                <w:szCs w:val="24"/>
                <w:highlight w:val="none"/>
                <w:u w:val="single"/>
                <w:lang w:val="en-US" w:eastAsia="zh-CN" w:bidi="ar-SA"/>
              </w:rPr>
              <w:t>）像素均匀度：灯珠间距符合对应规格：P10（允许公差：0.01mm）。</w:t>
            </w:r>
          </w:p>
          <w:p w14:paraId="0F3F29A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5</w:t>
            </w:r>
            <w:r>
              <w:rPr>
                <w:rFonts w:ascii="Times New Roman" w:hAnsi="Times New Roman" w:eastAsia="宋体" w:cs="Times New Roman"/>
                <w:i/>
                <w:iCs/>
                <w:color w:val="auto"/>
                <w:sz w:val="24"/>
                <w:szCs w:val="24"/>
                <w:highlight w:val="none"/>
                <w:u w:val="single"/>
                <w:lang w:val="en-US" w:eastAsia="zh-CN" w:bidi="ar-SA"/>
              </w:rPr>
              <w:t>）模组厚度：≥30mm。</w:t>
            </w:r>
          </w:p>
          <w:p w14:paraId="1D0F1BF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6</w:t>
            </w:r>
            <w:r>
              <w:rPr>
                <w:rFonts w:ascii="Times New Roman" w:hAnsi="Times New Roman" w:eastAsia="宋体" w:cs="Times New Roman"/>
                <w:i/>
                <w:iCs/>
                <w:color w:val="auto"/>
                <w:sz w:val="24"/>
                <w:szCs w:val="24"/>
                <w:highlight w:val="none"/>
                <w:u w:val="single"/>
                <w:lang w:val="en-US" w:eastAsia="zh-CN" w:bidi="ar-SA"/>
              </w:rPr>
              <w:t>）PCB材质：全集成、二层布线；四层线路结构设计。</w:t>
            </w:r>
          </w:p>
          <w:p w14:paraId="7D8F6F8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7</w:t>
            </w:r>
            <w:r>
              <w:rPr>
                <w:rFonts w:ascii="Times New Roman" w:hAnsi="Times New Roman" w:eastAsia="宋体" w:cs="Times New Roman"/>
                <w:i/>
                <w:iCs/>
                <w:color w:val="auto"/>
                <w:sz w:val="24"/>
                <w:szCs w:val="24"/>
                <w:highlight w:val="none"/>
                <w:u w:val="single"/>
                <w:lang w:val="en-US" w:eastAsia="zh-CN" w:bidi="ar-SA"/>
              </w:rPr>
              <w:t>）灯珠材质：铜线铜支架。</w:t>
            </w:r>
          </w:p>
          <w:p w14:paraId="3C74365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）驱动器件：IC恒流驱动。</w:t>
            </w:r>
          </w:p>
          <w:p w14:paraId="3B7DEB2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）模组防护：背面PCB全灌胶。</w:t>
            </w:r>
          </w:p>
          <w:p w14:paraId="2C29055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0</w:t>
            </w:r>
            <w:r>
              <w:rPr>
                <w:rFonts w:ascii="Times New Roman" w:hAnsi="Times New Roman" w:eastAsia="宋体" w:cs="Times New Roman"/>
                <w:color w:val="auto"/>
                <w:sz w:val="24"/>
                <w:szCs w:val="24"/>
                <w:highlight w:val="none"/>
                <w:lang w:val="en-US" w:eastAsia="zh-CN" w:bidi="ar-SA"/>
              </w:rPr>
              <w:t>）白平衡亮度：</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8000CD/m2。</w:t>
            </w:r>
          </w:p>
          <w:p w14:paraId="3AA6C4A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1</w:t>
            </w:r>
            <w:r>
              <w:rPr>
                <w:rFonts w:ascii="Times New Roman" w:hAnsi="Times New Roman" w:eastAsia="宋体" w:cs="Times New Roman"/>
                <w:color w:val="auto"/>
                <w:sz w:val="24"/>
                <w:szCs w:val="24"/>
                <w:highlight w:val="none"/>
                <w:lang w:val="en-US" w:eastAsia="zh-CN" w:bidi="ar-SA"/>
              </w:rPr>
              <w:t>）白平衡色温：</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8500K。</w:t>
            </w:r>
          </w:p>
          <w:p w14:paraId="4ED232B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2</w:t>
            </w:r>
            <w:r>
              <w:rPr>
                <w:rFonts w:ascii="Times New Roman" w:hAnsi="Times New Roman" w:eastAsia="宋体" w:cs="Times New Roman"/>
                <w:color w:val="auto"/>
                <w:sz w:val="24"/>
                <w:szCs w:val="24"/>
                <w:highlight w:val="none"/>
                <w:lang w:val="en-US" w:eastAsia="zh-CN" w:bidi="ar-SA"/>
              </w:rPr>
              <w:t>）视角：水平</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110°，垂直</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50°。</w:t>
            </w:r>
          </w:p>
          <w:p w14:paraId="3B3461D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◆5、箱体结构：铝板/钣金烤漆全防水箱，双层门设计，采用航空压条密封圈，交通灰色。防护等级：不低于IP65(正面)/IP55(背面)。</w:t>
            </w:r>
          </w:p>
          <w:p w14:paraId="3C176EE2">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6、接口：即插航空接插件连接。</w:t>
            </w:r>
          </w:p>
          <w:p w14:paraId="2395A7C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◆7、控制方式：单点异步，云端网络集中管理。</w:t>
            </w:r>
          </w:p>
          <w:p w14:paraId="22007DF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8、通讯端口：支持光纤、以太网接口10/100/1000Mbps\RS485/RS232。</w:t>
            </w:r>
          </w:p>
          <w:p w14:paraId="7B44581A">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◆9、通讯功能：屏体可联动信号机等其他信号设备，控制系统支持与信号机联动，接受数据并处理后自动显示</w:t>
            </w:r>
            <w:r>
              <w:rPr>
                <w:rFonts w:hint="eastAsia" w:ascii="Times New Roman" w:hAnsi="Times New Roman" w:eastAsia="宋体" w:cs="Times New Roman"/>
                <w:color w:val="auto"/>
                <w:sz w:val="24"/>
                <w:szCs w:val="24"/>
                <w:highlight w:val="none"/>
                <w:lang w:val="en-US" w:eastAsia="zh-CN" w:bidi="ar-SA"/>
              </w:rPr>
              <w:t>。</w:t>
            </w:r>
          </w:p>
          <w:p w14:paraId="28EC282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10、防火（阻燃）：单元板所使用PCB、塑料面板、防水圈、面罩通过燃烧试验，满足阻燃等级达HB级。</w:t>
            </w:r>
          </w:p>
          <w:p w14:paraId="153BA15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1</w:t>
            </w:r>
            <w:r>
              <w:rPr>
                <w:rFonts w:ascii="Times New Roman" w:hAnsi="Times New Roman" w:eastAsia="宋体" w:cs="Times New Roman"/>
                <w:color w:val="auto"/>
                <w:sz w:val="24"/>
                <w:szCs w:val="24"/>
                <w:highlight w:val="none"/>
                <w:lang w:val="en-US" w:eastAsia="zh-CN" w:bidi="ar-SA"/>
              </w:rPr>
              <w:t>、主控部分显示屏采用工业控制计算机嵌入式控制系统，由中心控制室通过远程联网来控制显示屏正常工作，显示屏可以独立工作。</w:t>
            </w:r>
          </w:p>
          <w:p w14:paraId="4B36DDA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u w:val="single"/>
                <w:lang w:val="en-US" w:eastAsia="zh-CN" w:bidi="ar-SA"/>
              </w:rPr>
              <w:t>1</w:t>
            </w:r>
            <w:r>
              <w:rPr>
                <w:rFonts w:hint="eastAsia" w:ascii="Times New Roman" w:hAnsi="Times New Roman" w:eastAsia="宋体" w:cs="Times New Roman"/>
                <w:color w:val="auto"/>
                <w:sz w:val="24"/>
                <w:szCs w:val="24"/>
                <w:highlight w:val="none"/>
                <w:u w:val="single"/>
                <w:lang w:val="en-US" w:eastAsia="zh-CN" w:bidi="ar-SA"/>
              </w:rPr>
              <w:t>2</w:t>
            </w:r>
            <w:r>
              <w:rPr>
                <w:rFonts w:ascii="Times New Roman" w:hAnsi="Times New Roman" w:eastAsia="宋体" w:cs="Times New Roman"/>
                <w:color w:val="auto"/>
                <w:sz w:val="24"/>
                <w:szCs w:val="24"/>
                <w:highlight w:val="none"/>
                <w:u w:val="single"/>
                <w:lang w:val="en-US" w:eastAsia="zh-CN" w:bidi="ar-SA"/>
              </w:rPr>
              <w:t>、抗干扰符合IEC－801二级；防护等级不低于 IP65。</w:t>
            </w:r>
          </w:p>
          <w:p w14:paraId="00AB725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13</w:t>
            </w:r>
            <w:r>
              <w:rPr>
                <w:rFonts w:ascii="Times New Roman" w:hAnsi="Times New Roman" w:eastAsia="宋体" w:cs="Times New Roman"/>
                <w:color w:val="auto"/>
                <w:sz w:val="24"/>
                <w:szCs w:val="24"/>
                <w:highlight w:val="none"/>
                <w:lang w:val="en-US" w:eastAsia="zh-CN" w:bidi="ar-SA"/>
              </w:rPr>
              <w:t>、显示屏安装要求显示屏表面平整度：小于1mm。</w:t>
            </w:r>
          </w:p>
          <w:p w14:paraId="627044B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14</w:t>
            </w:r>
            <w:r>
              <w:rPr>
                <w:rFonts w:ascii="Times New Roman" w:hAnsi="Times New Roman" w:eastAsia="宋体" w:cs="Times New Roman"/>
                <w:i/>
                <w:iCs/>
                <w:color w:val="auto"/>
                <w:sz w:val="24"/>
                <w:szCs w:val="24"/>
                <w:highlight w:val="none"/>
                <w:u w:val="single"/>
                <w:lang w:val="en-US" w:eastAsia="zh-CN" w:bidi="ar-SA"/>
              </w:rPr>
              <w:t>、诱导屏能够与中心现有的诱导屏发布软件进行对接，确保能够受中心发布软件的控制。</w:t>
            </w:r>
          </w:p>
        </w:tc>
      </w:tr>
      <w:tr w14:paraId="680F3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BFB3B4F">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5C4026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4EF762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4.5.3 交通信息诱导屏</w:t>
            </w:r>
          </w:p>
          <w:p w14:paraId="25480DD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◆1、全点阵动态交通诱导屏外形尺寸</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3.84米×高约2.88米，点间距10mm，采用全彩色LED。</w:t>
            </w:r>
          </w:p>
          <w:p w14:paraId="5AF2AC2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◆2、诱导屏的设计及施工中需考虑设施的防雷及电源的稳定性等因素，采用合理有效的安全接地措施，设备应具备良好的抗干扰和雷电浪涌防护特性，设备安全接地电阻不大于10Ω。</w:t>
            </w:r>
          </w:p>
          <w:p w14:paraId="17ECD60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◆3、诱导屏应处在可控状态下运行，能通过监控中心进行远程的控制操作，包括开关屏、亮度调整、参数设置以及显示信息修改等。</w:t>
            </w:r>
          </w:p>
          <w:p w14:paraId="5D7564A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w:t>
            </w:r>
            <w:r>
              <w:rPr>
                <w:rFonts w:ascii="Times New Roman" w:hAnsi="Times New Roman" w:eastAsia="宋体" w:cs="Times New Roman"/>
                <w:i/>
                <w:iCs/>
                <w:color w:val="auto"/>
                <w:sz w:val="24"/>
                <w:szCs w:val="24"/>
                <w:highlight w:val="none"/>
                <w:u w:val="single"/>
                <w:lang w:val="en-US" w:eastAsia="zh-CN" w:bidi="ar-SA"/>
              </w:rPr>
              <w:t>能实时自动检测诱导屏的工作状态并上传到控制中心，发生故障时自动黑屏；同时还需要满足以下参数要求：</w:t>
            </w:r>
          </w:p>
          <w:p w14:paraId="781DF16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）红色管芯：波长：620-624nm；亮度：2000-2400mcd。</w:t>
            </w:r>
          </w:p>
          <w:p w14:paraId="4B011484">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2</w:t>
            </w:r>
            <w:r>
              <w:rPr>
                <w:rFonts w:ascii="Times New Roman" w:hAnsi="Times New Roman" w:eastAsia="宋体" w:cs="Times New Roman"/>
                <w:i/>
                <w:iCs/>
                <w:color w:val="auto"/>
                <w:sz w:val="24"/>
                <w:szCs w:val="24"/>
                <w:highlight w:val="none"/>
                <w:u w:val="single"/>
                <w:lang w:val="en-US" w:eastAsia="zh-CN" w:bidi="ar-SA"/>
              </w:rPr>
              <w:t>）绿色管芯：波长：519-522nm；亮度：6800-8160mcd。</w:t>
            </w:r>
          </w:p>
          <w:p w14:paraId="4F3FF87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）蓝色管芯：波长：465-468nm；亮度：1500-1800mcd。</w:t>
            </w:r>
          </w:p>
          <w:p w14:paraId="3201DC7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4</w:t>
            </w:r>
            <w:r>
              <w:rPr>
                <w:rFonts w:ascii="Times New Roman" w:hAnsi="Times New Roman" w:eastAsia="宋体" w:cs="Times New Roman"/>
                <w:i/>
                <w:iCs/>
                <w:color w:val="auto"/>
                <w:sz w:val="24"/>
                <w:szCs w:val="24"/>
                <w:highlight w:val="none"/>
                <w:u w:val="single"/>
                <w:lang w:val="en-US" w:eastAsia="zh-CN" w:bidi="ar-SA"/>
              </w:rPr>
              <w:t>）像素密度：</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10000dots/㎡。</w:t>
            </w:r>
          </w:p>
          <w:p w14:paraId="6C3BFE3C">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5</w:t>
            </w:r>
            <w:r>
              <w:rPr>
                <w:rFonts w:ascii="Times New Roman" w:hAnsi="Times New Roman" w:eastAsia="宋体" w:cs="Times New Roman"/>
                <w:i/>
                <w:iCs/>
                <w:color w:val="auto"/>
                <w:sz w:val="24"/>
                <w:szCs w:val="24"/>
                <w:highlight w:val="none"/>
                <w:u w:val="single"/>
                <w:lang w:val="en-US" w:eastAsia="zh-CN" w:bidi="ar-SA"/>
              </w:rPr>
              <w:t>）像素均匀度：灯珠间距符合对应规格：P10（允许公差：0.01mm）。</w:t>
            </w:r>
          </w:p>
          <w:p w14:paraId="0C58BDD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6</w:t>
            </w:r>
            <w:r>
              <w:rPr>
                <w:rFonts w:ascii="Times New Roman" w:hAnsi="Times New Roman" w:eastAsia="宋体" w:cs="Times New Roman"/>
                <w:i/>
                <w:iCs/>
                <w:color w:val="auto"/>
                <w:sz w:val="24"/>
                <w:szCs w:val="24"/>
                <w:highlight w:val="none"/>
                <w:u w:val="single"/>
                <w:lang w:val="en-US" w:eastAsia="zh-CN" w:bidi="ar-SA"/>
              </w:rPr>
              <w:t>）模组厚度：≥30mm。</w:t>
            </w:r>
          </w:p>
          <w:p w14:paraId="44329FD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7</w:t>
            </w:r>
            <w:r>
              <w:rPr>
                <w:rFonts w:ascii="Times New Roman" w:hAnsi="Times New Roman" w:eastAsia="宋体" w:cs="Times New Roman"/>
                <w:i/>
                <w:iCs/>
                <w:color w:val="auto"/>
                <w:sz w:val="24"/>
                <w:szCs w:val="24"/>
                <w:highlight w:val="none"/>
                <w:u w:val="single"/>
                <w:lang w:val="en-US" w:eastAsia="zh-CN" w:bidi="ar-SA"/>
              </w:rPr>
              <w:t>）PCB材质：全集成、二层布线；四层线路结构设计。</w:t>
            </w:r>
          </w:p>
          <w:p w14:paraId="5347A13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8</w:t>
            </w:r>
            <w:r>
              <w:rPr>
                <w:rFonts w:ascii="Times New Roman" w:hAnsi="Times New Roman" w:eastAsia="宋体" w:cs="Times New Roman"/>
                <w:i/>
                <w:iCs/>
                <w:color w:val="auto"/>
                <w:sz w:val="24"/>
                <w:szCs w:val="24"/>
                <w:highlight w:val="none"/>
                <w:u w:val="single"/>
                <w:lang w:val="en-US" w:eastAsia="zh-CN" w:bidi="ar-SA"/>
              </w:rPr>
              <w:t>）灯珠材质：铜线铜支架。</w:t>
            </w:r>
          </w:p>
          <w:p w14:paraId="6A047FE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）驱动器件：IC恒流驱动。</w:t>
            </w:r>
          </w:p>
          <w:p w14:paraId="4900E1C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）扫描方式：1/4。</w:t>
            </w:r>
          </w:p>
          <w:p w14:paraId="66F04104">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）模组防护：背面PCB全灌胶。</w:t>
            </w:r>
          </w:p>
          <w:p w14:paraId="616DE8C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2</w:t>
            </w:r>
            <w:r>
              <w:rPr>
                <w:rFonts w:ascii="Times New Roman" w:hAnsi="Times New Roman" w:eastAsia="宋体" w:cs="Times New Roman"/>
                <w:i/>
                <w:iCs/>
                <w:color w:val="auto"/>
                <w:sz w:val="24"/>
                <w:szCs w:val="24"/>
                <w:highlight w:val="none"/>
                <w:u w:val="single"/>
                <w:lang w:val="en-US" w:eastAsia="zh-CN" w:bidi="ar-SA"/>
              </w:rPr>
              <w:t>）白平衡亮度：</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8000CD/m2。</w:t>
            </w:r>
          </w:p>
          <w:p w14:paraId="557AABB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）白平衡色温：</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8500K。</w:t>
            </w:r>
          </w:p>
          <w:p w14:paraId="765F323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4</w:t>
            </w:r>
            <w:r>
              <w:rPr>
                <w:rFonts w:ascii="Times New Roman" w:hAnsi="Times New Roman" w:eastAsia="宋体" w:cs="Times New Roman"/>
                <w:i/>
                <w:iCs/>
                <w:color w:val="auto"/>
                <w:sz w:val="24"/>
                <w:szCs w:val="24"/>
                <w:highlight w:val="none"/>
                <w:u w:val="single"/>
                <w:lang w:val="en-US" w:eastAsia="zh-CN" w:bidi="ar-SA"/>
              </w:rPr>
              <w:t>）视角：水平</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110°，垂直</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50°。</w:t>
            </w:r>
          </w:p>
          <w:p w14:paraId="11CDE97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5、诱导屏的物理像素分布 384点（宽）*288点（高）=110592像素。</w:t>
            </w:r>
          </w:p>
          <w:p w14:paraId="6D92CCC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6</w:t>
            </w:r>
            <w:r>
              <w:rPr>
                <w:rFonts w:ascii="Times New Roman" w:hAnsi="Times New Roman" w:eastAsia="宋体" w:cs="Times New Roman"/>
                <w:color w:val="auto"/>
                <w:sz w:val="24"/>
                <w:szCs w:val="24"/>
                <w:highlight w:val="none"/>
                <w:lang w:val="en-US" w:eastAsia="zh-CN" w:bidi="ar-SA"/>
              </w:rPr>
              <w:t>、诱导屏净面积</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 xml:space="preserve"> 3.84m（宽）*2.88m（高）=11.06㎡。</w:t>
            </w:r>
          </w:p>
          <w:p w14:paraId="14B3816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7</w:t>
            </w:r>
            <w:r>
              <w:rPr>
                <w:rFonts w:ascii="Times New Roman" w:hAnsi="Times New Roman" w:eastAsia="宋体" w:cs="Times New Roman"/>
                <w:color w:val="auto"/>
                <w:sz w:val="24"/>
                <w:szCs w:val="24"/>
                <w:highlight w:val="none"/>
                <w:lang w:val="en-US" w:eastAsia="zh-CN" w:bidi="ar-SA"/>
              </w:rPr>
              <w:t>、箱体结构：铝板/钣金烤漆全防水箱，双层门设计，采用航空压条密封圈，交通灰色。</w:t>
            </w:r>
          </w:p>
          <w:p w14:paraId="60A08C3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 w:val="0"/>
                <w:iCs w:val="0"/>
                <w:color w:val="auto"/>
                <w:sz w:val="24"/>
                <w:szCs w:val="24"/>
                <w:highlight w:val="none"/>
                <w:u w:val="none"/>
                <w:lang w:val="en-US" w:eastAsia="zh-CN" w:bidi="ar-SA"/>
              </w:rPr>
              <w:t>8</w:t>
            </w:r>
            <w:r>
              <w:rPr>
                <w:rFonts w:ascii="Times New Roman" w:hAnsi="Times New Roman" w:eastAsia="宋体" w:cs="Times New Roman"/>
                <w:i w:val="0"/>
                <w:iCs w:val="0"/>
                <w:color w:val="auto"/>
                <w:sz w:val="24"/>
                <w:szCs w:val="24"/>
                <w:highlight w:val="none"/>
                <w:u w:val="none"/>
                <w:lang w:val="en-US" w:eastAsia="zh-CN" w:bidi="ar-SA"/>
              </w:rPr>
              <w:t>、</w:t>
            </w:r>
            <w:r>
              <w:rPr>
                <w:rFonts w:ascii="Times New Roman" w:hAnsi="Times New Roman" w:eastAsia="宋体" w:cs="Times New Roman"/>
                <w:color w:val="auto"/>
                <w:sz w:val="24"/>
                <w:szCs w:val="24"/>
                <w:highlight w:val="none"/>
                <w:lang w:val="en-US" w:eastAsia="zh-CN" w:bidi="ar-SA"/>
              </w:rPr>
              <w:t>各箱体之间的连线应不外露。箱体及连接件防护罩色泽均匀，安装完成后应无划伤裂痕。外机箱表面用喷塑处理，喷塑后颜色为亚光灰色，不反光，防眩光。</w:t>
            </w:r>
          </w:p>
          <w:p w14:paraId="26EA3AF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、接口：即插航空接插件连接。防护等级：不低于IP65(正面)/IP55(背面)，</w:t>
            </w:r>
          </w:p>
          <w:p w14:paraId="3BC82CA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0</w:t>
            </w:r>
            <w:r>
              <w:rPr>
                <w:rFonts w:ascii="Times New Roman" w:hAnsi="Times New Roman" w:eastAsia="宋体" w:cs="Times New Roman"/>
                <w:color w:val="auto"/>
                <w:sz w:val="24"/>
                <w:szCs w:val="24"/>
                <w:highlight w:val="none"/>
                <w:lang w:val="en-US" w:eastAsia="zh-CN" w:bidi="ar-SA"/>
              </w:rPr>
              <w:t>、控制方式：单点异步，云端网络集中管理。</w:t>
            </w:r>
          </w:p>
          <w:p w14:paraId="698BD535">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、防火（阻燃）：单元板所使用PCB、塑料面板、防水圈、面罩通过燃烧试验，满足阻燃等级达HB级。</w:t>
            </w:r>
          </w:p>
          <w:p w14:paraId="0E15243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2</w:t>
            </w:r>
            <w:r>
              <w:rPr>
                <w:rFonts w:ascii="Times New Roman" w:hAnsi="Times New Roman" w:eastAsia="宋体" w:cs="Times New Roman"/>
                <w:color w:val="auto"/>
                <w:sz w:val="24"/>
                <w:szCs w:val="24"/>
                <w:highlight w:val="none"/>
                <w:lang w:val="en-US" w:eastAsia="zh-CN" w:bidi="ar-SA"/>
              </w:rPr>
              <w:t>、主控部分，显示屏采用工业控制计算机嵌入式控制系统，由中心控制室通过远程联网来控制显示屏正常工作，显示屏可以独立工作。</w:t>
            </w:r>
          </w:p>
          <w:p w14:paraId="61309C1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3</w:t>
            </w:r>
            <w:r>
              <w:rPr>
                <w:rFonts w:ascii="Times New Roman" w:hAnsi="Times New Roman" w:eastAsia="宋体" w:cs="Times New Roman"/>
                <w:color w:val="auto"/>
                <w:sz w:val="24"/>
                <w:szCs w:val="24"/>
                <w:highlight w:val="none"/>
                <w:lang w:val="en-US" w:eastAsia="zh-CN" w:bidi="ar-SA"/>
              </w:rPr>
              <w:t>、诱导屏采用自动调光控制系统，用来控制显示屏整体的发光强度，可有32个亮度等级可以控制。</w:t>
            </w:r>
          </w:p>
          <w:p w14:paraId="134474F2">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4</w:t>
            </w:r>
            <w:r>
              <w:rPr>
                <w:rFonts w:ascii="Times New Roman" w:hAnsi="Times New Roman" w:eastAsia="宋体" w:cs="Times New Roman"/>
                <w:i/>
                <w:iCs/>
                <w:color w:val="auto"/>
                <w:sz w:val="24"/>
                <w:szCs w:val="24"/>
                <w:highlight w:val="none"/>
                <w:u w:val="single"/>
                <w:lang w:val="en-US" w:eastAsia="zh-CN" w:bidi="ar-SA"/>
              </w:rPr>
              <w:t>、换帧速度 ≥120帧/秒。</w:t>
            </w:r>
          </w:p>
          <w:p w14:paraId="2176418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15</w:t>
            </w:r>
            <w:r>
              <w:rPr>
                <w:rFonts w:ascii="Times New Roman" w:hAnsi="Times New Roman" w:eastAsia="宋体" w:cs="Times New Roman"/>
                <w:i/>
                <w:iCs/>
                <w:color w:val="auto"/>
                <w:sz w:val="24"/>
                <w:szCs w:val="24"/>
                <w:highlight w:val="none"/>
                <w:u w:val="single"/>
                <w:lang w:val="en-US" w:eastAsia="zh-CN" w:bidi="ar-SA"/>
              </w:rPr>
              <w:t>、显示屏的失控点小于万分之三（SJ/T11141－1997）。</w:t>
            </w:r>
          </w:p>
          <w:p w14:paraId="45686AD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16</w:t>
            </w:r>
            <w:r>
              <w:rPr>
                <w:rFonts w:ascii="Times New Roman" w:hAnsi="Times New Roman" w:eastAsia="宋体" w:cs="Times New Roman"/>
                <w:color w:val="auto"/>
                <w:sz w:val="24"/>
                <w:szCs w:val="24"/>
                <w:highlight w:val="none"/>
                <w:lang w:val="en-US" w:eastAsia="zh-CN" w:bidi="ar-SA"/>
              </w:rPr>
              <w:t>、安装方式：结构所用材料、连接方式、基础尺寸等均经过强度力学计算，能承受48m／s以上的风载荷，确保屏体安全、稳定、可靠。显示屏安装要求显示屏表面平整度：小于1mm。</w:t>
            </w:r>
          </w:p>
          <w:p w14:paraId="6A2C5B89">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17</w:t>
            </w:r>
            <w:r>
              <w:rPr>
                <w:rFonts w:ascii="Times New Roman" w:hAnsi="Times New Roman" w:eastAsia="宋体" w:cs="Times New Roman"/>
                <w:i/>
                <w:iCs/>
                <w:color w:val="auto"/>
                <w:sz w:val="24"/>
                <w:szCs w:val="24"/>
                <w:highlight w:val="none"/>
                <w:u w:val="single"/>
                <w:lang w:val="en-US" w:eastAsia="zh-CN" w:bidi="ar-SA"/>
              </w:rPr>
              <w:t>、诱导屏能够与中心现有的诱导屏发布软件进行对接，确保能够受中心发布软件的控制。</w:t>
            </w:r>
          </w:p>
        </w:tc>
      </w:tr>
      <w:tr w14:paraId="429F3F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7A99A6F">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BC1898B">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FC0035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4.5.4 可变</w:t>
            </w:r>
            <w:r>
              <w:rPr>
                <w:rFonts w:hint="eastAsia" w:ascii="Times New Roman" w:hAnsi="Times New Roman" w:eastAsia="宋体" w:cs="Times New Roman"/>
                <w:color w:val="auto"/>
                <w:sz w:val="24"/>
                <w:szCs w:val="24"/>
                <w:highlight w:val="none"/>
                <w:lang w:val="en-US" w:eastAsia="zh-CN" w:bidi="ar-SA"/>
              </w:rPr>
              <w:t>限</w:t>
            </w:r>
            <w:r>
              <w:rPr>
                <w:rFonts w:ascii="Times New Roman" w:hAnsi="Times New Roman" w:eastAsia="宋体" w:cs="Times New Roman"/>
                <w:color w:val="auto"/>
                <w:sz w:val="24"/>
                <w:szCs w:val="24"/>
                <w:highlight w:val="none"/>
                <w:lang w:val="en-US" w:eastAsia="zh-CN" w:bidi="ar-SA"/>
              </w:rPr>
              <w:t>速显示屏</w:t>
            </w:r>
          </w:p>
          <w:p w14:paraId="1BC69EC2">
            <w:pPr>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屏由箱体、LED显示单元、驱动控制器、通信接口以及供电电源等组成，要求诱导屏符合诱导屏符合的规定，并达到以下技术要求：</w:t>
            </w:r>
          </w:p>
          <w:p w14:paraId="019D420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◆1、全点阵动态交通诱导屏外形尺寸</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1280mm*1280mm，点间距10mm，采用双基色LED。</w:t>
            </w:r>
          </w:p>
          <w:p w14:paraId="4925236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◆2、诱导屏的设计及施工中需考虑设施的防雷及电源的稳定性等因素，采用合理有效的安全接地措施，设备应具备良好的抗干扰和雷电浪涌防护特性，设备安全接地电阻不大于10Ω。</w:t>
            </w:r>
          </w:p>
          <w:p w14:paraId="5C3099A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◆3、诱导屏应处在可控状态下运行，能通过监控中心进行远程的控制操作，包括开关屏、亮度调整、参数设置以及显示信息修改等。</w:t>
            </w:r>
          </w:p>
          <w:p w14:paraId="3B934F2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◆4、能实时自动检测诱导屏的工作状态并上传到控制中心，发生故障时自动黑屏；同时还需要满足下表LED参数要求：</w:t>
            </w:r>
          </w:p>
          <w:p w14:paraId="4B7DC00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
                <w:iCs/>
                <w:color w:val="auto"/>
                <w:sz w:val="24"/>
                <w:szCs w:val="24"/>
                <w:highlight w:val="none"/>
                <w:u w:val="single"/>
                <w:lang w:val="en-US" w:eastAsia="zh-CN" w:bidi="ar-SA"/>
              </w:rPr>
              <w:t>1）红色管芯：波长：620-624nm；亮度：2000-2400mcd。</w:t>
            </w:r>
          </w:p>
          <w:p w14:paraId="7D93CBE2">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2</w:t>
            </w:r>
            <w:r>
              <w:rPr>
                <w:rFonts w:ascii="Times New Roman" w:hAnsi="Times New Roman" w:eastAsia="宋体" w:cs="Times New Roman"/>
                <w:i/>
                <w:iCs/>
                <w:color w:val="auto"/>
                <w:sz w:val="24"/>
                <w:szCs w:val="24"/>
                <w:highlight w:val="none"/>
                <w:u w:val="single"/>
                <w:lang w:val="en-US" w:eastAsia="zh-CN" w:bidi="ar-SA"/>
              </w:rPr>
              <w:t>）绿色管芯：波长：519-522nm；亮度：6800-8160mcd。</w:t>
            </w:r>
          </w:p>
          <w:p w14:paraId="2A50E2D2">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）像素密度：</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10000dots/㎡。</w:t>
            </w:r>
          </w:p>
          <w:p w14:paraId="7A771E4A">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4</w:t>
            </w:r>
            <w:r>
              <w:rPr>
                <w:rFonts w:ascii="Times New Roman" w:hAnsi="Times New Roman" w:eastAsia="宋体" w:cs="Times New Roman"/>
                <w:i/>
                <w:iCs/>
                <w:color w:val="auto"/>
                <w:sz w:val="24"/>
                <w:szCs w:val="24"/>
                <w:highlight w:val="none"/>
                <w:u w:val="single"/>
                <w:lang w:val="en-US" w:eastAsia="zh-CN" w:bidi="ar-SA"/>
              </w:rPr>
              <w:t>）像素均匀度：灯珠间距符合对应规格：P10（允许公差：0.01mm）。</w:t>
            </w:r>
          </w:p>
          <w:p w14:paraId="3BFFBC9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5</w:t>
            </w:r>
            <w:r>
              <w:rPr>
                <w:rFonts w:ascii="Times New Roman" w:hAnsi="Times New Roman" w:eastAsia="宋体" w:cs="Times New Roman"/>
                <w:i/>
                <w:iCs/>
                <w:color w:val="auto"/>
                <w:sz w:val="24"/>
                <w:szCs w:val="24"/>
                <w:highlight w:val="none"/>
                <w:u w:val="single"/>
                <w:lang w:val="en-US" w:eastAsia="zh-CN" w:bidi="ar-SA"/>
              </w:rPr>
              <w:t>）模组厚度：≥30mm。</w:t>
            </w:r>
          </w:p>
          <w:p w14:paraId="615C00C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6</w:t>
            </w:r>
            <w:r>
              <w:rPr>
                <w:rFonts w:ascii="Times New Roman" w:hAnsi="Times New Roman" w:eastAsia="宋体" w:cs="Times New Roman"/>
                <w:i/>
                <w:iCs/>
                <w:color w:val="auto"/>
                <w:sz w:val="24"/>
                <w:szCs w:val="24"/>
                <w:highlight w:val="none"/>
                <w:u w:val="single"/>
                <w:lang w:val="en-US" w:eastAsia="zh-CN" w:bidi="ar-SA"/>
              </w:rPr>
              <w:t>）PCB材质：全集成、二层布线；四层线路结构设计。</w:t>
            </w:r>
          </w:p>
          <w:p w14:paraId="1C10660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7</w:t>
            </w:r>
            <w:r>
              <w:rPr>
                <w:rFonts w:ascii="Times New Roman" w:hAnsi="Times New Roman" w:eastAsia="宋体" w:cs="Times New Roman"/>
                <w:i/>
                <w:iCs/>
                <w:color w:val="auto"/>
                <w:sz w:val="24"/>
                <w:szCs w:val="24"/>
                <w:highlight w:val="none"/>
                <w:u w:val="single"/>
                <w:lang w:val="en-US" w:eastAsia="zh-CN" w:bidi="ar-SA"/>
              </w:rPr>
              <w:t>）灯珠材质：铜线铜支架。</w:t>
            </w:r>
          </w:p>
          <w:p w14:paraId="3F6F3F4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8</w:t>
            </w:r>
            <w:r>
              <w:rPr>
                <w:rFonts w:ascii="Times New Roman" w:hAnsi="Times New Roman" w:eastAsia="宋体" w:cs="Times New Roman"/>
                <w:i/>
                <w:iCs/>
                <w:color w:val="auto"/>
                <w:sz w:val="24"/>
                <w:szCs w:val="24"/>
                <w:highlight w:val="none"/>
                <w:u w:val="single"/>
                <w:lang w:val="en-US" w:eastAsia="zh-CN" w:bidi="ar-SA"/>
              </w:rPr>
              <w:t>）驱动器件：IC恒流驱动。</w:t>
            </w:r>
          </w:p>
          <w:p w14:paraId="2F23FA9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w:t>
            </w:r>
            <w:r>
              <w:rPr>
                <w:rFonts w:hint="eastAsia" w:ascii="Times New Roman" w:hAnsi="Times New Roman" w:eastAsia="宋体" w:cs="Times New Roman"/>
                <w:i/>
                <w:iCs/>
                <w:color w:val="auto"/>
                <w:sz w:val="24"/>
                <w:szCs w:val="24"/>
                <w:highlight w:val="none"/>
                <w:u w:val="single"/>
                <w:lang w:val="en-US" w:eastAsia="zh-CN" w:bidi="ar-SA"/>
              </w:rPr>
              <w:t>9</w:t>
            </w:r>
            <w:r>
              <w:rPr>
                <w:rFonts w:ascii="Times New Roman" w:hAnsi="Times New Roman" w:eastAsia="宋体" w:cs="Times New Roman"/>
                <w:i/>
                <w:iCs/>
                <w:color w:val="auto"/>
                <w:sz w:val="24"/>
                <w:szCs w:val="24"/>
                <w:highlight w:val="none"/>
                <w:u w:val="single"/>
                <w:lang w:val="en-US" w:eastAsia="zh-CN" w:bidi="ar-SA"/>
              </w:rPr>
              <w:t>）扫描方式：1/4。</w:t>
            </w:r>
          </w:p>
          <w:p w14:paraId="6EE95970">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）模组防护：背面PCB全灌胶。</w:t>
            </w:r>
          </w:p>
          <w:p w14:paraId="42F0760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）白平衡亮度：</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8000CD/m2。</w:t>
            </w:r>
          </w:p>
          <w:p w14:paraId="0E1B0C8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2</w:t>
            </w:r>
            <w:r>
              <w:rPr>
                <w:rFonts w:ascii="Times New Roman" w:hAnsi="Times New Roman" w:eastAsia="宋体" w:cs="Times New Roman"/>
                <w:i/>
                <w:iCs/>
                <w:color w:val="auto"/>
                <w:sz w:val="24"/>
                <w:szCs w:val="24"/>
                <w:highlight w:val="none"/>
                <w:u w:val="single"/>
                <w:lang w:val="en-US" w:eastAsia="zh-CN" w:bidi="ar-SA"/>
              </w:rPr>
              <w:t>）白平衡色温：</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8500K。</w:t>
            </w:r>
          </w:p>
          <w:p w14:paraId="0EB5D3C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3</w:t>
            </w:r>
            <w:r>
              <w:rPr>
                <w:rFonts w:ascii="Times New Roman" w:hAnsi="Times New Roman" w:eastAsia="宋体" w:cs="Times New Roman"/>
                <w:i/>
                <w:iCs/>
                <w:color w:val="auto"/>
                <w:sz w:val="24"/>
                <w:szCs w:val="24"/>
                <w:highlight w:val="none"/>
                <w:u w:val="single"/>
                <w:lang w:val="en-US" w:eastAsia="zh-CN" w:bidi="ar-SA"/>
              </w:rPr>
              <w:t>）视角：水平</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110°，垂直</w:t>
            </w:r>
            <w:r>
              <w:rPr>
                <w:rFonts w:hint="eastAsia" w:ascii="Times New Roman" w:hAnsi="Times New Roman" w:eastAsia="宋体" w:cs="Times New Roman"/>
                <w:color w:val="auto"/>
                <w:sz w:val="24"/>
                <w:szCs w:val="24"/>
                <w:highlight w:val="none"/>
                <w:u w:val="single"/>
                <w:lang w:val="en-US" w:eastAsia="zh-CN" w:bidi="ar-SA"/>
              </w:rPr>
              <w:t>不低于</w:t>
            </w:r>
            <w:r>
              <w:rPr>
                <w:rFonts w:ascii="Times New Roman" w:hAnsi="Times New Roman" w:eastAsia="宋体" w:cs="Times New Roman"/>
                <w:i/>
                <w:iCs/>
                <w:color w:val="auto"/>
                <w:sz w:val="24"/>
                <w:szCs w:val="24"/>
                <w:highlight w:val="none"/>
                <w:u w:val="single"/>
                <w:lang w:val="en-US" w:eastAsia="zh-CN" w:bidi="ar-SA"/>
              </w:rPr>
              <w:t>50°。</w:t>
            </w:r>
          </w:p>
          <w:p w14:paraId="7128FB1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5</w:t>
            </w:r>
            <w:r>
              <w:rPr>
                <w:rFonts w:ascii="Times New Roman" w:hAnsi="Times New Roman" w:eastAsia="宋体" w:cs="Times New Roman"/>
                <w:color w:val="auto"/>
                <w:sz w:val="24"/>
                <w:szCs w:val="24"/>
                <w:highlight w:val="none"/>
                <w:lang w:val="en-US" w:eastAsia="zh-CN" w:bidi="ar-SA"/>
              </w:rPr>
              <w:t>、箱体结构：铝板/钣金烤漆全防水箱，双层门设计，采用航空压条密封圈，交通灰色。</w:t>
            </w:r>
          </w:p>
          <w:p w14:paraId="41FCEF4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6</w:t>
            </w:r>
            <w:r>
              <w:rPr>
                <w:rFonts w:ascii="Times New Roman" w:hAnsi="Times New Roman" w:eastAsia="宋体" w:cs="Times New Roman"/>
                <w:i/>
                <w:iCs/>
                <w:color w:val="auto"/>
                <w:sz w:val="24"/>
                <w:szCs w:val="24"/>
                <w:highlight w:val="none"/>
                <w:u w:val="single"/>
                <w:lang w:val="en-US" w:eastAsia="zh-CN" w:bidi="ar-SA"/>
              </w:rPr>
              <w:t>、接口：即插航空接插件连接。</w:t>
            </w:r>
          </w:p>
          <w:p w14:paraId="25010FD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7</w:t>
            </w:r>
            <w:r>
              <w:rPr>
                <w:rFonts w:ascii="Times New Roman" w:hAnsi="Times New Roman" w:eastAsia="宋体" w:cs="Times New Roman"/>
                <w:color w:val="auto"/>
                <w:sz w:val="24"/>
                <w:szCs w:val="24"/>
                <w:highlight w:val="none"/>
                <w:lang w:val="en-US" w:eastAsia="zh-CN" w:bidi="ar-SA"/>
              </w:rPr>
              <w:t>、控制方式：单点异步，云端网络集中管理。</w:t>
            </w:r>
          </w:p>
          <w:p w14:paraId="1B5F639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、主控部分：显示屏采用工业控制计算机嵌入式控制系统，由中心控制室通过远程联网来控制显示屏正常工作，显示屏可以独立工作。</w:t>
            </w:r>
          </w:p>
          <w:p w14:paraId="478F122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、诱导屏采用自动调光控制系统，用来控制显示屏整体的发光强度，可有32个亮度等级可以控制。</w:t>
            </w:r>
          </w:p>
          <w:p w14:paraId="214E43E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w:t>
            </w:r>
            <w:r>
              <w:rPr>
                <w:rFonts w:hint="eastAsia" w:ascii="Times New Roman" w:hAnsi="Times New Roman" w:eastAsia="宋体" w:cs="Times New Roman"/>
                <w:i/>
                <w:iCs/>
                <w:color w:val="auto"/>
                <w:sz w:val="24"/>
                <w:szCs w:val="24"/>
                <w:highlight w:val="none"/>
                <w:u w:val="single"/>
                <w:lang w:val="en-US" w:eastAsia="zh-CN" w:bidi="ar-SA"/>
              </w:rPr>
              <w:t>0</w:t>
            </w:r>
            <w:r>
              <w:rPr>
                <w:rFonts w:ascii="Times New Roman" w:hAnsi="Times New Roman" w:eastAsia="宋体" w:cs="Times New Roman"/>
                <w:i/>
                <w:iCs/>
                <w:color w:val="auto"/>
                <w:sz w:val="24"/>
                <w:szCs w:val="24"/>
                <w:highlight w:val="none"/>
                <w:u w:val="single"/>
                <w:lang w:val="en-US" w:eastAsia="zh-CN" w:bidi="ar-SA"/>
              </w:rPr>
              <w:t>、换帧速度 ≥120帧/秒。</w:t>
            </w:r>
          </w:p>
          <w:p w14:paraId="020BC3C4">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w:t>
            </w:r>
            <w:r>
              <w:rPr>
                <w:rFonts w:ascii="Times New Roman" w:hAnsi="Times New Roman" w:eastAsia="宋体" w:cs="Times New Roman"/>
                <w:i/>
                <w:iCs/>
                <w:color w:val="auto"/>
                <w:sz w:val="24"/>
                <w:szCs w:val="24"/>
                <w:highlight w:val="none"/>
                <w:u w:val="single"/>
                <w:lang w:val="en-US" w:eastAsia="zh-CN" w:bidi="ar-SA"/>
              </w:rPr>
              <w:t>1、显示屏的失控点小于万分之三（SJ/T11141－1997）。</w:t>
            </w:r>
          </w:p>
          <w:p w14:paraId="0D20112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1</w:t>
            </w:r>
            <w:r>
              <w:rPr>
                <w:rFonts w:ascii="Times New Roman" w:hAnsi="Times New Roman" w:eastAsia="宋体" w:cs="Times New Roman"/>
                <w:color w:val="auto"/>
                <w:sz w:val="24"/>
                <w:szCs w:val="24"/>
                <w:highlight w:val="none"/>
                <w:lang w:val="en-US" w:eastAsia="zh-CN" w:bidi="ar-SA"/>
              </w:rPr>
              <w:t>2、安装方式：结构所用材料、连接方式、基础尺寸等均经过强度力学计算，能承受48m／s以上的风载荷，确保屏体安全、稳定、可靠。显示屏安装要求显示屏表面平整度：小于1mm。</w:t>
            </w:r>
          </w:p>
        </w:tc>
      </w:tr>
      <w:tr w14:paraId="10F21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ED0BDCE">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6DE0E5BC">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0DAF054">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4.5.5智能抱杆箱</w:t>
            </w:r>
          </w:p>
          <w:p w14:paraId="5AC4379D">
            <w:pPr>
              <w:spacing w:line="440" w:lineRule="exact"/>
              <w:rPr>
                <w:rFonts w:ascii="Times New Roman" w:hAnsi="Times New Roman" w:eastAsia="宋体" w:cs="Times New Roman"/>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见</w:t>
            </w:r>
            <w:r>
              <w:rPr>
                <w:rFonts w:hint="eastAsia" w:ascii="Times New Roman" w:hAnsi="Times New Roman" w:eastAsia="宋体" w:cs="Times New Roman"/>
                <w:iCs/>
                <w:color w:val="auto"/>
                <w:sz w:val="24"/>
                <w:szCs w:val="22"/>
                <w:highlight w:val="none"/>
                <w:lang w:val="en-US" w:eastAsia="zh-CN" w:bidi="ar-SA"/>
              </w:rPr>
              <w:t>4.2.4</w:t>
            </w:r>
          </w:p>
        </w:tc>
      </w:tr>
      <w:tr w14:paraId="53F85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AA3365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B6E180E">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8FE1BBE">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4.5.</w:t>
            </w:r>
            <w:r>
              <w:rPr>
                <w:rFonts w:hint="eastAsia" w:ascii="Times New Roman" w:hAnsi="Times New Roman" w:eastAsia="宋体" w:cs="Times New Roman"/>
                <w:iCs/>
                <w:color w:val="auto"/>
                <w:sz w:val="24"/>
                <w:highlight w:val="none"/>
                <w:lang w:val="en-US" w:eastAsia="zh-CN"/>
              </w:rPr>
              <w:t>6</w:t>
            </w:r>
            <w:r>
              <w:rPr>
                <w:rFonts w:hint="default" w:ascii="Times New Roman" w:hAnsi="Times New Roman" w:eastAsia="宋体" w:cs="Times New Roman"/>
                <w:iCs/>
                <w:color w:val="auto"/>
                <w:sz w:val="24"/>
                <w:highlight w:val="none"/>
              </w:rPr>
              <w:t xml:space="preserve"> 智能设备箱（小）</w:t>
            </w:r>
          </w:p>
          <w:p w14:paraId="7720A8FB">
            <w:pPr>
              <w:spacing w:line="440" w:lineRule="exact"/>
              <w:rPr>
                <w:rFonts w:hint="default" w:ascii="Times New Roman" w:hAnsi="Times New Roman" w:eastAsia="宋体" w:cs="Times New Roman"/>
                <w:i/>
                <w:color w:val="auto"/>
                <w:sz w:val="24"/>
                <w:highlight w:val="none"/>
                <w:u w:val="single"/>
              </w:rPr>
            </w:pPr>
            <w:r>
              <w:rPr>
                <w:rFonts w:hint="default" w:ascii="Times New Roman" w:hAnsi="Times New Roman" w:eastAsia="宋体" w:cs="Times New Roman"/>
                <w:i/>
                <w:color w:val="auto"/>
                <w:sz w:val="24"/>
                <w:highlight w:val="none"/>
                <w:u w:val="single"/>
              </w:rPr>
              <w:t>1、尺寸不低于400mm*350mm*670mm(长*宽*高)；箱体材料为不锈钢，厚度不低于1.5mm，人字尖顶，整体喷塑。</w:t>
            </w:r>
          </w:p>
          <w:p w14:paraId="53447D5D">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2、内部配电、防雷单元以及设备放置隔板位置能自由调整，方便现场安装调整。门体使用双翻遍工艺，材料为不锈钢，门板印字可定制。抽拉式隔板，设备安放及固定板，开散热孔及过线孔。防盗锁，弹珠型防盗锁芯，外部防撬扣厚度大于2mm。防盗铰链，锌合金材质，压铸工艺，内部固定。</w:t>
            </w:r>
          </w:p>
          <w:p w14:paraId="2BA9A6B8">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
                <w:iCs w:val="0"/>
                <w:color w:val="auto"/>
                <w:sz w:val="24"/>
                <w:highlight w:val="none"/>
                <w:u w:val="single"/>
              </w:rPr>
              <w:t>3、电源防雷最大持续工作电压：385V AC，最大通流容量：40kA，保护水平（40kA，8/20μs）：2400V，保护模式：L-N-PE，响应时间：≤1ns，防护等级：不低于IP20。</w:t>
            </w:r>
          </w:p>
          <w:p w14:paraId="4B6A52CA">
            <w:pPr>
              <w:spacing w:line="440" w:lineRule="exact"/>
              <w:rPr>
                <w:rFonts w:hint="default" w:ascii="Times New Roman" w:hAnsi="Times New Roman" w:eastAsia="宋体" w:cs="Times New Roman"/>
                <w:i/>
                <w:color w:val="auto"/>
                <w:sz w:val="24"/>
                <w:highlight w:val="none"/>
                <w:u w:val="single"/>
              </w:rPr>
            </w:pPr>
            <w:r>
              <w:rPr>
                <w:rFonts w:hint="default" w:ascii="Times New Roman" w:hAnsi="Times New Roman" w:eastAsia="宋体" w:cs="Times New Roman"/>
                <w:i/>
                <w:color w:val="auto"/>
                <w:sz w:val="24"/>
                <w:highlight w:val="none"/>
                <w:u w:val="single"/>
              </w:rPr>
              <w:t>4、配装至少1个8口千兆以太网防雷器、1个电源引入防雷模块，可根据实际情况增加配置，满足使用需求。</w:t>
            </w:r>
          </w:p>
          <w:p w14:paraId="07DC3034">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5、机箱为全天候防风雨自立式机箱。在机箱中加装电源保护装置，即过流过压保护装置，里面可能放置光端机、防雷模块、电源设备，接线端子、光纤终端盒、维修开关和插座等。</w:t>
            </w:r>
          </w:p>
          <w:p w14:paraId="3F4542E8">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6、配装工业级传输交换机，不少于2光8电，含光模块，千兆网口，无风扇设计，可实时检测交换机工作状态，状态异常时可上报异常数据，可远程重启交换机。</w:t>
            </w:r>
          </w:p>
          <w:p w14:paraId="5FF9C104">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7、机箱中应有电源单元，不少于1个7路输出DC12V电源模块和1个2路输出AC24V电源模块，可根据实际情况选择合适功率、增加电源输出，满足使用需求。</w:t>
            </w:r>
          </w:p>
          <w:p w14:paraId="1953E9B8">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8、机箱内设有防雷电装置，每一根引入线均有相应的防雷电保护装置。</w:t>
            </w:r>
          </w:p>
          <w:p w14:paraId="22B2704B">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9、机箱中应有通风装置，至少2个温控风扇，当机箱内温度过高时，通风装置自动启动排风降温。且进、排风口必须防水渗漏，有防虫吸入滤网。机箱锁要求有防雨外壳。</w:t>
            </w:r>
          </w:p>
          <w:p w14:paraId="685E7A95">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10、机箱应有良好的接地系统，其防雷接地与电子设备工作接地分开。</w:t>
            </w:r>
          </w:p>
          <w:p w14:paraId="1B49670A">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供电：电流总量程不低于63A；不少于1路32A（电流量程可调1A-63A）供电；不少于1个32A自动重合闸（1A-63A可调）；不少于4路16A（电流量程可调1A-20A）供电；不少于2个5口国标插座。</w:t>
            </w:r>
          </w:p>
          <w:p w14:paraId="597281D2">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电路监测：不低于5路电流电压检测；电压量程0-350V。</w:t>
            </w:r>
          </w:p>
          <w:p w14:paraId="06256EDB">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其他功能；以太网通讯功能；地图展示功能；门禁报警功能；断电检测功能；断网检测功能；防雷失效检测功能；时钟功能以及电池充电功能。</w:t>
            </w:r>
          </w:p>
          <w:p w14:paraId="57F2AA5C">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环境监测：箱体内部温湿度检测，温度量程不低于-40-+125℃，湿度量程0-100%RH。</w:t>
            </w:r>
          </w:p>
          <w:p w14:paraId="0463D21F">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断电</w:t>
            </w:r>
            <w:r>
              <w:rPr>
                <w:rFonts w:hint="eastAsia" w:ascii="Times New Roman" w:hAnsi="Times New Roman" w:eastAsia="宋体" w:cs="Times New Roman"/>
                <w:iCs/>
                <w:color w:val="auto"/>
                <w:sz w:val="24"/>
                <w:highlight w:val="none"/>
                <w:lang w:eastAsia="zh-CN"/>
              </w:rPr>
              <w:t>、</w:t>
            </w:r>
            <w:r>
              <w:rPr>
                <w:rFonts w:hint="default" w:ascii="Times New Roman" w:hAnsi="Times New Roman" w:eastAsia="宋体" w:cs="Times New Roman"/>
                <w:iCs/>
                <w:color w:val="auto"/>
                <w:sz w:val="24"/>
                <w:highlight w:val="none"/>
              </w:rPr>
              <w:t>温度</w:t>
            </w:r>
            <w:r>
              <w:rPr>
                <w:rFonts w:hint="eastAsia" w:ascii="Times New Roman" w:hAnsi="Times New Roman" w:eastAsia="宋体" w:cs="Times New Roman"/>
                <w:iCs/>
                <w:color w:val="auto"/>
                <w:sz w:val="24"/>
                <w:highlight w:val="none"/>
                <w:lang w:eastAsia="zh-CN"/>
              </w:rPr>
              <w:t>、</w:t>
            </w:r>
            <w:r>
              <w:rPr>
                <w:rFonts w:hint="default" w:ascii="Times New Roman" w:hAnsi="Times New Roman" w:eastAsia="宋体" w:cs="Times New Roman"/>
                <w:iCs/>
                <w:color w:val="auto"/>
                <w:sz w:val="24"/>
                <w:highlight w:val="none"/>
              </w:rPr>
              <w:t>网络异常：支持远程中心平台报警。</w:t>
            </w:r>
          </w:p>
          <w:p w14:paraId="0EB69B39">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温度调节：支持远程控制风扇。</w:t>
            </w:r>
          </w:p>
          <w:p w14:paraId="373C3D1B">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工作温度范围：≥-10-+70℃。</w:t>
            </w:r>
          </w:p>
          <w:p w14:paraId="369FD563">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存放温度范围：≥-20-+85℃。</w:t>
            </w:r>
          </w:p>
          <w:p w14:paraId="24AFB20B">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相对湿度范围：≥5-95%，无结露。</w:t>
            </w:r>
          </w:p>
          <w:p w14:paraId="1CFB182B">
            <w:pPr>
              <w:spacing w:line="440" w:lineRule="exact"/>
              <w:rPr>
                <w:rFonts w:hint="default" w:ascii="Times New Roman" w:hAnsi="Times New Roman" w:eastAsia="宋体" w:cs="Times New Roman"/>
                <w:iCs/>
                <w:color w:val="auto"/>
                <w:sz w:val="24"/>
                <w:highlight w:val="none"/>
              </w:rPr>
            </w:pPr>
            <w:r>
              <w:rPr>
                <w:rFonts w:hint="eastAsia" w:ascii="Times New Roman" w:hAnsi="Times New Roman" w:eastAsia="宋体" w:cs="Times New Roman"/>
                <w:i/>
                <w:iCs w:val="0"/>
                <w:color w:val="auto"/>
                <w:sz w:val="24"/>
                <w:highlight w:val="none"/>
                <w:u w:val="single"/>
                <w:lang w:val="en-US" w:eastAsia="zh-CN"/>
              </w:rPr>
              <w:t>11</w:t>
            </w:r>
            <w:r>
              <w:rPr>
                <w:rFonts w:hint="default" w:ascii="Times New Roman" w:hAnsi="Times New Roman" w:eastAsia="宋体" w:cs="Times New Roman"/>
                <w:i/>
                <w:iCs w:val="0"/>
                <w:color w:val="auto"/>
                <w:sz w:val="24"/>
                <w:highlight w:val="none"/>
                <w:u w:val="single"/>
              </w:rPr>
              <w:t>、防护等级：不低于IP55</w:t>
            </w:r>
            <w:r>
              <w:rPr>
                <w:rFonts w:hint="default" w:ascii="Times New Roman" w:hAnsi="Times New Roman" w:eastAsia="宋体" w:cs="Times New Roman"/>
                <w:iCs/>
                <w:color w:val="auto"/>
                <w:sz w:val="24"/>
                <w:highlight w:val="none"/>
              </w:rPr>
              <w:t>。</w:t>
            </w:r>
          </w:p>
          <w:p w14:paraId="2CCA31AE">
            <w:pPr>
              <w:spacing w:line="440" w:lineRule="exact"/>
              <w:rPr>
                <w:rFonts w:hint="default" w:ascii="Times New Roman" w:hAnsi="Times New Roman" w:eastAsia="宋体" w:cs="Times New Roman"/>
                <w:i/>
                <w:iCs w:val="0"/>
                <w:color w:val="auto"/>
                <w:sz w:val="24"/>
                <w:highlight w:val="none"/>
                <w:u w:val="single"/>
                <w:lang w:val="en-US" w:eastAsia="zh-CN"/>
              </w:rPr>
            </w:pPr>
            <w:r>
              <w:rPr>
                <w:rFonts w:hint="eastAsia" w:ascii="Times New Roman" w:hAnsi="Times New Roman" w:eastAsia="宋体" w:cs="Times New Roman"/>
                <w:i/>
                <w:iCs w:val="0"/>
                <w:color w:val="auto"/>
                <w:sz w:val="24"/>
                <w:highlight w:val="none"/>
                <w:u w:val="single"/>
                <w:lang w:val="en-US" w:eastAsia="zh-CN"/>
              </w:rPr>
              <w:t>12、支持无缝接入张家港现有智能箱运维管理平台，接口要求如下：</w:t>
            </w:r>
          </w:p>
          <w:p w14:paraId="5203CE3C">
            <w:pPr>
              <w:widowControl w:val="0"/>
              <w:spacing w:line="360" w:lineRule="auto"/>
              <w:ind w:left="0" w:leftChars="0" w:firstLine="0" w:firstLineChars="0"/>
              <w:jc w:val="left"/>
              <w:rPr>
                <w:rFonts w:hint="eastAsia" w:ascii="宋体" w:hAnsi="宋体" w:eastAsia="宋体" w:cs="Times New Roman"/>
                <w:color w:val="auto"/>
                <w:sz w:val="24"/>
                <w:szCs w:val="22"/>
                <w:lang w:val="en-US" w:eastAsia="zh-CN" w:bidi="ar-SA"/>
              </w:rPr>
            </w:pPr>
            <w:r>
              <w:rPr>
                <w:rFonts w:hint="eastAsia" w:ascii="宋体" w:hAnsi="宋体" w:eastAsia="宋体" w:cs="Times New Roman"/>
                <w:color w:val="auto"/>
                <w:sz w:val="24"/>
                <w:szCs w:val="22"/>
                <w:lang w:val="en-US" w:eastAsia="zh-CN" w:bidi="ar-SA"/>
              </w:rPr>
              <w:t>1）数据接口基于SNMP标准协议，符合RFC1901- RFC1908；</w:t>
            </w:r>
          </w:p>
          <w:p w14:paraId="672297B3">
            <w:pPr>
              <w:widowControl w:val="0"/>
              <w:spacing w:line="360" w:lineRule="auto"/>
              <w:ind w:left="0" w:leftChars="0" w:firstLine="0" w:firstLineChars="0"/>
              <w:jc w:val="left"/>
              <w:rPr>
                <w:rFonts w:ascii="宋体" w:hAnsi="宋体" w:eastAsia="宋体" w:cs="Times New Roman"/>
                <w:color w:val="auto"/>
                <w:sz w:val="24"/>
                <w:szCs w:val="22"/>
                <w:lang w:val="en-US" w:eastAsia="zh-CN" w:bidi="ar-SA"/>
              </w:rPr>
            </w:pPr>
            <w:r>
              <w:rPr>
                <w:rFonts w:hint="eastAsia" w:ascii="宋体" w:hAnsi="宋体" w:eastAsia="宋体" w:cs="Times New Roman"/>
                <w:color w:val="auto"/>
                <w:sz w:val="24"/>
                <w:szCs w:val="22"/>
                <w:lang w:val="en-US" w:eastAsia="zh-CN" w:bidi="ar-SA"/>
              </w:rPr>
              <w:t>2）以太网口应使用TCP/IP协议，TCP协议应符合RFC0793，IP协议应符合RFC0791</w:t>
            </w:r>
          </w:p>
        </w:tc>
      </w:tr>
      <w:tr w14:paraId="504EF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61EAB74">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2894AFD">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926EBE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4.5.</w:t>
            </w:r>
            <w:r>
              <w:rPr>
                <w:rFonts w:hint="eastAsia" w:ascii="Times New Roman" w:hAnsi="Times New Roman" w:eastAsia="宋体" w:cs="Times New Roman"/>
                <w:iCs/>
                <w:color w:val="auto"/>
                <w:sz w:val="24"/>
                <w:szCs w:val="24"/>
                <w:highlight w:val="none"/>
                <w:lang w:val="en-US" w:eastAsia="zh-CN" w:bidi="ar-SA"/>
              </w:rPr>
              <w:t>7</w:t>
            </w:r>
            <w:r>
              <w:rPr>
                <w:rFonts w:ascii="Times New Roman" w:hAnsi="Times New Roman" w:eastAsia="宋体" w:cs="Times New Roman"/>
                <w:iCs/>
                <w:color w:val="auto"/>
                <w:sz w:val="24"/>
                <w:szCs w:val="24"/>
                <w:highlight w:val="none"/>
                <w:lang w:val="en-US" w:eastAsia="zh-CN" w:bidi="ar-SA"/>
              </w:rPr>
              <w:t>接入接口要求</w:t>
            </w:r>
          </w:p>
          <w:p w14:paraId="6DE32993">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1、接口形式符合GA/T484-2010中5.7的要求。</w:t>
            </w:r>
          </w:p>
          <w:p w14:paraId="186DD4B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2、RS-232C数据终端设备接口默认数据传输比特率为115200bit/s。</w:t>
            </w:r>
          </w:p>
          <w:p w14:paraId="5932CC5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
                <w:iCs/>
                <w:color w:val="auto"/>
                <w:sz w:val="24"/>
                <w:szCs w:val="24"/>
                <w:highlight w:val="none"/>
                <w:u w:val="single"/>
                <w:lang w:val="en-US" w:eastAsia="zh-CN" w:bidi="ar-SA"/>
              </w:rPr>
              <w:t>3、以太网口应使用TCP/IP协议，TCP协议应符合RFC0793，IP协议应符合RFC0791。</w:t>
            </w:r>
          </w:p>
        </w:tc>
      </w:tr>
      <w:tr w14:paraId="66A44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F6EAD93">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657289E">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1B67E0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4.6 违停抓拍系统技术要求</w:t>
            </w:r>
          </w:p>
        </w:tc>
      </w:tr>
      <w:tr w14:paraId="5BAD6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EB86DFB">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AFDD6BA">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E6A94C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4.6.1 </w:t>
            </w:r>
            <w:r>
              <w:rPr>
                <w:rFonts w:ascii="Times New Roman" w:hAnsi="Times New Roman" w:eastAsia="宋体" w:cs="Times New Roman"/>
                <w:color w:val="auto"/>
                <w:sz w:val="24"/>
                <w:szCs w:val="24"/>
                <w:highlight w:val="none"/>
                <w:lang w:val="en-US" w:eastAsia="zh-CN" w:bidi="ar-SA"/>
              </w:rPr>
              <w:t>违停抓拍球型摄像机</w:t>
            </w:r>
          </w:p>
          <w:p w14:paraId="6C294C43">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1、采用</w:t>
            </w:r>
            <w:r>
              <w:rPr>
                <w:rFonts w:hint="eastAsia" w:ascii="Times New Roman" w:hAnsi="Times New Roman" w:eastAsia="宋体" w:cs="Times New Roman"/>
                <w:iCs/>
                <w:color w:val="auto"/>
                <w:sz w:val="24"/>
                <w:highlight w:val="none"/>
                <w:lang w:eastAsia="zh-CN"/>
              </w:rPr>
              <w:t>不低于</w:t>
            </w:r>
            <w:r>
              <w:rPr>
                <w:rFonts w:hint="default" w:ascii="Times New Roman" w:hAnsi="Times New Roman" w:eastAsia="宋体" w:cs="Times New Roman"/>
                <w:iCs/>
                <w:color w:val="auto"/>
                <w:sz w:val="24"/>
                <w:highlight w:val="none"/>
              </w:rPr>
              <w:t>400万像素1/1.8英寸CMOS 传感器，分辨率</w:t>
            </w:r>
            <w:r>
              <w:rPr>
                <w:rFonts w:hint="eastAsia" w:ascii="Times New Roman" w:hAnsi="Times New Roman" w:eastAsia="宋体" w:cs="Times New Roman"/>
                <w:iCs/>
                <w:color w:val="auto"/>
                <w:sz w:val="24"/>
                <w:highlight w:val="none"/>
                <w:lang w:eastAsia="zh-CN"/>
              </w:rPr>
              <w:t>不低于</w:t>
            </w:r>
            <w:r>
              <w:rPr>
                <w:rFonts w:hint="default" w:ascii="Times New Roman" w:hAnsi="Times New Roman" w:eastAsia="宋体" w:cs="Times New Roman"/>
                <w:iCs/>
                <w:color w:val="auto"/>
                <w:sz w:val="24"/>
                <w:highlight w:val="none"/>
              </w:rPr>
              <w:t>2688×1520、帧率30fps、码率</w:t>
            </w:r>
            <w:r>
              <w:rPr>
                <w:rFonts w:hint="eastAsia" w:ascii="Times New Roman" w:hAnsi="Times New Roman" w:eastAsia="宋体" w:cs="Times New Roman"/>
                <w:iCs/>
                <w:color w:val="auto"/>
                <w:sz w:val="24"/>
                <w:highlight w:val="none"/>
                <w:lang w:eastAsia="zh-CN"/>
              </w:rPr>
              <w:t>可</w:t>
            </w:r>
            <w:r>
              <w:rPr>
                <w:rFonts w:hint="default" w:ascii="Times New Roman" w:hAnsi="Times New Roman" w:eastAsia="宋体" w:cs="Times New Roman"/>
                <w:iCs/>
                <w:color w:val="auto"/>
                <w:sz w:val="24"/>
                <w:highlight w:val="none"/>
              </w:rPr>
              <w:t>设置为4Mbps、RJ45输出，水平中心分辨率不小于1500TVL</w:t>
            </w:r>
          </w:p>
          <w:p w14:paraId="23197000">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iCs/>
                <w:color w:val="auto"/>
                <w:sz w:val="24"/>
                <w:highlight w:val="none"/>
              </w:rPr>
              <w:t>支持不低于33倍光学变倍，16倍数字变倍。</w:t>
            </w:r>
          </w:p>
          <w:p w14:paraId="5092C212">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2、最低照度满足：彩色≤0.0002Lux，黑白≤0.0001Lux。</w:t>
            </w:r>
          </w:p>
          <w:p w14:paraId="5680FF81">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3、内置</w:t>
            </w:r>
            <w:r>
              <w:rPr>
                <w:rFonts w:hint="eastAsia" w:ascii="Times New Roman" w:hAnsi="Times New Roman" w:eastAsia="宋体" w:cs="Times New Roman"/>
                <w:iCs/>
                <w:color w:val="auto"/>
                <w:sz w:val="24"/>
                <w:highlight w:val="none"/>
                <w:lang w:eastAsia="zh-CN"/>
              </w:rPr>
              <w:t>不低于</w:t>
            </w:r>
            <w:r>
              <w:rPr>
                <w:rFonts w:hint="default" w:ascii="Times New Roman" w:hAnsi="Times New Roman" w:eastAsia="宋体" w:cs="Times New Roman"/>
                <w:iCs/>
                <w:color w:val="auto"/>
                <w:sz w:val="24"/>
                <w:highlight w:val="none"/>
              </w:rPr>
              <w:t>250米红外灯补光，采用倍率与红外灯功率匹配算法。</w:t>
            </w:r>
          </w:p>
          <w:p w14:paraId="72F69E13">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eastAsia" w:ascii="Times New Roman" w:hAnsi="Times New Roman" w:eastAsia="宋体" w:cs="Times New Roman"/>
                <w:iCs/>
                <w:color w:val="auto"/>
                <w:sz w:val="24"/>
                <w:highlight w:val="none"/>
                <w:lang w:val="en-US" w:eastAsia="zh-CN"/>
              </w:rPr>
              <w:t>4</w:t>
            </w:r>
            <w:r>
              <w:rPr>
                <w:rFonts w:hint="default" w:ascii="Times New Roman" w:hAnsi="Times New Roman" w:eastAsia="宋体" w:cs="Times New Roman"/>
                <w:iCs/>
                <w:color w:val="auto"/>
                <w:sz w:val="24"/>
                <w:highlight w:val="none"/>
              </w:rPr>
              <w:t>、支持水平方向360°连续旋转，垂直方向-30°～90°，自动翻转180°后连续监视,无监视盲区。</w:t>
            </w:r>
          </w:p>
          <w:p w14:paraId="4DD3BEEE">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eastAsia" w:ascii="Times New Roman" w:hAnsi="Times New Roman" w:eastAsia="宋体" w:cs="Times New Roman"/>
                <w:iCs/>
                <w:color w:val="auto"/>
                <w:sz w:val="24"/>
                <w:highlight w:val="none"/>
                <w:lang w:val="en-US" w:eastAsia="zh-CN"/>
              </w:rPr>
              <w:t>5</w:t>
            </w:r>
            <w:r>
              <w:rPr>
                <w:rFonts w:hint="default" w:ascii="Times New Roman" w:hAnsi="Times New Roman" w:eastAsia="宋体" w:cs="Times New Roman"/>
                <w:iCs/>
                <w:color w:val="auto"/>
                <w:sz w:val="24"/>
                <w:highlight w:val="none"/>
              </w:rPr>
              <w:t>、可变倍抓拍远景、近景、中景、车牌特写。</w:t>
            </w:r>
          </w:p>
          <w:p w14:paraId="3363377D">
            <w:pPr>
              <w:spacing w:line="440" w:lineRule="exact"/>
              <w:rPr>
                <w:rFonts w:hint="default" w:ascii="Times New Roman" w:hAnsi="Times New Roman" w:eastAsia="宋体" w:cs="Times New Roman"/>
                <w:iCs/>
                <w:color w:val="auto"/>
                <w:sz w:val="24"/>
                <w:highlight w:val="none"/>
              </w:rPr>
            </w:pPr>
            <w:r>
              <w:rPr>
                <w:rFonts w:hint="default" w:ascii="Times New Roman" w:hAnsi="Times New Roman" w:eastAsia="宋体" w:cs="Times New Roman"/>
                <w:color w:val="auto"/>
                <w:highlight w:val="none"/>
              </w:rPr>
              <w:t>◆</w:t>
            </w:r>
            <w:r>
              <w:rPr>
                <w:rFonts w:hint="eastAsia" w:ascii="Times New Roman" w:hAnsi="Times New Roman" w:eastAsia="宋体" w:cs="Times New Roman"/>
                <w:iCs/>
                <w:color w:val="auto"/>
                <w:sz w:val="24"/>
                <w:highlight w:val="none"/>
                <w:lang w:val="en-US" w:eastAsia="zh-CN"/>
              </w:rPr>
              <w:t>6</w:t>
            </w:r>
            <w:r>
              <w:rPr>
                <w:rFonts w:hint="default" w:ascii="Times New Roman" w:hAnsi="Times New Roman" w:eastAsia="宋体" w:cs="Times New Roman"/>
                <w:iCs/>
                <w:color w:val="auto"/>
                <w:sz w:val="24"/>
                <w:highlight w:val="none"/>
              </w:rPr>
              <w:t>、支持自动和手动取证两种模式;开启自动取证功能后，可自动识别出监视画面中央机动车辆的车牌信息并生成相应的违法图片;开启手动取证功能后，可通过鼠标点击和框选选中机动车辆，跟踪车辆使车辆处于监视画面中央或键盘操作样机转动使车辆处于监视画面中央，识别出目标车辆车牌信息并生成相应的违法图片。</w:t>
            </w:r>
          </w:p>
          <w:p w14:paraId="4F3AEFC9">
            <w:pPr>
              <w:spacing w:line="440" w:lineRule="exact"/>
              <w:rPr>
                <w:rFonts w:hint="default" w:ascii="Times New Roman" w:hAnsi="Times New Roman" w:eastAsia="宋体" w:cs="Times New Roman"/>
                <w:i/>
                <w:iCs w:val="0"/>
                <w:color w:val="auto"/>
                <w:sz w:val="24"/>
                <w:highlight w:val="none"/>
                <w:u w:val="single"/>
              </w:rPr>
            </w:pPr>
            <w:r>
              <w:rPr>
                <w:rFonts w:hint="eastAsia" w:ascii="Times New Roman" w:hAnsi="Times New Roman" w:eastAsia="宋体" w:cs="Times New Roman"/>
                <w:i/>
                <w:iCs w:val="0"/>
                <w:color w:val="auto"/>
                <w:sz w:val="24"/>
                <w:highlight w:val="none"/>
                <w:u w:val="single"/>
                <w:lang w:val="en-US" w:eastAsia="zh-CN"/>
              </w:rPr>
              <w:t>7</w:t>
            </w:r>
            <w:r>
              <w:rPr>
                <w:rFonts w:hint="default" w:ascii="Times New Roman" w:hAnsi="Times New Roman" w:eastAsia="宋体" w:cs="Times New Roman"/>
                <w:i/>
                <w:iCs w:val="0"/>
                <w:color w:val="auto"/>
                <w:sz w:val="24"/>
                <w:highlight w:val="none"/>
                <w:u w:val="single"/>
              </w:rPr>
              <w:t>、支持1400协议，支持GB35114安全加密，支持GB28181-2022协议。</w:t>
            </w:r>
          </w:p>
          <w:p w14:paraId="3D86FC79">
            <w:pPr>
              <w:spacing w:line="440" w:lineRule="exact"/>
              <w:rPr>
                <w:rFonts w:hint="default" w:eastAsia="宋体" w:cs="Times New Roman"/>
                <w:iCs/>
                <w:color w:val="auto"/>
                <w:highlight w:val="none"/>
              </w:rPr>
            </w:pPr>
            <w:r>
              <w:rPr>
                <w:rFonts w:hint="eastAsia" w:ascii="Times New Roman" w:hAnsi="Times New Roman" w:eastAsia="宋体" w:cs="Times New Roman"/>
                <w:i/>
                <w:iCs w:val="0"/>
                <w:color w:val="auto"/>
                <w:sz w:val="24"/>
                <w:highlight w:val="none"/>
                <w:u w:val="single"/>
                <w:lang w:val="en-US" w:eastAsia="zh-CN"/>
              </w:rPr>
              <w:t>8</w:t>
            </w:r>
            <w:r>
              <w:rPr>
                <w:rFonts w:hint="default" w:ascii="Times New Roman" w:hAnsi="Times New Roman" w:eastAsia="宋体" w:cs="Times New Roman"/>
                <w:i/>
                <w:iCs w:val="0"/>
                <w:color w:val="auto"/>
                <w:sz w:val="24"/>
                <w:highlight w:val="none"/>
                <w:u w:val="single"/>
              </w:rPr>
              <w:t>、不低于IP67防护等级，6000V防雷、防浪涌和防突波保护。</w:t>
            </w:r>
          </w:p>
        </w:tc>
      </w:tr>
      <w:tr w14:paraId="7B732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B820C15">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041AE88">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9B9592A">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4.6.2 智能抱杆箱</w:t>
            </w:r>
          </w:p>
          <w:p w14:paraId="24C64DC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同4.2.4。</w:t>
            </w:r>
          </w:p>
        </w:tc>
      </w:tr>
      <w:tr w14:paraId="70FC4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59667E0">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4D5E9D1">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B68B69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4.7 实景指挥系统技术要求</w:t>
            </w:r>
          </w:p>
        </w:tc>
      </w:tr>
      <w:tr w14:paraId="5A5C4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8CB5A6B">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24B8DF5">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47613A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4.7.1 实景指挥系统功能要求</w:t>
            </w:r>
          </w:p>
          <w:p w14:paraId="07497B1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标签分类：实景指挥系统通过在全景画面中添加虚拟标签的方式进行相关数据的关联。按照类型标签可分为定点标签、矢量标签、区域标签，定点标签主要针对关注的点进行标注，比如全景视频场景中的监控点、卡口抓拍点、人脸抓拍点、建筑物信息等；矢量标签主要应用于带有明显方向特征的场景，比如十字路口每个方向，进出城卡口等；区域标签则主要关注重点管控区域、重点关注区域等。可根据不同种类的标签对标签实现分层管理，可选择不同的图层以控制全景画面中不同标签的显示。、</w:t>
            </w:r>
            <w:r>
              <w:rPr>
                <w:rFonts w:hint="eastAsia" w:ascii="Times New Roman" w:hAnsi="Times New Roman" w:eastAsia="宋体" w:cs="Times New Roman"/>
                <w:color w:val="auto"/>
                <w:sz w:val="24"/>
                <w:szCs w:val="24"/>
                <w:highlight w:val="none"/>
                <w:lang w:val="en-US" w:eastAsia="zh-CN" w:bidi="ar-SA"/>
              </w:rPr>
              <w:t>2、</w:t>
            </w:r>
            <w:r>
              <w:rPr>
                <w:rFonts w:ascii="Times New Roman" w:hAnsi="Times New Roman" w:eastAsia="宋体" w:cs="Times New Roman"/>
                <w:color w:val="auto"/>
                <w:sz w:val="24"/>
                <w:szCs w:val="24"/>
                <w:highlight w:val="none"/>
                <w:lang w:val="en-US" w:eastAsia="zh-CN" w:bidi="ar-SA"/>
              </w:rPr>
              <w:t>多图层分层展现：实景指挥系统接入资源逐渐增多，关注目标，标签信息量越来越大，为提升防控监测效率，对目标进行图层分层展现，比如按重要性分层，按类型数据（卡口、路口、警员、商场、客流、执勤岗亭、人脸抓拍等）分层，系统会根据选择的分层结果呈现对应类型的标签数据。例如，人流密集监控点可设置只显示人脸，人流分析等类型标签，将人脸分析，人流分析的结果突出显示。车辆缉查时可设置只显示卡口抓拍，将卡口抓拍图片、车辆车牌、车型等信息，在全景实时视频画面画中画展示图层标签，并可查看标签中详细信息。</w:t>
            </w:r>
          </w:p>
          <w:p w14:paraId="7F25E3A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全景视频实时预览：系统前端采用云台等设备，可实现180°场景覆盖监控，指挥中心人员通过实景指挥系统，即可实现交通重点区域的全景监控，同时设备支持多倍变倍以及云台转动，掌控全局的同时兼顾细节。</w:t>
            </w:r>
          </w:p>
          <w:p w14:paraId="18D896C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全景视频联动联控：实景指挥系统支持根据标签随时调阅、查看任一路视频，并能够以画中画方式弹出视场中关联视频、图片、文字内容等信息。不同的全景视频间能够互相切换、查询、搜索，通过联动低点监控资源，可实现联网布控、联动指挥，引领全新的视频联动、查缉布控、指挥调度模式。</w:t>
            </w:r>
          </w:p>
          <w:p w14:paraId="1E92F31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5、标签自定义标注：标签内容多形式展现，自定义管理。针对指定的标签，可关联多种数据，如监控点、图片、文字、链接等信息，满足用户信息集中的需求。</w:t>
            </w:r>
          </w:p>
          <w:p w14:paraId="6367097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6、标签数据动态呈现：实景指挥系统支持呈现对应标签的实时数据。例如人脸识别标签，可以实时显示识别图片，或者布控抓拍结果图片，清晰、直观以画中画方式展现识别抓拍结果。</w:t>
            </w:r>
          </w:p>
          <w:p w14:paraId="1458732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布控报警可视化管理：在集成指挥平台中对车辆进行布控，一旦布控目标在布控报警区域中出现，布控报警区域自动发出报警提示，同时，以画中画的方式自动弹出监测设备抓拍的布控目标，并显示布控目标的相关信息，如布控车辆的车辆图片，车牌号、车身颜色、车型等数据，实现布控报警可视化管理。在实景画面中可利用鹰眼设备自带的云台摄像机对布控车辆进行实时跟踪并调度相关警力进行拦截。通过实景画面的实时跟踪，可实时掌握布控车辆的行驶方向，大大提高拦截成功率。</w:t>
            </w:r>
          </w:p>
          <w:p w14:paraId="5574EF8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8、报警数据实时展示：可以针对布控的人群，车辆，监控对象异常事件等产生实时告警，准确定位告警发生时间，地点，并在实景指挥系统中自动弹出告警提示，告警区域视频或抓拍图片等信息以画中画方式在全景视频中自动显示。标签产生的报警会以列表的形式展示出来，也可以隐藏，作为报警数量在标签上面进行展示。</w:t>
            </w:r>
          </w:p>
          <w:p w14:paraId="55A6606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9、相机可视域动态展示：支持展示低点相机的可视域信息，从实景画面中即可直观看到对应相机的监控方向和范围。</w:t>
            </w:r>
          </w:p>
          <w:p w14:paraId="4BED7FB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10、GIS地图联合联动：平台支持导入百度、谷歌等离线地图，也支持导入超高分地图。支持配合GIS地图进行联合联动，GIS地图可显示鹰眼、云台设备安装的实际位置，并显示对应设备的全景覆盖范围，点击对应标记即可跳转至对应的相机监控场景。GIS地图与实景指挥系统的结合，可实现科学部建，建设一张覆盖全城的云图立体防控网络。</w:t>
            </w:r>
          </w:p>
          <w:p w14:paraId="4DC1383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11、场景自动巡逻：平台支持多个场景巡逻功能，可以设置场景按照一定的时间间隔进行循环巡逻，默认时间为20秒巡逻一次。点击对应开启按钮开启巡逻，再次点击关闭巡逻。</w:t>
            </w:r>
          </w:p>
          <w:p w14:paraId="41C0813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12、视频联动预案：可以根据实际场景需要，配置对应的视频巡逻预案，通过制定预案，可在预定的时间自动打开对应预案执行，减少操作人员频繁的视频操作，提供视频巡逻效率。可以根据关注点的不同，对视频显示画面进行画面布局。系统支持一键启动相关预案，启动预案后，系统会自动根据预案之前的设定进行视频巡逻。</w:t>
            </w:r>
          </w:p>
          <w:p w14:paraId="2B7BEEB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13、标签自动同步功能：平台支持在使用鹰眼设备时，在全景相机上面添加的虚拟数字标签可以自动同步至云台相机画面中。通过坐标系转换技术，可以实现全景相机中的坐标标签同步到球机中后依旧保持精准的坐标位置。</w:t>
            </w:r>
          </w:p>
          <w:p w14:paraId="3FE7A51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14、场景高高联动功能：平台支持在某个场景画面中添加边界信息，在不同监控范围提供相邻的云台点位信息。指挥中心人员可直接在当前场景画面中点击相邻的场景标签进行云台转换。如果视频标签关联的是高点相机，在其左上角会标识为场景，点击对应的标签即可实现跳转。</w:t>
            </w:r>
          </w:p>
          <w:p w14:paraId="3FE0A69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15、场景低高联动功能：当前端场景为云台场景时，平台接收到卡口的布控报警信息时，会自动联动高空的云台相机进行云台转动和聚焦变倍操作，使其转动到对应的报警卡口标签，并在云台的预览窗口中居中高亮显示报警卡口标签，便于指挥中心人员及时发现和处理。</w:t>
            </w:r>
          </w:p>
          <w:p w14:paraId="4B2F566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16、键盘控制功能：可使用USB键盘、网络键盘等方式实现实景指挥系统的灵活控制。可通过键盘控制场景的切换，可通过键盘控制场景内的云台相机。更加方便了指挥中心人员的操作。</w:t>
            </w:r>
          </w:p>
          <w:p w14:paraId="27BD1A2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17、标签回放功能：系统支持对场景录像进行存储与回放。回放场景录像的同时，回放画面也会携带标签信息，点击对应的标签信息，会同步回放对应时间内低点资源的录像。通过标签回放，可方便操作人员针对某类时间的录像追溯，使得视频回放追溯更加有效率。</w:t>
            </w:r>
          </w:p>
          <w:p w14:paraId="1532543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18、目标跟踪功能：鹰眼可以自动检测画面中的运动车辆，操作人员可选择对应的运动车辆，选择后，云台相机会持续跟踪对应的车辆。通过目标跟踪功能，可实现重点车辆的接力跟踪。如果特勤路线下的特勤车辆跟踪、特种车辆的跟踪等。</w:t>
            </w:r>
          </w:p>
          <w:p w14:paraId="2DFFABC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19、卡口标签综合管控：实景指挥系统的卡口标签可以关联实时抓拍数据、实时视频预览数据以及自动计算卡口当前流量数据。同时点击对应的卡口标签，还可关联车辆查询、违法查询、轨迹查询。</w:t>
            </w:r>
          </w:p>
          <w:p w14:paraId="390A4E8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20、移动设备标签展示功能：实景指挥系统支持接入移动端设备（车载、单兵、执法记录仪等），移动端设备上报GPS信息，系统会自动进行GPS信息与视频坐标信息的转换。从而将移动设备在全景视频画面中以标签的形式展示出来。而且标签会随着移动设备的移动而移动，点击移动标签，可以打开对应移动设备关联的视频以及相关信息。</w:t>
            </w:r>
          </w:p>
        </w:tc>
      </w:tr>
      <w:tr w14:paraId="4866F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E65882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2C1A6BB">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D47E04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4.7.2 </w:t>
            </w:r>
            <w:r>
              <w:rPr>
                <w:rFonts w:ascii="Times New Roman" w:hAnsi="Times New Roman" w:eastAsia="宋体" w:cs="Times New Roman"/>
                <w:color w:val="auto"/>
                <w:sz w:val="24"/>
                <w:szCs w:val="24"/>
                <w:highlight w:val="none"/>
                <w:lang w:val="en-US" w:eastAsia="zh-CN" w:bidi="ar-SA"/>
              </w:rPr>
              <w:t>180°全景网络高清摄像机</w:t>
            </w:r>
          </w:p>
          <w:p w14:paraId="1647D94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◆1、采用超星光超低照度4个</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400万像素1/1.8靶面CMOS图像传感器；球机采用超星光超低照度</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400万像素1/1.8靶面CMOS图像传感器，内置</w:t>
            </w:r>
            <w:r>
              <w:rPr>
                <w:rFonts w:hint="eastAsia" w:ascii="Times New Roman" w:hAnsi="Times New Roman" w:eastAsia="宋体" w:cs="Times New Roman"/>
                <w:color w:val="auto"/>
                <w:sz w:val="24"/>
                <w:szCs w:val="24"/>
                <w:highlight w:val="none"/>
                <w:lang w:val="en-US" w:eastAsia="zh-CN" w:bidi="ar-SA"/>
              </w:rPr>
              <w:t>不少于</w:t>
            </w:r>
            <w:r>
              <w:rPr>
                <w:rFonts w:ascii="Times New Roman" w:hAnsi="Times New Roman" w:eastAsia="宋体" w:cs="Times New Roman"/>
                <w:color w:val="auto"/>
                <w:sz w:val="24"/>
                <w:szCs w:val="24"/>
                <w:highlight w:val="none"/>
                <w:lang w:val="en-US" w:eastAsia="zh-CN" w:bidi="ar-SA"/>
              </w:rPr>
              <w:t>2个GPU芯片，最大分辨率</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5520×2700；辅视频抓拍图片最大分辨率</w:t>
            </w:r>
            <w:r>
              <w:rPr>
                <w:rFonts w:hint="eastAsia" w:ascii="Times New Roman" w:hAnsi="Times New Roman" w:eastAsia="宋体" w:cs="Times New Roman"/>
                <w:color w:val="auto"/>
                <w:sz w:val="24"/>
                <w:szCs w:val="24"/>
                <w:highlight w:val="none"/>
                <w:lang w:val="en-US" w:eastAsia="zh-CN" w:bidi="ar-SA"/>
              </w:rPr>
              <w:t>不低于</w:t>
            </w:r>
            <w:r>
              <w:rPr>
                <w:rFonts w:ascii="Times New Roman" w:hAnsi="Times New Roman" w:eastAsia="宋体" w:cs="Times New Roman"/>
                <w:color w:val="auto"/>
                <w:sz w:val="24"/>
                <w:szCs w:val="24"/>
                <w:highlight w:val="none"/>
                <w:lang w:val="en-US" w:eastAsia="zh-CN" w:bidi="ar-SA"/>
              </w:rPr>
              <w:t>2560×1440。</w:t>
            </w:r>
          </w:p>
          <w:p w14:paraId="5920053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最低照度满足：彩色：≤0.0002lx ；黑白：≤0.0001lx。</w:t>
            </w:r>
          </w:p>
          <w:p w14:paraId="7DFD0DB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2、</w:t>
            </w:r>
            <w:r>
              <w:rPr>
                <w:rFonts w:ascii="Times New Roman" w:hAnsi="Times New Roman" w:eastAsia="宋体" w:cs="Times New Roman"/>
                <w:color w:val="auto"/>
                <w:sz w:val="24"/>
                <w:szCs w:val="24"/>
                <w:highlight w:val="none"/>
                <w:lang w:val="en-US" w:eastAsia="zh-CN" w:bidi="ar-SA"/>
              </w:rPr>
              <w:t>主视频图像（拼接后）水平视场角不小于180°，垂直视场角不小于110°，辅视频画面支持垂直-35°～90°自动翻转，支持水平360°连续旋转，支持水平手控最大速度不小于900°/s，水平手控最小速度不大于0.01°/s。</w:t>
            </w:r>
          </w:p>
          <w:p w14:paraId="1ED68DB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支持最多同时开启30个视频窗口进行画面浏览。</w:t>
            </w:r>
          </w:p>
          <w:p w14:paraId="2483301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3</w:t>
            </w:r>
            <w:r>
              <w:rPr>
                <w:rFonts w:ascii="Times New Roman" w:hAnsi="Times New Roman" w:eastAsia="宋体" w:cs="Times New Roman"/>
                <w:color w:val="auto"/>
                <w:sz w:val="24"/>
                <w:szCs w:val="24"/>
                <w:highlight w:val="none"/>
                <w:lang w:val="en-US" w:eastAsia="zh-CN" w:bidi="ar-SA"/>
              </w:rPr>
              <w:t>、自带防水透气膜，内部水气可通过防水透气膜排出，外部的水气无法进入；具有智能风控除雾功能，可自动去除内部水状和雾状附着物。</w:t>
            </w:r>
          </w:p>
          <w:p w14:paraId="547542F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4</w:t>
            </w:r>
            <w:r>
              <w:rPr>
                <w:rFonts w:ascii="Times New Roman" w:hAnsi="Times New Roman" w:eastAsia="宋体" w:cs="Times New Roman"/>
                <w:color w:val="auto"/>
                <w:sz w:val="24"/>
                <w:szCs w:val="24"/>
                <w:highlight w:val="none"/>
                <w:lang w:val="en-US" w:eastAsia="zh-CN" w:bidi="ar-SA"/>
              </w:rPr>
              <w:t>、支持自动跟踪、手动跟踪及混合跟踪功能，可对设定区域内的运动目标在设定时间内持续跟踪，可自动调节变倍，可对该目标抓拍图片并可手动切换跟踪目标；在自动跟踪模式下，智能球型摄像机每分钟可对最多80个跟踪目标进行抓拍。</w:t>
            </w:r>
          </w:p>
          <w:p w14:paraId="7FEF48F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5</w:t>
            </w:r>
            <w:r>
              <w:rPr>
                <w:rFonts w:ascii="Times New Roman" w:hAnsi="Times New Roman" w:eastAsia="宋体" w:cs="Times New Roman"/>
                <w:color w:val="auto"/>
                <w:sz w:val="24"/>
                <w:szCs w:val="24"/>
                <w:highlight w:val="none"/>
                <w:lang w:val="en-US" w:eastAsia="zh-CN" w:bidi="ar-SA"/>
              </w:rPr>
              <w:t>、支持在预览画面添加定点标签、区域标签、矢量表标签以及方向标签，当点击相应标签时，可在当前预览画面中联动弹出关联预览画面。</w:t>
            </w:r>
          </w:p>
          <w:p w14:paraId="333BE119">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6</w:t>
            </w:r>
            <w:r>
              <w:rPr>
                <w:rFonts w:ascii="Times New Roman" w:hAnsi="Times New Roman" w:eastAsia="宋体" w:cs="Times New Roman"/>
                <w:i/>
                <w:iCs/>
                <w:color w:val="auto"/>
                <w:sz w:val="24"/>
                <w:szCs w:val="24"/>
                <w:highlight w:val="none"/>
                <w:u w:val="single"/>
                <w:lang w:val="en-US" w:eastAsia="zh-CN" w:bidi="ar-SA"/>
              </w:rPr>
              <w:t>、支持GB35114安全加密，支持GB28181-2022协议。</w:t>
            </w:r>
          </w:p>
        </w:tc>
      </w:tr>
      <w:tr w14:paraId="39EB0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8795E5B">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E624E6F">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627D767">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4.7.3 智能抱杆箱</w:t>
            </w:r>
          </w:p>
          <w:p w14:paraId="155D350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同4.2.4。</w:t>
            </w:r>
          </w:p>
        </w:tc>
      </w:tr>
      <w:tr w14:paraId="142EF6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66F8531">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087BB30">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27B5F5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 </w:t>
            </w:r>
            <w:r>
              <w:rPr>
                <w:rFonts w:ascii="Times New Roman" w:hAnsi="Times New Roman" w:eastAsia="宋体" w:cs="Times New Roman"/>
                <w:b/>
                <w:color w:val="auto"/>
                <w:sz w:val="24"/>
                <w:szCs w:val="24"/>
                <w:highlight w:val="none"/>
                <w:lang w:val="en-US" w:eastAsia="zh-CN" w:bidi="ar-SA"/>
              </w:rPr>
              <w:t>上下匝道抓拍系统技术要求</w:t>
            </w:r>
          </w:p>
        </w:tc>
      </w:tr>
      <w:tr w14:paraId="0A49B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CEA81C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3E688EF">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BAABF01">
            <w:pPr>
              <w:spacing w:line="440" w:lineRule="exact"/>
              <w:rPr>
                <w:rFonts w:ascii="Times New Roman" w:hAnsi="Times New Roman" w:eastAsia="宋体" w:cs="Times New Roman"/>
                <w:b/>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4.8.1 </w:t>
            </w:r>
            <w:r>
              <w:rPr>
                <w:rFonts w:ascii="Times New Roman" w:hAnsi="Times New Roman" w:eastAsia="宋体" w:cs="Times New Roman"/>
                <w:b/>
                <w:color w:val="auto"/>
                <w:sz w:val="24"/>
                <w:szCs w:val="24"/>
                <w:highlight w:val="none"/>
                <w:lang w:val="en-US" w:eastAsia="zh-CN" w:bidi="ar-SA"/>
              </w:rPr>
              <w:t>上下匝道抓拍系统功能要求</w:t>
            </w:r>
          </w:p>
          <w:p w14:paraId="7E61556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1、数据采集功能：对经过每个断面的车辆进行图像抓拍、号牌识别、车速检测等车辆信息的采集，形成子系统原始数据，包括断面代码、车道序号、经过断面时间、车速、号牌号码、号牌颜色、号牌图片等。</w:t>
            </w:r>
          </w:p>
          <w:p w14:paraId="034048C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2、数据处理功能：对子系统原始数据进行处理，生成：图片ID、车辆属地、断面流量、行程时间等信息，并可进行黑名单对比。</w:t>
            </w:r>
          </w:p>
          <w:p w14:paraId="545FDBC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3、设备运行状态采集功能：子系统可采集以下信息：有无视频信号、机箱门开关、机箱内温度预警、传输设备参数、检测线圈故障等。</w:t>
            </w:r>
          </w:p>
          <w:p w14:paraId="66FB1BBA">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统一布控报警功能：子系统可与公安网车辆系统等公安业务系统进行联网，对各种被盗抢车辆和交通肇事逃逸车辆或其他黑名单车辆进行实时监测报警、统一指挥布控、拦截等。当通过车辆与用户预先输入的被盗抢车辆或交通肇事逃逸等车辆的牌照号码及车型等信息特征相符合时，子系统在控制挥中心可以立即以声音进行报警，提醒值班人员有可疑车辆通过。</w:t>
            </w:r>
          </w:p>
          <w:p w14:paraId="64E557C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5、行车轨迹跟踪功能:对刑侦、经侦、禁毒业务部门比较关心嫌疑车的运行轨迹和出没规律，子系统有相应的行车轨迹分析功能。指定特定嫌疑车辆，可以跟踪实时行车轨迹和对历史图像进行回放。</w:t>
            </w:r>
          </w:p>
          <w:p w14:paraId="1E41FA8A">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6、跟车关联性分析功能：针对嫌疑车辆可能会结队出行的特点，在刑侦等业务应用时，确定特定嫌疑车辆后，通过数据挖掘的方式分析其通过多个监测点时相邻的车辆号牌，能够找出与嫌疑车辆有关联的车辆，从而获取破案线索。</w:t>
            </w:r>
          </w:p>
          <w:p w14:paraId="3AA2DEF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7、行车轨迹跟踪功能：套牌车辆检测功能：在GIS地图上，以前端设备布点比较密集的路段为中心划定几个区域，区域之间设定时间差对车辆进行交叉比对，如果发现车辆号牌相同，号牌颜色相同的车辆，则弹出报警框，由人工复核号牌识别结果，如果确认号牌相同，则认为该车辆为套牌嫌疑车辆，导入套牌嫌疑车辆数据库中。</w:t>
            </w:r>
          </w:p>
          <w:p w14:paraId="10DDD286">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8、行车轨迹跟踪功能：车辆区域关联性分析功能：在作案手法相似的连环案件中，将多个事发地附近系统检测到的车辆号牌进行比对，根据车辆出现的频次进行嫌疑车辆区域关联性分析。</w:t>
            </w:r>
          </w:p>
          <w:p w14:paraId="426667CB">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9、交通事件检测功能：对监控视场内机动车停车事件、机动车拥堵事件、机动车逆行倒车事件、非机动车、行人、抛洒物等事件进行自动检测并报警；报警信息能实时上传指挥中心指定系统平台。</w:t>
            </w:r>
          </w:p>
          <w:p w14:paraId="1B548F90">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10、货车检测功能：在上匝道口设置的前尾牌抓拍设备能进行关联，对监控视场内货车禁行检测，同时抓拍货车前后牌信息，并将抓拍的到违法合成照片信息实时上传指挥中心违法筛选平台。</w:t>
            </w:r>
          </w:p>
          <w:p w14:paraId="406C624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11、机动车辆捕获率：视频检测模式下：卡口车辆捕获率≥95%；实线变道、逆向行驶等违法车辆捕获率≥90%；实线变道、逆向行驶等违法记录有效率≥85%。</w:t>
            </w:r>
          </w:p>
          <w:p w14:paraId="2CB83BEC">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12、车辆号牌识别率：对高清电子警察系统抓拍车辆图像的号牌识别率、号牌识别准确率的界定应符合(或优于)GA／T 497-2009和GA／T 669．9中有关要求，具体要求如下：</w:t>
            </w:r>
          </w:p>
          <w:p w14:paraId="48A943AF">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（1）号牌识别时间≤100ms；</w:t>
            </w:r>
          </w:p>
          <w:p w14:paraId="69062A43">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（2）全天候号牌识别率≥95%；</w:t>
            </w:r>
          </w:p>
          <w:p w14:paraId="28C41759">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（4）（3）全天候车辆号牌识别准确率≥90%（汉字、字母、数字全部正确）；</w:t>
            </w:r>
          </w:p>
          <w:p w14:paraId="298C27B0">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（5）号牌颜色检测准确率≥90%。</w:t>
            </w:r>
          </w:p>
          <w:p w14:paraId="5C0B3060">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12、视频图像质量：图像取证设备抓拍的车辆图片为24位真彩图像，图片采用JPEG编码格式JPEG图片编码应符合ISO/IEC 15444:2000的要求，单张全景图片尺寸≥500万个像素点，单张特写图片平均大小≤200K，违法合成图片平均大小≤2M；特征图像的号牌图像水平分辨率≥100个像素点，清晰度应能满足人工对车辆号牌信息认定的要求以及自动识别条件；视频录像分辨率采用H.264格式，图像分辨率≥200W像素，视频流输出≥25帧/秒，传输码率≤8Mbps，且能自动循环覆盖。前端数据存储时间端存储的数据主要包含车辆图片、信息记录、违法录像等，数据信息包括设备编号、时间、地点、方向、车道、车牌号码、颜色、车型、车身颜色、新能源车牌、车辆速度等。前端数据存储要求采用冗余存储的方式。存储控制设备存储违法数据时间≥15天（含违法图片、违法录像和违法记录）；存储控制设备存储卡口数据时间≥7天（含图片和记录）；摄像机内置存储卡存储的数据≥4万条。</w:t>
            </w:r>
          </w:p>
          <w:p w14:paraId="7E6AAD6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13、主要设备无故障时间：控制机箱箱体保用时间≥6年；高亮度LED补光灯的有效寿命≥5万小时；系统平均无故障时间（MTBF）≥3万小时。</w:t>
            </w:r>
          </w:p>
          <w:p w14:paraId="21D75E80">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14、系统设备的环保、节能要求：前端设备不得使用大功率的常亮灯进行补光；</w:t>
            </w:r>
          </w:p>
          <w:p w14:paraId="2CA7BF7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若使用高亮度补光设备必须采取技术措施，防止光污染；前端设备必须采取技术措施，确保在无需维护情况下，图片效果6个月内保持一致。前端存储设备因传输线路中断或其他故障，卡口前端应能存储所采集的信息，存储容量不得小于7天，故障排除后应能自动上传，不得丢失信息。当超出最大存储容量时，自动对车辆信息和图片进行循环覆盖。前端设备在导致工作异常的原因消除后，能够自动复位，恢复正常工作。</w:t>
            </w:r>
          </w:p>
        </w:tc>
      </w:tr>
      <w:tr w14:paraId="67F034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0611A1E">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8C3D26D">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72F9C3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4.8.2 前端管理单元</w:t>
            </w:r>
          </w:p>
          <w:p w14:paraId="7B898466">
            <w:pPr>
              <w:spacing w:line="440" w:lineRule="exact"/>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参数及功能要求</w:t>
            </w:r>
          </w:p>
          <w:p w14:paraId="08AF494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1、支持至少4路IPC接入。</w:t>
            </w:r>
          </w:p>
          <w:p w14:paraId="75086AF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2、内置硬盘容量不低于2TB。</w:t>
            </w:r>
          </w:p>
          <w:p w14:paraId="659F087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3、支持对通行车辆的信息（记录和图片）存储。</w:t>
            </w:r>
          </w:p>
          <w:p w14:paraId="7D017E26">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4、支持录像存储功能。。</w:t>
            </w:r>
          </w:p>
          <w:p w14:paraId="37A908A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5、支持多个相机抓拍数据匹配合成。</w:t>
            </w:r>
          </w:p>
          <w:p w14:paraId="4BA9E30B">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6、可配置多种字符叠加、图片合成模式。</w:t>
            </w:r>
          </w:p>
          <w:p w14:paraId="36DBC302">
            <w:pPr>
              <w:spacing w:line="440" w:lineRule="exact"/>
              <w:rPr>
                <w:rFonts w:ascii="Times New Roman" w:hAnsi="Times New Roman" w:eastAsia="Times New Roman"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7、支持LED屏对接发布，发布条件和内容可自定义。</w:t>
            </w:r>
          </w:p>
        </w:tc>
      </w:tr>
      <w:tr w14:paraId="05BE1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F25C612">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FC4AEBA">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A8EC0A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4.8.3</w:t>
            </w:r>
            <w:r>
              <w:rPr>
                <w:rFonts w:ascii="Times New Roman" w:hAnsi="Times New Roman" w:eastAsia="宋体" w:cs="Times New Roman"/>
                <w:color w:val="auto"/>
                <w:sz w:val="24"/>
                <w:szCs w:val="24"/>
                <w:highlight w:val="none"/>
                <w:lang w:val="en-US" w:eastAsia="zh-CN" w:bidi="ar-SA"/>
              </w:rPr>
              <w:t>微光高清抓拍单元（前牌）</w:t>
            </w:r>
          </w:p>
          <w:p w14:paraId="62B259D6">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同4.3.3。</w:t>
            </w:r>
          </w:p>
        </w:tc>
      </w:tr>
      <w:tr w14:paraId="7B1AF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A23F23F">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4F7CBB6">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021EDD2">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4.8.4微光高清抓拍单元1（尾牌）</w:t>
            </w:r>
          </w:p>
          <w:p w14:paraId="1A672C02">
            <w:pPr>
              <w:spacing w:line="440" w:lineRule="exact"/>
              <w:rPr>
                <w:rFonts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同4.3.2</w:t>
            </w:r>
          </w:p>
        </w:tc>
      </w:tr>
      <w:tr w14:paraId="56B34E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10516F6">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3A3EB26">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38693A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4.8.</w:t>
            </w:r>
            <w:r>
              <w:rPr>
                <w:rFonts w:hint="eastAsia" w:ascii="Times New Roman" w:hAnsi="Times New Roman" w:eastAsia="宋体" w:cs="Times New Roman"/>
                <w:iCs/>
                <w:color w:val="auto"/>
                <w:sz w:val="24"/>
                <w:szCs w:val="24"/>
                <w:highlight w:val="none"/>
                <w:lang w:val="en-US" w:eastAsia="zh-CN" w:bidi="ar-SA"/>
              </w:rPr>
              <w:t>5</w:t>
            </w:r>
            <w:r>
              <w:rPr>
                <w:rFonts w:ascii="Times New Roman" w:hAnsi="Times New Roman" w:eastAsia="宋体" w:cs="Times New Roman"/>
                <w:iCs/>
                <w:color w:val="auto"/>
                <w:sz w:val="24"/>
                <w:szCs w:val="24"/>
                <w:highlight w:val="none"/>
                <w:lang w:val="en-US" w:eastAsia="zh-CN" w:bidi="ar-SA"/>
              </w:rPr>
              <w:t>全结构化摄像机</w:t>
            </w:r>
          </w:p>
          <w:p w14:paraId="6D932A3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w:t>
            </w:r>
            <w:r>
              <w:rPr>
                <w:rFonts w:hint="eastAsia" w:ascii="Times New Roman" w:hAnsi="Times New Roman" w:eastAsia="宋体" w:cs="Times New Roman"/>
                <w:iCs/>
                <w:color w:val="auto"/>
                <w:sz w:val="24"/>
                <w:szCs w:val="24"/>
                <w:highlight w:val="none"/>
                <w:lang w:val="en-US" w:eastAsia="zh-CN" w:bidi="ar-SA"/>
              </w:rPr>
              <w:t>不低于</w:t>
            </w:r>
            <w:r>
              <w:rPr>
                <w:rFonts w:ascii="Times New Roman" w:hAnsi="Times New Roman" w:eastAsia="宋体" w:cs="Times New Roman"/>
                <w:iCs/>
                <w:color w:val="auto"/>
                <w:sz w:val="24"/>
                <w:szCs w:val="24"/>
                <w:highlight w:val="none"/>
                <w:lang w:val="en-US" w:eastAsia="zh-CN" w:bidi="ar-SA"/>
              </w:rPr>
              <w:t>400W像素CMOS传感器，内置靶面尺寸不小于1/1.8"，内置GPU芯片，像元尺寸不小于2.9umx2.9um。</w:t>
            </w:r>
          </w:p>
          <w:p w14:paraId="0390BBDA">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2、最低照度满足：彩色≤0.0002Lux，黑白≤0.0001Lux。</w:t>
            </w:r>
          </w:p>
          <w:p w14:paraId="4C446A8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3、信噪比≥62dB，宽动态范围不小于120dB。</w:t>
            </w:r>
          </w:p>
          <w:p w14:paraId="491D92B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4</w:t>
            </w:r>
            <w:r>
              <w:rPr>
                <w:rFonts w:ascii="Times New Roman" w:hAnsi="Times New Roman" w:eastAsia="宋体" w:cs="Times New Roman"/>
                <w:iCs/>
                <w:color w:val="auto"/>
                <w:sz w:val="24"/>
                <w:szCs w:val="24"/>
                <w:highlight w:val="none"/>
                <w:lang w:val="en-US" w:eastAsia="zh-CN" w:bidi="ar-SA"/>
              </w:rPr>
              <w:t>、支持检出、识别两眼瞳距</w:t>
            </w:r>
            <w:r>
              <w:rPr>
                <w:rFonts w:hint="eastAsia" w:ascii="Times New Roman" w:hAnsi="Times New Roman" w:eastAsia="宋体" w:cs="Times New Roman"/>
                <w:iCs/>
                <w:color w:val="auto"/>
                <w:sz w:val="24"/>
                <w:szCs w:val="24"/>
                <w:highlight w:val="none"/>
                <w:lang w:val="en-US" w:eastAsia="zh-CN" w:bidi="ar-SA"/>
              </w:rPr>
              <w:t>不低于</w:t>
            </w:r>
            <w:r>
              <w:rPr>
                <w:rFonts w:ascii="Times New Roman" w:hAnsi="Times New Roman" w:eastAsia="宋体" w:cs="Times New Roman"/>
                <w:iCs/>
                <w:color w:val="auto"/>
                <w:sz w:val="24"/>
                <w:szCs w:val="24"/>
                <w:highlight w:val="none"/>
                <w:lang w:val="en-US" w:eastAsia="zh-CN" w:bidi="ar-SA"/>
              </w:rPr>
              <w:t>40像素点以上的人脸图片，支持预设角度值（0-90°)，当实际抓拍人脸角度大于预设值时，不对监控画面中的人脸进行抓拍</w:t>
            </w:r>
            <w:r>
              <w:rPr>
                <w:rFonts w:hint="eastAsia" w:ascii="Times New Roman" w:hAnsi="Times New Roman" w:eastAsia="宋体" w:cs="Times New Roman"/>
                <w:iCs/>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支持单场景同时检出不少于30张人脸图片，并支持面部跟踪，人脸抓拍率不低于99%。</w:t>
            </w:r>
          </w:p>
          <w:p w14:paraId="5F66E05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5</w:t>
            </w:r>
            <w:r>
              <w:rPr>
                <w:rFonts w:ascii="Times New Roman" w:hAnsi="Times New Roman" w:eastAsia="宋体" w:cs="Times New Roman"/>
                <w:iCs/>
                <w:color w:val="auto"/>
                <w:sz w:val="24"/>
                <w:szCs w:val="24"/>
                <w:highlight w:val="none"/>
                <w:lang w:val="en-US" w:eastAsia="zh-CN" w:bidi="ar-SA"/>
              </w:rPr>
              <w:t>、在视频结构化模式下一次抓拍</w:t>
            </w:r>
            <w:r>
              <w:rPr>
                <w:rFonts w:hint="eastAsia" w:ascii="Times New Roman" w:hAnsi="Times New Roman" w:eastAsia="宋体" w:cs="Times New Roman"/>
                <w:iCs/>
                <w:color w:val="auto"/>
                <w:sz w:val="24"/>
                <w:szCs w:val="24"/>
                <w:highlight w:val="none"/>
                <w:lang w:val="en-US" w:eastAsia="zh-CN" w:bidi="ar-SA"/>
              </w:rPr>
              <w:t>不少于</w:t>
            </w:r>
            <w:r>
              <w:rPr>
                <w:rFonts w:ascii="Times New Roman" w:hAnsi="Times New Roman" w:eastAsia="宋体" w:cs="Times New Roman"/>
                <w:iCs/>
                <w:color w:val="auto"/>
                <w:sz w:val="24"/>
                <w:szCs w:val="24"/>
                <w:highlight w:val="none"/>
                <w:lang w:val="en-US" w:eastAsia="zh-CN" w:bidi="ar-SA"/>
              </w:rPr>
              <w:t>10张图片，图片类型包括场景图、人脸图、人体图、非机动车图、机动车图、车牌图；其中人脸和人体图可关联存储、非机动车和人脸图可关联存储、机动车图和车牌图可关联存储。</w:t>
            </w:r>
          </w:p>
          <w:p w14:paraId="5F7DD646">
            <w:pPr>
              <w:spacing w:line="440" w:lineRule="exact"/>
              <w:rPr>
                <w:rFonts w:ascii="Times New Roman" w:hAnsi="Times New Roman" w:eastAsia="宋体" w:cs="Times New Roman"/>
                <w:i/>
                <w:color w:val="auto"/>
                <w:sz w:val="24"/>
                <w:szCs w:val="24"/>
                <w:highlight w:val="none"/>
                <w:u w:val="single"/>
                <w:lang w:val="en-US" w:eastAsia="zh-CN" w:bidi="ar-SA"/>
              </w:rPr>
            </w:pPr>
            <w:r>
              <w:rPr>
                <w:rFonts w:hint="eastAsia" w:ascii="Times New Roman" w:hAnsi="Times New Roman" w:eastAsia="宋体" w:cs="Times New Roman"/>
                <w:i/>
                <w:iCs w:val="0"/>
                <w:color w:val="auto"/>
                <w:sz w:val="24"/>
                <w:szCs w:val="24"/>
                <w:highlight w:val="none"/>
                <w:u w:val="single"/>
                <w:lang w:val="en-US" w:eastAsia="zh-CN" w:bidi="ar-SA"/>
              </w:rPr>
              <w:t>6</w:t>
            </w:r>
            <w:r>
              <w:rPr>
                <w:rFonts w:ascii="Times New Roman" w:hAnsi="Times New Roman" w:eastAsia="宋体" w:cs="Times New Roman"/>
                <w:i/>
                <w:iCs w:val="0"/>
                <w:color w:val="auto"/>
                <w:sz w:val="24"/>
                <w:szCs w:val="24"/>
                <w:highlight w:val="none"/>
                <w:u w:val="single"/>
                <w:lang w:val="en-US" w:eastAsia="zh-CN" w:bidi="ar-SA"/>
              </w:rPr>
              <w:t>、支持1400协议，支持GB35114安全加密，支持GB28181-2022协议。</w:t>
            </w:r>
          </w:p>
        </w:tc>
      </w:tr>
      <w:tr w14:paraId="20DC0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7B3C4A8">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07DA937">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72267D5">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4.8.</w:t>
            </w:r>
            <w:r>
              <w:rPr>
                <w:rFonts w:hint="eastAsia" w:ascii="Times New Roman" w:hAnsi="Times New Roman" w:eastAsia="宋体" w:cs="Times New Roman"/>
                <w:iCs/>
                <w:color w:val="auto"/>
                <w:sz w:val="24"/>
                <w:szCs w:val="24"/>
                <w:highlight w:val="none"/>
                <w:lang w:val="en-US" w:eastAsia="zh-CN" w:bidi="ar-SA"/>
              </w:rPr>
              <w:t>6</w:t>
            </w:r>
            <w:r>
              <w:rPr>
                <w:rFonts w:ascii="Times New Roman" w:hAnsi="Times New Roman" w:eastAsia="宋体" w:cs="Times New Roman"/>
                <w:iCs/>
                <w:color w:val="auto"/>
                <w:sz w:val="24"/>
                <w:szCs w:val="24"/>
                <w:highlight w:val="none"/>
                <w:lang w:val="en-US" w:eastAsia="zh-CN" w:bidi="ar-SA"/>
              </w:rPr>
              <w:t>智能补光灯</w:t>
            </w:r>
          </w:p>
          <w:p w14:paraId="2F07F3D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同4.3.4。</w:t>
            </w:r>
          </w:p>
        </w:tc>
      </w:tr>
      <w:tr w14:paraId="6FDAB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1EBB8DE">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71A3C4A">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500174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4.8.</w:t>
            </w:r>
            <w:r>
              <w:rPr>
                <w:rFonts w:hint="eastAsia" w:ascii="Times New Roman" w:hAnsi="Times New Roman" w:eastAsia="宋体" w:cs="Times New Roman"/>
                <w:iCs/>
                <w:color w:val="auto"/>
                <w:sz w:val="24"/>
                <w:szCs w:val="24"/>
                <w:highlight w:val="none"/>
                <w:lang w:val="en-US" w:eastAsia="zh-CN" w:bidi="ar-SA"/>
              </w:rPr>
              <w:t>7</w:t>
            </w:r>
            <w:r>
              <w:rPr>
                <w:rFonts w:ascii="Times New Roman" w:hAnsi="Times New Roman" w:eastAsia="宋体" w:cs="Times New Roman"/>
                <w:iCs/>
                <w:color w:val="auto"/>
                <w:sz w:val="24"/>
                <w:szCs w:val="24"/>
                <w:highlight w:val="none"/>
                <w:lang w:val="en-US" w:eastAsia="zh-CN" w:bidi="ar-SA"/>
              </w:rPr>
              <w:t>前端存储管理主机</w:t>
            </w:r>
          </w:p>
          <w:p w14:paraId="49A677F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同4.3.6。</w:t>
            </w:r>
          </w:p>
        </w:tc>
      </w:tr>
      <w:tr w14:paraId="7CCB06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5EEFF4C">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B2385EE">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BA20F06">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4.8.</w:t>
            </w:r>
            <w:r>
              <w:rPr>
                <w:rFonts w:hint="eastAsia" w:ascii="Times New Roman" w:hAnsi="Times New Roman" w:eastAsia="宋体" w:cs="Times New Roman"/>
                <w:iCs/>
                <w:color w:val="auto"/>
                <w:sz w:val="24"/>
                <w:szCs w:val="24"/>
                <w:highlight w:val="none"/>
                <w:lang w:val="en-US" w:eastAsia="zh-CN" w:bidi="ar-SA"/>
              </w:rPr>
              <w:t>8</w:t>
            </w:r>
            <w:r>
              <w:rPr>
                <w:rFonts w:ascii="Times New Roman" w:hAnsi="Times New Roman" w:eastAsia="宋体" w:cs="Times New Roman"/>
                <w:iCs/>
                <w:color w:val="auto"/>
                <w:sz w:val="24"/>
                <w:szCs w:val="24"/>
                <w:highlight w:val="none"/>
                <w:lang w:val="en-US" w:eastAsia="zh-CN" w:bidi="ar-SA"/>
              </w:rPr>
              <w:t>预警屏</w:t>
            </w:r>
          </w:p>
          <w:p w14:paraId="724EDA0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同4.5.4。</w:t>
            </w:r>
          </w:p>
        </w:tc>
      </w:tr>
      <w:tr w14:paraId="137953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9CA99D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2B8F81C">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974A22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4.8.</w:t>
            </w:r>
            <w:r>
              <w:rPr>
                <w:rFonts w:hint="eastAsia" w:ascii="Times New Roman" w:hAnsi="Times New Roman" w:eastAsia="宋体" w:cs="Times New Roman"/>
                <w:iCs/>
                <w:color w:val="auto"/>
                <w:sz w:val="24"/>
                <w:szCs w:val="24"/>
                <w:highlight w:val="none"/>
                <w:lang w:val="en-US" w:eastAsia="zh-CN" w:bidi="ar-SA"/>
              </w:rPr>
              <w:t>9</w:t>
            </w:r>
            <w:r>
              <w:rPr>
                <w:rFonts w:ascii="Times New Roman" w:hAnsi="Times New Roman" w:eastAsia="宋体" w:cs="Times New Roman"/>
                <w:iCs/>
                <w:color w:val="auto"/>
                <w:sz w:val="24"/>
                <w:szCs w:val="24"/>
                <w:highlight w:val="none"/>
                <w:lang w:val="en-US" w:eastAsia="zh-CN" w:bidi="ar-SA"/>
              </w:rPr>
              <w:t>智能抱杆箱</w:t>
            </w:r>
          </w:p>
          <w:p w14:paraId="79DE89E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同4.2.4。</w:t>
            </w:r>
          </w:p>
        </w:tc>
      </w:tr>
      <w:tr w14:paraId="0DBB75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6B63B1F">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6D8684E8">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04A10CF">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4.8.</w:t>
            </w:r>
            <w:r>
              <w:rPr>
                <w:rFonts w:hint="eastAsia" w:ascii="Times New Roman" w:hAnsi="Times New Roman" w:eastAsia="宋体" w:cs="Times New Roman"/>
                <w:iCs/>
                <w:color w:val="auto"/>
                <w:sz w:val="24"/>
                <w:szCs w:val="24"/>
                <w:highlight w:val="none"/>
                <w:lang w:val="en-US" w:eastAsia="zh-CN" w:bidi="ar-SA"/>
              </w:rPr>
              <w:t>10</w:t>
            </w:r>
            <w:r>
              <w:rPr>
                <w:rFonts w:ascii="Times New Roman" w:hAnsi="Times New Roman" w:eastAsia="宋体" w:cs="Times New Roman"/>
                <w:iCs/>
                <w:color w:val="auto"/>
                <w:sz w:val="24"/>
                <w:szCs w:val="24"/>
                <w:highlight w:val="none"/>
                <w:lang w:val="en-US" w:eastAsia="zh-CN" w:bidi="ar-SA"/>
              </w:rPr>
              <w:t>接入接口要求</w:t>
            </w:r>
          </w:p>
          <w:p w14:paraId="5CB9E1B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参数及功能要求</w:t>
            </w:r>
          </w:p>
          <w:p w14:paraId="46F3F27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1、提供至少1个100M以太网接口，实现数据上传与下载。</w:t>
            </w:r>
          </w:p>
          <w:p w14:paraId="589777B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2、提供系统/设备调试接口，便于进行系统软件升级、功能调整与故障的诊断修复。</w:t>
            </w:r>
          </w:p>
          <w:p w14:paraId="47C294B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3、提供外场本地输出接口，利于在故障尚未恢复的情况下本地导出数据。</w:t>
            </w:r>
          </w:p>
          <w:p w14:paraId="6C7D004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4、数据接口应满足《江苏省公安厅治安卡口及警务查报站监控系统建设数据规范》。</w:t>
            </w:r>
          </w:p>
        </w:tc>
      </w:tr>
      <w:tr w14:paraId="683E9E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8B4760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22B3C67">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4AE269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 </w:t>
            </w:r>
            <w:r>
              <w:rPr>
                <w:rFonts w:ascii="Times New Roman" w:hAnsi="Times New Roman" w:eastAsia="宋体" w:cs="Times New Roman"/>
                <w:color w:val="auto"/>
                <w:sz w:val="24"/>
                <w:szCs w:val="24"/>
                <w:highlight w:val="none"/>
                <w:lang w:val="en-US" w:eastAsia="zh-CN" w:bidi="ar-SA"/>
              </w:rPr>
              <w:t>入口匝道控制系统技术要求</w:t>
            </w:r>
          </w:p>
        </w:tc>
      </w:tr>
      <w:tr w14:paraId="345FB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9D3B61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0F91EA9">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7CBCDC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4.9.1 </w:t>
            </w:r>
            <w:r>
              <w:rPr>
                <w:rFonts w:ascii="Times New Roman" w:hAnsi="Times New Roman" w:eastAsia="宋体" w:cs="Times New Roman"/>
                <w:color w:val="auto"/>
                <w:sz w:val="24"/>
                <w:szCs w:val="24"/>
                <w:highlight w:val="none"/>
                <w:lang w:val="en-US" w:eastAsia="zh-CN" w:bidi="ar-SA"/>
              </w:rPr>
              <w:t>入口匝道控制系统功能要求</w:t>
            </w:r>
          </w:p>
          <w:p w14:paraId="565879E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1、车道信号灯、入口可变信息标志设置在入口匝道与地面道路衔接的龙门架上，并结合标志标线统一考虑。</w:t>
            </w:r>
          </w:p>
          <w:p w14:paraId="56800F8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入口处可变信息标志的设置，根据主线交通的通行条件和地面替代道路的通行条件综合考虑，对入口匝道下游方向主线或出口匝道常发性交通拥挤、而且快速路下游3km左右范围内有可分流条件的出入口匝道或立交匝道的，要以文字形式予以发布。</w:t>
            </w:r>
          </w:p>
          <w:p w14:paraId="5009DAD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3、在距入口匝道1km范围内的，入口匝道主要汇集交通流的、有可选择路径的地面主次干道上设置文字型可变信息标志，发布入口匝道的开关状态。</w:t>
            </w:r>
          </w:p>
          <w:p w14:paraId="0D980D8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匝道显示屏要求能根据匝道灯的状态显示指定的内容，并能接入交警指挥中心诱导屏软件平台，由软件平台发布指定的内容；如车道灯显示为绿箭头，则匝道显示屏能同步显示为匝道开放，车道等显示为红叉，则匝道显示屏同步显示为匝道关闭。</w:t>
            </w:r>
          </w:p>
        </w:tc>
      </w:tr>
      <w:tr w14:paraId="0CA7A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625838E">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C6C4C98">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9A7B3C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4.9.2 </w:t>
            </w:r>
            <w:r>
              <w:rPr>
                <w:rFonts w:ascii="Times New Roman" w:hAnsi="Times New Roman" w:eastAsia="宋体" w:cs="Times New Roman"/>
                <w:color w:val="auto"/>
                <w:sz w:val="24"/>
                <w:szCs w:val="24"/>
                <w:highlight w:val="none"/>
                <w:lang w:val="en-US" w:eastAsia="zh-CN" w:bidi="ar-SA"/>
              </w:rPr>
              <w:t>上匝道车道灯</w:t>
            </w:r>
          </w:p>
          <w:p w14:paraId="2EDCB344">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1、光强分布：符合GB14887-2011表2信号灯光强分布，其中红叉灯中心&gt;600cd，绿箭头灯中心&gt;600cd。</w:t>
            </w:r>
          </w:p>
          <w:p w14:paraId="1D82EBD9">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2、色坐标：符合GB14887-2011  色度性能表6。</w:t>
            </w:r>
          </w:p>
          <w:p w14:paraId="037CEF0B">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3、红色625±5nm   X=0.6984，Y=0.3014。</w:t>
            </w:r>
          </w:p>
          <w:p w14:paraId="2C31E69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4、绿色505±4nm   X=0.0848，Y=0.5739。</w:t>
            </w:r>
          </w:p>
          <w:p w14:paraId="110C95C8">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5</w:t>
            </w:r>
            <w:r>
              <w:rPr>
                <w:rFonts w:ascii="Times New Roman" w:hAnsi="Times New Roman" w:eastAsia="宋体" w:cs="Times New Roman"/>
                <w:i/>
                <w:iCs/>
                <w:color w:val="auto"/>
                <w:sz w:val="24"/>
                <w:szCs w:val="24"/>
                <w:highlight w:val="none"/>
                <w:u w:val="single"/>
                <w:lang w:val="en-US" w:eastAsia="zh-CN" w:bidi="ar-SA"/>
              </w:rPr>
              <w:t>、功率因数：≥0.9。</w:t>
            </w:r>
          </w:p>
          <w:p w14:paraId="7D73415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6</w:t>
            </w:r>
            <w:r>
              <w:rPr>
                <w:rFonts w:ascii="Times New Roman" w:hAnsi="Times New Roman" w:eastAsia="宋体" w:cs="Times New Roman"/>
                <w:color w:val="auto"/>
                <w:sz w:val="24"/>
                <w:szCs w:val="24"/>
                <w:highlight w:val="none"/>
                <w:lang w:val="en-US" w:eastAsia="zh-CN" w:bidi="ar-SA"/>
              </w:rPr>
              <w:t>、启动瞬时电流：≤1.8A。</w:t>
            </w:r>
          </w:p>
          <w:p w14:paraId="1771309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7</w:t>
            </w:r>
            <w:r>
              <w:rPr>
                <w:rFonts w:ascii="Times New Roman" w:hAnsi="Times New Roman" w:eastAsia="宋体" w:cs="Times New Roman"/>
                <w:color w:val="auto"/>
                <w:sz w:val="24"/>
                <w:szCs w:val="24"/>
                <w:highlight w:val="none"/>
                <w:lang w:val="en-US" w:eastAsia="zh-CN" w:bidi="ar-SA"/>
              </w:rPr>
              <w:t>、启动时间和关断时间：均≤75ms。</w:t>
            </w:r>
          </w:p>
          <w:p w14:paraId="2B06C97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、灯壳材料：压铸铝。</w:t>
            </w:r>
          </w:p>
          <w:p w14:paraId="7B43EEC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、使用寿命：＞50000h。</w:t>
            </w:r>
          </w:p>
          <w:p w14:paraId="2574E0F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0</w:t>
            </w:r>
            <w:r>
              <w:rPr>
                <w:rFonts w:ascii="Times New Roman" w:hAnsi="Times New Roman" w:eastAsia="宋体" w:cs="Times New Roman"/>
                <w:color w:val="auto"/>
                <w:sz w:val="24"/>
                <w:szCs w:val="24"/>
                <w:highlight w:val="none"/>
                <w:lang w:val="en-US" w:eastAsia="zh-CN" w:bidi="ar-SA"/>
              </w:rPr>
              <w:t>、含安装配件。</w:t>
            </w:r>
          </w:p>
        </w:tc>
      </w:tr>
      <w:tr w14:paraId="4C9C17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5DA7224">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602FC53">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61F105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4.9.3 交通信息屏</w:t>
            </w:r>
          </w:p>
          <w:p w14:paraId="571A167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交通信息屏由箱体、LED显示单元、驱动控制器、通信接口以及等供电电源等组成，要求信息屏符合相关规定，并达到以下技术要求：</w:t>
            </w:r>
          </w:p>
          <w:p w14:paraId="344A667F">
            <w:pPr>
              <w:numPr>
                <w:ilvl w:val="0"/>
                <w:numId w:val="0"/>
              </w:num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1、</w:t>
            </w:r>
            <w:r>
              <w:rPr>
                <w:rFonts w:ascii="Times New Roman" w:hAnsi="Times New Roman" w:eastAsia="宋体" w:cs="Times New Roman"/>
                <w:iCs/>
                <w:color w:val="auto"/>
                <w:sz w:val="24"/>
                <w:szCs w:val="24"/>
                <w:highlight w:val="none"/>
                <w:lang w:val="en-US" w:eastAsia="zh-CN" w:bidi="ar-SA"/>
              </w:rPr>
              <w:t>全点阵动态交通信息屏外形尺寸</w:t>
            </w:r>
            <w:r>
              <w:rPr>
                <w:rFonts w:hint="eastAsia" w:ascii="Times New Roman" w:hAnsi="Times New Roman" w:eastAsia="宋体" w:cs="Times New Roman"/>
                <w:iCs/>
                <w:color w:val="auto"/>
                <w:sz w:val="24"/>
                <w:szCs w:val="24"/>
                <w:highlight w:val="none"/>
                <w:lang w:val="en-US" w:eastAsia="zh-CN" w:bidi="ar-SA"/>
              </w:rPr>
              <w:t>不低于</w:t>
            </w:r>
            <w:r>
              <w:rPr>
                <w:rFonts w:ascii="Times New Roman" w:hAnsi="Times New Roman" w:eastAsia="宋体" w:cs="Times New Roman"/>
                <w:iCs/>
                <w:color w:val="auto"/>
                <w:sz w:val="24"/>
                <w:szCs w:val="24"/>
                <w:highlight w:val="none"/>
                <w:lang w:val="en-US" w:eastAsia="zh-CN" w:bidi="ar-SA"/>
              </w:rPr>
              <w:t>2880mm*960mm，点间距10mm，采用双基色LED。</w:t>
            </w:r>
          </w:p>
          <w:p w14:paraId="6406605D">
            <w:pPr>
              <w:numPr>
                <w:ilvl w:val="0"/>
                <w:numId w:val="0"/>
              </w:num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2、信息屏的设计及施工中需考虑设施的防雷及电源的稳定性等因素，采用合理有效的安全接地措施，设备应具备良好的抗干扰和雷电浪涌防护特性，设备安全接地电阻不大于10Ω；</w:t>
            </w:r>
          </w:p>
          <w:p w14:paraId="2084B0A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3、信息屏应处在可控状态下运行，能通过监控中心进行远程的控制操作，包括开关屏、亮度调整、参数设置以及显示信息修改等；</w:t>
            </w:r>
          </w:p>
          <w:p w14:paraId="594F64B3">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4、能实时自动检测信息屏的工作状态并上传到控制中心，发生故障时自动黑屏；</w:t>
            </w:r>
          </w:p>
          <w:p w14:paraId="3CEFA5C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同时还需要满足下表LED管参数要求：</w:t>
            </w:r>
          </w:p>
          <w:p w14:paraId="090D1D0C">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lang w:val="en-US" w:eastAsia="zh-CN" w:bidi="ar-SA"/>
              </w:rPr>
              <w:t>（</w:t>
            </w:r>
            <w:r>
              <w:rPr>
                <w:rFonts w:ascii="Times New Roman" w:hAnsi="Times New Roman" w:eastAsia="宋体" w:cs="Times New Roman"/>
                <w:iCs/>
                <w:color w:val="auto"/>
                <w:sz w:val="24"/>
                <w:szCs w:val="24"/>
                <w:highlight w:val="none"/>
                <w:u w:val="none"/>
                <w:lang w:val="en-US" w:eastAsia="zh-CN" w:bidi="ar-SA"/>
              </w:rPr>
              <w:t>1）LED发光灯技术要求 LED发光管亮度指标：红色大于1000mcd，绿色大于2000mcd。</w:t>
            </w:r>
          </w:p>
          <w:p w14:paraId="2109A047">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w:t>
            </w:r>
            <w:r>
              <w:rPr>
                <w:rFonts w:hint="eastAsia" w:ascii="Times New Roman" w:hAnsi="Times New Roman" w:eastAsia="宋体" w:cs="Times New Roman"/>
                <w:iCs/>
                <w:color w:val="auto"/>
                <w:sz w:val="24"/>
                <w:szCs w:val="24"/>
                <w:highlight w:val="none"/>
                <w:u w:val="none"/>
                <w:lang w:val="en-US" w:eastAsia="zh-CN" w:bidi="ar-SA"/>
              </w:rPr>
              <w:t>2</w:t>
            </w:r>
            <w:r>
              <w:rPr>
                <w:rFonts w:ascii="Times New Roman" w:hAnsi="Times New Roman" w:eastAsia="宋体" w:cs="Times New Roman"/>
                <w:iCs/>
                <w:color w:val="auto"/>
                <w:sz w:val="24"/>
                <w:szCs w:val="24"/>
                <w:highlight w:val="none"/>
                <w:u w:val="none"/>
                <w:lang w:val="en-US" w:eastAsia="zh-CN" w:bidi="ar-SA"/>
              </w:rPr>
              <w:t>）LED发光管波长指标：红色为620-630nm，绿色为520-530nm。</w:t>
            </w:r>
          </w:p>
          <w:p w14:paraId="49D24656">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w:t>
            </w:r>
            <w:r>
              <w:rPr>
                <w:rFonts w:hint="eastAsia" w:ascii="Times New Roman" w:hAnsi="Times New Roman" w:eastAsia="宋体" w:cs="Times New Roman"/>
                <w:iCs/>
                <w:color w:val="auto"/>
                <w:sz w:val="24"/>
                <w:szCs w:val="24"/>
                <w:highlight w:val="none"/>
                <w:u w:val="none"/>
                <w:lang w:val="en-US" w:eastAsia="zh-CN" w:bidi="ar-SA"/>
              </w:rPr>
              <w:t>3</w:t>
            </w:r>
            <w:r>
              <w:rPr>
                <w:rFonts w:ascii="Times New Roman" w:hAnsi="Times New Roman" w:eastAsia="宋体" w:cs="Times New Roman"/>
                <w:iCs/>
                <w:color w:val="auto"/>
                <w:sz w:val="24"/>
                <w:szCs w:val="24"/>
                <w:highlight w:val="none"/>
                <w:u w:val="none"/>
                <w:lang w:val="en-US" w:eastAsia="zh-CN" w:bidi="ar-SA"/>
              </w:rPr>
              <w:t>）信息屏白平衡亮度大于5000CD/平方米。</w:t>
            </w:r>
          </w:p>
          <w:p w14:paraId="5D9B9F70">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w:t>
            </w:r>
            <w:r>
              <w:rPr>
                <w:rFonts w:hint="eastAsia" w:ascii="Times New Roman" w:hAnsi="Times New Roman" w:eastAsia="宋体" w:cs="Times New Roman"/>
                <w:iCs/>
                <w:color w:val="auto"/>
                <w:sz w:val="24"/>
                <w:szCs w:val="24"/>
                <w:highlight w:val="none"/>
                <w:u w:val="none"/>
                <w:lang w:val="en-US" w:eastAsia="zh-CN" w:bidi="ar-SA"/>
              </w:rPr>
              <w:t>4</w:t>
            </w:r>
            <w:r>
              <w:rPr>
                <w:rFonts w:ascii="Times New Roman" w:hAnsi="Times New Roman" w:eastAsia="宋体" w:cs="Times New Roman"/>
                <w:iCs/>
                <w:color w:val="auto"/>
                <w:sz w:val="24"/>
                <w:szCs w:val="24"/>
                <w:highlight w:val="none"/>
                <w:u w:val="none"/>
                <w:lang w:val="en-US" w:eastAsia="zh-CN" w:bidi="ar-SA"/>
              </w:rPr>
              <w:t>）屏体要求低功耗：正常使用中平均每平方米功耗小于100W。</w:t>
            </w:r>
          </w:p>
          <w:p w14:paraId="5D280334">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w:t>
            </w:r>
            <w:r>
              <w:rPr>
                <w:rFonts w:hint="eastAsia" w:ascii="Times New Roman" w:hAnsi="Times New Roman" w:eastAsia="宋体" w:cs="Times New Roman"/>
                <w:iCs/>
                <w:color w:val="auto"/>
                <w:sz w:val="24"/>
                <w:szCs w:val="24"/>
                <w:highlight w:val="none"/>
                <w:u w:val="none"/>
                <w:lang w:val="en-US" w:eastAsia="zh-CN" w:bidi="ar-SA"/>
              </w:rPr>
              <w:t>5</w:t>
            </w:r>
            <w:r>
              <w:rPr>
                <w:rFonts w:ascii="Times New Roman" w:hAnsi="Times New Roman" w:eastAsia="宋体" w:cs="Times New Roman"/>
                <w:iCs/>
                <w:color w:val="auto"/>
                <w:sz w:val="24"/>
                <w:szCs w:val="24"/>
                <w:highlight w:val="none"/>
                <w:u w:val="none"/>
                <w:lang w:val="en-US" w:eastAsia="zh-CN" w:bidi="ar-SA"/>
              </w:rPr>
              <w:t>）控制方式同步。</w:t>
            </w:r>
          </w:p>
          <w:p w14:paraId="2B823953">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w:t>
            </w:r>
            <w:r>
              <w:rPr>
                <w:rFonts w:hint="eastAsia" w:ascii="Times New Roman" w:hAnsi="Times New Roman" w:eastAsia="宋体" w:cs="Times New Roman"/>
                <w:iCs/>
                <w:color w:val="auto"/>
                <w:sz w:val="24"/>
                <w:szCs w:val="24"/>
                <w:highlight w:val="none"/>
                <w:u w:val="none"/>
                <w:lang w:val="en-US" w:eastAsia="zh-CN" w:bidi="ar-SA"/>
              </w:rPr>
              <w:t>6</w:t>
            </w:r>
            <w:r>
              <w:rPr>
                <w:rFonts w:ascii="Times New Roman" w:hAnsi="Times New Roman" w:eastAsia="宋体" w:cs="Times New Roman"/>
                <w:iCs/>
                <w:color w:val="auto"/>
                <w:sz w:val="24"/>
                <w:szCs w:val="24"/>
                <w:highlight w:val="none"/>
                <w:u w:val="none"/>
                <w:lang w:val="en-US" w:eastAsia="zh-CN" w:bidi="ar-SA"/>
              </w:rPr>
              <w:t>）信息屏的物理像素</w:t>
            </w:r>
            <w:r>
              <w:rPr>
                <w:rFonts w:hint="eastAsia" w:ascii="Times New Roman" w:hAnsi="Times New Roman" w:eastAsia="宋体" w:cs="Times New Roman"/>
                <w:iCs/>
                <w:color w:val="auto"/>
                <w:sz w:val="24"/>
                <w:szCs w:val="24"/>
                <w:highlight w:val="none"/>
                <w:u w:val="none"/>
                <w:lang w:val="en-US" w:eastAsia="zh-CN" w:bidi="ar-SA"/>
              </w:rPr>
              <w:t>不低于</w:t>
            </w:r>
            <w:r>
              <w:rPr>
                <w:rFonts w:ascii="Times New Roman" w:hAnsi="Times New Roman" w:eastAsia="宋体" w:cs="Times New Roman"/>
                <w:iCs/>
                <w:color w:val="auto"/>
                <w:sz w:val="24"/>
                <w:szCs w:val="24"/>
                <w:highlight w:val="none"/>
                <w:u w:val="none"/>
                <w:lang w:val="en-US" w:eastAsia="zh-CN" w:bidi="ar-SA"/>
              </w:rPr>
              <w:t xml:space="preserve"> 288点（宽）*96点（高）=92160像素。</w:t>
            </w:r>
          </w:p>
          <w:p w14:paraId="13BCE76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5、信息屏箱体材料为优质镀锌钢板折弯而成，采用特殊防腐处理，有较强的耐盐雾抗腐蚀性,具备良好的通风散热和防尘功能。外机箱表面用喷塑处理，喷塑后颜色为亚光灰色，不反光，防眩光。</w:t>
            </w:r>
          </w:p>
          <w:p w14:paraId="66610C4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6、显示像素密度 10000点/㎡。</w:t>
            </w:r>
          </w:p>
          <w:p w14:paraId="2D7DE6CA">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7、信息屏视角&gt;140°。</w:t>
            </w:r>
          </w:p>
          <w:p w14:paraId="5DDBF35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8、信息屏LED驱动方式恒定电流驱动方式。</w:t>
            </w:r>
          </w:p>
          <w:p w14:paraId="29D02CE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9、信息屏灰度等级 4096级灰度。</w:t>
            </w:r>
          </w:p>
          <w:p w14:paraId="47E534E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10、主控部分：显示屏采用工业控制计算机嵌入式控制系统，由中心控制室通过远程联网来控制显示屏正常工作，显示屏可以独立工作。</w:t>
            </w:r>
          </w:p>
          <w:p w14:paraId="330BCDC7">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w:t>
            </w:r>
            <w:r>
              <w:rPr>
                <w:rFonts w:hint="eastAsia" w:ascii="Times New Roman" w:hAnsi="Times New Roman" w:eastAsia="宋体" w:cs="Times New Roman"/>
                <w:iCs/>
                <w:color w:val="auto"/>
                <w:sz w:val="24"/>
                <w:szCs w:val="24"/>
                <w:highlight w:val="none"/>
                <w:lang w:val="en-US" w:eastAsia="zh-CN" w:bidi="ar-SA"/>
              </w:rPr>
              <w:t>1</w:t>
            </w:r>
            <w:r>
              <w:rPr>
                <w:rFonts w:ascii="Times New Roman" w:hAnsi="Times New Roman" w:eastAsia="宋体" w:cs="Times New Roman"/>
                <w:iCs/>
                <w:color w:val="auto"/>
                <w:sz w:val="24"/>
                <w:szCs w:val="24"/>
                <w:highlight w:val="none"/>
                <w:lang w:val="en-US" w:eastAsia="zh-CN" w:bidi="ar-SA"/>
              </w:rPr>
              <w:t>、信息屏采用自动调光控制系统，用来控制显示屏整体的发光强度，可有32个亮度等级可以控制。</w:t>
            </w:r>
          </w:p>
          <w:p w14:paraId="31839206">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w:t>
            </w:r>
            <w:r>
              <w:rPr>
                <w:rFonts w:hint="eastAsia" w:ascii="Times New Roman" w:hAnsi="Times New Roman" w:eastAsia="宋体" w:cs="Times New Roman"/>
                <w:iCs/>
                <w:color w:val="auto"/>
                <w:sz w:val="24"/>
                <w:szCs w:val="24"/>
                <w:highlight w:val="none"/>
                <w:lang w:val="en-US" w:eastAsia="zh-CN" w:bidi="ar-SA"/>
              </w:rPr>
              <w:t>2</w:t>
            </w:r>
            <w:r>
              <w:rPr>
                <w:rFonts w:ascii="Times New Roman" w:hAnsi="Times New Roman" w:eastAsia="宋体" w:cs="Times New Roman"/>
                <w:iCs/>
                <w:color w:val="auto"/>
                <w:sz w:val="24"/>
                <w:szCs w:val="24"/>
                <w:highlight w:val="none"/>
                <w:lang w:val="en-US" w:eastAsia="zh-CN" w:bidi="ar-SA"/>
              </w:rPr>
              <w:t>、换帧速度 ≥120帧/秒。</w:t>
            </w:r>
          </w:p>
          <w:p w14:paraId="6114AA56">
            <w:pPr>
              <w:spacing w:line="440" w:lineRule="exact"/>
              <w:rPr>
                <w:rFonts w:ascii="Times New Roman" w:hAnsi="Times New Roman" w:eastAsia="宋体" w:cs="Times New Roman"/>
                <w:i/>
                <w:iCs/>
                <w:color w:val="auto"/>
                <w:sz w:val="24"/>
                <w:szCs w:val="24"/>
                <w:highlight w:val="none"/>
                <w:u w:val="singl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13</w:t>
            </w:r>
            <w:r>
              <w:rPr>
                <w:rFonts w:ascii="Times New Roman" w:hAnsi="Times New Roman" w:eastAsia="宋体" w:cs="Times New Roman"/>
                <w:i/>
                <w:iCs/>
                <w:color w:val="auto"/>
                <w:sz w:val="24"/>
                <w:szCs w:val="24"/>
                <w:highlight w:val="none"/>
                <w:u w:val="single"/>
                <w:lang w:val="en-US" w:eastAsia="zh-CN" w:bidi="ar-SA"/>
              </w:rPr>
              <w:t>、显示屏的失控点小于万分之三（SJ/T11141－1997）。</w:t>
            </w:r>
          </w:p>
          <w:p w14:paraId="3BB8FC23">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14</w:t>
            </w:r>
            <w:r>
              <w:rPr>
                <w:rFonts w:ascii="Times New Roman" w:hAnsi="Times New Roman" w:eastAsia="宋体" w:cs="Times New Roman"/>
                <w:iCs/>
                <w:color w:val="auto"/>
                <w:sz w:val="24"/>
                <w:szCs w:val="24"/>
                <w:highlight w:val="none"/>
                <w:lang w:val="en-US" w:eastAsia="zh-CN" w:bidi="ar-SA"/>
              </w:rPr>
              <w:t>、显示屏安装要求显示屏表面平整度：小于1mm。</w:t>
            </w:r>
          </w:p>
          <w:p w14:paraId="00BA04EB">
            <w:pPr>
              <w:spacing w:line="440" w:lineRule="exact"/>
              <w:rPr>
                <w:rFonts w:ascii="Times New Roman" w:hAnsi="Times New Roman" w:eastAsia="宋体" w:cs="Times New Roman"/>
                <w:i/>
                <w:color w:val="auto"/>
                <w:sz w:val="24"/>
                <w:szCs w:val="24"/>
                <w:highlight w:val="none"/>
                <w:u w:val="single"/>
                <w:lang w:val="en-US" w:eastAsia="zh-CN" w:bidi="ar-SA"/>
              </w:rPr>
            </w:pPr>
            <w:r>
              <w:rPr>
                <w:rFonts w:hint="eastAsia" w:ascii="Times New Roman" w:hAnsi="Times New Roman" w:eastAsia="宋体" w:cs="Times New Roman"/>
                <w:i/>
                <w:color w:val="auto"/>
                <w:sz w:val="24"/>
                <w:szCs w:val="24"/>
                <w:highlight w:val="none"/>
                <w:u w:val="single"/>
                <w:lang w:val="en-US" w:eastAsia="zh-CN" w:bidi="ar-SA"/>
              </w:rPr>
              <w:t>15</w:t>
            </w:r>
            <w:r>
              <w:rPr>
                <w:rFonts w:ascii="Times New Roman" w:hAnsi="Times New Roman" w:eastAsia="宋体" w:cs="Times New Roman"/>
                <w:i/>
                <w:color w:val="auto"/>
                <w:sz w:val="24"/>
                <w:szCs w:val="24"/>
                <w:highlight w:val="none"/>
                <w:u w:val="single"/>
                <w:lang w:val="en-US" w:eastAsia="zh-CN" w:bidi="ar-SA"/>
              </w:rPr>
              <w:t>、信息屏能够与中心现有的诱导屏发布软件进行顺畅对接，确保能够受中心发布软件的控制。</w:t>
            </w:r>
          </w:p>
        </w:tc>
      </w:tr>
      <w:tr w14:paraId="11D4C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025174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BBAA4F9">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322BA5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4.9.4 交通信号控制机</w:t>
            </w:r>
          </w:p>
          <w:p w14:paraId="5DBDC51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同4.1.8。</w:t>
            </w:r>
          </w:p>
        </w:tc>
      </w:tr>
      <w:tr w14:paraId="628248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6D7D554">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7FDF28A">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3FEE0A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4.9.5 工业级交换机2</w:t>
            </w:r>
          </w:p>
          <w:p w14:paraId="7767CF96">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1、≥8个 10/100/1000Base-X 电口；≥2个 1000Base-X SFP光口；含 1 个千兆工业光模,传输距离≥20 公里。交换容量</w:t>
            </w:r>
            <w:r>
              <w:rPr>
                <w:rFonts w:hint="eastAsia" w:ascii="Times New Roman" w:hAnsi="Times New Roman" w:eastAsia="宋体" w:cs="Times New Roman"/>
                <w:iCs/>
                <w:color w:val="auto"/>
                <w:sz w:val="24"/>
                <w:szCs w:val="24"/>
                <w:highlight w:val="none"/>
                <w:lang w:val="en-US" w:eastAsia="zh-CN" w:bidi="ar-SA"/>
              </w:rPr>
              <w:t>不低于</w:t>
            </w:r>
            <w:r>
              <w:rPr>
                <w:rFonts w:ascii="Times New Roman" w:hAnsi="Times New Roman" w:eastAsia="宋体" w:cs="Times New Roman"/>
                <w:iCs/>
                <w:color w:val="auto"/>
                <w:sz w:val="24"/>
                <w:szCs w:val="24"/>
                <w:highlight w:val="none"/>
                <w:lang w:val="en-US" w:eastAsia="zh-CN" w:bidi="ar-SA"/>
              </w:rPr>
              <w:t>50G，全线速转发，MAC 地址 8K。</w:t>
            </w:r>
          </w:p>
          <w:p w14:paraId="29D7EE7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2、支持风暴抑制、端口VLAN划分、环网自愈、端口镜像、流量统计、LLDP等功能；同时考虑监控视频的特性，需支持12000巨帧传输。</w:t>
            </w:r>
          </w:p>
          <w:p w14:paraId="2F7A169B">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3、支持AC24V±30%供电，工作温度-40-85℃。1270nm≤中心波长≤1355nm，1530nm≤中心波长≤1565nm。</w:t>
            </w:r>
          </w:p>
          <w:p w14:paraId="3017B1B0">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
                <w:iCs w:val="0"/>
                <w:color w:val="auto"/>
                <w:sz w:val="24"/>
                <w:szCs w:val="24"/>
                <w:highlight w:val="none"/>
                <w:u w:val="single"/>
                <w:lang w:val="en-US" w:eastAsia="zh-CN" w:bidi="ar-SA"/>
              </w:rPr>
              <w:t>4、卡轨式波纹型材机壳，IP40以上防护等级，双电源冗余输入，5.08mm 工业端子电源接口。</w:t>
            </w:r>
          </w:p>
          <w:p w14:paraId="28A5EE83">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5、支持设备准入，支持未认证新设备接入告警与阻断。</w:t>
            </w:r>
          </w:p>
          <w:p w14:paraId="5D8B450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6、为保证设备在受到外界机械碰撞时能够正常运行，要求所投交换机IK防护测试级别至少达到IK05。</w:t>
            </w:r>
          </w:p>
          <w:p w14:paraId="1F08E5E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7、支持 SNMP，可接入交换机管理平台进行可视化管理、并通过平台对设备进行批量配置、具备设备告警、IP 地址管理，自动生成包括终端设备在内的监控拓扑等功能。</w:t>
            </w:r>
          </w:p>
          <w:p w14:paraId="721E7FEB">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8、交换机嵌入式软件符合GB/T 25000.51-2016《系统软件工程系统与软件质量要求和评价》SQuaRE第51部分：就绪可用软件产品（RUSP）的质量要求的测试细则的可靠性检测、平衡性、一致性检测。</w:t>
            </w:r>
          </w:p>
        </w:tc>
      </w:tr>
      <w:tr w14:paraId="7E0562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452B7E3">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2CA263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775D4E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4.9.6 智能设备箱</w:t>
            </w:r>
          </w:p>
          <w:p w14:paraId="30B62D4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同4.3.8。</w:t>
            </w:r>
          </w:p>
        </w:tc>
      </w:tr>
      <w:tr w14:paraId="326572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E602E02">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0695989">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A87096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4.9.7 接入接口要求</w:t>
            </w:r>
          </w:p>
          <w:p w14:paraId="57F3AB6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1、入口匝道控制设备应采用明确定义、可逻辑配置及物理隔离的接口，至少应预留4个以上接口，满足通信需求。</w:t>
            </w:r>
          </w:p>
          <w:p w14:paraId="513E3B5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2、接口1：用于设备调试，RS-232串口或者以太网端口。</w:t>
            </w:r>
          </w:p>
          <w:p w14:paraId="7CAEC19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3、接口2：以太网端口，带宽10/100M，用于系统与下端的通信。</w:t>
            </w:r>
          </w:p>
          <w:p w14:paraId="5081434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4、接口3：RS-232C串口，用于手动控制器、视频检测等外接设备。</w:t>
            </w:r>
          </w:p>
          <w:p w14:paraId="36033C9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5、接口4：RS-485串口，用于连接车道灯、可变信息标志、GPS对时等外接设备。</w:t>
            </w:r>
          </w:p>
          <w:p w14:paraId="25CB1496">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6、接口电路应符合标准，在信道质量符合标准的条件下形成稳定的中心与控制设备数据通信。</w:t>
            </w:r>
          </w:p>
        </w:tc>
      </w:tr>
      <w:tr w14:paraId="63372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A991EC1">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7B15438">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26011E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4.10 </w:t>
            </w:r>
            <w:r>
              <w:rPr>
                <w:rFonts w:ascii="Times New Roman" w:hAnsi="Times New Roman" w:eastAsia="宋体" w:cs="Times New Roman"/>
                <w:color w:val="auto"/>
                <w:sz w:val="24"/>
                <w:szCs w:val="24"/>
                <w:highlight w:val="none"/>
                <w:lang w:val="en-US" w:eastAsia="zh-CN" w:bidi="ar-SA"/>
              </w:rPr>
              <w:t>区间测速系统技术要求</w:t>
            </w:r>
          </w:p>
        </w:tc>
      </w:tr>
      <w:tr w14:paraId="65AD7F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C25341B">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0F37292">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8E04593">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4.10.1 区间测速系统功能要求</w:t>
            </w:r>
          </w:p>
          <w:p w14:paraId="7172FBC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超速取证功能：利用区间测速计算出的超速违法图片需要提供两张违法证据图片，其中测速起止点各一张全景图片能够满足人工对车辆号牌、车辆类型、颜色和轮廓及装载情况认定的要求，并能体现车辆类型及违法路段情况。</w:t>
            </w:r>
          </w:p>
          <w:p w14:paraId="4F24342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2、卡口功能：系统具有卡口功能，对每辆通过检测点的机动车进行拍照记录并完成号牌识别，传回监控中心，图片及识别结果予以保存，为破获交通逃逸等各类案件提供重要线索。</w:t>
            </w:r>
          </w:p>
          <w:p w14:paraId="50A355D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数据处理及传输功能：系统能在户外任何光照条件下正确捕捉图像，保存和传输数据，在违法图片下方叠加违法地点、路口（路段）编号、拍摄时间、车速等数据，并将超速违法相关信息通过网络传送到管理中心数据库。对于区间超速违法行为，系统自动计算出各个区间段平均车速，并将相关违法信息记录传入中心数据库。在软件中用户可根据自身需求设置图片压缩率，可调压缩率外围为20%-100%；抓拍效果可以达到整条车道的覆盖，并且能够抓拍骑线超速车辆，保证对车辆图像捕获率不小于95%，记录有效率不小于90%，记录处理时间不超过200ms。</w:t>
            </w:r>
          </w:p>
          <w:p w14:paraId="11A4315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4、车速检测功能：系统具备车速检测功能，车速在20-250km/h范围内测速误差在+3%之内。</w:t>
            </w:r>
          </w:p>
          <w:p w14:paraId="187CABC6">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5、车牌自动识别功能：系统可以对拍摄到的机动车号牌进行识别，识别内容包括："GA36-92"（92式牌照）、"GA36.1-2001"（02式新牌照）标准的民用车牌照、警车牌照、04式新军车牌照、07式武警新牌照等牌照的汉字、字母、数字、颜色等信息。机动车号牌全天候识别准确率达到90%以上；可识别新能源车辆号牌。</w:t>
            </w:r>
          </w:p>
          <w:p w14:paraId="1C94634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6、中心控制及管理功能：监控中心可以远程控制、远程维护前端设备，定期自动校时。对于在区间内的超速违法车辆，自动匹配超速违法起止点及计算平均车速，并将车辆违法信息自动存入违法信息库。</w:t>
            </w:r>
          </w:p>
          <w:p w14:paraId="1E8519A7">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7、自检功能：前端系统能通过软硬件自动检测系统故障并恢复正常工作，具有断电自动重启功能、日志记录功能；同时具有防盗、防雷、防雨、散热措施，确保整套系统运行的安全性。前端控制器采用模块式设计，能自动侦错报错，维修只需更换相应的模块。在中心可以完成对于前端通讯线路及抓拍点设备的实时监控，并对系统故障自动报警。</w:t>
            </w:r>
          </w:p>
          <w:p w14:paraId="0FF1FEEF">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8、违法行为查询统计功能：按照违法类型、违法时间等条件对系统中产生的所有违法信息进行分类统计，并针对区间超速违法类型，分别统计出各个速度范围内的超速情况，统计结果以列表和图表方式输出，并可查看详细清单。</w:t>
            </w:r>
          </w:p>
          <w:p w14:paraId="34EAA767">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9、交通数据检测及分析功能：系统可根据前端采集的测量数据，应用交通模拟统计各种交通参数。主要有：</w:t>
            </w:r>
          </w:p>
          <w:p w14:paraId="1688F69D">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（1）交通流量参数计算：系统能实时统计断面的流量、平均速度、密度、占有率等参数。</w:t>
            </w:r>
          </w:p>
          <w:p w14:paraId="36B63FC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u w:val="none"/>
                <w:lang w:val="en-US" w:eastAsia="zh-CN" w:bidi="ar-SA"/>
              </w:rPr>
              <w:t>（2）路径旅行时间计算：系统能实时统计监控区域的车辆平均行程时间。</w:t>
            </w:r>
          </w:p>
        </w:tc>
      </w:tr>
      <w:tr w14:paraId="2F357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197F815">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69DF38C">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942B3E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4.10.2 </w:t>
            </w:r>
            <w:r>
              <w:rPr>
                <w:rFonts w:ascii="Times New Roman" w:hAnsi="Times New Roman" w:eastAsia="宋体" w:cs="Times New Roman"/>
                <w:color w:val="auto"/>
                <w:sz w:val="24"/>
                <w:szCs w:val="24"/>
                <w:highlight w:val="none"/>
                <w:lang w:val="en-US" w:eastAsia="zh-CN" w:bidi="ar-SA"/>
              </w:rPr>
              <w:t>环保生态抓拍单元（前牌）</w:t>
            </w:r>
          </w:p>
          <w:p w14:paraId="42A46293">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1、包含一体化高清摄像机、高清镜头、室外防护罩、相机内置网络信号防雷器、电源适配器，支持车辆及车内前排人员的检测抓拍，针对人员可输出清晰人脸特征图，用于比对分析。</w:t>
            </w:r>
          </w:p>
          <w:p w14:paraId="79E9389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2、传感器类型采用2个</w:t>
            </w:r>
            <w:r>
              <w:rPr>
                <w:rFonts w:hint="eastAsia" w:ascii="Times New Roman" w:hAnsi="Times New Roman" w:eastAsia="宋体" w:cs="Times New Roman"/>
                <w:iCs/>
                <w:color w:val="auto"/>
                <w:sz w:val="24"/>
                <w:szCs w:val="24"/>
                <w:highlight w:val="none"/>
                <w:lang w:val="en-US" w:eastAsia="zh-CN" w:bidi="ar-SA"/>
              </w:rPr>
              <w:t>不低于</w:t>
            </w:r>
            <w:r>
              <w:rPr>
                <w:rFonts w:ascii="Times New Roman" w:hAnsi="Times New Roman" w:eastAsia="宋体" w:cs="Times New Roman"/>
                <w:iCs/>
                <w:color w:val="auto"/>
                <w:sz w:val="24"/>
                <w:szCs w:val="24"/>
                <w:highlight w:val="none"/>
                <w:lang w:val="en-US" w:eastAsia="zh-CN" w:bidi="ar-SA"/>
              </w:rPr>
              <w:t>1.1英寸GS-CMOS；镜头和双传感器一体化设计，内置独立的三角分光器装置，分别提取红外细节信息和可见路的色彩信息，配合先进的双光融合算法将两幅画面合二为一。</w:t>
            </w:r>
          </w:p>
          <w:p w14:paraId="75184BD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3、最低照度满足：彩色：≤0.0002lx，黑白：≤0.0001 lx。</w:t>
            </w:r>
          </w:p>
          <w:p w14:paraId="5A23FDC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4、支持视频压缩标准，H.265、H.264、M-JEPG。</w:t>
            </w:r>
          </w:p>
          <w:p w14:paraId="1C0D786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5、支持字符叠加功能，可支持不小于16行字符叠加，对齐方式和叠加位置可设,玻璃透光率≥99%，亮度（灰度）等级≥12级。</w:t>
            </w:r>
          </w:p>
          <w:p w14:paraId="67C81E9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6、支持通过对监视画面对车道进行检测并自动划分检测区域,支持在水平倾斜范围最大40°的情况下能够对车牌进行识别。</w:t>
            </w:r>
          </w:p>
          <w:p w14:paraId="5320998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7、支持对不同焦段的电动聚焦/变焦镜头进行自动识别，在更换镜头时可自动实现聚焦清晰；支持透雾模式的开启和关闭，可分别设置早晨/傍晚/白天/夜晚等不同场景下的透雾模式状态。</w:t>
            </w:r>
          </w:p>
          <w:p w14:paraId="22B184F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8、支持分别对</w:t>
            </w:r>
            <w:r>
              <w:rPr>
                <w:rFonts w:hint="eastAsia" w:ascii="Times New Roman" w:hAnsi="Times New Roman" w:eastAsia="宋体" w:cs="Times New Roman"/>
                <w:iCs/>
                <w:color w:val="auto"/>
                <w:sz w:val="24"/>
                <w:szCs w:val="24"/>
                <w:highlight w:val="none"/>
                <w:lang w:val="en-US" w:eastAsia="zh-CN" w:bidi="ar-SA"/>
              </w:rPr>
              <w:t>不少于</w:t>
            </w:r>
            <w:r>
              <w:rPr>
                <w:rFonts w:ascii="Times New Roman" w:hAnsi="Times New Roman" w:eastAsia="宋体" w:cs="Times New Roman"/>
                <w:iCs/>
                <w:color w:val="auto"/>
                <w:sz w:val="24"/>
                <w:szCs w:val="24"/>
                <w:highlight w:val="none"/>
                <w:lang w:val="en-US" w:eastAsia="zh-CN" w:bidi="ar-SA"/>
              </w:rPr>
              <w:t>24种不同的抓拍规则设置叠加不同的OSD信息，包括卡口、逆行、压白线、欠速、超速、禁货、违法变道、黄牌占道、不按车道行驶、有车占道、违法停车、车辆排队加塞、压黄线、主驾驶不系安全带、驾驶员抽烟、驾驶员打电话、交通拥堵、行人事件、行人卡口、非机动车占道、非机动车超载、未带安全头盔、非机动车装载伞具、车牌污损等24种。</w:t>
            </w:r>
          </w:p>
          <w:p w14:paraId="29325AD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9、支持跨浏览器功能，支持360浏览器、IE浏览器、客户端软件、谷歌浏览器、火狐浏览器、搜狗浏览器、百度浏览器等远程监看方式，可实时监控图像的同时输出抓拍到的车辆信息。</w:t>
            </w:r>
          </w:p>
          <w:p w14:paraId="01A1DD5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10、支持图片字符叠加功能，可在抓拍的图片上叠加时间（精确到毫秒）、地点、车道号、限速值、车辆品牌、车速、车身颜色、车牌号码等信息。</w:t>
            </w:r>
          </w:p>
          <w:p w14:paraId="0B1D592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11、Web界面支持配置合成图的时间，合成图时间可选择第1张或者最后1张的时间在OSD上进行叠加；支持在预览界面利用图标实时显示道路信号灯红绿状态。</w:t>
            </w:r>
          </w:p>
          <w:p w14:paraId="3CB3C8E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12、当网络断开时，可将抓拍到的图片和录像文件存储于相机内置SD/TF卡内和USB外接存储中，当网络恢复时，可继续上传抓拍的图片到客户端，并支持图片检索，自动覆盖，自动上传功能。</w:t>
            </w:r>
          </w:p>
          <w:p w14:paraId="002DBE76">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13、支持按车道属性设置，判定车辆行驶方向，车辆行驶方向包含：南向北、北向南、西向东、东向西、来向、去向、左转、右转等。</w:t>
            </w:r>
          </w:p>
          <w:p w14:paraId="16E3D39F">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14、支持车辆捕获功能，白天准确率≥99%，晚上捕获率≥99%；支持车牌识别功能，白天准确率≥99%，晚上准确率≥99%；支持新能源车牌识别，白天准确率≥99%，晚上准确率≥99%。</w:t>
            </w:r>
          </w:p>
          <w:p w14:paraId="49DF4E2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15、支持潮汐车道变换时间段设置，对车辆违反潮汐车道当前道路属性的行为进行抓拍，白天捕获率≥99%；晚上捕获率≥99%。</w:t>
            </w:r>
          </w:p>
          <w:p w14:paraId="4A237DBF">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16、支持识别车头3700种车系，车尾1800种车系，白天准确率97%，晚上准确率90%;支持350种车标识别，白天准确率≥98%，晚上准确率≥98%。</w:t>
            </w:r>
          </w:p>
          <w:p w14:paraId="0E823F60">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17、支持未系安全带识别功能，白天准确率≥98%，晚上准确率≥98%;支持驾驶员打电话识别功能，识别准确率≥95%。</w:t>
            </w:r>
          </w:p>
          <w:p w14:paraId="7907EA9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18、支持正向和背向的摩托车/非机动车未带头盔检测，摩托车、自行车、电动车、二轮/三轮车载人检测、载人人数统计功能，非机动车逆行抓拍功能，非机动车遮阳伞检测功能。</w:t>
            </w:r>
          </w:p>
          <w:p w14:paraId="0C9412A7">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19、支持非机动车、行人捕获功能，白天捕获率≥99%，晚上捕获率≥99%。</w:t>
            </w:r>
          </w:p>
          <w:p w14:paraId="3672475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20、支持13种车身颜色识别，包括：黑、白、灰、红、绿、蓝、黄、粉、紫、棕、青、金、橙，白天准确率99%，晚上准确率95%。</w:t>
            </w:r>
          </w:p>
          <w:p w14:paraId="7BBF8E8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21、支持驾驶室人脸抠图，抓拍图片可以看清人脸，并可保存小图上传，主驾驶人脸抠图概率≥99%，副驾驶人脸抠图概率≥95%。</w:t>
            </w:r>
          </w:p>
          <w:p w14:paraId="667464A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22、支持双网口，2个网口具有独立的MAC地址，可以独立设置IP地址信息。</w:t>
            </w:r>
          </w:p>
          <w:p w14:paraId="06BB224A">
            <w:pPr>
              <w:spacing w:line="440" w:lineRule="exact"/>
              <w:rPr>
                <w:rFonts w:ascii="Times New Roman" w:hAnsi="Times New Roman" w:eastAsia="宋体" w:cs="Times New Roman"/>
                <w:i/>
                <w:iCs w:val="0"/>
                <w:color w:val="auto"/>
                <w:sz w:val="24"/>
                <w:szCs w:val="24"/>
                <w:highlight w:val="none"/>
                <w:u w:val="single"/>
                <w:lang w:val="en-US" w:eastAsia="zh-CN" w:bidi="ar-SA"/>
              </w:rPr>
            </w:pPr>
            <w:r>
              <w:rPr>
                <w:rFonts w:ascii="Times New Roman" w:hAnsi="Times New Roman" w:eastAsia="宋体" w:cs="Times New Roman"/>
                <w:i/>
                <w:iCs w:val="0"/>
                <w:color w:val="auto"/>
                <w:sz w:val="24"/>
                <w:szCs w:val="24"/>
                <w:highlight w:val="none"/>
                <w:u w:val="single"/>
                <w:lang w:val="en-US" w:eastAsia="zh-CN" w:bidi="ar-SA"/>
              </w:rPr>
              <w:t>23、支持1400协议，支持GB35114安全加密，支持GB28181-2022协议。</w:t>
            </w:r>
          </w:p>
          <w:p w14:paraId="314C682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24、支持在50V-315V供电的条件下正常工作；工作温度满足-45℃~90℃；不低于IP67防护等级。</w:t>
            </w:r>
          </w:p>
        </w:tc>
      </w:tr>
      <w:tr w14:paraId="58D28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A0C55D7">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5F089D7">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1697636">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4.10.3 智能补光灯</w:t>
            </w:r>
          </w:p>
          <w:p w14:paraId="2BAD21E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同4.3.4。</w:t>
            </w:r>
          </w:p>
        </w:tc>
      </w:tr>
      <w:tr w14:paraId="1CEF1A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E1DB67E">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B75013C">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35E48B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4.10.4 前端存储管理主机</w:t>
            </w:r>
          </w:p>
          <w:p w14:paraId="16C58DB7">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同4.3.6。</w:t>
            </w:r>
          </w:p>
        </w:tc>
      </w:tr>
      <w:tr w14:paraId="097EB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5D1C79B">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413F962">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064319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4.10.5 工业级交换机3</w:t>
            </w:r>
          </w:p>
          <w:p w14:paraId="495A6899">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1、≥8个10/100ase-X电口。</w:t>
            </w:r>
          </w:p>
          <w:p w14:paraId="2D4DDB7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交换带宽不小于1.6 G，包转发率不小于1.2 Mpps。</w:t>
            </w:r>
          </w:p>
          <w:p w14:paraId="28B1F60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cs="Times New Roman"/>
                <w:iCs/>
                <w:color w:val="auto"/>
                <w:sz w:val="24"/>
                <w:szCs w:val="24"/>
                <w:highlight w:val="none"/>
                <w:lang w:val="en-US" w:eastAsia="zh-CN" w:bidi="ar-SA"/>
              </w:rPr>
              <w:t>2</w:t>
            </w:r>
            <w:r>
              <w:rPr>
                <w:rFonts w:ascii="Times New Roman" w:hAnsi="Times New Roman" w:eastAsia="宋体" w:cs="Times New Roman"/>
                <w:iCs/>
                <w:color w:val="auto"/>
                <w:sz w:val="24"/>
                <w:szCs w:val="24"/>
                <w:highlight w:val="none"/>
                <w:lang w:val="en-US" w:eastAsia="zh-CN" w:bidi="ar-SA"/>
              </w:rPr>
              <w:t>、所有端口不同帧长度均具备线速转发能力,整机吞吐量100%，重载丢包率为0。</w:t>
            </w:r>
          </w:p>
          <w:p w14:paraId="1FDFDDE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支持电源过载防反接保护抗浪涌冲击，抗电快速瞬变脉冲群。</w:t>
            </w:r>
          </w:p>
          <w:p w14:paraId="522C120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cs="Times New Roman"/>
                <w:iCs/>
                <w:color w:val="auto"/>
                <w:sz w:val="24"/>
                <w:szCs w:val="24"/>
                <w:highlight w:val="none"/>
                <w:lang w:val="en-US" w:eastAsia="zh-CN" w:bidi="ar-SA"/>
              </w:rPr>
              <w:t>3</w:t>
            </w:r>
            <w:r>
              <w:rPr>
                <w:rFonts w:ascii="Times New Roman" w:hAnsi="Times New Roman" w:eastAsia="宋体" w:cs="Times New Roman"/>
                <w:iCs/>
                <w:color w:val="auto"/>
                <w:sz w:val="24"/>
                <w:szCs w:val="24"/>
                <w:highlight w:val="none"/>
                <w:lang w:val="en-US" w:eastAsia="zh-CN" w:bidi="ar-SA"/>
              </w:rPr>
              <w:t>、静电放电不少于15KV，接触放电不少于8KV。</w:t>
            </w:r>
          </w:p>
          <w:p w14:paraId="0F73106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支持-40～85℃温度范围满负载工作。</w:t>
            </w:r>
          </w:p>
          <w:p w14:paraId="2BDFE26F">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支持5%～95%（无冷凝）湿度范围稳定运。</w:t>
            </w:r>
          </w:p>
        </w:tc>
      </w:tr>
      <w:tr w14:paraId="26AD37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8492A36">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890D846">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9F2AD58">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4.10.6 接入接口要求</w:t>
            </w:r>
          </w:p>
          <w:p w14:paraId="3857EB1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1、提供至少一个100M以太网接口，实现数据上传与下载功能。</w:t>
            </w:r>
          </w:p>
          <w:p w14:paraId="7701996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2、提供系统/设备调试接口，便于进行系统软件升级、功能调整与故障的诊断修复。</w:t>
            </w:r>
          </w:p>
          <w:p w14:paraId="09023E6D">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3、提供外场本地输出接口，利于在故障尚未恢复的情况下本地导出数据的。</w:t>
            </w:r>
          </w:p>
          <w:p w14:paraId="2DC777E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数据接口应满足《全国道路交通管理信息数据库规范》（GA329）。</w:t>
            </w:r>
          </w:p>
        </w:tc>
      </w:tr>
      <w:tr w14:paraId="146D4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DC26517">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F463211">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4F26F8E">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4.11 广播系统技术要求</w:t>
            </w:r>
          </w:p>
        </w:tc>
      </w:tr>
      <w:tr w14:paraId="2D829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286AA74">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3EE1D56">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4CF4410">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4.11.1 广播系统功能要求</w:t>
            </w:r>
          </w:p>
          <w:p w14:paraId="1744DA1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广播系统主要运用于快速路主线上各种分合流之前或事故易发处，用于在发生严重拥堵、或发生严重交通事件时，作为交通控制指挥系统的辅助手段，提供事件信息发布和预警消息，同时有效地实施指挥车辆、指导人员疏散等工作。</w:t>
            </w:r>
          </w:p>
          <w:p w14:paraId="5B69E52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2、广播系统也可用于对违法行为集中路段的交通违法行为主体进行声讯警告，如对路边停车集中路段的声讯警告等。</w:t>
            </w:r>
          </w:p>
          <w:p w14:paraId="34EA7C6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3、路边广播系统根据交通管理需要，既可以与视频监控系统、信息采集系统、事件检测系统等联动，自动对违法行为发出声讯警告；也可由人工控制发布信息；同时具备分区广播功能，定时自动播放、关闭。</w:t>
            </w:r>
          </w:p>
          <w:p w14:paraId="2ACE169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4、路边广播系统前端设备建议采用高功率单面室外防水音柱，音量不得高于65分贝，音柱相邻间隔依据功率不同原则上需满足30~35米（60W）或60~70米（80W）。</w:t>
            </w:r>
          </w:p>
          <w:p w14:paraId="479EFFF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5、外场建设的广播设备需顺畅接入交警指挥中心已建的网络广播系统中，进行统一管理。</w:t>
            </w:r>
          </w:p>
        </w:tc>
      </w:tr>
      <w:tr w14:paraId="623AE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2A2D61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DB79573">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3D4AD4A">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4.11.2 室外防水音柱</w:t>
            </w:r>
          </w:p>
          <w:p w14:paraId="5CA3FFB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◆1、采用双面扬声器单元设计，声音覆盖面广。专属安装支架。</w:t>
            </w:r>
          </w:p>
          <w:p w14:paraId="55B6345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◆2、材料：铝合金。</w:t>
            </w:r>
          </w:p>
          <w:p w14:paraId="647F0FF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◆3、额定功率（100V）≥120W。</w:t>
            </w:r>
          </w:p>
          <w:p w14:paraId="461DF4E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◆4、最大功率 ≤160W。</w:t>
            </w:r>
          </w:p>
          <w:p w14:paraId="6AEAF65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◆5、灵敏度 93dB±3dB。</w:t>
            </w:r>
          </w:p>
          <w:p w14:paraId="51B3C07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◆6、阻抗黑:COM  白:125Ω。</w:t>
            </w:r>
          </w:p>
          <w:p w14:paraId="3C6293C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◆7、频率响应 150-14.5KHz。</w:t>
            </w:r>
          </w:p>
        </w:tc>
      </w:tr>
      <w:tr w14:paraId="0B82A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B894074">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600AE87C">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32839E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4.11.3 </w:t>
            </w:r>
            <w:r>
              <w:rPr>
                <w:rFonts w:ascii="Times New Roman" w:hAnsi="Times New Roman" w:eastAsia="宋体" w:cs="Times New Roman"/>
                <w:color w:val="auto"/>
                <w:sz w:val="24"/>
                <w:szCs w:val="24"/>
                <w:highlight w:val="none"/>
                <w:lang w:val="en-US" w:eastAsia="zh-CN" w:bidi="ar-SA"/>
              </w:rPr>
              <w:t>IP网络解码带功放终端</w:t>
            </w:r>
          </w:p>
          <w:p w14:paraId="2B85F7C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◆1、标准19英寸机架设计。</w:t>
            </w:r>
          </w:p>
          <w:p w14:paraId="0C1FEDE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2、网络接口：标准RJ45输入。</w:t>
            </w:r>
          </w:p>
          <w:p w14:paraId="3E265AD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3、支持协议：TCP/IP，UDP，IGMP(组播)。</w:t>
            </w:r>
          </w:p>
          <w:p w14:paraId="33DB554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◆4、采样率：8KHz～48KHz,AUX。</w:t>
            </w:r>
          </w:p>
          <w:p w14:paraId="1BF0E95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◆5、输出幅度：</w:t>
            </w:r>
            <w:r>
              <w:rPr>
                <w:rFonts w:ascii="Times New Roman" w:hAnsi="Times New Roman" w:eastAsia="宋体" w:cs="Times New Roman"/>
                <w:iCs/>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1000mV。</w:t>
            </w:r>
          </w:p>
          <w:p w14:paraId="2C850F8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◆6、2路莲花座输出接口。</w:t>
            </w:r>
          </w:p>
          <w:p w14:paraId="214F3E2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◆7、AUX输出阻抗：≤470Ω。</w:t>
            </w:r>
          </w:p>
          <w:p w14:paraId="67C6D2C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◆8、频率响应：80Hz～16KHz。</w:t>
            </w:r>
          </w:p>
          <w:p w14:paraId="1259E9B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、谐波失真：≤0.3%。</w:t>
            </w:r>
          </w:p>
          <w:p w14:paraId="787ADAC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0</w:t>
            </w:r>
            <w:r>
              <w:rPr>
                <w:rFonts w:ascii="Times New Roman" w:hAnsi="Times New Roman" w:eastAsia="宋体" w:cs="Times New Roman"/>
                <w:color w:val="auto"/>
                <w:sz w:val="24"/>
                <w:szCs w:val="24"/>
                <w:highlight w:val="none"/>
                <w:lang w:val="en-US" w:eastAsia="zh-CN" w:bidi="ar-SA"/>
              </w:rPr>
              <w:t>、信噪比：＞65dB。</w:t>
            </w:r>
          </w:p>
          <w:p w14:paraId="6146BC5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1</w:t>
            </w:r>
            <w:r>
              <w:rPr>
                <w:rFonts w:ascii="Times New Roman" w:hAnsi="Times New Roman" w:eastAsia="宋体" w:cs="Times New Roman"/>
                <w:color w:val="auto"/>
                <w:sz w:val="24"/>
                <w:szCs w:val="24"/>
                <w:highlight w:val="none"/>
                <w:lang w:val="en-US" w:eastAsia="zh-CN" w:bidi="ar-SA"/>
              </w:rPr>
              <w:t>、额定输出功率：</w:t>
            </w:r>
            <w:r>
              <w:rPr>
                <w:rFonts w:ascii="Times New Roman" w:hAnsi="Times New Roman" w:eastAsia="宋体" w:cs="Times New Roman"/>
                <w:iCs/>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500W。</w:t>
            </w:r>
          </w:p>
          <w:p w14:paraId="49A2EF63">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w:t>
            </w:r>
            <w:r>
              <w:rPr>
                <w:rFonts w:hint="eastAsia" w:ascii="Times New Roman" w:hAnsi="Times New Roman" w:eastAsia="宋体" w:cs="Times New Roman"/>
                <w:iCs/>
                <w:color w:val="auto"/>
                <w:sz w:val="24"/>
                <w:szCs w:val="24"/>
                <w:highlight w:val="none"/>
                <w:lang w:val="en-US" w:eastAsia="zh-CN" w:bidi="ar-SA"/>
              </w:rPr>
              <w:t>2</w:t>
            </w:r>
            <w:r>
              <w:rPr>
                <w:rFonts w:ascii="Times New Roman" w:hAnsi="Times New Roman" w:eastAsia="宋体" w:cs="Times New Roman"/>
                <w:iCs/>
                <w:color w:val="auto"/>
                <w:sz w:val="24"/>
                <w:szCs w:val="24"/>
                <w:highlight w:val="none"/>
                <w:lang w:val="en-US" w:eastAsia="zh-CN" w:bidi="ar-SA"/>
              </w:rPr>
              <w:t>、输入灵敏度&amp;输入阻抗：775mV/10KΩ。平衡 ×LR/TRS接口。</w:t>
            </w:r>
          </w:p>
          <w:p w14:paraId="282E267A">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w:t>
            </w:r>
            <w:r>
              <w:rPr>
                <w:rFonts w:hint="eastAsia" w:ascii="Times New Roman" w:hAnsi="Times New Roman" w:eastAsia="宋体" w:cs="Times New Roman"/>
                <w:iCs/>
                <w:color w:val="auto"/>
                <w:sz w:val="24"/>
                <w:szCs w:val="24"/>
                <w:highlight w:val="none"/>
                <w:lang w:val="en-US" w:eastAsia="zh-CN" w:bidi="ar-SA"/>
              </w:rPr>
              <w:t>3</w:t>
            </w:r>
            <w:r>
              <w:rPr>
                <w:rFonts w:ascii="Times New Roman" w:hAnsi="Times New Roman" w:eastAsia="宋体" w:cs="Times New Roman"/>
                <w:iCs/>
                <w:color w:val="auto"/>
                <w:sz w:val="24"/>
                <w:szCs w:val="24"/>
                <w:highlight w:val="none"/>
                <w:lang w:val="en-US" w:eastAsia="zh-CN" w:bidi="ar-SA"/>
              </w:rPr>
              <w:t>、输出灵敏度&amp;输出源阻抗：775mV/470Ω。平衡 ×LR 接口。</w:t>
            </w:r>
          </w:p>
        </w:tc>
      </w:tr>
      <w:tr w14:paraId="47693C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67AA692">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BCDC698">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921DEC0">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4.12 鱼腹线实线变道抓拍系统技术要求</w:t>
            </w:r>
          </w:p>
        </w:tc>
      </w:tr>
      <w:tr w14:paraId="31753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9EF8401">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F2E7EBE">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F4090AC">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4.12.1 鱼腹线实线变道抓拍系统功能要求</w:t>
            </w:r>
          </w:p>
          <w:p w14:paraId="51C9853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◆1、驾驶人面部特征记录功能：在本项目所有桥上违法实线变道摄像机，通过对驾驶人面部特征记录功能，将违法行为与对应车辆的正向图片匹配起来，从而将违法行为固定到驾驶人。</w:t>
            </w:r>
          </w:p>
          <w:p w14:paraId="60CED83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图像记录存储功能：系统记录的车辆信息除车辆图像信息外，还应记录车辆的通行信息，如时间、地点、方向、号牌号码、号牌颜色、车道编号等，并将相关信息叠加到图片上。实现车辆采集、车辆号牌全自动识别、以及相关控制数据存储等功能。车辆图像捕获时应不受雨、雪、雾等天气、环境光和相临车道通行车辆的影响而出现误记录。在环境无雾包括雨雪天气下，监控区域内规范行驶的车辆被记录的图片应能看清车辆类型、颜色和所载货物等。</w:t>
            </w:r>
          </w:p>
          <w:p w14:paraId="595C6D9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◆3、前端备份存储功能：系统采集的图片、视频可在设备前端做备份存储，按照数据存储时长的要求配置不同容量的硬盘。系统可根据预先的空间分配，优先保证足够的图片存储空间，保证核心数据不丢失。</w:t>
            </w:r>
          </w:p>
          <w:p w14:paraId="434AB1E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◆4、记录有效率：在标注的适用条件下，记录有效率应不小于80％。</w:t>
            </w:r>
          </w:p>
          <w:p w14:paraId="7A4C2BE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◆5、计时误差：闯红灯自动记录系统24h计时误差应不超过1s。</w:t>
            </w:r>
          </w:p>
          <w:p w14:paraId="339C217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◆6、数据传输：</w:t>
            </w:r>
          </w:p>
          <w:p w14:paraId="0A1C9D04">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single"/>
                <w:lang w:val="en-US" w:eastAsia="zh-CN" w:bidi="ar-SA"/>
              </w:rPr>
              <w:t>（</w:t>
            </w:r>
            <w:r>
              <w:rPr>
                <w:rFonts w:ascii="Times New Roman" w:hAnsi="Times New Roman" w:eastAsia="宋体" w:cs="Times New Roman"/>
                <w:color w:val="auto"/>
                <w:sz w:val="24"/>
                <w:szCs w:val="24"/>
                <w:highlight w:val="none"/>
                <w:u w:val="none"/>
                <w:lang w:val="en-US" w:eastAsia="zh-CN" w:bidi="ar-SA"/>
              </w:rPr>
              <w:t>1）数据传输要求：闯红灯自动记录系统应具备联网数据传输或现场数据下载功能。</w:t>
            </w:r>
          </w:p>
          <w:p w14:paraId="0BFFA907">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（2）联网数据传输：通过网络将机动车闯红灯信息自动传输到指定数据中心，且信息传输应具有防丢失、防篡改等功能。</w:t>
            </w:r>
          </w:p>
          <w:p w14:paraId="6584B4D1">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（3）现场数据下载：现场将机动车闯红灯信息人工或自动下载到存储介质中后带回数据中心，下载过程不得删改原始信息，且应自动生成下载日志信息，包括下载人、下载时间等信息。</w:t>
            </w:r>
          </w:p>
          <w:p w14:paraId="35B9412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◆7、号牌识别功能：系统应支持摄像机内置车牌识别功能，能识别的号牌结构应包括：</w:t>
            </w:r>
          </w:p>
          <w:p w14:paraId="77199313">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color w:val="auto"/>
                <w:sz w:val="24"/>
                <w:szCs w:val="24"/>
                <w:highlight w:val="none"/>
                <w:u w:val="none"/>
                <w:lang w:val="en-US" w:eastAsia="zh-CN" w:bidi="ar-SA"/>
              </w:rPr>
              <w:t>1）单排字符结构的号牌，如军队用小型汽车号牌、GA36-2007中的小型汽车号牌、港澳入出境车号牌、教练汽车号牌等。</w:t>
            </w:r>
          </w:p>
          <w:p w14:paraId="4592B0C1">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（2）可识别武警用小型汽车号牌。</w:t>
            </w:r>
          </w:p>
          <w:p w14:paraId="0F9D38CC">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（3）可识别警用汽车号牌。</w:t>
            </w:r>
          </w:p>
          <w:p w14:paraId="292AEC73">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（4）可识别新能源车辆号牌。</w:t>
            </w:r>
          </w:p>
          <w:p w14:paraId="51C7F389">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（5）双排字符结构的号牌，如军队用大型汽车号牌、武警用大型汽车号牌、GA36-2007中的大型汽车号牌、挂车号牌、低速汽车号牌、摩托车号牌等。</w:t>
            </w:r>
          </w:p>
          <w:p w14:paraId="76DE7D06">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（6）号牌字符识别：应识别的字符包括：</w:t>
            </w:r>
          </w:p>
          <w:p w14:paraId="1E0BE38C">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①</w:t>
            </w:r>
            <w:r>
              <w:rPr>
                <w:rFonts w:ascii="Times New Roman" w:hAnsi="Times New Roman" w:eastAsia="宋体" w:cs="Times New Roman"/>
                <w:color w:val="auto"/>
                <w:sz w:val="24"/>
                <w:szCs w:val="24"/>
                <w:highlight w:val="none"/>
                <w:u w:val="none"/>
                <w:lang w:val="en-US" w:eastAsia="zh-CN" w:bidi="ar-SA"/>
              </w:rPr>
              <w:t>数字：0~9；</w:t>
            </w:r>
          </w:p>
          <w:p w14:paraId="3E87DA51">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②</w:t>
            </w:r>
            <w:r>
              <w:rPr>
                <w:rFonts w:ascii="Times New Roman" w:hAnsi="Times New Roman" w:eastAsia="宋体" w:cs="Times New Roman"/>
                <w:color w:val="auto"/>
                <w:sz w:val="24"/>
                <w:szCs w:val="24"/>
                <w:highlight w:val="none"/>
                <w:u w:val="none"/>
                <w:lang w:val="en-US" w:eastAsia="zh-CN" w:bidi="ar-SA"/>
              </w:rPr>
              <w:t>字母：A~Z；</w:t>
            </w:r>
          </w:p>
          <w:p w14:paraId="287D70B8">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③</w:t>
            </w:r>
            <w:r>
              <w:rPr>
                <w:rFonts w:ascii="Times New Roman" w:hAnsi="Times New Roman" w:eastAsia="宋体" w:cs="Times New Roman"/>
                <w:color w:val="auto"/>
                <w:sz w:val="24"/>
                <w:szCs w:val="24"/>
                <w:highlight w:val="none"/>
                <w:u w:val="none"/>
                <w:lang w:val="en-US" w:eastAsia="zh-CN" w:bidi="ar-SA"/>
              </w:rPr>
              <w:t>省、自治区、直辖市简称：京、津、晋、冀、蒙、辽、吉、黑、沪、苏、浙、皖、闽、赣、鲁、豫、鄂、湘、粤、桂、琼、川、贵、云、藏、陕、甘、青、宁、新、渝；</w:t>
            </w:r>
          </w:p>
          <w:p w14:paraId="0B2CADC2">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④</w:t>
            </w:r>
            <w:r>
              <w:rPr>
                <w:rFonts w:ascii="Times New Roman" w:hAnsi="Times New Roman" w:eastAsia="宋体" w:cs="Times New Roman"/>
                <w:color w:val="auto"/>
                <w:sz w:val="24"/>
                <w:szCs w:val="24"/>
                <w:highlight w:val="none"/>
                <w:u w:val="none"/>
                <w:lang w:val="en-US" w:eastAsia="zh-CN" w:bidi="ar-SA"/>
              </w:rPr>
              <w:t>军牌用汉字：军、海、空、北、沈、南、兰、广、成、济、京；</w:t>
            </w:r>
          </w:p>
          <w:p w14:paraId="7E01D6C4">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⑤</w:t>
            </w:r>
            <w:r>
              <w:rPr>
                <w:rFonts w:ascii="Times New Roman" w:hAnsi="Times New Roman" w:eastAsia="宋体" w:cs="Times New Roman"/>
                <w:color w:val="auto"/>
                <w:sz w:val="24"/>
                <w:szCs w:val="24"/>
                <w:highlight w:val="none"/>
                <w:u w:val="none"/>
                <w:lang w:val="en-US" w:eastAsia="zh-CN" w:bidi="ar-SA"/>
              </w:rPr>
              <w:t>号牌分类用汉字：警、学、领、试、挂、港、澳、超、使；</w:t>
            </w:r>
          </w:p>
          <w:p w14:paraId="243B6594">
            <w:pPr>
              <w:spacing w:line="440" w:lineRule="exact"/>
              <w:rPr>
                <w:rFonts w:ascii="Times New Roman" w:hAnsi="Times New Roman" w:eastAsia="宋体" w:cs="Times New Roman"/>
                <w:color w:val="auto"/>
                <w:sz w:val="24"/>
                <w:szCs w:val="24"/>
                <w:highlight w:val="none"/>
                <w:u w:val="none"/>
                <w:lang w:val="en-US" w:eastAsia="zh-CN" w:bidi="ar-SA"/>
              </w:rPr>
            </w:pPr>
            <w:r>
              <w:rPr>
                <w:rFonts w:ascii="Cambria Math" w:hAnsi="Cambria Math" w:eastAsia="宋体" w:cs="Cambria Math"/>
                <w:color w:val="auto"/>
                <w:sz w:val="24"/>
                <w:szCs w:val="24"/>
                <w:highlight w:val="none"/>
                <w:u w:val="none"/>
                <w:lang w:val="en-US" w:eastAsia="zh-CN" w:bidi="ar-SA"/>
              </w:rPr>
              <w:t>⑥</w:t>
            </w:r>
            <w:r>
              <w:rPr>
                <w:rFonts w:ascii="Times New Roman" w:hAnsi="Times New Roman" w:eastAsia="宋体" w:cs="Times New Roman"/>
                <w:color w:val="auto"/>
                <w:sz w:val="24"/>
                <w:szCs w:val="24"/>
                <w:highlight w:val="none"/>
                <w:u w:val="none"/>
                <w:lang w:val="en-US" w:eastAsia="zh-CN" w:bidi="ar-SA"/>
              </w:rPr>
              <w:t>武警号牌特殊字符：WJ、00~34、练。</w:t>
            </w:r>
          </w:p>
          <w:p w14:paraId="68530BE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（7）号牌颜色识别：系统应至少能识别蓝、黄、白、黑四种底色的机动车号牌。</w:t>
            </w:r>
          </w:p>
          <w:p w14:paraId="286F3CB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8）车辆号牌识别要求：车辆前号牌识别准确率白天应大于95%，夜间应大于90%，可全天候识别（除摩托车号牌、低速车号牌、临时号牌、农用拖拉机号牌外）。号牌识别信息包含号牌结构、号牌字符、号牌颜色等信息。</w:t>
            </w:r>
          </w:p>
          <w:p w14:paraId="52C0C7D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◆8、车型识别功能：系统采用车牌颜色和视频检测技术结合的方法对车辆类型进行判别，可对四轮车进行4种车型进行识别（轿车、客车、大货车、小货车）以及摩托车进行识别。</w:t>
            </w:r>
          </w:p>
          <w:p w14:paraId="744AD9A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9、系统应支持高清视频录像功能：系统应具备录像功能，采用H.264、MPEG4或MJPEG编码标准，视频质量不低于720P及8fps，并能确保前端存储连续录像时间不小于7日；录像支持OSD信息叠加，叠加的信息至少包括日期、时间（精确到秒）、监控点名称、设备编号等信息。录像中能清晰地反映车辆的颜色、车辆类型、运动轨迹；并提供录像查询、录像下载等功能。</w:t>
            </w:r>
          </w:p>
          <w:p w14:paraId="1CA5EC5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◆10、通过车辆图像记录功能：应能清晰记录通过车辆的图片。</w:t>
            </w:r>
          </w:p>
          <w:p w14:paraId="361AA124">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11、逆行记录功能：应能清晰记录逆行车辆的图片，图片应符合GA/T 832的要求。</w:t>
            </w:r>
          </w:p>
          <w:p w14:paraId="0A2D61CD">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12、不按所需行进方向驶入导向车道记录功能：应能清晰记录不按所需行进方向驶入导向车道的图片，图片应符合GA/T 832的要求。</w:t>
            </w:r>
          </w:p>
          <w:p w14:paraId="75812707">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13、不按规定车道行驶记录功能：应能清晰记录不按规定车道行驶车辆的图片，图片应符合GA/T 832的要求。</w:t>
            </w:r>
          </w:p>
          <w:p w14:paraId="105A232F">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14、实线变道行驶记录功能：应能清晰记录实线变道行驶车辆的图片，图片应符合GA/T 832的要求。</w:t>
            </w:r>
          </w:p>
          <w:p w14:paraId="1708CE6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15、交通参数采集功能：通过检测数据，统计交通流参数，包括每个方向每个车道的流量、车速、时间占有率、车长、车头时距等，其中流量采集准确度不小于90%；交通数据统计周期可按需求进行设置和输出，并支持丰富的图形报表及数据导出。同时，可通过网络接口将流量数据信息传递给路口信号机，实现电子警察和信号机的信息互联互通，数据传输符合GA/T 920-2010《道路交通信号控制机与车辆检测器间的通信协议》。并可以通过标准GB/T28181协议和中心的PGIS平台对接，根据需求传输平台所需交通参数。</w:t>
            </w:r>
          </w:p>
          <w:p w14:paraId="08F3F63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16、布控/撤控报警功能：系统应具有针对超速车辆、黑名单里的被盗抢车辆和交通肇事逃逸车辆能实时布控报警，具有现场报警和远程报警功能。可设置布控/撤控时间，布控时间内当通过车辆与用户事先录入的被盗抢车辆或交通肇事逃逸等黑名单车辆的牌照号码及车型等信息特征相符合时，系统在现场可以立即以声光进行报警，提醒值班人员有可疑车辆通过。</w:t>
            </w:r>
          </w:p>
          <w:p w14:paraId="29FAF60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17、断点续传功能：系统应支持多种方式的数据传输。可通过FTP方式自动上传违法数据、车辆通过信息（时间、地点、车牌号码等）、设备监测数据、流量统计数据等到中心管理系统；也可在中心通过TCP/IP网络下载操控前端设备。如因网络中断或其它故障，信息备份存储于前端设备中，待故障恢复后自动上传。</w:t>
            </w:r>
          </w:p>
          <w:p w14:paraId="2589C40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18、水印加密防篡改功能：系统应具有水印加密功能，图像、录像在前端摄像机内部进行加密处理，防止在传输、存储、处理等过程中被人为修改，管理中心在接收到前端传回的图片、录像时需要进行算法验证，确认是否有被篡改，保证执法的真实、公平、公正。</w:t>
            </w:r>
          </w:p>
          <w:p w14:paraId="4515B97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◆19、自适应补光功能：为保证系统在各种光线条件下的成像清晰，系统须采用自适应控制补光技术。必须进行防炫目处理，不能对驾驶人员安全驾驶造成影响。</w:t>
            </w:r>
          </w:p>
          <w:p w14:paraId="612F0B5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20、智能补光功能：系统前端设备能根据光线的变化或时间的控制自动改变摄像设备的工作参数，自动打开或关闭补光设备，确保记录图片的清晰。同时根据现场情况可对补光灯进行光栅增补,减少市区光污染。补光灯采用频闪技术，与高清摄像机采集频率完全匹配，在达到最大补光效果的同时降低灯光对周围环境的影响，不会对驾驶人造成直接强光刺激。</w:t>
            </w:r>
          </w:p>
          <w:p w14:paraId="6A71483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◆21、中心校时功能：系统应可接受中心的校时命令，完成统一精准校时功能。</w:t>
            </w:r>
          </w:p>
          <w:p w14:paraId="65A5050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◆22、卡口功能：系统具备卡口功能，对所有经由监控点车道的所有车辆进行图像记录，车辆捕获率不低于99%。</w:t>
            </w:r>
          </w:p>
          <w:p w14:paraId="79FB98F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◆23、车型判别功能（卡口摄像机功能）：系统采用车牌颜色和视频检测技术结合的方法对车辆类型进行判别，可对7种车型进行识别（大货车、小货车、客车、轿车、面包车、中型客车、SUV-MPV）。</w:t>
            </w:r>
          </w:p>
          <w:p w14:paraId="0C1D3A6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◆24、车标识别功能（卡口摄像机功能）：系统采用视频检测技术对车标进行识别，可对200种车标进行识别，可供用户根据车标来查询通行车辆。</w:t>
            </w:r>
          </w:p>
          <w:p w14:paraId="20970F1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◆25、车辆子品牌识别功能（卡口摄像机功能）：系统采用视频检测技术对车辆子品牌进行识别，可对</w:t>
            </w:r>
            <w:r>
              <w:rPr>
                <w:rFonts w:hint="eastAsia" w:ascii="Times New Roman" w:hAnsi="Times New Roman" w:eastAsia="宋体" w:cs="Times New Roman"/>
                <w:color w:val="auto"/>
                <w:sz w:val="24"/>
                <w:szCs w:val="24"/>
                <w:highlight w:val="none"/>
                <w:lang w:val="en-US" w:eastAsia="zh-CN" w:bidi="ar-SA"/>
              </w:rPr>
              <w:t>不少于</w:t>
            </w:r>
            <w:r>
              <w:rPr>
                <w:rFonts w:ascii="Times New Roman" w:hAnsi="Times New Roman" w:eastAsia="宋体" w:cs="Times New Roman"/>
                <w:color w:val="auto"/>
                <w:sz w:val="24"/>
                <w:szCs w:val="24"/>
                <w:highlight w:val="none"/>
                <w:lang w:val="en-US" w:eastAsia="zh-CN" w:bidi="ar-SA"/>
              </w:rPr>
              <w:t>1018种车辆子品牌进行识别，可供用户根据车辆子品牌来查询通行车辆。</w:t>
            </w:r>
          </w:p>
          <w:p w14:paraId="1F9F027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◆26、未系安全带检测功能（卡口摄像机功能）：系统采用视频检测技术，对未系安全带行为进行检测。</w:t>
            </w:r>
          </w:p>
          <w:p w14:paraId="5092A71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◆27、接打电话检测功能（卡口摄像机功能）：系统采用视频检测技术，实现对前排驾驶人接打电话状态的检测。</w:t>
            </w:r>
          </w:p>
          <w:p w14:paraId="181FE17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◆28、人脸特征抠图（卡口摄像机功能）：系统采用视频检测技术对驾驶室人脸特征进行检测，并将人脸特征抠出。</w:t>
            </w:r>
          </w:p>
          <w:p w14:paraId="5AF8843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◆29、打开遮阳板检测（卡口摄像机功能）：系统采用视频检测技术对打开遮阳板进行检测。</w:t>
            </w:r>
          </w:p>
          <w:p w14:paraId="7E86B41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◆30、车身颜色识别功能（卡口摄像机功能）：系统可自动对车身深浅和颜色进行识别，可供用户根据车身颜色来查询通行车辆。系统可自动区分出车辆为深色车辆还是浅色车辆；并识别出</w:t>
            </w:r>
            <w:r>
              <w:rPr>
                <w:rFonts w:hint="eastAsia" w:ascii="Times New Roman" w:hAnsi="Times New Roman" w:eastAsia="宋体" w:cs="Times New Roman"/>
                <w:color w:val="auto"/>
                <w:sz w:val="24"/>
                <w:szCs w:val="24"/>
                <w:highlight w:val="none"/>
                <w:lang w:val="en-US" w:eastAsia="zh-CN" w:bidi="ar-SA"/>
              </w:rPr>
              <w:t>不少于</w:t>
            </w:r>
            <w:r>
              <w:rPr>
                <w:rFonts w:ascii="Times New Roman" w:hAnsi="Times New Roman" w:eastAsia="宋体" w:cs="Times New Roman"/>
                <w:color w:val="auto"/>
                <w:sz w:val="24"/>
                <w:szCs w:val="24"/>
                <w:highlight w:val="none"/>
                <w:lang w:val="en-US" w:eastAsia="zh-CN" w:bidi="ar-SA"/>
              </w:rPr>
              <w:t>11种常见车身颜色，11种颜色包括：白，灰(银)，黄、粉、红、绿、蓝、棕、黑、紫、青。</w:t>
            </w:r>
          </w:p>
          <w:p w14:paraId="7EDC76D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◆31、相位同步功能：系统视频帧率应与工频保持整数倍约束关系，以保证拍摄的外部工频设备，如红绿灯等设备，不会变暗或者变黑。</w:t>
            </w:r>
          </w:p>
          <w:p w14:paraId="71741D9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32、设备管理及运维功能：系统应提供设备编号、设备时钟、设备运行状态监测设置等设备参数配置，可通过前端人机交互界面进行现场配置，也可以在中央远程配置及获取校验。具备故障自动检测功能，能通过软硬件自动检测系统故障并恢复正常工作。应具有断电自动重启复位、自动侦错报错、自动监测主要设备（摄像机、服务器等）等远程维护功能，并提供设备故障报警、系统现场登陆等信息。</w:t>
            </w:r>
          </w:p>
          <w:p w14:paraId="5ED63C8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◆33、网管功能：系统具备网管运维功能，对各种服务器资源、设备资源的运行状态、卡口的工作状态、用户在线状态进行定期巡检，并在平台运维模块中展现状态统计信息。</w:t>
            </w:r>
          </w:p>
          <w:p w14:paraId="7A22169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（1）服务器运行状态监测</w:t>
            </w:r>
          </w:p>
          <w:p w14:paraId="4F6212D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系统支持对各类服务器运行状态进行统计，统计内容包括服务器类型、服务器总数、正常数、在线异常数、离线数、未注册数、未知数。系统支持对服务器的当前运行状态和历史运行状态进行查询，支持远程配置和远程重启。</w:t>
            </w:r>
          </w:p>
          <w:p w14:paraId="3F80BE3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（2）设备状态监测</w:t>
            </w:r>
          </w:p>
          <w:p w14:paraId="273FCC5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系统支持对各类设备运行状态进行统计，统计内容包括设备类型、设备总数、正常数、在线异常数、离线数、未注数、设备在线率、监控点总数。系统支持对设备的当前运行状态和历史运行状态进行查询，支持远程配置和远程重启。</w:t>
            </w:r>
          </w:p>
          <w:p w14:paraId="6D53C58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（3）卡口状态监测</w:t>
            </w:r>
          </w:p>
          <w:p w14:paraId="2498B3C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系统支持对卡口运行状态进行统计，统计内容包括组织名称、卡口总数、卡口正常数、卡口异常数、卡口异常百分率。系统支持对卡口的当前运行状态和历史运行状态进行查询。</w:t>
            </w:r>
          </w:p>
          <w:p w14:paraId="3F7AD2F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（4）用户状态监测</w:t>
            </w:r>
          </w:p>
          <w:p w14:paraId="45DB871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系统支持用户在线状态统计，统计内容包括组织名称、用户总数、用户在线总数。系统支持对用户的历史登陆状态进行记录，记录内容包括在线状态、登陆次数、登陆方式、上线时间、登陆地址等。</w:t>
            </w:r>
          </w:p>
          <w:p w14:paraId="0639A85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◆34、资产管理</w:t>
            </w:r>
          </w:p>
          <w:p w14:paraId="22D4DF4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组织机构内部管理中会涉及各种视频监控设备、抓拍机、服务器等多种用户固定资产资源。系统具备资产管理功能，可实现对资产信息的录入、编辑、查询、维护、报废、统计报表等业务应用功能。</w:t>
            </w:r>
          </w:p>
          <w:p w14:paraId="652A63A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35、查询功能：系统应能对车辆通行信息、车辆违法信息、布控/撤控信息、系统运行日志信息、系统操作日志等信息按不同条件进行查询统计。包括通行车辆的实时监控、车辆精确查询、模糊查询、布控查询、报警查询、通行车辆流量统计等功能，查询的信息可以多种形式打印输出。</w:t>
            </w:r>
          </w:p>
          <w:p w14:paraId="4C0EE44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◆36、权限设置和日志记录功能</w:t>
            </w:r>
          </w:p>
          <w:p w14:paraId="3D408DD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（1）系统应具备权限管理设置功能，能够对不同对象分配不同类型的使用权限。</w:t>
            </w:r>
          </w:p>
          <w:p w14:paraId="4014B2F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（2）系统应具备日志记录功能。可记录主要设备、网络状态日志和主要运行软件的工作日志，还能记录设备或者网络状态改变（重启、或者重新连接）、主要软件发生重启或故障等事件日志。</w:t>
            </w:r>
          </w:p>
          <w:p w14:paraId="0FF9A6C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（3）系统应具有时钟校时功能，24h内设备的计时误差不超过1.0s。</w:t>
            </w:r>
          </w:p>
          <w:p w14:paraId="73EFF05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◆37、记录有效率：在标注的适用条件下，记录有效率应不小于80％。</w:t>
            </w:r>
          </w:p>
          <w:p w14:paraId="0740F3C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◆38、逆行：捕获率应不小于80%，记录有效率应不小于80%。</w:t>
            </w:r>
          </w:p>
          <w:p w14:paraId="0E908FF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◆39、不按规定车道行驶：捕获率应不小于80%，记录有效率应不小于80%。</w:t>
            </w:r>
          </w:p>
          <w:p w14:paraId="70E0FA8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◆40、卡口车辆捕获率：不低于99%。</w:t>
            </w:r>
          </w:p>
          <w:p w14:paraId="0D29872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◆41、车型判别：准确度不低于85%</w:t>
            </w:r>
          </w:p>
          <w:p w14:paraId="60C69DE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◆42、车标识别：准确度不低于85%</w:t>
            </w:r>
          </w:p>
          <w:p w14:paraId="529A5F5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◆43、车辆子品牌识别：准确度不低于85%</w:t>
            </w:r>
          </w:p>
          <w:p w14:paraId="1B52864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◆44、计时误差：闯红灯自动记录系统24h计时误差应不超过1s。</w:t>
            </w:r>
          </w:p>
        </w:tc>
      </w:tr>
      <w:tr w14:paraId="02DC6F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216932F">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33C2CB3">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62D9DA7">
            <w:pPr>
              <w:spacing w:line="440" w:lineRule="exact"/>
              <w:rPr>
                <w:rFonts w:hint="eastAsia"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b w:val="0"/>
                <w:bCs w:val="0"/>
                <w:iCs/>
                <w:color w:val="auto"/>
                <w:sz w:val="24"/>
                <w:szCs w:val="24"/>
                <w:highlight w:val="none"/>
                <w:lang w:val="en-US" w:eastAsia="zh-CN" w:bidi="ar-SA"/>
              </w:rPr>
              <w:t>4.12.2</w:t>
            </w:r>
            <w:r>
              <w:rPr>
                <w:rFonts w:hint="eastAsia" w:ascii="Times New Roman" w:hAnsi="Times New Roman" w:eastAsia="宋体" w:cs="Times New Roman"/>
                <w:b w:val="0"/>
                <w:bCs w:val="0"/>
                <w:color w:val="auto"/>
                <w:sz w:val="24"/>
                <w:szCs w:val="24"/>
                <w:highlight w:val="none"/>
                <w:lang w:val="en-US" w:eastAsia="zh-CN" w:bidi="ar-SA"/>
              </w:rPr>
              <w:t>微光高清抓拍单元1（尾牌）</w:t>
            </w:r>
          </w:p>
          <w:p w14:paraId="4F27E6A9">
            <w:pPr>
              <w:spacing w:line="440" w:lineRule="exact"/>
              <w:rPr>
                <w:rFonts w:ascii="Times New Roman" w:hAnsi="Times New Roman" w:eastAsia="宋体" w:cs="Times New Roman"/>
                <w:b w:val="0"/>
                <w:bCs w:val="0"/>
                <w:iCs/>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同4.3.2。</w:t>
            </w:r>
          </w:p>
        </w:tc>
      </w:tr>
      <w:tr w14:paraId="25A693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916CDD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665EFF5F">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023DB76">
            <w:pPr>
              <w:spacing w:line="440" w:lineRule="exact"/>
              <w:rPr>
                <w:rFonts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4.12.3</w:t>
            </w:r>
            <w:r>
              <w:rPr>
                <w:rFonts w:ascii="Times New Roman" w:hAnsi="Times New Roman" w:eastAsia="宋体" w:cs="Times New Roman"/>
                <w:b w:val="0"/>
                <w:bCs w:val="0"/>
                <w:color w:val="auto"/>
                <w:sz w:val="24"/>
                <w:szCs w:val="24"/>
                <w:highlight w:val="none"/>
                <w:lang w:val="en-US" w:eastAsia="zh-CN" w:bidi="ar-SA"/>
              </w:rPr>
              <w:t>微光高清抓拍单元（前牌）</w:t>
            </w:r>
          </w:p>
          <w:p w14:paraId="472A4269">
            <w:pPr>
              <w:spacing w:line="440" w:lineRule="exact"/>
              <w:rPr>
                <w:rFonts w:hint="eastAsia"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b w:val="0"/>
                <w:bCs w:val="0"/>
                <w:color w:val="auto"/>
                <w:sz w:val="24"/>
                <w:szCs w:val="24"/>
                <w:highlight w:val="none"/>
                <w:lang w:val="en-US" w:eastAsia="zh-CN" w:bidi="ar-SA"/>
              </w:rPr>
              <w:t>同4.3.3</w:t>
            </w:r>
            <w:r>
              <w:rPr>
                <w:rFonts w:hint="eastAsia" w:ascii="Times New Roman" w:hAnsi="Times New Roman" w:eastAsia="宋体" w:cs="Times New Roman"/>
                <w:b w:val="0"/>
                <w:bCs w:val="0"/>
                <w:color w:val="auto"/>
                <w:sz w:val="24"/>
                <w:szCs w:val="24"/>
                <w:highlight w:val="none"/>
                <w:lang w:val="en-US" w:eastAsia="zh-CN" w:bidi="ar-SA"/>
              </w:rPr>
              <w:t>。</w:t>
            </w:r>
          </w:p>
        </w:tc>
      </w:tr>
      <w:tr w14:paraId="7B6336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602C0D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C35DDFA">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D733C0C">
            <w:pPr>
              <w:spacing w:line="440" w:lineRule="exact"/>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4.12.4智能补光灯</w:t>
            </w:r>
          </w:p>
          <w:p w14:paraId="41BA8E67">
            <w:pPr>
              <w:spacing w:line="440" w:lineRule="exact"/>
              <w:rPr>
                <w:rFonts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同4.3.4</w:t>
            </w:r>
          </w:p>
        </w:tc>
      </w:tr>
      <w:tr w14:paraId="0D42A0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FBC4A2A">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7B3EE61">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F5CF5C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4.12.</w:t>
            </w:r>
            <w:r>
              <w:rPr>
                <w:rFonts w:hint="eastAsia" w:ascii="Times New Roman" w:hAnsi="Times New Roman" w:eastAsia="宋体" w:cs="Times New Roman"/>
                <w:iCs/>
                <w:color w:val="auto"/>
                <w:sz w:val="24"/>
                <w:szCs w:val="24"/>
                <w:highlight w:val="none"/>
                <w:lang w:val="en-US" w:eastAsia="zh-CN" w:bidi="ar-SA"/>
              </w:rPr>
              <w:t>5</w:t>
            </w:r>
            <w:r>
              <w:rPr>
                <w:rFonts w:ascii="Times New Roman" w:hAnsi="Times New Roman" w:eastAsia="宋体" w:cs="Times New Roman"/>
                <w:iCs/>
                <w:color w:val="auto"/>
                <w:sz w:val="24"/>
                <w:szCs w:val="24"/>
                <w:highlight w:val="none"/>
                <w:lang w:val="en-US" w:eastAsia="zh-CN" w:bidi="ar-SA"/>
              </w:rPr>
              <w:t xml:space="preserve"> 智能抱杆箱</w:t>
            </w:r>
          </w:p>
          <w:p w14:paraId="1CC1040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同4.2.4。</w:t>
            </w:r>
          </w:p>
        </w:tc>
      </w:tr>
      <w:tr w14:paraId="06B0B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0E24438">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721ED7C">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005C4EC">
            <w:pPr>
              <w:spacing w:line="440" w:lineRule="exact"/>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4.13停车收费管理系统</w:t>
            </w:r>
          </w:p>
          <w:p w14:paraId="66AE2351">
            <w:pPr>
              <w:spacing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本项目拟在市区范围内改造及新建200个路内停车泊位，河东路（沙洲路至南环路西侧）、白鹿路（百桥路至西二环两侧）、锦程路（华昌路至南苑路两侧）、杨舍西街单侧、龙潭路（限时20分车位）、暨阳路（限时20分车位）、海关路（限时20分车位）、长青路、老宅路（沙洲路至暨阳路单侧）。</w:t>
            </w:r>
          </w:p>
        </w:tc>
      </w:tr>
      <w:tr w14:paraId="1B5E15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CD3F2BF">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E57C1B7">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45718F4">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4.13.1高位相机</w:t>
            </w:r>
          </w:p>
          <w:p w14:paraId="6B09A31A">
            <w:pPr>
              <w:spacing w:line="440" w:lineRule="exact"/>
              <w:ind w:firstLine="482" w:firstLineChars="200"/>
              <w:rPr>
                <w:rFonts w:hint="eastAsia" w:ascii="Times New Roman" w:hAnsi="Times New Roman" w:eastAsia="宋体" w:cs="Times New Roman"/>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Times New Roman" w:hAnsi="Times New Roman" w:eastAsia="宋体" w:cs="Times New Roman"/>
                <w:b/>
                <w:bCs/>
                <w:color w:val="auto"/>
                <w:sz w:val="24"/>
                <w:szCs w:val="24"/>
                <w:highlight w:val="none"/>
                <w:lang w:val="en-US" w:eastAsia="zh-CN" w:bidi="ar-SA"/>
              </w:rPr>
              <w:t>双通道方向可以组合形成0°~355°的夹角范围；支持泊位自动画线功能，手动绘制区域后，开启自动画线功能，可对画面内的泊位信息进行自动检测和识别，并自动绘制泊位框线。支持辅助安装功能；开启辅助安装功能时，预览界面显示车牌一定像素大小的虚拟图标及上下限位线；可将虚拟图标拖动到预览画面的对应位置，以判定该目标像素点是否满足对应的智能监控需求；虚拟图标及上下限位线的像素大小可设置。（投标时须在响应文件中提供第三方检测机构出具的合格检验报告或功能截图等相关证明材料）</w:t>
            </w:r>
          </w:p>
          <w:p w14:paraId="7BCEFF47">
            <w:pPr>
              <w:spacing w:line="440" w:lineRule="exact"/>
              <w:ind w:firstLine="480" w:firstLineChars="200"/>
              <w:rPr>
                <w:rFonts w:hint="default" w:ascii="Times New Roman" w:hAnsi="Times New Roman" w:eastAsia="宋体" w:cs="Times New Roman"/>
                <w:b w:val="0"/>
                <w:bCs w:val="0"/>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b w:val="0"/>
                <w:bCs w:val="0"/>
                <w:color w:val="auto"/>
                <w:sz w:val="24"/>
                <w:szCs w:val="24"/>
                <w:highlight w:val="none"/>
                <w:lang w:val="en-US" w:eastAsia="zh-CN" w:bidi="ar-SA"/>
              </w:rPr>
              <w:t>具体参数如下：</w:t>
            </w:r>
          </w:p>
          <w:p w14:paraId="0CC06C42">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传感器类型：通道1（细节）：不低于1/1.8英寸CMOS；通道2（细节）：不低于1/1.2英寸CMOS；</w:t>
            </w:r>
          </w:p>
          <w:p w14:paraId="761B7444">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像素：通道1（细节）：不低于800万；通道2（细节）：不低于800万；</w:t>
            </w:r>
          </w:p>
          <w:p w14:paraId="6B263A00">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最大分辨率：不低于3840×2160；</w:t>
            </w:r>
          </w:p>
          <w:p w14:paraId="370AE319">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最低照度：通道1（细节）：不高于0.002lux（彩色模式）；不高于0.0002lux（黑白模式）；不高于0lux（补光灯开启）；通道2（细节）：不高于0.001lux（彩色模式）；不高于0.0001lux（黑白模式）；不高于0lux（补光灯开启）；</w:t>
            </w:r>
          </w:p>
          <w:p w14:paraId="5A12CB17">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最大补光距离：不低于100m（视频监控距离），不低于50m（车牌识别距离）；</w:t>
            </w:r>
          </w:p>
          <w:p w14:paraId="132262AA">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补光灯：通道1（细节）：不低于3颗（柔光双色灯）；通道2（细节）：不低于3颗（柔光双色灯），2颗（暖光灯）；</w:t>
            </w:r>
          </w:p>
          <w:p w14:paraId="168D3736">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镜头类型：通道1（细节）：机芯镜头 ；通道2（细节）：机芯镜头；</w:t>
            </w:r>
          </w:p>
          <w:p w14:paraId="6A95CA79">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镜头焦距：通道1（细节）：8mm～32mm；通道2（细节）：10mm～50mm；</w:t>
            </w:r>
          </w:p>
          <w:p w14:paraId="5634B302">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车位管理：支持路侧平行式车位驶入驶出抓拍；支持车牌识别；支持泊位关联；单枪最多支持8车位管理；支持车位巡检功能；支持非机动车占位报警、逆向停车报警、跨位停车报警、压线停车报警；支持车辆过滤；支持车牌曝光；支持停车数据报表输出；支持抓图张数2～4张可配置；支持图片合成功能；</w:t>
            </w:r>
          </w:p>
          <w:p w14:paraId="614EFE5E">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违停检测：支持和车位管理智能同时开启；支持违停车辆报表输出；</w:t>
            </w:r>
          </w:p>
          <w:p w14:paraId="761C4707">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卡口功能：支持卡口抓拍功能；支持和车位管理智能同时开启；支持车辆类型、车身颜色、车牌、车牌颜色等多种机动车属性识别；</w:t>
            </w:r>
          </w:p>
          <w:p w14:paraId="238B9407">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智能检索：配合Smart NVR实现事件录像的二次智能检索、分析和浓缩播放；</w:t>
            </w:r>
          </w:p>
          <w:p w14:paraId="0E8041F9">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低照等级：超星光；</w:t>
            </w:r>
          </w:p>
          <w:p w14:paraId="2BC1E261">
            <w:pPr>
              <w:spacing w:line="440" w:lineRule="exac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防护等级：不低于IP67。</w:t>
            </w:r>
          </w:p>
        </w:tc>
      </w:tr>
      <w:tr w14:paraId="6CEEF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67D375E">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ED5B25B">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C739EAA">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4.13.2路侧停车智能终端管理盒</w:t>
            </w:r>
          </w:p>
          <w:p w14:paraId="69AA43DA">
            <w:pPr>
              <w:spacing w:line="440" w:lineRule="exact"/>
              <w:rPr>
                <w:rFonts w:hint="default"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参数如下：</w:t>
            </w:r>
          </w:p>
          <w:p w14:paraId="56286D60">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内存：不低于2GB；</w:t>
            </w:r>
          </w:p>
          <w:p w14:paraId="29FA1002">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车辆查询：按时间段，通道，图片类型，车牌查询；</w:t>
            </w:r>
          </w:p>
          <w:p w14:paraId="3456B848">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OSD信息叠加：支持时间、地点、违法行为、违法代码、车牌、车牌颜色、车牌类型、车身颜色、车辆大小、车辆类型、车标、设备编号、防伪码、GPS信息、远程设备GPS地点信息、车位名称、自定义等信息叠加；</w:t>
            </w:r>
          </w:p>
          <w:p w14:paraId="7255592B">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证据记录：卡口、违法停车、B类违法停车、C类违法停车、D类违法停车、手动抓拍、黄网格违法停车、受限车牌、机动车违停、非机动车违停、车位有车、车位无车、停车检测、定时抓图；</w:t>
            </w:r>
          </w:p>
          <w:p w14:paraId="465DD3E4">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数据防删改：支持（录像、图片文件无法直接删除）；</w:t>
            </w:r>
          </w:p>
          <w:p w14:paraId="43684B38">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取证图像：车牌模糊匹配、车位状态巡检、重复车牌处理、一位多车处理、僵尸车报警、匹配异常信息上报；</w:t>
            </w:r>
          </w:p>
          <w:p w14:paraId="76D9D49E">
            <w:pPr>
              <w:spacing w:line="440" w:lineRule="exact"/>
              <w:rPr>
                <w:rFonts w:hint="eastAsia" w:ascii="宋体" w:hAnsi="宋体" w:eastAsia="宋体" w:cs="Times New Roman"/>
                <w:b w:val="0"/>
                <w:color w:val="auto"/>
                <w:sz w:val="21"/>
                <w:szCs w:val="21"/>
                <w:highlight w:val="none"/>
                <w:lang w:val="en-US" w:eastAsia="zh-CN" w:bidi="ar-SA"/>
              </w:rPr>
            </w:pPr>
            <w:r>
              <w:rPr>
                <w:rFonts w:hint="eastAsia" w:ascii="Times New Roman" w:hAnsi="Times New Roman" w:eastAsia="宋体" w:cs="Times New Roman"/>
                <w:i/>
                <w:iCs/>
                <w:color w:val="auto"/>
                <w:sz w:val="24"/>
                <w:szCs w:val="24"/>
                <w:highlight w:val="none"/>
                <w:u w:val="single"/>
                <w:lang w:val="en-US" w:eastAsia="zh-CN" w:bidi="ar-SA"/>
              </w:rPr>
              <w:t>国密功能：支持国密GB 35114-A级功能。</w:t>
            </w:r>
          </w:p>
        </w:tc>
      </w:tr>
      <w:tr w14:paraId="166A5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9462219">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C7F66DD">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AE59D1E">
            <w:pPr>
              <w:spacing w:line="440" w:lineRule="exact"/>
              <w:rPr>
                <w:rFonts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4.13.2</w:t>
            </w:r>
            <w:r>
              <w:rPr>
                <w:rFonts w:ascii="Times New Roman" w:hAnsi="Times New Roman" w:eastAsia="宋体" w:cs="Times New Roman"/>
                <w:iCs/>
                <w:color w:val="auto"/>
                <w:sz w:val="24"/>
                <w:szCs w:val="24"/>
                <w:highlight w:val="none"/>
                <w:lang w:val="en-US" w:eastAsia="zh-CN" w:bidi="ar-SA"/>
              </w:rPr>
              <w:t>智能抱杆箱</w:t>
            </w:r>
          </w:p>
          <w:p w14:paraId="4EA46374">
            <w:pPr>
              <w:spacing w:line="440" w:lineRule="exact"/>
              <w:rPr>
                <w:rFonts w:hint="eastAsia" w:ascii="宋体" w:hAnsi="宋体" w:eastAsia="宋体" w:cs="Times New Roman"/>
                <w:b w:val="0"/>
                <w:color w:val="auto"/>
                <w:sz w:val="21"/>
                <w:szCs w:val="21"/>
                <w:highlight w:val="none"/>
                <w:lang w:val="en-US" w:eastAsia="zh-CN" w:bidi="ar-SA"/>
              </w:rPr>
            </w:pPr>
            <w:r>
              <w:rPr>
                <w:rFonts w:ascii="Times New Roman" w:hAnsi="Times New Roman" w:eastAsia="宋体" w:cs="Times New Roman"/>
                <w:color w:val="auto"/>
                <w:sz w:val="24"/>
                <w:szCs w:val="24"/>
                <w:highlight w:val="none"/>
                <w:lang w:val="en-US" w:eastAsia="zh-CN" w:bidi="ar-SA"/>
              </w:rPr>
              <w:t>同4.2.4。</w:t>
            </w:r>
          </w:p>
        </w:tc>
      </w:tr>
      <w:tr w14:paraId="29FEED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9232178">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CE8A52B">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4D8274A">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w:t>
            </w:r>
            <w:r>
              <w:rPr>
                <w:rFonts w:hint="eastAsia" w:ascii="Times New Roman" w:hAnsi="Times New Roman" w:eastAsia="宋体" w:cs="Times New Roman"/>
                <w:iCs/>
                <w:color w:val="auto"/>
                <w:sz w:val="24"/>
                <w:szCs w:val="24"/>
                <w:highlight w:val="none"/>
                <w:lang w:val="en-US" w:eastAsia="zh-CN" w:bidi="ar-SA"/>
              </w:rPr>
              <w:t>4</w:t>
            </w:r>
            <w:r>
              <w:rPr>
                <w:rFonts w:ascii="Times New Roman" w:hAnsi="Times New Roman" w:eastAsia="宋体" w:cs="Times New Roman"/>
                <w:iCs/>
                <w:color w:val="auto"/>
                <w:sz w:val="24"/>
                <w:szCs w:val="24"/>
                <w:highlight w:val="none"/>
                <w:lang w:val="en-US" w:eastAsia="zh-CN" w:bidi="ar-SA"/>
              </w:rPr>
              <w:t xml:space="preserve"> 中心设备技术要求</w:t>
            </w:r>
          </w:p>
        </w:tc>
      </w:tr>
      <w:tr w14:paraId="3380D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610" w:hRule="atLeast"/>
        </w:trPr>
        <w:tc>
          <w:tcPr>
            <w:tcW w:w="936" w:type="dxa"/>
            <w:vMerge w:val="continue"/>
            <w:noWrap w:val="0"/>
            <w:vAlign w:val="center"/>
          </w:tcPr>
          <w:p w14:paraId="365F9BB7">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02E7F11">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E5ECD70">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w:t>
            </w:r>
            <w:r>
              <w:rPr>
                <w:rFonts w:hint="eastAsia" w:ascii="Times New Roman" w:hAnsi="Times New Roman" w:eastAsia="宋体" w:cs="Times New Roman"/>
                <w:iCs/>
                <w:color w:val="auto"/>
                <w:sz w:val="24"/>
                <w:szCs w:val="24"/>
                <w:highlight w:val="none"/>
                <w:lang w:val="en-US" w:eastAsia="zh-CN" w:bidi="ar-SA"/>
              </w:rPr>
              <w:t>4</w:t>
            </w:r>
            <w:r>
              <w:rPr>
                <w:rFonts w:ascii="Times New Roman" w:hAnsi="Times New Roman" w:eastAsia="宋体" w:cs="Times New Roman"/>
                <w:iCs/>
                <w:color w:val="auto"/>
                <w:sz w:val="24"/>
                <w:szCs w:val="24"/>
                <w:highlight w:val="none"/>
                <w:lang w:val="en-US" w:eastAsia="zh-CN" w:bidi="ar-SA"/>
              </w:rPr>
              <w:t>.1 软件系统要求</w:t>
            </w:r>
          </w:p>
          <w:p w14:paraId="542D4BFE">
            <w:pPr>
              <w:spacing w:line="440" w:lineRule="exact"/>
              <w:rPr>
                <w:rFonts w:ascii="Times New Roman" w:hAnsi="Times New Roman" w:eastAsia="宋体" w:cs="Times New Roman"/>
                <w:i/>
                <w:iCs/>
                <w:color w:val="auto"/>
                <w:sz w:val="24"/>
                <w:szCs w:val="24"/>
                <w:highlight w:val="none"/>
                <w:u w:val="single"/>
                <w:lang w:val="en-US" w:eastAsia="zh-CN" w:bidi="ar-SA"/>
              </w:rPr>
            </w:pPr>
            <w:r>
              <w:rPr>
                <w:rFonts w:ascii="Times New Roman" w:hAnsi="Times New Roman" w:eastAsia="宋体" w:cs="Times New Roman"/>
                <w:i/>
                <w:iCs/>
                <w:color w:val="auto"/>
                <w:sz w:val="24"/>
                <w:szCs w:val="24"/>
                <w:highlight w:val="none"/>
                <w:u w:val="single"/>
                <w:lang w:val="en-US" w:eastAsia="zh-CN" w:bidi="ar-SA"/>
              </w:rPr>
              <w:t>所有子系统的外场设备均需顺畅接入张家港市公安局控制中心现有的管理平台中。施工方须确保数据顺畅对接。</w:t>
            </w:r>
          </w:p>
        </w:tc>
      </w:tr>
      <w:tr w14:paraId="671FC8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AD6E3D2">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545237A">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AC9F5A4">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w:t>
            </w:r>
            <w:r>
              <w:rPr>
                <w:rFonts w:hint="eastAsia" w:ascii="Times New Roman" w:hAnsi="Times New Roman" w:eastAsia="宋体" w:cs="Times New Roman"/>
                <w:iCs/>
                <w:color w:val="auto"/>
                <w:sz w:val="24"/>
                <w:szCs w:val="24"/>
                <w:highlight w:val="none"/>
                <w:lang w:val="en-US" w:eastAsia="zh-CN" w:bidi="ar-SA"/>
              </w:rPr>
              <w:t>4</w:t>
            </w:r>
            <w:r>
              <w:rPr>
                <w:rFonts w:ascii="Times New Roman" w:hAnsi="Times New Roman" w:eastAsia="宋体" w:cs="Times New Roman"/>
                <w:iCs/>
                <w:color w:val="auto"/>
                <w:sz w:val="24"/>
                <w:szCs w:val="24"/>
                <w:highlight w:val="none"/>
                <w:lang w:val="en-US" w:eastAsia="zh-CN" w:bidi="ar-SA"/>
              </w:rPr>
              <w:t xml:space="preserve">.2 </w:t>
            </w:r>
            <w:r>
              <w:rPr>
                <w:rFonts w:hint="eastAsia" w:ascii="Times New Roman" w:hAnsi="Times New Roman" w:eastAsia="宋体" w:cs="Times New Roman"/>
                <w:iCs/>
                <w:color w:val="auto"/>
                <w:sz w:val="24"/>
                <w:szCs w:val="24"/>
                <w:highlight w:val="none"/>
                <w:lang w:val="en-US" w:eastAsia="zh-CN" w:bidi="ar-SA"/>
              </w:rPr>
              <w:t>云存储节点1</w:t>
            </w:r>
          </w:p>
          <w:p w14:paraId="68988D4F">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1、采用高性能六核处理器；支持国产化操作系统；高速缓存：≥16GB DDR4 主频≥2666MHz；电源冗余：1+1冗余电源；网络接口：</w:t>
            </w:r>
            <w:r>
              <w:rPr>
                <w:rFonts w:hint="eastAsia" w:ascii="Times New Roman" w:hAnsi="Times New Roman" w:eastAsia="宋体" w:cs="Times New Roman"/>
                <w:iCs/>
                <w:color w:val="auto"/>
                <w:sz w:val="24"/>
                <w:szCs w:val="24"/>
                <w:highlight w:val="none"/>
                <w:lang w:val="en-US" w:eastAsia="zh-CN" w:bidi="ar-SA"/>
              </w:rPr>
              <w:t>不少于</w:t>
            </w:r>
            <w:r>
              <w:rPr>
                <w:rFonts w:ascii="Times New Roman" w:hAnsi="Times New Roman" w:eastAsia="宋体" w:cs="Times New Roman"/>
                <w:iCs/>
                <w:color w:val="auto"/>
                <w:sz w:val="24"/>
                <w:szCs w:val="24"/>
                <w:highlight w:val="none"/>
                <w:lang w:val="en-US" w:eastAsia="zh-CN" w:bidi="ar-SA"/>
              </w:rPr>
              <w:t>8个千兆数据电口；内置 1块 512G 企业级固态硬盘；包含48块</w:t>
            </w:r>
            <w:r>
              <w:rPr>
                <w:rFonts w:hint="eastAsia" w:ascii="Times New Roman" w:hAnsi="Times New Roman" w:eastAsia="宋体" w:cs="Times New Roman"/>
                <w:iCs/>
                <w:color w:val="auto"/>
                <w:sz w:val="24"/>
                <w:szCs w:val="24"/>
                <w:highlight w:val="none"/>
                <w:lang w:val="en-US" w:eastAsia="zh-CN" w:bidi="ar-SA"/>
              </w:rPr>
              <w:t>8</w:t>
            </w:r>
            <w:r>
              <w:rPr>
                <w:rFonts w:ascii="Times New Roman" w:hAnsi="Times New Roman" w:eastAsia="宋体" w:cs="Times New Roman"/>
                <w:iCs/>
                <w:color w:val="auto"/>
                <w:sz w:val="24"/>
                <w:szCs w:val="24"/>
                <w:highlight w:val="none"/>
                <w:lang w:val="en-US" w:eastAsia="zh-CN" w:bidi="ar-SA"/>
              </w:rPr>
              <w:t>T云存储专用硬盘。</w:t>
            </w:r>
          </w:p>
          <w:p w14:paraId="13451C6A">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2、支持人脸、车辆卡口设备接入以及结构化数据接入；支持视频和图片的基础存储业务，包括录像计划，图片计划配置管理，包括视频流按通道和类型进行分类，并进行相应的索引创建等。</w:t>
            </w:r>
          </w:p>
          <w:p w14:paraId="47297F4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3、单节点支持最大视频存储300路且最大带宽≤800Mbps，最大64路或256Mbps转发；最大300路卡口，写入200张图片/s(1:1大小图)，读取200张图片/s(1:1大小图)。</w:t>
            </w:r>
          </w:p>
          <w:p w14:paraId="576656F1">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云存储集群单节点大图和小图在1比1混合场景下的性能，并发同时写性能不低于8000张大图/秒和8000张小图/秒，同时并发读取性能也不低于8000张大图/秒和8000张小图/秒，云存储集群图片整体读写性能随存储节点数量扩容增加而线性扩展递增云存储超融合系统内置支持容器引擎服务，支持开放容器应用。一套云存储超融合系统支持5种不同维度异构组合能力，包括异构CPU（X86（包含海光CPU）、ARM）、异构算力（ CPU算力（低、中、高）、 GPU算力（Tesla卡、Atlas卡））、不同操作系统（欧拉、CentOS、麒麟、ubuntu、统信）、不同网络（千兆/万兆、FC）、不同硬盘介质（SSD/HDD、SAS盘/SATA盘）。支持统一对全局资源进行管控和最优调度，支持计算、存储、网络资源共享、虚拟化和高性能网络方案。支持容器网络的出入向QoS，支持对Pod带宽进行限流；支持LoadBalancer、Nodeport网络模式。</w:t>
            </w:r>
          </w:p>
          <w:p w14:paraId="13D0E254">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5、云存储系统支持全自动数据校验和数据恢复功能，支持包括快速校验、深度校验等20种数据自动校验策略和10种自动修复策略。支持将数据校验和元数据校验分开配置，支持指定数据校验和恢复的时间窗口，支持指定数据校验优先级和校验速率。支持数据检出不一致后自动触发数据恢复功能，自动选择数据副本进行恢复。支持全自动数据校验和恢复全程，无需人为干预，提升数据存储可靠性。</w:t>
            </w:r>
          </w:p>
          <w:p w14:paraId="069A53E8">
            <w:pPr>
              <w:spacing w:line="440" w:lineRule="exact"/>
              <w:rPr>
                <w:rFonts w:hint="eastAsia" w:ascii="Times New Roman" w:hAnsi="Times New Roman" w:eastAsia="宋体" w:cs="Times New Roman"/>
                <w:b/>
                <w:bCs/>
                <w:i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ascii="Times New Roman" w:hAnsi="Times New Roman" w:eastAsia="宋体" w:cs="Times New Roman"/>
                <w:b/>
                <w:bCs/>
                <w:color w:val="auto"/>
                <w:sz w:val="24"/>
                <w:szCs w:val="24"/>
                <w:highlight w:val="none"/>
                <w:lang w:val="en-US" w:eastAsia="zh-CN" w:bidi="ar-SA"/>
              </w:rPr>
              <w:t>6、云存储系统支持标准SNMP协议，支持6大类信息获取接口，包括系统类接口、网络接口、CPU接口、存储介质接口、内存接口、以及云存储集群服务检测接口。云存储服务器支持BMC远程访问，支持控制服务器开机、关机、重启，支持控制开启和关闭服务器硬盘的休眠节能功能等</w:t>
            </w:r>
            <w:r>
              <w:rPr>
                <w:rFonts w:hint="eastAsia" w:ascii="Times New Roman" w:hAnsi="Times New Roman" w:eastAsia="宋体" w:cs="Times New Roman"/>
                <w:b/>
                <w:bCs/>
                <w:color w:val="auto"/>
                <w:sz w:val="24"/>
                <w:szCs w:val="24"/>
                <w:highlight w:val="none"/>
                <w:lang w:val="en-US" w:eastAsia="zh-CN" w:bidi="ar-SA"/>
              </w:rPr>
              <w:t>。（投标时须在响应文件中提供第三方检测机构出具的合格检验报告或功能截图等相关证明材料）</w:t>
            </w:r>
          </w:p>
          <w:p w14:paraId="1356DC70">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7、云存储系统支持监控硬盘各项指标，可以查看10种硬盘典型SMART信息，包括硬盘错误数、硬盘坏道数、硬盘容量、硬盘温度、硬盘振动、数据读取错误率、上电时间、上电时长、断电次数、重映射扇区数，并针对每种指标在页面上展示健康评判结果和参考范围。硬盘监控管理支持以全局列表和服务器拓扑两种形式展示硬盘的基本信息，支持展示14种硬盘信息：包含硬盘类型、所在服务器槽位、IP、序列号、在位状态、介质类型、IO利用率、容量使用情况、SMART健康度、专有工具检测健康结果、硬盘抖动频率、IO波动比例、预测剩余寿命时间、硬盘健康状态（包括正常、良好、亚健康告警、变慢、即将损坏、故障损坏6个等级）。支持按时间显示硬盘的坏扇区、振动异常数、硬盘温度、硬盘错误数、硬盘断电数、硬盘坏道数、重映射扇区数、已用容量占比、数据读取错误率、IO利用率10项指标信息的变化趋势的曲线图。</w:t>
            </w:r>
          </w:p>
          <w:p w14:paraId="32FAB25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8、云存储集群支持网络亚健康监测管理，支持6种网络异常监测，包括支持监测网卡丢包、网卡低于千兆速率（降速）、流量瞬时波峰数、网络重连数、ping大包丢失、网络超时数。支持主动网络健康检测，同时对业务、存储双网检测和隔离，最多支持隔离N-1台网络异常节点（N为存储节点数量），异常网络恢复之后自动开启存储节点服务，自动上线，业务自动负载均衡。同时自动探测网络丢包，当节点服务器存储网或者业务网丢包率高于10%时，自动将该节点进行网络隔离。当丢包率恢复到容忍阈值之内时，自动将该节点重新加入集群，承担业务写入。</w:t>
            </w:r>
          </w:p>
        </w:tc>
      </w:tr>
      <w:tr w14:paraId="3C49F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C45B45E">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4A40DA7">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0F339A3">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w:t>
            </w:r>
            <w:r>
              <w:rPr>
                <w:rFonts w:hint="eastAsia" w:ascii="Times New Roman" w:hAnsi="Times New Roman" w:eastAsia="宋体" w:cs="Times New Roman"/>
                <w:iCs/>
                <w:color w:val="auto"/>
                <w:sz w:val="24"/>
                <w:szCs w:val="24"/>
                <w:highlight w:val="none"/>
                <w:lang w:val="en-US" w:eastAsia="zh-CN" w:bidi="ar-SA"/>
              </w:rPr>
              <w:t>4</w:t>
            </w:r>
            <w:r>
              <w:rPr>
                <w:rFonts w:ascii="Times New Roman" w:hAnsi="Times New Roman" w:eastAsia="宋体" w:cs="Times New Roman"/>
                <w:iCs/>
                <w:color w:val="auto"/>
                <w:sz w:val="24"/>
                <w:szCs w:val="24"/>
                <w:highlight w:val="none"/>
                <w:lang w:val="en-US" w:eastAsia="zh-CN" w:bidi="ar-SA"/>
              </w:rPr>
              <w:t>.3 视频平台</w:t>
            </w:r>
            <w:r>
              <w:rPr>
                <w:rFonts w:hint="eastAsia" w:ascii="Times New Roman" w:hAnsi="Times New Roman" w:eastAsia="宋体" w:cs="Times New Roman"/>
                <w:iCs/>
                <w:color w:val="auto"/>
                <w:sz w:val="24"/>
                <w:szCs w:val="24"/>
                <w:highlight w:val="none"/>
                <w:lang w:val="en-US" w:eastAsia="zh-CN" w:bidi="ar-SA"/>
              </w:rPr>
              <w:t>接</w:t>
            </w:r>
            <w:r>
              <w:rPr>
                <w:rFonts w:ascii="Times New Roman" w:hAnsi="Times New Roman" w:eastAsia="宋体" w:cs="Times New Roman"/>
                <w:iCs/>
                <w:color w:val="auto"/>
                <w:sz w:val="24"/>
                <w:szCs w:val="24"/>
                <w:highlight w:val="none"/>
                <w:lang w:val="en-US" w:eastAsia="zh-CN" w:bidi="ar-SA"/>
              </w:rPr>
              <w:t>入扩容</w:t>
            </w:r>
          </w:p>
          <w:p w14:paraId="351B0D09">
            <w:pPr>
              <w:spacing w:line="440" w:lineRule="exact"/>
              <w:jc w:val="left"/>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i/>
                <w:iCs/>
                <w:color w:val="auto"/>
                <w:sz w:val="24"/>
                <w:highlight w:val="none"/>
                <w:u w:val="single"/>
              </w:rPr>
              <w:t>对张家港交警大队现有视频监控平台进行接入授权扩容，包含视频监控平台接入授权，基础功能支持流媒体视频流的转发、存储、回放及下载。</w:t>
            </w:r>
          </w:p>
        </w:tc>
      </w:tr>
      <w:tr w14:paraId="02DAF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2960" w:hRule="atLeast"/>
        </w:trPr>
        <w:tc>
          <w:tcPr>
            <w:tcW w:w="936" w:type="dxa"/>
            <w:vMerge w:val="continue"/>
            <w:noWrap w:val="0"/>
            <w:vAlign w:val="center"/>
          </w:tcPr>
          <w:p w14:paraId="3BF302E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AFADCC3">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8E865AF">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4.14.4服务器配置要求</w:t>
            </w:r>
          </w:p>
          <w:tbl>
            <w:tblPr>
              <w:tblStyle w:val="294"/>
              <w:tblpPr w:leftFromText="180" w:rightFromText="180" w:vertAnchor="text" w:horzAnchor="page" w:tblpXSpec="center" w:tblpY="293"/>
              <w:tblW w:w="81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9"/>
              <w:gridCol w:w="1314"/>
              <w:gridCol w:w="1200"/>
              <w:gridCol w:w="4915"/>
            </w:tblGrid>
            <w:tr w14:paraId="3A9A8C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9" w:hRule="atLeast"/>
                <w:jc w:val="center"/>
              </w:trPr>
              <w:tc>
                <w:tcPr>
                  <w:tcW w:w="719" w:type="dxa"/>
                  <w:noWrap w:val="0"/>
                  <w:vAlign w:val="center"/>
                </w:tcPr>
                <w:p w14:paraId="29344365">
                  <w:pPr>
                    <w:spacing w:before="58" w:line="223" w:lineRule="auto"/>
                    <w:ind w:left="184"/>
                    <w:jc w:val="center"/>
                    <w:rPr>
                      <w:rFonts w:hint="default" w:ascii="宋体" w:hAnsi="宋体" w:eastAsia="宋体" w:cs="宋体"/>
                      <w:b w:val="0"/>
                      <w:bCs w:val="0"/>
                      <w:color w:val="auto"/>
                      <w:sz w:val="24"/>
                      <w:szCs w:val="24"/>
                      <w:highlight w:val="none"/>
                      <w:lang w:eastAsia="en-US"/>
                    </w:rPr>
                  </w:pPr>
                  <w:r>
                    <w:rPr>
                      <w:rFonts w:hint="eastAsia" w:ascii="宋体" w:hAnsi="宋体" w:eastAsia="宋体" w:cs="宋体"/>
                      <w:b w:val="0"/>
                      <w:bCs w:val="0"/>
                      <w:color w:val="auto"/>
                      <w:spacing w:val="-6"/>
                      <w:sz w:val="24"/>
                      <w:szCs w:val="24"/>
                      <w:highlight w:val="none"/>
                      <w:lang w:eastAsia="en-US"/>
                    </w:rPr>
                    <w:t>序号</w:t>
                  </w:r>
                </w:p>
              </w:tc>
              <w:tc>
                <w:tcPr>
                  <w:tcW w:w="1314" w:type="dxa"/>
                  <w:noWrap w:val="0"/>
                  <w:vAlign w:val="center"/>
                </w:tcPr>
                <w:p w14:paraId="61439A77">
                  <w:pPr>
                    <w:spacing w:before="242" w:line="302" w:lineRule="auto"/>
                    <w:ind w:left="142" w:right="137" w:firstLine="25"/>
                    <w:jc w:val="center"/>
                    <w:rPr>
                      <w:rFonts w:hint="default" w:ascii="宋体" w:hAnsi="宋体" w:eastAsia="宋体" w:cs="宋体"/>
                      <w:b w:val="0"/>
                      <w:bCs w:val="0"/>
                      <w:color w:val="auto"/>
                      <w:sz w:val="24"/>
                      <w:szCs w:val="24"/>
                      <w:highlight w:val="none"/>
                      <w:lang w:eastAsia="en-US"/>
                    </w:rPr>
                  </w:pPr>
                  <w:r>
                    <w:rPr>
                      <w:rFonts w:hint="eastAsia" w:ascii="宋体" w:hAnsi="宋体" w:eastAsia="宋体" w:cs="宋体"/>
                      <w:b w:val="0"/>
                      <w:bCs w:val="0"/>
                      <w:color w:val="auto"/>
                      <w:spacing w:val="-7"/>
                      <w:sz w:val="24"/>
                      <w:szCs w:val="24"/>
                      <w:highlight w:val="none"/>
                      <w:lang w:eastAsia="en-US"/>
                    </w:rPr>
                    <w:t>一级</w:t>
                  </w:r>
                  <w:r>
                    <w:rPr>
                      <w:rFonts w:hint="eastAsia" w:ascii="宋体" w:hAnsi="宋体" w:eastAsia="宋体" w:cs="宋体"/>
                      <w:b w:val="0"/>
                      <w:bCs w:val="0"/>
                      <w:color w:val="auto"/>
                      <w:spacing w:val="-3"/>
                      <w:position w:val="-1"/>
                      <w:sz w:val="24"/>
                      <w:szCs w:val="24"/>
                      <w:highlight w:val="none"/>
                      <w:lang w:eastAsia="en-US"/>
                    </w:rPr>
                    <w:t>指标</w:t>
                  </w:r>
                </w:p>
              </w:tc>
              <w:tc>
                <w:tcPr>
                  <w:tcW w:w="1200" w:type="dxa"/>
                  <w:noWrap w:val="0"/>
                  <w:vAlign w:val="center"/>
                </w:tcPr>
                <w:p w14:paraId="5D85AA1A">
                  <w:pPr>
                    <w:spacing w:before="59" w:line="234" w:lineRule="auto"/>
                    <w:ind w:left="151"/>
                    <w:jc w:val="center"/>
                    <w:rPr>
                      <w:rFonts w:hint="default" w:ascii="宋体" w:hAnsi="宋体" w:eastAsia="宋体" w:cs="宋体"/>
                      <w:b w:val="0"/>
                      <w:bCs w:val="0"/>
                      <w:color w:val="auto"/>
                      <w:spacing w:val="-2"/>
                      <w:sz w:val="24"/>
                      <w:szCs w:val="24"/>
                      <w:highlight w:val="none"/>
                      <w:lang w:eastAsia="en-US"/>
                    </w:rPr>
                  </w:pPr>
                  <w:r>
                    <w:rPr>
                      <w:rFonts w:hint="eastAsia" w:ascii="宋体" w:hAnsi="宋体" w:eastAsia="宋体" w:cs="宋体"/>
                      <w:b w:val="0"/>
                      <w:bCs w:val="0"/>
                      <w:color w:val="auto"/>
                      <w:spacing w:val="-2"/>
                      <w:sz w:val="24"/>
                      <w:szCs w:val="24"/>
                      <w:highlight w:val="none"/>
                      <w:lang w:eastAsia="en-US"/>
                    </w:rPr>
                    <w:t>二级指标</w:t>
                  </w:r>
                </w:p>
              </w:tc>
              <w:tc>
                <w:tcPr>
                  <w:tcW w:w="4915" w:type="dxa"/>
                  <w:noWrap w:val="0"/>
                  <w:vAlign w:val="center"/>
                </w:tcPr>
                <w:p w14:paraId="748876EA">
                  <w:pPr>
                    <w:spacing w:before="59" w:line="222" w:lineRule="auto"/>
                    <w:ind w:left="1135"/>
                    <w:rPr>
                      <w:rFonts w:hint="default" w:ascii="宋体" w:hAnsi="宋体" w:eastAsia="宋体" w:cs="宋体"/>
                      <w:b w:val="0"/>
                      <w:bCs w:val="0"/>
                      <w:i/>
                      <w:iCs/>
                      <w:color w:val="auto"/>
                      <w:sz w:val="24"/>
                      <w:szCs w:val="24"/>
                      <w:highlight w:val="none"/>
                      <w:u w:val="single"/>
                      <w:lang w:eastAsia="en-US"/>
                    </w:rPr>
                  </w:pPr>
                  <w:r>
                    <w:rPr>
                      <w:rFonts w:hint="eastAsia" w:ascii="宋体" w:hAnsi="宋体" w:eastAsia="宋体" w:cs="宋体"/>
                      <w:b w:val="0"/>
                      <w:bCs w:val="0"/>
                      <w:i w:val="0"/>
                      <w:iCs w:val="0"/>
                      <w:color w:val="auto"/>
                      <w:spacing w:val="-3"/>
                      <w:sz w:val="24"/>
                      <w:szCs w:val="24"/>
                      <w:highlight w:val="none"/>
                      <w:u w:val="none"/>
                      <w:lang w:eastAsia="en-US"/>
                    </w:rPr>
                    <w:t>指标要求</w:t>
                  </w:r>
                </w:p>
              </w:tc>
            </w:tr>
            <w:tr w14:paraId="1A9329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269F4458">
                  <w:pPr>
                    <w:widowControl/>
                    <w:spacing w:line="330" w:lineRule="auto"/>
                    <w:jc w:val="center"/>
                    <w:rPr>
                      <w:rFonts w:hint="default" w:ascii="宋体" w:hAnsi="宋体" w:eastAsia="宋体" w:cs="宋体"/>
                      <w:color w:val="auto"/>
                      <w:sz w:val="24"/>
                      <w:szCs w:val="24"/>
                      <w:highlight w:val="none"/>
                    </w:rPr>
                  </w:pPr>
                </w:p>
                <w:p w14:paraId="1DD3D03F">
                  <w:pPr>
                    <w:spacing w:before="59" w:line="239" w:lineRule="exact"/>
                    <w:ind w:left="327"/>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1</w:t>
                  </w:r>
                </w:p>
              </w:tc>
              <w:tc>
                <w:tcPr>
                  <w:tcW w:w="1314" w:type="dxa"/>
                  <w:noWrap w:val="0"/>
                  <w:vAlign w:val="center"/>
                </w:tcPr>
                <w:p w14:paraId="7B1B4FD9">
                  <w:pPr>
                    <w:widowControl/>
                    <w:spacing w:line="246" w:lineRule="auto"/>
                    <w:jc w:val="center"/>
                    <w:rPr>
                      <w:rFonts w:hint="default" w:ascii="宋体" w:hAnsi="宋体" w:eastAsia="宋体" w:cs="宋体"/>
                      <w:color w:val="auto"/>
                      <w:sz w:val="24"/>
                      <w:szCs w:val="24"/>
                      <w:highlight w:val="none"/>
                    </w:rPr>
                  </w:pPr>
                </w:p>
                <w:p w14:paraId="3453C4F9">
                  <w:pPr>
                    <w:spacing w:before="59" w:line="258" w:lineRule="auto"/>
                    <w:ind w:left="161" w:right="160" w:hanging="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CPU</w:t>
                  </w:r>
                  <w:r>
                    <w:rPr>
                      <w:rFonts w:hint="eastAsia" w:ascii="宋体" w:hAnsi="宋体" w:eastAsia="宋体" w:cs="宋体"/>
                      <w:color w:val="auto"/>
                      <w:spacing w:val="-3"/>
                      <w:sz w:val="24"/>
                      <w:szCs w:val="24"/>
                      <w:highlight w:val="none"/>
                      <w:lang w:eastAsia="en-US"/>
                    </w:rPr>
                    <w:t>规格</w:t>
                  </w:r>
                </w:p>
              </w:tc>
              <w:tc>
                <w:tcPr>
                  <w:tcW w:w="1200" w:type="dxa"/>
                  <w:noWrap w:val="0"/>
                  <w:vAlign w:val="center"/>
                </w:tcPr>
                <w:p w14:paraId="6688863F">
                  <w:pPr>
                    <w:widowControl/>
                    <w:spacing w:line="337" w:lineRule="auto"/>
                    <w:jc w:val="center"/>
                    <w:rPr>
                      <w:rFonts w:hint="default" w:ascii="宋体" w:hAnsi="宋体" w:eastAsia="宋体" w:cs="宋体"/>
                      <w:color w:val="auto"/>
                      <w:spacing w:val="-2"/>
                      <w:sz w:val="24"/>
                      <w:szCs w:val="24"/>
                      <w:highlight w:val="none"/>
                      <w:lang w:eastAsia="en-US"/>
                    </w:rPr>
                  </w:pPr>
                </w:p>
                <w:p w14:paraId="27FBE2F7">
                  <w:pPr>
                    <w:spacing w:before="59" w:line="223" w:lineRule="auto"/>
                    <w:ind w:left="106"/>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CPU 信息</w:t>
                  </w:r>
                </w:p>
              </w:tc>
              <w:tc>
                <w:tcPr>
                  <w:tcW w:w="4915" w:type="dxa"/>
                  <w:noWrap w:val="0"/>
                  <w:vAlign w:val="center"/>
                </w:tcPr>
                <w:p w14:paraId="28FBF65F">
                  <w:pPr>
                    <w:spacing w:before="37" w:line="235" w:lineRule="auto"/>
                    <w:ind w:left="110" w:right="17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z w:val="24"/>
                      <w:szCs w:val="24"/>
                      <w:highlight w:val="none"/>
                      <w:u w:val="single"/>
                      <w:lang w:eastAsia="en-US"/>
                    </w:rPr>
                    <w:t>CPU：≥2颗处理器，单处理器物理核心数≥</w:t>
                  </w:r>
                  <w:r>
                    <w:rPr>
                      <w:rFonts w:hint="eastAsia" w:ascii="宋体" w:hAnsi="宋体" w:eastAsia="宋体" w:cs="宋体"/>
                      <w:i/>
                      <w:iCs/>
                      <w:color w:val="auto"/>
                      <w:sz w:val="24"/>
                      <w:szCs w:val="24"/>
                      <w:highlight w:val="none"/>
                      <w:u w:val="single"/>
                      <w:lang w:val="en-US" w:eastAsia="zh-CN"/>
                    </w:rPr>
                    <w:t>32</w:t>
                  </w:r>
                  <w:r>
                    <w:rPr>
                      <w:rFonts w:hint="eastAsia" w:ascii="宋体" w:hAnsi="宋体" w:eastAsia="宋体" w:cs="宋体"/>
                      <w:i/>
                      <w:iCs/>
                      <w:color w:val="auto"/>
                      <w:sz w:val="24"/>
                      <w:szCs w:val="24"/>
                      <w:highlight w:val="none"/>
                      <w:u w:val="single"/>
                      <w:lang w:eastAsia="en-US"/>
                    </w:rPr>
                    <w:t>核，主频≥3.0.GHz，末级缓存容量≥</w:t>
                  </w:r>
                  <w:r>
                    <w:rPr>
                      <w:rFonts w:hint="eastAsia" w:ascii="宋体" w:hAnsi="宋体" w:eastAsia="宋体" w:cs="宋体"/>
                      <w:i/>
                      <w:iCs/>
                      <w:color w:val="auto"/>
                      <w:sz w:val="24"/>
                      <w:szCs w:val="24"/>
                      <w:highlight w:val="none"/>
                      <w:u w:val="single"/>
                      <w:lang w:val="en-US" w:eastAsia="zh-CN"/>
                    </w:rPr>
                    <w:t>64</w:t>
                  </w:r>
                  <w:r>
                    <w:rPr>
                      <w:rFonts w:hint="eastAsia" w:ascii="宋体" w:hAnsi="宋体" w:eastAsia="宋体" w:cs="宋体"/>
                      <w:i/>
                      <w:iCs/>
                      <w:color w:val="auto"/>
                      <w:sz w:val="24"/>
                      <w:szCs w:val="24"/>
                      <w:highlight w:val="none"/>
                      <w:u w:val="single"/>
                      <w:lang w:eastAsia="en-US"/>
                    </w:rPr>
                    <w:t>MB，线程数≥</w:t>
                  </w:r>
                  <w:r>
                    <w:rPr>
                      <w:rFonts w:hint="eastAsia" w:ascii="宋体" w:hAnsi="宋体" w:eastAsia="宋体" w:cs="宋体"/>
                      <w:i/>
                      <w:iCs/>
                      <w:color w:val="auto"/>
                      <w:sz w:val="24"/>
                      <w:szCs w:val="24"/>
                      <w:highlight w:val="none"/>
                      <w:u w:val="single"/>
                      <w:lang w:val="en-US" w:eastAsia="zh-CN"/>
                    </w:rPr>
                    <w:t>32</w:t>
                  </w:r>
                  <w:r>
                    <w:rPr>
                      <w:rFonts w:hint="eastAsia" w:ascii="宋体" w:hAnsi="宋体" w:eastAsia="宋体" w:cs="宋体"/>
                      <w:i/>
                      <w:iCs/>
                      <w:color w:val="auto"/>
                      <w:sz w:val="24"/>
                      <w:szCs w:val="24"/>
                      <w:highlight w:val="none"/>
                      <w:u w:val="single"/>
                      <w:lang w:eastAsia="en-US"/>
                    </w:rPr>
                    <w:t>线程，支持内存的最高速率≥3200 MHz；</w:t>
                  </w:r>
                </w:p>
              </w:tc>
            </w:tr>
            <w:tr w14:paraId="2DB885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7061758A">
                  <w:pPr>
                    <w:spacing w:before="274" w:line="239" w:lineRule="exact"/>
                    <w:ind w:left="316"/>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2</w:t>
                  </w:r>
                </w:p>
              </w:tc>
              <w:tc>
                <w:tcPr>
                  <w:tcW w:w="1314" w:type="dxa"/>
                  <w:vMerge w:val="restart"/>
                  <w:tcBorders>
                    <w:bottom w:val="nil"/>
                  </w:tcBorders>
                  <w:noWrap w:val="0"/>
                  <w:vAlign w:val="center"/>
                </w:tcPr>
                <w:p w14:paraId="296380F7">
                  <w:pPr>
                    <w:widowControl/>
                    <w:spacing w:line="245" w:lineRule="auto"/>
                    <w:jc w:val="center"/>
                    <w:rPr>
                      <w:rFonts w:hint="default" w:ascii="宋体" w:hAnsi="宋体" w:eastAsia="宋体" w:cs="宋体"/>
                      <w:color w:val="auto"/>
                      <w:sz w:val="24"/>
                      <w:szCs w:val="24"/>
                      <w:highlight w:val="none"/>
                    </w:rPr>
                  </w:pPr>
                </w:p>
                <w:p w14:paraId="612FB499">
                  <w:pPr>
                    <w:widowControl/>
                    <w:spacing w:line="246" w:lineRule="auto"/>
                    <w:jc w:val="center"/>
                    <w:rPr>
                      <w:rFonts w:hint="default" w:ascii="宋体" w:hAnsi="宋体" w:eastAsia="宋体" w:cs="宋体"/>
                      <w:color w:val="auto"/>
                      <w:sz w:val="24"/>
                      <w:szCs w:val="24"/>
                      <w:highlight w:val="none"/>
                    </w:rPr>
                  </w:pPr>
                </w:p>
                <w:p w14:paraId="28F3BA86">
                  <w:pPr>
                    <w:spacing w:before="58" w:line="248" w:lineRule="auto"/>
                    <w:ind w:left="162" w:right="117"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主板</w:t>
                  </w:r>
                  <w:r>
                    <w:rPr>
                      <w:rFonts w:hint="eastAsia" w:ascii="宋体" w:hAnsi="宋体" w:eastAsia="宋体" w:cs="宋体"/>
                      <w:color w:val="auto"/>
                      <w:spacing w:val="-3"/>
                      <w:sz w:val="24"/>
                      <w:szCs w:val="24"/>
                      <w:highlight w:val="none"/>
                      <w:lang w:eastAsia="en-US"/>
                    </w:rPr>
                    <w:t>规格</w:t>
                  </w:r>
                </w:p>
              </w:tc>
              <w:tc>
                <w:tcPr>
                  <w:tcW w:w="1200" w:type="dxa"/>
                  <w:noWrap w:val="0"/>
                  <w:vAlign w:val="center"/>
                </w:tcPr>
                <w:p w14:paraId="6BE02E4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主板支持的 CPU 和内存情况</w:t>
                  </w:r>
                </w:p>
              </w:tc>
              <w:tc>
                <w:tcPr>
                  <w:tcW w:w="4915" w:type="dxa"/>
                  <w:noWrap w:val="0"/>
                  <w:vAlign w:val="center"/>
                </w:tcPr>
                <w:p w14:paraId="088D7BF1">
                  <w:pPr>
                    <w:spacing w:before="159" w:line="248" w:lineRule="auto"/>
                    <w:ind w:left="120" w:right="172" w:hanging="10"/>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内存：≥</w:t>
                  </w:r>
                  <w:r>
                    <w:rPr>
                      <w:rFonts w:hint="eastAsia" w:ascii="宋体" w:hAnsi="宋体" w:eastAsia="宋体" w:cs="宋体"/>
                      <w:i/>
                      <w:iCs/>
                      <w:color w:val="auto"/>
                      <w:spacing w:val="2"/>
                      <w:sz w:val="24"/>
                      <w:szCs w:val="24"/>
                      <w:highlight w:val="none"/>
                      <w:u w:val="single"/>
                      <w:lang w:val="en-US" w:eastAsia="zh-CN"/>
                    </w:rPr>
                    <w:t>128</w:t>
                  </w:r>
                  <w:r>
                    <w:rPr>
                      <w:rFonts w:hint="eastAsia" w:ascii="宋体" w:hAnsi="宋体" w:eastAsia="宋体" w:cs="宋体"/>
                      <w:i/>
                      <w:iCs/>
                      <w:color w:val="auto"/>
                      <w:spacing w:val="2"/>
                      <w:sz w:val="24"/>
                      <w:szCs w:val="24"/>
                      <w:highlight w:val="none"/>
                      <w:u w:val="single"/>
                      <w:lang w:eastAsia="en-US"/>
                    </w:rPr>
                    <w:t>G DDR4，</w:t>
                  </w:r>
                </w:p>
              </w:tc>
            </w:tr>
            <w:tr w14:paraId="49AE9A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791491AE">
                  <w:pPr>
                    <w:spacing w:before="273" w:line="238" w:lineRule="exact"/>
                    <w:ind w:left="318"/>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3</w:t>
                  </w:r>
                </w:p>
              </w:tc>
              <w:tc>
                <w:tcPr>
                  <w:tcW w:w="1314" w:type="dxa"/>
                  <w:vMerge w:val="continue"/>
                  <w:tcBorders>
                    <w:top w:val="nil"/>
                    <w:bottom w:val="nil"/>
                  </w:tcBorders>
                  <w:noWrap w:val="0"/>
                  <w:vAlign w:val="center"/>
                </w:tcPr>
                <w:p w14:paraId="577B7989">
                  <w:pPr>
                    <w:widowControl/>
                    <w:jc w:val="center"/>
                    <w:rPr>
                      <w:rFonts w:hint="default" w:ascii="宋体" w:hAnsi="宋体" w:eastAsia="宋体" w:cs="宋体"/>
                      <w:color w:val="auto"/>
                      <w:sz w:val="24"/>
                      <w:szCs w:val="24"/>
                      <w:highlight w:val="none"/>
                    </w:rPr>
                  </w:pPr>
                </w:p>
              </w:tc>
              <w:tc>
                <w:tcPr>
                  <w:tcW w:w="1200" w:type="dxa"/>
                  <w:noWrap w:val="0"/>
                  <w:vAlign w:val="center"/>
                </w:tcPr>
                <w:p w14:paraId="3839D605">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主板内存槽数量</w:t>
                  </w:r>
                </w:p>
              </w:tc>
              <w:tc>
                <w:tcPr>
                  <w:tcW w:w="4915" w:type="dxa"/>
                  <w:noWrap w:val="0"/>
                  <w:vAlign w:val="center"/>
                </w:tcPr>
                <w:p w14:paraId="1CE40576">
                  <w:pPr>
                    <w:spacing w:before="161" w:line="248" w:lineRule="auto"/>
                    <w:ind w:left="113" w:right="17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≥8根内存插槽；</w:t>
                  </w:r>
                </w:p>
              </w:tc>
            </w:tr>
            <w:tr w14:paraId="7F34A7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7B9296C0">
                  <w:pPr>
                    <w:spacing w:before="273" w:line="239" w:lineRule="exact"/>
                    <w:ind w:left="313"/>
                    <w:rPr>
                      <w:rFonts w:hint="default" w:ascii="宋体" w:hAnsi="宋体" w:eastAsia="宋体" w:cs="宋体"/>
                      <w:color w:val="auto"/>
                      <w:sz w:val="24"/>
                      <w:szCs w:val="24"/>
                      <w:highlight w:val="none"/>
                      <w:lang w:eastAsia="en-US"/>
                    </w:rPr>
                  </w:pPr>
                  <w:r>
                    <w:rPr>
                      <w:rFonts w:hint="eastAsia" w:ascii="宋体" w:hAnsi="宋体" w:eastAsia="宋体" w:cs="宋体"/>
                      <w:color w:val="auto"/>
                      <w:position w:val="1"/>
                      <w:sz w:val="24"/>
                      <w:szCs w:val="24"/>
                      <w:highlight w:val="none"/>
                      <w:lang w:eastAsia="en-US"/>
                    </w:rPr>
                    <w:t>4</w:t>
                  </w:r>
                </w:p>
              </w:tc>
              <w:tc>
                <w:tcPr>
                  <w:tcW w:w="1314" w:type="dxa"/>
                  <w:vMerge w:val="continue"/>
                  <w:tcBorders>
                    <w:top w:val="nil"/>
                    <w:bottom w:val="nil"/>
                  </w:tcBorders>
                  <w:noWrap w:val="0"/>
                  <w:vAlign w:val="center"/>
                </w:tcPr>
                <w:p w14:paraId="5F83DF72">
                  <w:pPr>
                    <w:widowControl/>
                    <w:jc w:val="center"/>
                    <w:rPr>
                      <w:rFonts w:hint="default" w:ascii="宋体" w:hAnsi="宋体" w:eastAsia="宋体" w:cs="宋体"/>
                      <w:color w:val="auto"/>
                      <w:sz w:val="24"/>
                      <w:szCs w:val="24"/>
                      <w:highlight w:val="none"/>
                    </w:rPr>
                  </w:pPr>
                </w:p>
              </w:tc>
              <w:tc>
                <w:tcPr>
                  <w:tcW w:w="1200" w:type="dxa"/>
                  <w:noWrap w:val="0"/>
                  <w:vAlign w:val="center"/>
                </w:tcPr>
                <w:p w14:paraId="6A859DE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主板存储接口</w:t>
                  </w:r>
                </w:p>
              </w:tc>
              <w:tc>
                <w:tcPr>
                  <w:tcW w:w="4915" w:type="dxa"/>
                  <w:noWrap w:val="0"/>
                  <w:vAlign w:val="center"/>
                </w:tcPr>
                <w:p w14:paraId="5B73693A">
                  <w:pPr>
                    <w:spacing w:before="161" w:line="247" w:lineRule="auto"/>
                    <w:ind w:left="113" w:right="172" w:firstLine="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至少支持SATA、SAS、M.2、U.2等</w:t>
                  </w:r>
                  <w:r>
                    <w:rPr>
                      <w:rFonts w:hint="eastAsia" w:ascii="宋体" w:hAnsi="宋体" w:eastAsia="宋体" w:cs="宋体"/>
                      <w:i/>
                      <w:iCs/>
                      <w:color w:val="auto"/>
                      <w:spacing w:val="-4"/>
                      <w:sz w:val="24"/>
                      <w:szCs w:val="24"/>
                      <w:highlight w:val="none"/>
                      <w:u w:val="single"/>
                      <w:lang w:eastAsia="en-US"/>
                    </w:rPr>
                    <w:t>存储接口中的1种</w:t>
                  </w:r>
                </w:p>
              </w:tc>
            </w:tr>
            <w:tr w14:paraId="7259E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719" w:type="dxa"/>
                  <w:noWrap w:val="0"/>
                  <w:vAlign w:val="center"/>
                </w:tcPr>
                <w:p w14:paraId="0B41ACB9">
                  <w:pPr>
                    <w:spacing w:before="58" w:line="242" w:lineRule="auto"/>
                    <w:ind w:left="317"/>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314" w:type="dxa"/>
                  <w:vMerge w:val="continue"/>
                  <w:tcBorders>
                    <w:top w:val="nil"/>
                    <w:bottom w:val="nil"/>
                  </w:tcBorders>
                  <w:noWrap w:val="0"/>
                  <w:vAlign w:val="center"/>
                </w:tcPr>
                <w:p w14:paraId="765BF4F5">
                  <w:pPr>
                    <w:widowControl/>
                    <w:jc w:val="center"/>
                    <w:rPr>
                      <w:rFonts w:hint="default" w:ascii="宋体" w:hAnsi="宋体" w:eastAsia="宋体" w:cs="宋体"/>
                      <w:color w:val="auto"/>
                      <w:sz w:val="24"/>
                      <w:szCs w:val="24"/>
                      <w:highlight w:val="none"/>
                    </w:rPr>
                  </w:pPr>
                </w:p>
              </w:tc>
              <w:tc>
                <w:tcPr>
                  <w:tcW w:w="1200" w:type="dxa"/>
                  <w:noWrap w:val="0"/>
                  <w:vAlign w:val="center"/>
                </w:tcPr>
                <w:p w14:paraId="168B4D1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 PCIe插槽数量及规格</w:t>
                  </w:r>
                </w:p>
              </w:tc>
              <w:tc>
                <w:tcPr>
                  <w:tcW w:w="4915" w:type="dxa"/>
                  <w:noWrap w:val="0"/>
                  <w:vAlign w:val="center"/>
                </w:tcPr>
                <w:p w14:paraId="67810669">
                  <w:pPr>
                    <w:spacing w:before="33" w:line="230" w:lineRule="auto"/>
                    <w:ind w:left="110" w:right="172"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z w:val="24"/>
                      <w:szCs w:val="24"/>
                      <w:highlight w:val="none"/>
                      <w:u w:val="single"/>
                      <w:lang w:eastAsia="en-US"/>
                    </w:rPr>
                    <w:t>≥4个标准PCIE插槽</w:t>
                  </w:r>
                  <w:r>
                    <w:rPr>
                      <w:rFonts w:hint="eastAsia" w:ascii="宋体" w:hAnsi="宋体" w:eastAsia="宋体" w:cs="宋体"/>
                      <w:i/>
                      <w:iCs/>
                      <w:color w:val="auto"/>
                      <w:sz w:val="24"/>
                      <w:szCs w:val="24"/>
                      <w:highlight w:val="none"/>
                      <w:u w:val="single"/>
                      <w:lang w:eastAsia="zh-CN"/>
                    </w:rPr>
                    <w:t>，符合PCle</w:t>
                  </w:r>
                  <w:r>
                    <w:rPr>
                      <w:rFonts w:hint="eastAsia" w:ascii="宋体" w:hAnsi="宋体" w:eastAsia="宋体" w:cs="宋体"/>
                      <w:i/>
                      <w:iCs/>
                      <w:color w:val="auto"/>
                      <w:sz w:val="24"/>
                      <w:szCs w:val="24"/>
                      <w:highlight w:val="none"/>
                      <w:u w:val="single"/>
                      <w:lang w:val="en-US" w:eastAsia="zh-CN"/>
                    </w:rPr>
                    <w:t>4</w:t>
                  </w:r>
                  <w:r>
                    <w:rPr>
                      <w:rFonts w:hint="eastAsia" w:ascii="宋体" w:hAnsi="宋体" w:eastAsia="宋体" w:cs="宋体"/>
                      <w:i/>
                      <w:iCs/>
                      <w:color w:val="auto"/>
                      <w:sz w:val="24"/>
                      <w:szCs w:val="24"/>
                      <w:highlight w:val="none"/>
                      <w:u w:val="single"/>
                      <w:lang w:eastAsia="zh-CN"/>
                    </w:rPr>
                    <w:t>.0或以上的高速串行计算机扩展总线标准，</w:t>
                  </w:r>
                  <w:r>
                    <w:rPr>
                      <w:rFonts w:hint="eastAsia" w:ascii="宋体" w:hAnsi="宋体" w:eastAsia="宋体" w:cs="宋体"/>
                      <w:i/>
                      <w:iCs/>
                      <w:color w:val="auto"/>
                      <w:sz w:val="24"/>
                      <w:szCs w:val="24"/>
                      <w:u w:val="single"/>
                      <w:lang w:eastAsia="zh-CN"/>
                    </w:rPr>
                    <w:t>PCle的接口速率与位宽需保证向下兼容</w:t>
                  </w:r>
                </w:p>
              </w:tc>
            </w:tr>
            <w:tr w14:paraId="5CEAC0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jc w:val="center"/>
              </w:trPr>
              <w:tc>
                <w:tcPr>
                  <w:tcW w:w="719" w:type="dxa"/>
                  <w:noWrap w:val="0"/>
                  <w:vAlign w:val="center"/>
                </w:tcPr>
                <w:p w14:paraId="1D46EF53">
                  <w:pPr>
                    <w:spacing w:before="58" w:line="242" w:lineRule="auto"/>
                    <w:ind w:left="317"/>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314" w:type="dxa"/>
                  <w:vMerge w:val="continue"/>
                  <w:tcBorders>
                    <w:top w:val="nil"/>
                    <w:bottom w:val="nil"/>
                  </w:tcBorders>
                  <w:noWrap w:val="0"/>
                  <w:vAlign w:val="center"/>
                </w:tcPr>
                <w:p w14:paraId="2F1989D0">
                  <w:pPr>
                    <w:widowControl/>
                    <w:jc w:val="center"/>
                    <w:rPr>
                      <w:rFonts w:hint="default" w:ascii="宋体" w:hAnsi="宋体" w:eastAsia="宋体" w:cs="宋体"/>
                      <w:color w:val="auto"/>
                      <w:sz w:val="24"/>
                      <w:szCs w:val="24"/>
                      <w:highlight w:val="none"/>
                    </w:rPr>
                  </w:pPr>
                </w:p>
              </w:tc>
              <w:tc>
                <w:tcPr>
                  <w:tcW w:w="1200" w:type="dxa"/>
                  <w:noWrap w:val="0"/>
                  <w:vAlign w:val="center"/>
                </w:tcPr>
                <w:p w14:paraId="7E9A79B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特殊孔位及接口</w:t>
                  </w:r>
                </w:p>
              </w:tc>
              <w:tc>
                <w:tcPr>
                  <w:tcW w:w="4915" w:type="dxa"/>
                  <w:noWrap w:val="0"/>
                  <w:vAlign w:val="center"/>
                </w:tcPr>
                <w:p w14:paraId="0B1FA516">
                  <w:pPr>
                    <w:spacing w:before="58" w:line="248" w:lineRule="auto"/>
                    <w:ind w:left="108" w:right="136" w:hanging="2"/>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a)服务器机箱内主板可根据用户实际使用需求支持安装多功能导入装置板卡，机箱内需预留多功能导入装置板卡安装位置，容量不小于</w:t>
                  </w:r>
                </w:p>
                <w:p w14:paraId="44CBAFD7">
                  <w:pPr>
                    <w:spacing w:before="58" w:line="248" w:lineRule="auto"/>
                    <w:ind w:left="108" w:right="136" w:hanging="2"/>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55mm×45mm×15mm（长×宽×高，单位毫米）；</w:t>
                  </w:r>
                </w:p>
                <w:p w14:paraId="4CAC4172">
                  <w:pPr>
                    <w:spacing w:before="58" w:line="248" w:lineRule="auto"/>
                    <w:ind w:left="108" w:right="136" w:hanging="2"/>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b)服务器主板可根据用户实际使用需求预留满足 USB2.0 或 USB3.0 数据传输规范的接口，工作电压5V，采用 USB2.0 时，最大过电流应不小于 0.5A，采用 USB3.0 时，最大过电流应不小于 1A</w:t>
                  </w:r>
                </w:p>
              </w:tc>
            </w:tr>
            <w:tr w14:paraId="0E48C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 w:hRule="atLeast"/>
                <w:jc w:val="center"/>
              </w:trPr>
              <w:tc>
                <w:tcPr>
                  <w:tcW w:w="719" w:type="dxa"/>
                  <w:noWrap w:val="0"/>
                  <w:vAlign w:val="center"/>
                </w:tcPr>
                <w:p w14:paraId="27AD1C19">
                  <w:pPr>
                    <w:spacing w:before="59" w:line="237" w:lineRule="exact"/>
                    <w:jc w:val="center"/>
                    <w:rPr>
                      <w:rFonts w:hint="default"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7</w:t>
                  </w:r>
                </w:p>
              </w:tc>
              <w:tc>
                <w:tcPr>
                  <w:tcW w:w="1314" w:type="dxa"/>
                  <w:vMerge w:val="continue"/>
                  <w:tcBorders>
                    <w:top w:val="nil"/>
                    <w:bottom w:val="nil"/>
                  </w:tcBorders>
                  <w:noWrap w:val="0"/>
                  <w:vAlign w:val="center"/>
                </w:tcPr>
                <w:p w14:paraId="15F76CF1">
                  <w:pPr>
                    <w:widowControl/>
                    <w:jc w:val="center"/>
                    <w:rPr>
                      <w:rFonts w:hint="default" w:ascii="宋体" w:hAnsi="宋体" w:eastAsia="宋体" w:cs="宋体"/>
                      <w:color w:val="auto"/>
                      <w:sz w:val="24"/>
                      <w:szCs w:val="24"/>
                      <w:highlight w:val="none"/>
                    </w:rPr>
                  </w:pPr>
                </w:p>
              </w:tc>
              <w:tc>
                <w:tcPr>
                  <w:tcW w:w="1200" w:type="dxa"/>
                  <w:noWrap w:val="0"/>
                  <w:vAlign w:val="center"/>
                </w:tcPr>
                <w:p w14:paraId="37694800">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板载网络接口</w:t>
                  </w:r>
                </w:p>
              </w:tc>
              <w:tc>
                <w:tcPr>
                  <w:tcW w:w="4915" w:type="dxa"/>
                  <w:noWrap w:val="0"/>
                  <w:vAlign w:val="center"/>
                </w:tcPr>
                <w:p w14:paraId="17CE9641">
                  <w:pPr>
                    <w:spacing w:before="59" w:line="249" w:lineRule="auto"/>
                    <w:ind w:left="120" w:right="172" w:hanging="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支持板载网络接口不少于1个</w:t>
                  </w:r>
                  <w:r>
                    <w:rPr>
                      <w:rFonts w:hint="eastAsia" w:ascii="宋体" w:hAnsi="宋体" w:eastAsia="宋体" w:cs="宋体"/>
                      <w:i/>
                      <w:iCs/>
                      <w:color w:val="auto"/>
                      <w:spacing w:val="-7"/>
                      <w:sz w:val="24"/>
                      <w:szCs w:val="24"/>
                      <w:highlight w:val="none"/>
                      <w:u w:val="single"/>
                      <w:lang w:eastAsia="en-US"/>
                    </w:rPr>
                    <w:t>1GE网口</w:t>
                  </w:r>
                </w:p>
              </w:tc>
            </w:tr>
            <w:tr w14:paraId="10EA55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5" w:hRule="atLeast"/>
                <w:jc w:val="center"/>
              </w:trPr>
              <w:tc>
                <w:tcPr>
                  <w:tcW w:w="719" w:type="dxa"/>
                  <w:noWrap w:val="0"/>
                  <w:vAlign w:val="center"/>
                </w:tcPr>
                <w:p w14:paraId="2C6623A6">
                  <w:pPr>
                    <w:spacing w:before="31" w:line="209" w:lineRule="auto"/>
                    <w:ind w:left="256"/>
                    <w:rPr>
                      <w:rFonts w:hint="default" w:ascii="宋体" w:hAnsi="宋体" w:eastAsia="宋体" w:cs="宋体"/>
                      <w:color w:val="auto"/>
                      <w:sz w:val="24"/>
                      <w:szCs w:val="24"/>
                      <w:highlight w:val="none"/>
                    </w:rPr>
                  </w:pPr>
                  <w:r>
                    <w:rPr>
                      <w:rFonts w:hint="eastAsia" w:ascii="宋体" w:hAnsi="宋体" w:eastAsia="宋体" w:cs="宋体"/>
                      <w:color w:val="auto"/>
                      <w:spacing w:val="-9"/>
                      <w:sz w:val="24"/>
                      <w:szCs w:val="24"/>
                      <w:highlight w:val="none"/>
                    </w:rPr>
                    <w:t>8</w:t>
                  </w:r>
                </w:p>
              </w:tc>
              <w:tc>
                <w:tcPr>
                  <w:tcW w:w="1314" w:type="dxa"/>
                  <w:vMerge w:val="restart"/>
                  <w:noWrap w:val="0"/>
                  <w:vAlign w:val="center"/>
                </w:tcPr>
                <w:p w14:paraId="2A27DE91">
                  <w:pPr>
                    <w:spacing w:before="58" w:line="222" w:lineRule="auto"/>
                    <w:ind w:left="107"/>
                    <w:jc w:val="center"/>
                    <w:rPr>
                      <w:rFonts w:hint="default" w:ascii="宋体" w:hAnsi="宋体" w:eastAsia="宋体" w:cs="宋体"/>
                      <w:color w:val="auto"/>
                      <w:spacing w:val="-1"/>
                      <w:sz w:val="24"/>
                      <w:szCs w:val="24"/>
                      <w:highlight w:val="none"/>
                      <w:lang w:eastAsia="en-US"/>
                    </w:rPr>
                  </w:pPr>
                  <w:r>
                    <w:rPr>
                      <w:rFonts w:hint="eastAsia" w:ascii="宋体" w:hAnsi="宋体" w:eastAsia="宋体" w:cs="宋体"/>
                      <w:color w:val="auto"/>
                      <w:spacing w:val="-1"/>
                      <w:sz w:val="24"/>
                      <w:szCs w:val="24"/>
                      <w:highlight w:val="none"/>
                      <w:lang w:eastAsia="en-US"/>
                    </w:rPr>
                    <w:t>内存规格</w:t>
                  </w:r>
                </w:p>
              </w:tc>
              <w:tc>
                <w:tcPr>
                  <w:tcW w:w="1200" w:type="dxa"/>
                  <w:noWrap w:val="0"/>
                  <w:vAlign w:val="center"/>
                </w:tcPr>
                <w:p w14:paraId="7EDAA13A">
                  <w:pPr>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内存数量</w:t>
                  </w:r>
                </w:p>
              </w:tc>
              <w:tc>
                <w:tcPr>
                  <w:tcW w:w="4915" w:type="dxa"/>
                  <w:noWrap w:val="0"/>
                  <w:vAlign w:val="center"/>
                </w:tcPr>
                <w:p w14:paraId="462B3E23">
                  <w:pPr>
                    <w:spacing w:before="58" w:line="222" w:lineRule="auto"/>
                    <w:ind w:left="107"/>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≥4</w:t>
                  </w:r>
                </w:p>
              </w:tc>
            </w:tr>
            <w:tr w14:paraId="75201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jc w:val="center"/>
              </w:trPr>
              <w:tc>
                <w:tcPr>
                  <w:tcW w:w="719" w:type="dxa"/>
                  <w:noWrap w:val="0"/>
                  <w:vAlign w:val="center"/>
                </w:tcPr>
                <w:p w14:paraId="400AF0B1">
                  <w:pPr>
                    <w:spacing w:before="58" w:line="222" w:lineRule="auto"/>
                    <w:jc w:val="center"/>
                    <w:rPr>
                      <w:rFonts w:hint="default"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9</w:t>
                  </w:r>
                </w:p>
              </w:tc>
              <w:tc>
                <w:tcPr>
                  <w:tcW w:w="1314" w:type="dxa"/>
                  <w:vMerge w:val="continue"/>
                  <w:noWrap w:val="0"/>
                  <w:vAlign w:val="center"/>
                </w:tcPr>
                <w:p w14:paraId="00F1ACA2">
                  <w:pPr>
                    <w:spacing w:before="58" w:line="222" w:lineRule="auto"/>
                    <w:ind w:left="107"/>
                    <w:jc w:val="center"/>
                    <w:rPr>
                      <w:rFonts w:hint="default" w:ascii="宋体" w:hAnsi="宋体" w:eastAsia="宋体" w:cs="宋体"/>
                      <w:color w:val="auto"/>
                      <w:spacing w:val="-1"/>
                      <w:sz w:val="24"/>
                      <w:szCs w:val="24"/>
                      <w:highlight w:val="none"/>
                      <w:lang w:eastAsia="en-US"/>
                    </w:rPr>
                  </w:pPr>
                </w:p>
              </w:tc>
              <w:tc>
                <w:tcPr>
                  <w:tcW w:w="1200" w:type="dxa"/>
                  <w:noWrap w:val="0"/>
                  <w:vAlign w:val="center"/>
                </w:tcPr>
                <w:p w14:paraId="7497B66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内存规格</w:t>
                  </w:r>
                </w:p>
              </w:tc>
              <w:tc>
                <w:tcPr>
                  <w:tcW w:w="4915" w:type="dxa"/>
                  <w:noWrap w:val="0"/>
                  <w:vAlign w:val="center"/>
                </w:tcPr>
                <w:p w14:paraId="5304C17E">
                  <w:pPr>
                    <w:spacing w:before="58" w:line="222" w:lineRule="auto"/>
                    <w:ind w:left="107"/>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≥DDR4</w:t>
                  </w:r>
                </w:p>
              </w:tc>
            </w:tr>
            <w:tr w14:paraId="17467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0" w:hRule="atLeast"/>
                <w:jc w:val="center"/>
              </w:trPr>
              <w:tc>
                <w:tcPr>
                  <w:tcW w:w="719" w:type="dxa"/>
                  <w:noWrap w:val="0"/>
                  <w:vAlign w:val="center"/>
                </w:tcPr>
                <w:p w14:paraId="2A4B42B5">
                  <w:pPr>
                    <w:spacing w:before="59" w:line="239" w:lineRule="exact"/>
                    <w:ind w:left="256"/>
                    <w:jc w:val="center"/>
                    <w:rPr>
                      <w:rFonts w:hint="default" w:ascii="宋体" w:hAnsi="宋体" w:eastAsia="宋体" w:cs="宋体"/>
                      <w:color w:val="auto"/>
                      <w:spacing w:val="-9"/>
                      <w:position w:val="1"/>
                      <w:sz w:val="24"/>
                      <w:szCs w:val="24"/>
                      <w:highlight w:val="none"/>
                    </w:rPr>
                  </w:pPr>
                </w:p>
              </w:tc>
              <w:tc>
                <w:tcPr>
                  <w:tcW w:w="1314" w:type="dxa"/>
                  <w:vMerge w:val="continue"/>
                  <w:tcBorders>
                    <w:bottom w:val="nil"/>
                  </w:tcBorders>
                  <w:noWrap w:val="0"/>
                  <w:vAlign w:val="center"/>
                </w:tcPr>
                <w:p w14:paraId="732D64EB">
                  <w:pPr>
                    <w:widowControl/>
                    <w:jc w:val="center"/>
                    <w:rPr>
                      <w:rFonts w:hint="default" w:ascii="宋体" w:hAnsi="宋体" w:eastAsia="宋体" w:cs="宋体"/>
                      <w:color w:val="auto"/>
                      <w:sz w:val="24"/>
                      <w:szCs w:val="24"/>
                      <w:highlight w:val="none"/>
                    </w:rPr>
                  </w:pPr>
                </w:p>
              </w:tc>
              <w:tc>
                <w:tcPr>
                  <w:tcW w:w="1200" w:type="dxa"/>
                  <w:noWrap w:val="0"/>
                  <w:vAlign w:val="center"/>
                </w:tcPr>
                <w:p w14:paraId="620BEC57">
                  <w:pPr>
                    <w:widowControl/>
                    <w:spacing w:line="248" w:lineRule="auto"/>
                    <w:jc w:val="center"/>
                    <w:rPr>
                      <w:rFonts w:hint="default" w:ascii="宋体" w:hAnsi="宋体" w:eastAsia="宋体" w:cs="宋体"/>
                      <w:color w:val="auto"/>
                      <w:spacing w:val="-2"/>
                      <w:sz w:val="24"/>
                      <w:szCs w:val="24"/>
                      <w:highlight w:val="none"/>
                      <w:lang w:eastAsia="en-US"/>
                    </w:rPr>
                  </w:pPr>
                </w:p>
                <w:p w14:paraId="4988406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内存通道</w:t>
                  </w:r>
                </w:p>
              </w:tc>
              <w:tc>
                <w:tcPr>
                  <w:tcW w:w="4915" w:type="dxa"/>
                  <w:noWrap w:val="0"/>
                  <w:vAlign w:val="center"/>
                </w:tcPr>
                <w:p w14:paraId="0C8E591F">
                  <w:pPr>
                    <w:spacing w:before="58" w:line="222" w:lineRule="auto"/>
                    <w:ind w:left="107"/>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支持多个内存接口通道，每个通道可支持 1DPC 或 2DPC，当支持 2DPC时，印制电路板上应具备插槽的序号标识，具体通道数应在随机文件中明确</w:t>
                  </w:r>
                </w:p>
              </w:tc>
            </w:tr>
            <w:tr w14:paraId="79A92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2FB99FC4">
                  <w:pPr>
                    <w:spacing w:before="151" w:line="237" w:lineRule="exact"/>
                    <w:ind w:left="256"/>
                    <w:rPr>
                      <w:rFonts w:hint="default"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lang w:eastAsia="en-US"/>
                    </w:rPr>
                    <w:t>1</w:t>
                  </w:r>
                  <w:r>
                    <w:rPr>
                      <w:rFonts w:hint="eastAsia" w:ascii="宋体" w:hAnsi="宋体" w:eastAsia="宋体" w:cs="宋体"/>
                      <w:color w:val="auto"/>
                      <w:spacing w:val="-9"/>
                      <w:position w:val="1"/>
                      <w:sz w:val="24"/>
                      <w:szCs w:val="24"/>
                      <w:highlight w:val="none"/>
                    </w:rPr>
                    <w:t>0</w:t>
                  </w:r>
                </w:p>
              </w:tc>
              <w:tc>
                <w:tcPr>
                  <w:tcW w:w="1314" w:type="dxa"/>
                  <w:vMerge w:val="restart"/>
                  <w:noWrap w:val="0"/>
                  <w:vAlign w:val="center"/>
                </w:tcPr>
                <w:p w14:paraId="1BA102A5">
                  <w:pPr>
                    <w:spacing w:before="59" w:line="248" w:lineRule="auto"/>
                    <w:ind w:left="186" w:right="141" w:hanging="47"/>
                    <w:jc w:val="center"/>
                    <w:rPr>
                      <w:rFonts w:hint="default" w:ascii="宋体" w:hAnsi="宋体" w:eastAsia="宋体" w:cs="宋体"/>
                      <w:color w:val="auto"/>
                      <w:spacing w:val="-1"/>
                      <w:sz w:val="24"/>
                      <w:szCs w:val="24"/>
                      <w:highlight w:val="none"/>
                      <w:lang w:eastAsia="en-US"/>
                    </w:rPr>
                  </w:pPr>
                </w:p>
                <w:p w14:paraId="48FA0218">
                  <w:pPr>
                    <w:spacing w:before="59" w:line="248"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存储</w:t>
                  </w:r>
                  <w:r>
                    <w:rPr>
                      <w:rFonts w:hint="eastAsia" w:ascii="宋体" w:hAnsi="宋体" w:eastAsia="宋体" w:cs="宋体"/>
                      <w:color w:val="auto"/>
                      <w:spacing w:val="-3"/>
                      <w:sz w:val="24"/>
                      <w:szCs w:val="24"/>
                      <w:highlight w:val="none"/>
                      <w:lang w:eastAsia="en-US"/>
                    </w:rPr>
                    <w:t>规格</w:t>
                  </w:r>
                </w:p>
              </w:tc>
              <w:tc>
                <w:tcPr>
                  <w:tcW w:w="1200" w:type="dxa"/>
                  <w:noWrap w:val="0"/>
                  <w:vAlign w:val="center"/>
                </w:tcPr>
                <w:p w14:paraId="059D3A4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硬盘类型</w:t>
                  </w:r>
                </w:p>
              </w:tc>
              <w:tc>
                <w:tcPr>
                  <w:tcW w:w="4915" w:type="dxa"/>
                  <w:noWrap w:val="0"/>
                  <w:vAlign w:val="center"/>
                </w:tcPr>
                <w:p w14:paraId="43963BF6">
                  <w:pPr>
                    <w:spacing w:before="38" w:line="224" w:lineRule="auto"/>
                    <w:ind w:left="115" w:right="168" w:hanging="2"/>
                    <w:rPr>
                      <w:rFonts w:hint="default" w:ascii="宋体" w:hAnsi="宋体" w:eastAsia="宋体" w:cs="宋体"/>
                      <w:i/>
                      <w:iCs/>
                      <w:color w:val="auto"/>
                      <w:sz w:val="24"/>
                      <w:szCs w:val="24"/>
                      <w:highlight w:val="none"/>
                      <w:u w:val="single"/>
                      <w:lang w:eastAsia="en-US"/>
                    </w:rPr>
                  </w:pPr>
                  <w:r>
                    <w:rPr>
                      <w:rFonts w:hint="default" w:ascii="宋体" w:hAnsi="宋体" w:eastAsia="宋体" w:cs="宋体"/>
                      <w:i/>
                      <w:iCs/>
                      <w:color w:val="auto"/>
                      <w:spacing w:val="-1"/>
                      <w:sz w:val="24"/>
                      <w:szCs w:val="24"/>
                      <w:highlight w:val="none"/>
                      <w:u w:val="single"/>
                      <w:lang w:val="en-US" w:eastAsia="zh-CN"/>
                    </w:rPr>
                    <w:t xml:space="preserve"> SATA </w:t>
                  </w:r>
                  <w:r>
                    <w:rPr>
                      <w:rFonts w:hint="eastAsia" w:ascii="宋体" w:hAnsi="宋体" w:eastAsia="宋体" w:cs="宋体"/>
                      <w:i/>
                      <w:iCs/>
                      <w:color w:val="auto"/>
                      <w:spacing w:val="-1"/>
                      <w:sz w:val="24"/>
                      <w:szCs w:val="24"/>
                      <w:highlight w:val="none"/>
                      <w:u w:val="single"/>
                      <w:lang w:eastAsia="en-US"/>
                    </w:rPr>
                    <w:t>硬盘</w:t>
                  </w:r>
                </w:p>
              </w:tc>
            </w:tr>
            <w:tr w14:paraId="689B6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noWrap w:val="0"/>
                  <w:vAlign w:val="center"/>
                </w:tcPr>
                <w:p w14:paraId="7882D6C9">
                  <w:pPr>
                    <w:spacing w:before="59" w:line="239" w:lineRule="exact"/>
                    <w:ind w:left="256"/>
                    <w:rPr>
                      <w:rFonts w:hint="default" w:ascii="宋体" w:hAnsi="宋体" w:eastAsia="宋体" w:cs="宋体"/>
                      <w:color w:val="auto"/>
                      <w:sz w:val="24"/>
                      <w:szCs w:val="24"/>
                      <w:highlight w:val="none"/>
                    </w:rPr>
                  </w:pPr>
                  <w:r>
                    <w:rPr>
                      <w:rFonts w:hint="eastAsia" w:ascii="宋体" w:hAnsi="宋体" w:eastAsia="宋体" w:cs="宋体"/>
                      <w:color w:val="auto"/>
                      <w:spacing w:val="-9"/>
                      <w:position w:val="1"/>
                      <w:sz w:val="24"/>
                      <w:szCs w:val="24"/>
                      <w:highlight w:val="none"/>
                      <w:lang w:eastAsia="en-US"/>
                    </w:rPr>
                    <w:t>1</w:t>
                  </w:r>
                  <w:r>
                    <w:rPr>
                      <w:rFonts w:hint="eastAsia" w:ascii="宋体" w:hAnsi="宋体" w:eastAsia="宋体" w:cs="宋体"/>
                      <w:color w:val="auto"/>
                      <w:spacing w:val="-9"/>
                      <w:position w:val="1"/>
                      <w:sz w:val="24"/>
                      <w:szCs w:val="24"/>
                      <w:highlight w:val="none"/>
                    </w:rPr>
                    <w:t>1</w:t>
                  </w:r>
                </w:p>
              </w:tc>
              <w:tc>
                <w:tcPr>
                  <w:tcW w:w="1314" w:type="dxa"/>
                  <w:vMerge w:val="continue"/>
                  <w:noWrap w:val="0"/>
                  <w:vAlign w:val="center"/>
                </w:tcPr>
                <w:p w14:paraId="7A005B75">
                  <w:pPr>
                    <w:widowControl/>
                    <w:jc w:val="center"/>
                    <w:rPr>
                      <w:rFonts w:hint="default" w:ascii="宋体" w:hAnsi="宋体" w:eastAsia="宋体" w:cs="宋体"/>
                      <w:color w:val="auto"/>
                      <w:sz w:val="24"/>
                      <w:szCs w:val="24"/>
                      <w:highlight w:val="none"/>
                    </w:rPr>
                  </w:pPr>
                </w:p>
              </w:tc>
              <w:tc>
                <w:tcPr>
                  <w:tcW w:w="1200" w:type="dxa"/>
                  <w:noWrap w:val="0"/>
                  <w:vAlign w:val="center"/>
                </w:tcPr>
                <w:p w14:paraId="2B73A39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硬磁盘实配容量</w:t>
                  </w:r>
                </w:p>
              </w:tc>
              <w:tc>
                <w:tcPr>
                  <w:tcW w:w="4915" w:type="dxa"/>
                  <w:noWrap w:val="0"/>
                  <w:vAlign w:val="center"/>
                </w:tcPr>
                <w:p w14:paraId="0A1840FD">
                  <w:pPr>
                    <w:spacing w:before="58" w:line="248" w:lineRule="auto"/>
                    <w:ind w:left="111" w:right="123" w:hanging="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val="en-US" w:eastAsia="en-US"/>
                    </w:rPr>
                    <w:t>≥</w:t>
                  </w:r>
                  <w:r>
                    <w:rPr>
                      <w:rFonts w:hint="default" w:ascii="宋体" w:hAnsi="宋体" w:eastAsia="宋体" w:cs="宋体"/>
                      <w:i/>
                      <w:iCs/>
                      <w:color w:val="auto"/>
                      <w:spacing w:val="-1"/>
                      <w:sz w:val="24"/>
                      <w:szCs w:val="24"/>
                      <w:highlight w:val="none"/>
                      <w:u w:val="single"/>
                      <w:lang w:val="en-US" w:eastAsia="zh-CN"/>
                    </w:rPr>
                    <w:t>2块 3.5英寸 SATA 4TB 企业级机械硬盘</w:t>
                  </w:r>
                  <w:r>
                    <w:rPr>
                      <w:rFonts w:hint="eastAsia" w:ascii="宋体" w:hAnsi="宋体" w:eastAsia="宋体" w:cs="宋体"/>
                      <w:i/>
                      <w:iCs/>
                      <w:color w:val="auto"/>
                      <w:spacing w:val="-1"/>
                      <w:sz w:val="24"/>
                      <w:szCs w:val="24"/>
                      <w:highlight w:val="none"/>
                      <w:u w:val="single"/>
                      <w:lang w:val="en-US" w:eastAsia="zh-CN"/>
                    </w:rPr>
                    <w:t>，</w:t>
                  </w:r>
                  <w:r>
                    <w:rPr>
                      <w:rFonts w:hint="default" w:ascii="宋体" w:hAnsi="宋体" w:eastAsia="宋体" w:cs="宋体"/>
                      <w:i/>
                      <w:iCs/>
                      <w:color w:val="auto"/>
                      <w:spacing w:val="-1"/>
                      <w:sz w:val="24"/>
                      <w:szCs w:val="24"/>
                      <w:highlight w:val="none"/>
                      <w:u w:val="single"/>
                      <w:lang w:val="en-US" w:eastAsia="zh-CN"/>
                    </w:rPr>
                    <w:t>2块 2.5英寸 SATA 960GB 读写混合型SSD</w:t>
                  </w:r>
                </w:p>
              </w:tc>
            </w:tr>
            <w:tr w14:paraId="7CAB62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noWrap w:val="0"/>
                  <w:vAlign w:val="center"/>
                </w:tcPr>
                <w:p w14:paraId="703FF81C">
                  <w:pPr>
                    <w:spacing w:before="59" w:line="239" w:lineRule="exact"/>
                    <w:ind w:left="256"/>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11</w:t>
                  </w:r>
                </w:p>
              </w:tc>
              <w:tc>
                <w:tcPr>
                  <w:tcW w:w="1314" w:type="dxa"/>
                  <w:vMerge w:val="continue"/>
                  <w:noWrap w:val="0"/>
                  <w:vAlign w:val="center"/>
                </w:tcPr>
                <w:p w14:paraId="62C3DD3C">
                  <w:pPr>
                    <w:widowControl/>
                    <w:jc w:val="center"/>
                    <w:rPr>
                      <w:rFonts w:hint="default" w:ascii="宋体" w:hAnsi="宋体" w:eastAsia="宋体" w:cs="宋体"/>
                      <w:color w:val="auto"/>
                      <w:sz w:val="24"/>
                      <w:szCs w:val="24"/>
                      <w:highlight w:val="none"/>
                    </w:rPr>
                  </w:pPr>
                </w:p>
              </w:tc>
              <w:tc>
                <w:tcPr>
                  <w:tcW w:w="1200" w:type="dxa"/>
                  <w:noWrap w:val="0"/>
                  <w:vAlign w:val="center"/>
                </w:tcPr>
                <w:p w14:paraId="5414D03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硬磁盘实配容量</w:t>
                  </w:r>
                </w:p>
              </w:tc>
              <w:tc>
                <w:tcPr>
                  <w:tcW w:w="4915" w:type="dxa"/>
                  <w:noWrap w:val="0"/>
                  <w:vAlign w:val="center"/>
                </w:tcPr>
                <w:p w14:paraId="2A529521">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服务器产品至少要配备一款存储设备</w:t>
                  </w:r>
                </w:p>
                <w:p w14:paraId="096E09B0">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 xml:space="preserve">a)若配备硬磁盘，服务器提供的实配硬磁盘可用容量应不小于600GB b)若配备固态盘，实配固态盘单盘可用容量不小于 </w:t>
                  </w:r>
                  <w:r>
                    <w:rPr>
                      <w:rFonts w:hint="eastAsia" w:ascii="宋体" w:hAnsi="宋体" w:eastAsia="宋体" w:cs="宋体"/>
                      <w:i/>
                      <w:iCs/>
                      <w:color w:val="auto"/>
                      <w:spacing w:val="-1"/>
                      <w:sz w:val="24"/>
                      <w:szCs w:val="24"/>
                      <w:highlight w:val="none"/>
                      <w:u w:val="single"/>
                      <w:lang w:val="en-US" w:eastAsia="zh-CN"/>
                    </w:rPr>
                    <w:t>960</w:t>
                  </w:r>
                  <w:r>
                    <w:rPr>
                      <w:rFonts w:hint="eastAsia" w:ascii="宋体" w:hAnsi="宋体" w:eastAsia="宋体" w:cs="宋体"/>
                      <w:i/>
                      <w:iCs/>
                      <w:color w:val="auto"/>
                      <w:spacing w:val="-1"/>
                      <w:sz w:val="24"/>
                      <w:szCs w:val="24"/>
                      <w:highlight w:val="none"/>
                      <w:u w:val="single"/>
                      <w:lang w:eastAsia="en-US"/>
                    </w:rPr>
                    <w:t>GB，NVMe SSD容量不小于960GB</w:t>
                  </w:r>
                </w:p>
              </w:tc>
            </w:tr>
            <w:tr w14:paraId="49119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noWrap w:val="0"/>
                  <w:vAlign w:val="center"/>
                </w:tcPr>
                <w:p w14:paraId="0DA5DC2D">
                  <w:pPr>
                    <w:spacing w:before="59" w:line="239" w:lineRule="exact"/>
                    <w:ind w:left="256"/>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12</w:t>
                  </w:r>
                </w:p>
              </w:tc>
              <w:tc>
                <w:tcPr>
                  <w:tcW w:w="1314" w:type="dxa"/>
                  <w:vMerge w:val="continue"/>
                  <w:noWrap w:val="0"/>
                  <w:vAlign w:val="center"/>
                </w:tcPr>
                <w:p w14:paraId="089C9D21">
                  <w:pPr>
                    <w:widowControl/>
                    <w:jc w:val="center"/>
                    <w:rPr>
                      <w:rFonts w:hint="default" w:ascii="宋体" w:hAnsi="宋体" w:eastAsia="宋体" w:cs="宋体"/>
                      <w:color w:val="auto"/>
                      <w:sz w:val="24"/>
                      <w:szCs w:val="24"/>
                      <w:highlight w:val="none"/>
                    </w:rPr>
                  </w:pPr>
                </w:p>
              </w:tc>
              <w:tc>
                <w:tcPr>
                  <w:tcW w:w="1200" w:type="dxa"/>
                  <w:noWrap w:val="0"/>
                  <w:vAlign w:val="center"/>
                </w:tcPr>
                <w:p w14:paraId="42B44AA8">
                  <w:pPr>
                    <w:widowControl/>
                    <w:spacing w:line="248" w:lineRule="auto"/>
                    <w:jc w:val="center"/>
                    <w:rPr>
                      <w:rFonts w:hint="default" w:ascii="宋体" w:hAnsi="宋体" w:eastAsia="宋体" w:cs="宋体"/>
                      <w:color w:val="auto"/>
                      <w:spacing w:val="-2"/>
                      <w:sz w:val="24"/>
                      <w:szCs w:val="24"/>
                      <w:highlight w:val="none"/>
                      <w:lang w:eastAsia="en-US"/>
                    </w:rPr>
                  </w:pPr>
                </w:p>
                <w:p w14:paraId="27C26DE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硬盘接口类型</w:t>
                  </w:r>
                </w:p>
              </w:tc>
              <w:tc>
                <w:tcPr>
                  <w:tcW w:w="4915" w:type="dxa"/>
                  <w:noWrap w:val="0"/>
                  <w:vAlign w:val="center"/>
                </w:tcPr>
                <w:p w14:paraId="260FDDA4">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a)若配备硬磁盘，应提供 SAS 3.0或 SATA 3.0 及以上接口；</w:t>
                  </w:r>
                </w:p>
                <w:p w14:paraId="66E60197">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b)若配备固态盘，应提供至少 1 种类型固态盘接口，如 UFS、SATA、PCIe等</w:t>
                  </w:r>
                </w:p>
              </w:tc>
            </w:tr>
            <w:tr w14:paraId="0A1C7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noWrap w:val="0"/>
                  <w:vAlign w:val="center"/>
                </w:tcPr>
                <w:p w14:paraId="21B234BF">
                  <w:pPr>
                    <w:spacing w:before="59" w:line="239" w:lineRule="exact"/>
                    <w:ind w:left="256"/>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13</w:t>
                  </w:r>
                </w:p>
              </w:tc>
              <w:tc>
                <w:tcPr>
                  <w:tcW w:w="1314" w:type="dxa"/>
                  <w:vMerge w:val="continue"/>
                  <w:noWrap w:val="0"/>
                  <w:vAlign w:val="center"/>
                </w:tcPr>
                <w:p w14:paraId="68BB05BC">
                  <w:pPr>
                    <w:widowControl/>
                    <w:jc w:val="center"/>
                    <w:rPr>
                      <w:rFonts w:hint="default" w:ascii="宋体" w:hAnsi="宋体" w:eastAsia="宋体" w:cs="宋体"/>
                      <w:color w:val="auto"/>
                      <w:sz w:val="24"/>
                      <w:szCs w:val="24"/>
                      <w:highlight w:val="none"/>
                    </w:rPr>
                  </w:pPr>
                </w:p>
              </w:tc>
              <w:tc>
                <w:tcPr>
                  <w:tcW w:w="1200" w:type="dxa"/>
                  <w:noWrap w:val="0"/>
                  <w:vAlign w:val="center"/>
                </w:tcPr>
                <w:p w14:paraId="777AA9D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硬盘实配数量</w:t>
                  </w:r>
                </w:p>
              </w:tc>
              <w:tc>
                <w:tcPr>
                  <w:tcW w:w="4915" w:type="dxa"/>
                  <w:noWrap w:val="0"/>
                  <w:vAlign w:val="center"/>
                </w:tcPr>
                <w:p w14:paraId="4D6872DF">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a)若配备硬磁盘，服务器提供的实配硬磁盘数量应不小于 2 块，可实现互为备份；</w:t>
                  </w:r>
                </w:p>
                <w:p w14:paraId="5DA2F9A1">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b)若配备固态盘，实配盘数应不小于 1 块</w:t>
                  </w:r>
                </w:p>
              </w:tc>
            </w:tr>
            <w:tr w14:paraId="060681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noWrap w:val="0"/>
                  <w:vAlign w:val="center"/>
                </w:tcPr>
                <w:p w14:paraId="0E349B44">
                  <w:pPr>
                    <w:spacing w:before="59" w:line="239" w:lineRule="exact"/>
                    <w:ind w:left="256"/>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14</w:t>
                  </w:r>
                </w:p>
              </w:tc>
              <w:tc>
                <w:tcPr>
                  <w:tcW w:w="1314" w:type="dxa"/>
                  <w:vMerge w:val="continue"/>
                  <w:noWrap w:val="0"/>
                  <w:vAlign w:val="center"/>
                </w:tcPr>
                <w:p w14:paraId="7A852103">
                  <w:pPr>
                    <w:widowControl/>
                    <w:jc w:val="center"/>
                    <w:rPr>
                      <w:rFonts w:hint="default" w:ascii="宋体" w:hAnsi="宋体" w:eastAsia="宋体" w:cs="宋体"/>
                      <w:color w:val="auto"/>
                      <w:sz w:val="24"/>
                      <w:szCs w:val="24"/>
                      <w:highlight w:val="none"/>
                    </w:rPr>
                  </w:pPr>
                </w:p>
              </w:tc>
              <w:tc>
                <w:tcPr>
                  <w:tcW w:w="1200" w:type="dxa"/>
                  <w:noWrap w:val="0"/>
                  <w:vAlign w:val="center"/>
                </w:tcPr>
                <w:p w14:paraId="014BC9D9">
                  <w:pPr>
                    <w:widowControl/>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硬盘插槽数量及规格</w:t>
                  </w:r>
                </w:p>
              </w:tc>
              <w:tc>
                <w:tcPr>
                  <w:tcW w:w="4915" w:type="dxa"/>
                  <w:noWrap w:val="0"/>
                  <w:vAlign w:val="center"/>
                </w:tcPr>
                <w:p w14:paraId="356FBA12">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a) 供应商应给出配置的硬盘尺寸，如 2.5 英寸、3.5 英寸硬磁盘；</w:t>
                  </w:r>
                </w:p>
                <w:p w14:paraId="44B49075">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 机箱高度为88.9mm 的服务器可支持的硬盘数量应不少于 8 块，机箱高度为44.45mm 的服务器可支持的硬盘数量应不少于 4 块。</w:t>
                  </w:r>
                </w:p>
                <w:p w14:paraId="68913D6F">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c) 存储型服务器可支持硬盘数量应不少于 24 块</w:t>
                  </w:r>
                </w:p>
              </w:tc>
            </w:tr>
            <w:tr w14:paraId="245801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8" w:hRule="atLeast"/>
                <w:jc w:val="center"/>
              </w:trPr>
              <w:tc>
                <w:tcPr>
                  <w:tcW w:w="719" w:type="dxa"/>
                  <w:noWrap w:val="0"/>
                  <w:vAlign w:val="center"/>
                </w:tcPr>
                <w:p w14:paraId="112E855E">
                  <w:pPr>
                    <w:spacing w:before="59" w:line="239" w:lineRule="exact"/>
                    <w:ind w:left="256"/>
                    <w:rPr>
                      <w:rFonts w:hint="default" w:ascii="宋体" w:hAnsi="宋体" w:eastAsia="宋体" w:cs="宋体"/>
                      <w:color w:val="auto"/>
                      <w:spacing w:val="-9"/>
                      <w:position w:val="1"/>
                      <w:sz w:val="24"/>
                      <w:szCs w:val="24"/>
                      <w:highlight w:val="none"/>
                    </w:rPr>
                  </w:pPr>
                  <w:r>
                    <w:rPr>
                      <w:rFonts w:hint="eastAsia" w:ascii="宋体" w:hAnsi="宋体" w:eastAsia="宋体" w:cs="宋体"/>
                      <w:color w:val="auto"/>
                      <w:spacing w:val="-9"/>
                      <w:position w:val="1"/>
                      <w:sz w:val="24"/>
                      <w:szCs w:val="24"/>
                      <w:highlight w:val="none"/>
                    </w:rPr>
                    <w:t>15</w:t>
                  </w:r>
                </w:p>
              </w:tc>
              <w:tc>
                <w:tcPr>
                  <w:tcW w:w="1314" w:type="dxa"/>
                  <w:vMerge w:val="continue"/>
                  <w:tcBorders>
                    <w:bottom w:val="nil"/>
                  </w:tcBorders>
                  <w:noWrap w:val="0"/>
                  <w:vAlign w:val="center"/>
                </w:tcPr>
                <w:p w14:paraId="468923A1">
                  <w:pPr>
                    <w:widowControl/>
                    <w:jc w:val="center"/>
                    <w:rPr>
                      <w:rFonts w:hint="default" w:ascii="宋体" w:hAnsi="宋体" w:eastAsia="宋体" w:cs="宋体"/>
                      <w:color w:val="auto"/>
                      <w:sz w:val="24"/>
                      <w:szCs w:val="24"/>
                      <w:highlight w:val="none"/>
                    </w:rPr>
                  </w:pPr>
                </w:p>
              </w:tc>
              <w:tc>
                <w:tcPr>
                  <w:tcW w:w="1200" w:type="dxa"/>
                  <w:noWrap w:val="0"/>
                  <w:vAlign w:val="center"/>
                </w:tcPr>
                <w:p w14:paraId="3494CA0F">
                  <w:pP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硬盘其他参数要求</w:t>
                  </w:r>
                </w:p>
              </w:tc>
              <w:tc>
                <w:tcPr>
                  <w:tcW w:w="4915" w:type="dxa"/>
                  <w:noWrap w:val="0"/>
                  <w:vAlign w:val="center"/>
                </w:tcPr>
                <w:p w14:paraId="5A55304A">
                  <w:pPr>
                    <w:spacing w:before="19" w:line="352" w:lineRule="auto"/>
                    <w:ind w:left="20" w:right="20" w:firstLine="7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a)机械硬盘准备时间应不大于30s；侧面固定螺丝孔数量可为 4 孔或6孔；工作状态环境温度应满足 5℃ ~55℃ , 其它参数应符合 GB/T 12628的相关规定；</w:t>
                  </w:r>
                  <w:r>
                    <w:rPr>
                      <w:rFonts w:hint="default" w:ascii="宋体" w:hAnsi="宋体" w:eastAsia="宋体" w:cs="宋体"/>
                      <w:i/>
                      <w:iCs/>
                      <w:color w:val="auto"/>
                      <w:spacing w:val="-1"/>
                      <w:sz w:val="24"/>
                      <w:szCs w:val="24"/>
                      <w:highlight w:val="none"/>
                      <w:u w:val="single"/>
                      <w:lang w:eastAsia="en-US"/>
                    </w:rPr>
                    <mc:AlternateContent>
                      <mc:Choice Requires="wps">
                        <w:drawing>
                          <wp:anchor distT="0" distB="0" distL="114300" distR="114300" simplePos="0" relativeHeight="251673600" behindDoc="0" locked="0" layoutInCell="1" allowOverlap="1">
                            <wp:simplePos x="0" y="0"/>
                            <wp:positionH relativeFrom="column">
                              <wp:posOffset>351155</wp:posOffset>
                            </wp:positionH>
                            <wp:positionV relativeFrom="paragraph">
                              <wp:posOffset>35560</wp:posOffset>
                            </wp:positionV>
                            <wp:extent cx="1771650" cy="309880"/>
                            <wp:effectExtent l="0" t="0" r="0" b="0"/>
                            <wp:wrapNone/>
                            <wp:docPr id="16" name="文本框 16"/>
                            <wp:cNvGraphicFramePr/>
                            <a:graphic xmlns:a="http://schemas.openxmlformats.org/drawingml/2006/main">
                              <a:graphicData uri="http://schemas.microsoft.com/office/word/2010/wordprocessingShape">
                                <wps:wsp>
                                  <wps:cNvSpPr txBox="1"/>
                                  <wps:spPr bwMode="auto">
                                    <a:xfrm>
                                      <a:off x="0" y="0"/>
                                      <a:ext cx="1771650" cy="309880"/>
                                    </a:xfrm>
                                    <a:prstGeom prst="rect">
                                      <a:avLst/>
                                    </a:prstGeom>
                                    <a:noFill/>
                                    <a:ln>
                                      <a:noFill/>
                                    </a:ln>
                                    <a:effectLst/>
                                  </wps:spPr>
                                  <wps:txbx>
                                    <w:txbxContent>
                                      <w:p w14:paraId="72473822">
                                        <w:pPr>
                                          <w:spacing w:before="19"/>
                                          <w:ind w:left="20" w:right="20" w:firstLine="74"/>
                                          <w:rPr>
                                            <w:rFonts w:hint="default" w:ascii="黑体" w:hAnsi="黑体" w:eastAsia="黑体" w:cs="黑体"/>
                                            <w:sz w:val="18"/>
                                            <w:szCs w:val="18"/>
                                            <w:lang w:eastAsia="en-US"/>
                                          </w:rPr>
                                        </w:pPr>
                                      </w:p>
                                    </w:txbxContent>
                                  </wps:txbx>
                                  <wps:bodyPr lIns="0" tIns="0" rIns="0" bIns="0" upright="1"/>
                                </wps:wsp>
                              </a:graphicData>
                            </a:graphic>
                          </wp:anchor>
                        </w:drawing>
                      </mc:Choice>
                      <mc:Fallback>
                        <w:pict>
                          <v:shape id="_x0000_s1026" o:spid="_x0000_s1026" o:spt="202" type="#_x0000_t202" style="position:absolute;left:0pt;margin-left:27.65pt;margin-top:2.8pt;height:24.4pt;width:139.5pt;z-index:251673600;mso-width-relative:page;mso-height-relative:page;" filled="f" stroked="f" coordsize="21600,21600" o:gfxdata="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Bdf6Wd1QAAAAcBAAAPAAAAAAAAAAEAIAAAACIAAABkcnMvZG93&#10;bnJldi54bWxQSwECFAAUAAAACACHTuJA0gy9rcoBAACQAwAADgAAAAAAAAABACAAAAAkAQAAZHJz&#10;L2Uyb0RvYy54bWxQSwUGAAAAAAYABgBZAQAAYAUAAAAA&#10;">
                            <v:fill on="f" focussize="0,0"/>
                            <v:stroke on="f"/>
                            <v:imagedata o:title=""/>
                            <o:lock v:ext="edit" aspectratio="f"/>
                            <v:textbox inset="0mm,0mm,0mm,0mm">
                              <w:txbxContent>
                                <w:p w14:paraId="72473822">
                                  <w:pPr>
                                    <w:spacing w:before="19"/>
                                    <w:ind w:left="20" w:right="20" w:firstLine="74"/>
                                    <w:rPr>
                                      <w:rFonts w:hint="default" w:ascii="黑体" w:hAnsi="黑体" w:eastAsia="黑体" w:cs="黑体"/>
                                      <w:sz w:val="18"/>
                                      <w:szCs w:val="18"/>
                                      <w:lang w:eastAsia="en-US"/>
                                    </w:rPr>
                                  </w:pPr>
                                </w:p>
                              </w:txbxContent>
                            </v:textbox>
                          </v:shape>
                        </w:pict>
                      </mc:Fallback>
                    </mc:AlternateContent>
                  </w:r>
                </w:p>
                <w:p w14:paraId="6C922029">
                  <w:pPr>
                    <w:spacing w:before="58" w:line="248" w:lineRule="auto"/>
                    <w:ind w:left="111" w:right="123" w:hanging="4"/>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b)若服务器支持固态盘，固态盘符合 SJ/T 11654 相关规定</w:t>
                  </w:r>
                </w:p>
              </w:tc>
            </w:tr>
            <w:tr w14:paraId="7E22C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8" w:hRule="atLeast"/>
                <w:jc w:val="center"/>
              </w:trPr>
              <w:tc>
                <w:tcPr>
                  <w:tcW w:w="719" w:type="dxa"/>
                  <w:noWrap w:val="0"/>
                  <w:vAlign w:val="center"/>
                </w:tcPr>
                <w:p w14:paraId="29FCF4D2">
                  <w:pPr>
                    <w:spacing w:before="156" w:line="237" w:lineRule="exact"/>
                    <w:ind w:left="25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9"/>
                      <w:position w:val="1"/>
                      <w:sz w:val="24"/>
                      <w:szCs w:val="24"/>
                      <w:highlight w:val="none"/>
                      <w:lang w:eastAsia="en-US"/>
                    </w:rPr>
                    <w:t>19</w:t>
                  </w:r>
                </w:p>
              </w:tc>
              <w:tc>
                <w:tcPr>
                  <w:tcW w:w="1314" w:type="dxa"/>
                  <w:noWrap w:val="0"/>
                  <w:vAlign w:val="center"/>
                </w:tcPr>
                <w:p w14:paraId="105CC249">
                  <w:pPr>
                    <w:spacing w:before="43" w:line="223" w:lineRule="auto"/>
                    <w:ind w:left="189" w:right="1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RAID</w:t>
                  </w:r>
                  <w:r>
                    <w:rPr>
                      <w:rFonts w:hint="eastAsia" w:ascii="宋体" w:hAnsi="宋体" w:eastAsia="宋体" w:cs="宋体"/>
                      <w:color w:val="auto"/>
                      <w:spacing w:val="-5"/>
                      <w:sz w:val="24"/>
                      <w:szCs w:val="24"/>
                      <w:highlight w:val="none"/>
                      <w:lang w:eastAsia="en-US"/>
                    </w:rPr>
                    <w:t>卡规</w:t>
                  </w:r>
                  <w:r>
                    <w:rPr>
                      <w:rFonts w:hint="eastAsia" w:ascii="宋体" w:hAnsi="宋体" w:eastAsia="宋体" w:cs="宋体"/>
                      <w:color w:val="auto"/>
                      <w:spacing w:val="-11"/>
                      <w:sz w:val="24"/>
                      <w:szCs w:val="24"/>
                      <w:highlight w:val="none"/>
                      <w:lang w:eastAsia="en-US"/>
                    </w:rPr>
                    <w:t>格（若</w:t>
                  </w:r>
                  <w:r>
                    <w:rPr>
                      <w:rFonts w:hint="eastAsia" w:ascii="宋体" w:hAnsi="宋体" w:eastAsia="宋体" w:cs="宋体"/>
                      <w:color w:val="auto"/>
                      <w:spacing w:val="-4"/>
                      <w:sz w:val="24"/>
                      <w:szCs w:val="24"/>
                      <w:highlight w:val="none"/>
                      <w:lang w:eastAsia="en-US"/>
                    </w:rPr>
                    <w:t>支持</w:t>
                  </w:r>
                  <w:r>
                    <w:rPr>
                      <w:rFonts w:hint="eastAsia" w:ascii="宋体" w:hAnsi="宋体" w:eastAsia="宋体" w:cs="宋体"/>
                      <w:color w:val="auto"/>
                      <w:spacing w:val="-2"/>
                      <w:sz w:val="24"/>
                      <w:szCs w:val="24"/>
                      <w:highlight w:val="none"/>
                      <w:lang w:eastAsia="en-US"/>
                    </w:rPr>
                    <w:t>RAID</w:t>
                  </w:r>
                  <w:r>
                    <w:rPr>
                      <w:rFonts w:hint="eastAsia" w:ascii="宋体" w:hAnsi="宋体" w:eastAsia="宋体" w:cs="宋体"/>
                      <w:color w:val="auto"/>
                      <w:spacing w:val="-4"/>
                      <w:sz w:val="24"/>
                      <w:szCs w:val="24"/>
                      <w:highlight w:val="none"/>
                      <w:lang w:eastAsia="en-US"/>
                    </w:rPr>
                    <w:t>卡）</w:t>
                  </w:r>
                </w:p>
              </w:tc>
              <w:tc>
                <w:tcPr>
                  <w:tcW w:w="1200" w:type="dxa"/>
                  <w:noWrap w:val="0"/>
                  <w:vAlign w:val="center"/>
                </w:tcPr>
                <w:p w14:paraId="22AE344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卡支持的 SAS接口数</w:t>
                  </w:r>
                </w:p>
              </w:tc>
              <w:tc>
                <w:tcPr>
                  <w:tcW w:w="4915" w:type="dxa"/>
                  <w:noWrap w:val="0"/>
                  <w:vAlign w:val="center"/>
                </w:tcPr>
                <w:p w14:paraId="1F8B1C8A">
                  <w:pPr>
                    <w:spacing w:before="163"/>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3"/>
                      <w:sz w:val="24"/>
                      <w:szCs w:val="24"/>
                      <w:highlight w:val="none"/>
                      <w:u w:val="single"/>
                      <w:lang w:eastAsia="en-US"/>
                    </w:rPr>
                    <w:t>≥8</w:t>
                  </w:r>
                </w:p>
              </w:tc>
            </w:tr>
            <w:tr w14:paraId="02A9E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719" w:type="dxa"/>
                  <w:noWrap w:val="0"/>
                  <w:vAlign w:val="center"/>
                </w:tcPr>
                <w:p w14:paraId="4DC34A21">
                  <w:pPr>
                    <w:spacing w:before="5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20</w:t>
                  </w:r>
                </w:p>
              </w:tc>
              <w:tc>
                <w:tcPr>
                  <w:tcW w:w="1314" w:type="dxa"/>
                  <w:noWrap w:val="0"/>
                  <w:vAlign w:val="center"/>
                </w:tcPr>
                <w:p w14:paraId="36709036">
                  <w:pPr>
                    <w:spacing w:before="37" w:line="246" w:lineRule="auto"/>
                    <w:ind w:left="186" w:right="119" w:hanging="6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SAS直</w:t>
                  </w:r>
                  <w:r>
                    <w:rPr>
                      <w:rFonts w:hint="eastAsia" w:ascii="宋体" w:hAnsi="宋体" w:eastAsia="宋体" w:cs="宋体"/>
                      <w:color w:val="auto"/>
                      <w:spacing w:val="-3"/>
                      <w:sz w:val="24"/>
                      <w:szCs w:val="24"/>
                      <w:highlight w:val="none"/>
                      <w:lang w:eastAsia="en-US"/>
                    </w:rPr>
                    <w:t>通卡</w:t>
                  </w:r>
                </w:p>
                <w:p w14:paraId="03C12E1E">
                  <w:pPr>
                    <w:spacing w:line="246" w:lineRule="auto"/>
                    <w:ind w:left="110" w:right="130" w:firstLine="7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规格</w:t>
                  </w:r>
                  <w:r>
                    <w:rPr>
                      <w:rFonts w:hint="eastAsia" w:ascii="宋体" w:hAnsi="宋体" w:eastAsia="宋体" w:cs="宋体"/>
                      <w:color w:val="auto"/>
                      <w:spacing w:val="8"/>
                      <w:sz w:val="24"/>
                      <w:szCs w:val="24"/>
                      <w:highlight w:val="none"/>
                      <w:lang w:eastAsia="en-US"/>
                    </w:rPr>
                    <w:t>(若支</w:t>
                  </w:r>
                  <w:r>
                    <w:rPr>
                      <w:rFonts w:hint="eastAsia" w:ascii="宋体" w:hAnsi="宋体" w:eastAsia="宋体" w:cs="宋体"/>
                      <w:color w:val="auto"/>
                      <w:spacing w:val="-4"/>
                      <w:sz w:val="24"/>
                      <w:szCs w:val="24"/>
                      <w:highlight w:val="none"/>
                      <w:lang w:eastAsia="en-US"/>
                    </w:rPr>
                    <w:t>持SAS</w:t>
                  </w:r>
                  <w:r>
                    <w:rPr>
                      <w:rFonts w:hint="eastAsia" w:ascii="宋体" w:hAnsi="宋体" w:eastAsia="宋体" w:cs="宋体"/>
                      <w:color w:val="auto"/>
                      <w:spacing w:val="35"/>
                      <w:sz w:val="24"/>
                      <w:szCs w:val="24"/>
                      <w:highlight w:val="none"/>
                      <w:lang w:eastAsia="en-US"/>
                    </w:rPr>
                    <w:t>直通</w:t>
                  </w:r>
                </w:p>
                <w:p w14:paraId="12BB1B57">
                  <w:pPr>
                    <w:spacing w:line="201" w:lineRule="auto"/>
                    <w:ind w:left="23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卡)</w:t>
                  </w:r>
                </w:p>
              </w:tc>
              <w:tc>
                <w:tcPr>
                  <w:tcW w:w="1200" w:type="dxa"/>
                  <w:noWrap w:val="0"/>
                  <w:vAlign w:val="center"/>
                </w:tcPr>
                <w:p w14:paraId="3B517F6A">
                  <w:pPr>
                    <w:spacing w:line="248" w:lineRule="auto"/>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SAS直通卡SAS接口数量</w:t>
                  </w:r>
                </w:p>
              </w:tc>
              <w:tc>
                <w:tcPr>
                  <w:tcW w:w="4915" w:type="dxa"/>
                  <w:noWrap w:val="0"/>
                  <w:vAlign w:val="center"/>
                </w:tcPr>
                <w:p w14:paraId="123CB01A">
                  <w:pPr>
                    <w:widowControl/>
                    <w:spacing w:line="347" w:lineRule="auto"/>
                    <w:rPr>
                      <w:rFonts w:hint="default" w:ascii="宋体" w:hAnsi="宋体" w:eastAsia="宋体" w:cs="宋体"/>
                      <w:i/>
                      <w:iCs/>
                      <w:color w:val="auto"/>
                      <w:sz w:val="24"/>
                      <w:szCs w:val="24"/>
                      <w:highlight w:val="none"/>
                      <w:u w:val="single"/>
                    </w:rPr>
                  </w:pPr>
                </w:p>
                <w:p w14:paraId="1FEDC656">
                  <w:pPr>
                    <w:widowControl/>
                    <w:spacing w:line="347" w:lineRule="auto"/>
                    <w:rPr>
                      <w:rFonts w:hint="default" w:ascii="宋体" w:hAnsi="宋体" w:eastAsia="宋体" w:cs="宋体"/>
                      <w:i/>
                      <w:iCs/>
                      <w:color w:val="auto"/>
                      <w:sz w:val="24"/>
                      <w:szCs w:val="24"/>
                      <w:highlight w:val="none"/>
                      <w:u w:val="single"/>
                    </w:rPr>
                  </w:pPr>
                </w:p>
                <w:p w14:paraId="0D638917">
                  <w:pPr>
                    <w:spacing w:before="59"/>
                    <w:ind w:left="131"/>
                    <w:rPr>
                      <w:rFonts w:hint="default" w:ascii="宋体" w:hAnsi="宋体" w:eastAsia="黑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rPr>
                    <w:t>/</w:t>
                  </w:r>
                </w:p>
              </w:tc>
            </w:tr>
            <w:tr w14:paraId="70FF91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noWrap w:val="0"/>
                  <w:vAlign w:val="center"/>
                </w:tcPr>
                <w:p w14:paraId="0BED6324">
                  <w:pPr>
                    <w:spacing w:before="59" w:line="239"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21</w:t>
                  </w:r>
                </w:p>
              </w:tc>
              <w:tc>
                <w:tcPr>
                  <w:tcW w:w="1314" w:type="dxa"/>
                  <w:noWrap w:val="0"/>
                  <w:vAlign w:val="center"/>
                </w:tcPr>
                <w:p w14:paraId="3C798155">
                  <w:pPr>
                    <w:spacing w:before="40" w:line="246" w:lineRule="auto"/>
                    <w:ind w:left="110" w:right="119" w:firstLine="1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HBA卡</w:t>
                  </w:r>
                  <w:r>
                    <w:rPr>
                      <w:rFonts w:hint="eastAsia" w:ascii="宋体" w:hAnsi="宋体" w:eastAsia="宋体" w:cs="宋体"/>
                      <w:color w:val="auto"/>
                      <w:spacing w:val="35"/>
                      <w:sz w:val="24"/>
                      <w:szCs w:val="24"/>
                      <w:highlight w:val="none"/>
                      <w:lang w:eastAsia="en-US"/>
                    </w:rPr>
                    <w:t>规格</w:t>
                  </w:r>
                  <w:r>
                    <w:rPr>
                      <w:rFonts w:hint="eastAsia" w:ascii="宋体" w:hAnsi="宋体" w:eastAsia="宋体" w:cs="宋体"/>
                      <w:color w:val="auto"/>
                      <w:spacing w:val="8"/>
                      <w:sz w:val="24"/>
                      <w:szCs w:val="24"/>
                      <w:highlight w:val="none"/>
                      <w:lang w:eastAsia="en-US"/>
                    </w:rPr>
                    <w:t>(若支</w:t>
                  </w:r>
                  <w:r>
                    <w:rPr>
                      <w:rFonts w:hint="eastAsia" w:ascii="宋体" w:hAnsi="宋体" w:eastAsia="宋体" w:cs="宋体"/>
                      <w:color w:val="auto"/>
                      <w:spacing w:val="-4"/>
                      <w:sz w:val="24"/>
                      <w:szCs w:val="24"/>
                      <w:highlight w:val="none"/>
                      <w:lang w:eastAsia="en-US"/>
                    </w:rPr>
                    <w:t>持HBA</w:t>
                  </w:r>
                  <w:r>
                    <w:rPr>
                      <w:rFonts w:hint="eastAsia" w:ascii="宋体" w:hAnsi="宋体" w:eastAsia="宋体" w:cs="宋体"/>
                      <w:color w:val="auto"/>
                      <w:spacing w:val="35"/>
                      <w:sz w:val="24"/>
                      <w:szCs w:val="24"/>
                      <w:highlight w:val="none"/>
                      <w:lang w:eastAsia="en-US"/>
                    </w:rPr>
                    <w:t>直通</w:t>
                  </w:r>
                </w:p>
                <w:p w14:paraId="0FC6BAA3">
                  <w:pPr>
                    <w:spacing w:line="198" w:lineRule="auto"/>
                    <w:ind w:left="23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卡)</w:t>
                  </w:r>
                </w:p>
              </w:tc>
              <w:tc>
                <w:tcPr>
                  <w:tcW w:w="1200" w:type="dxa"/>
                  <w:noWrap w:val="0"/>
                  <w:vAlign w:val="center"/>
                </w:tcPr>
                <w:p w14:paraId="49138252">
                  <w:pPr>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HBA卡端口数量</w:t>
                  </w:r>
                </w:p>
              </w:tc>
              <w:tc>
                <w:tcPr>
                  <w:tcW w:w="4915" w:type="dxa"/>
                  <w:noWrap w:val="0"/>
                  <w:vAlign w:val="center"/>
                </w:tcPr>
                <w:p w14:paraId="4BDE891A">
                  <w:pPr>
                    <w:widowControl/>
                    <w:spacing w:line="289" w:lineRule="auto"/>
                    <w:rPr>
                      <w:rFonts w:hint="default" w:ascii="宋体" w:hAnsi="宋体" w:eastAsia="宋体" w:cs="宋体"/>
                      <w:i/>
                      <w:iCs/>
                      <w:color w:val="auto"/>
                      <w:sz w:val="24"/>
                      <w:szCs w:val="24"/>
                      <w:highlight w:val="none"/>
                      <w:u w:val="single"/>
                    </w:rPr>
                  </w:pPr>
                </w:p>
                <w:p w14:paraId="00B7B487">
                  <w:pPr>
                    <w:widowControl/>
                    <w:spacing w:line="289" w:lineRule="auto"/>
                    <w:rPr>
                      <w:rFonts w:hint="default" w:ascii="宋体" w:hAnsi="宋体" w:eastAsia="宋体" w:cs="宋体"/>
                      <w:i/>
                      <w:iCs/>
                      <w:color w:val="auto"/>
                      <w:sz w:val="24"/>
                      <w:szCs w:val="24"/>
                      <w:highlight w:val="none"/>
                      <w:u w:val="single"/>
                    </w:rPr>
                  </w:pPr>
                </w:p>
                <w:p w14:paraId="1293B5D9">
                  <w:pPr>
                    <w:spacing w:before="58"/>
                    <w:ind w:left="131"/>
                    <w:rPr>
                      <w:rFonts w:hint="default" w:ascii="宋体" w:hAnsi="宋体" w:eastAsia="黑体" w:cs="宋体"/>
                      <w:i/>
                      <w:iCs/>
                      <w:color w:val="auto"/>
                      <w:sz w:val="24"/>
                      <w:szCs w:val="24"/>
                      <w:highlight w:val="none"/>
                      <w:u w:val="single"/>
                    </w:rPr>
                  </w:pPr>
                  <w:r>
                    <w:rPr>
                      <w:rFonts w:hint="eastAsia" w:ascii="宋体" w:hAnsi="宋体" w:eastAsia="宋体" w:cs="宋体"/>
                      <w:i/>
                      <w:iCs/>
                      <w:color w:val="auto"/>
                      <w:spacing w:val="-13"/>
                      <w:sz w:val="24"/>
                      <w:szCs w:val="24"/>
                      <w:highlight w:val="none"/>
                      <w:u w:val="single"/>
                    </w:rPr>
                    <w:t>/</w:t>
                  </w:r>
                </w:p>
              </w:tc>
            </w:tr>
            <w:tr w14:paraId="0AA0B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719" w:type="dxa"/>
                  <w:noWrap w:val="0"/>
                  <w:vAlign w:val="center"/>
                </w:tcPr>
                <w:p w14:paraId="5E93FEA9">
                  <w:pPr>
                    <w:spacing w:before="59" w:line="239"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22</w:t>
                  </w:r>
                </w:p>
              </w:tc>
              <w:tc>
                <w:tcPr>
                  <w:tcW w:w="1314" w:type="dxa"/>
                  <w:vMerge w:val="restart"/>
                  <w:tcBorders>
                    <w:bottom w:val="nil"/>
                  </w:tcBorders>
                  <w:noWrap w:val="0"/>
                  <w:vAlign w:val="center"/>
                </w:tcPr>
                <w:p w14:paraId="2B76944B">
                  <w:pPr>
                    <w:spacing w:before="58"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网络</w:t>
                  </w:r>
                  <w:r>
                    <w:rPr>
                      <w:rFonts w:hint="eastAsia" w:ascii="宋体" w:hAnsi="宋体" w:eastAsia="宋体" w:cs="宋体"/>
                      <w:color w:val="auto"/>
                      <w:spacing w:val="-3"/>
                      <w:sz w:val="24"/>
                      <w:szCs w:val="24"/>
                      <w:highlight w:val="none"/>
                      <w:lang w:eastAsia="en-US"/>
                    </w:rPr>
                    <w:t>规格</w:t>
                  </w:r>
                </w:p>
              </w:tc>
              <w:tc>
                <w:tcPr>
                  <w:tcW w:w="1200" w:type="dxa"/>
                  <w:noWrap w:val="0"/>
                  <w:vAlign w:val="center"/>
                </w:tcPr>
                <w:p w14:paraId="56335514">
                  <w:pPr>
                    <w:spacing w:before="59" w:line="248" w:lineRule="auto"/>
                    <w:ind w:right="12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网口速率和数量</w:t>
                  </w:r>
                </w:p>
              </w:tc>
              <w:tc>
                <w:tcPr>
                  <w:tcW w:w="4915" w:type="dxa"/>
                  <w:noWrap w:val="0"/>
                  <w:vAlign w:val="center"/>
                </w:tcPr>
                <w:p w14:paraId="38EAC7A8">
                  <w:pPr>
                    <w:widowControl/>
                    <w:spacing w:line="289" w:lineRule="auto"/>
                    <w:rPr>
                      <w:rFonts w:hint="default" w:ascii="宋体" w:hAnsi="宋体" w:eastAsia="宋体" w:cs="宋体"/>
                      <w:i/>
                      <w:iCs/>
                      <w:color w:val="auto"/>
                      <w:sz w:val="24"/>
                      <w:szCs w:val="24"/>
                      <w:highlight w:val="none"/>
                      <w:u w:val="single"/>
                    </w:rPr>
                  </w:pPr>
                </w:p>
                <w:p w14:paraId="4ED093C0">
                  <w:pPr>
                    <w:widowControl/>
                    <w:spacing w:line="290" w:lineRule="auto"/>
                    <w:rPr>
                      <w:rFonts w:hint="default" w:ascii="宋体" w:hAnsi="宋体" w:eastAsia="宋体" w:cs="宋体"/>
                      <w:i/>
                      <w:iCs/>
                      <w:color w:val="auto"/>
                      <w:sz w:val="24"/>
                      <w:szCs w:val="24"/>
                      <w:highlight w:val="none"/>
                      <w:u w:val="single"/>
                    </w:rPr>
                  </w:pPr>
                </w:p>
                <w:p w14:paraId="53524406">
                  <w:pPr>
                    <w:spacing w:before="58" w:line="248" w:lineRule="auto"/>
                    <w:ind w:left="112" w:right="168"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配备网口数量不少于</w:t>
                  </w:r>
                  <w:r>
                    <w:rPr>
                      <w:rFonts w:hint="eastAsia" w:ascii="宋体" w:hAnsi="宋体" w:eastAsia="宋体" w:cs="宋体"/>
                      <w:i/>
                      <w:iCs/>
                      <w:color w:val="auto"/>
                      <w:spacing w:val="-3"/>
                      <w:sz w:val="24"/>
                      <w:szCs w:val="24"/>
                      <w:highlight w:val="none"/>
                      <w:u w:val="single"/>
                      <w:lang w:val="en-US" w:eastAsia="zh-CN"/>
                    </w:rPr>
                    <w:t>8</w:t>
                  </w:r>
                  <w:r>
                    <w:rPr>
                      <w:rFonts w:hint="eastAsia" w:ascii="宋体" w:hAnsi="宋体" w:eastAsia="宋体" w:cs="宋体"/>
                      <w:i/>
                      <w:iCs/>
                      <w:color w:val="auto"/>
                      <w:spacing w:val="-3"/>
                      <w:sz w:val="24"/>
                      <w:szCs w:val="24"/>
                      <w:highlight w:val="none"/>
                      <w:u w:val="single"/>
                      <w:lang w:eastAsia="en-US"/>
                    </w:rPr>
                    <w:t>个，且网口速率不少于1GE</w:t>
                  </w:r>
                </w:p>
              </w:tc>
            </w:tr>
            <w:tr w14:paraId="4342F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719" w:type="dxa"/>
                  <w:noWrap w:val="0"/>
                  <w:vAlign w:val="center"/>
                </w:tcPr>
                <w:p w14:paraId="4BADEB27">
                  <w:pPr>
                    <w:spacing w:before="58" w:line="238"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23</w:t>
                  </w:r>
                </w:p>
              </w:tc>
              <w:tc>
                <w:tcPr>
                  <w:tcW w:w="1314" w:type="dxa"/>
                  <w:vMerge w:val="continue"/>
                  <w:tcBorders>
                    <w:top w:val="nil"/>
                    <w:bottom w:val="nil"/>
                  </w:tcBorders>
                  <w:noWrap w:val="0"/>
                  <w:vAlign w:val="center"/>
                </w:tcPr>
                <w:p w14:paraId="40CFF461">
                  <w:pPr>
                    <w:widowControl/>
                    <w:jc w:val="center"/>
                    <w:rPr>
                      <w:rFonts w:hint="default" w:ascii="宋体" w:hAnsi="宋体" w:eastAsia="宋体" w:cs="宋体"/>
                      <w:color w:val="auto"/>
                      <w:sz w:val="24"/>
                      <w:szCs w:val="24"/>
                      <w:highlight w:val="none"/>
                    </w:rPr>
                  </w:pPr>
                </w:p>
              </w:tc>
              <w:tc>
                <w:tcPr>
                  <w:tcW w:w="1200" w:type="dxa"/>
                  <w:noWrap w:val="0"/>
                  <w:vAlign w:val="center"/>
                </w:tcPr>
                <w:p w14:paraId="0E400409">
                  <w:pPr>
                    <w:spacing w:line="250"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存储型服务器网口速率和数量</w:t>
                  </w:r>
                </w:p>
              </w:tc>
              <w:tc>
                <w:tcPr>
                  <w:tcW w:w="4915" w:type="dxa"/>
                  <w:noWrap w:val="0"/>
                  <w:vAlign w:val="center"/>
                </w:tcPr>
                <w:p w14:paraId="1F00E728">
                  <w:pPr>
                    <w:spacing w:before="59" w:line="248" w:lineRule="auto"/>
                    <w:ind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存储型服务器1GE网口数量不少于</w:t>
                  </w:r>
                  <w:r>
                    <w:rPr>
                      <w:rFonts w:hint="eastAsia" w:ascii="宋体" w:hAnsi="宋体" w:eastAsia="宋体" w:cs="宋体"/>
                      <w:i/>
                      <w:iCs/>
                      <w:color w:val="auto"/>
                      <w:sz w:val="24"/>
                      <w:szCs w:val="24"/>
                      <w:highlight w:val="none"/>
                      <w:u w:val="single"/>
                      <w:lang w:eastAsia="en-US"/>
                    </w:rPr>
                    <w:t>2个，10GE以上网口数量不少于2个</w:t>
                  </w:r>
                </w:p>
              </w:tc>
            </w:tr>
            <w:tr w14:paraId="5274A4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0EA02697">
                  <w:pPr>
                    <w:spacing w:before="274" w:line="240" w:lineRule="exact"/>
                    <w:ind w:left="24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24</w:t>
                  </w:r>
                </w:p>
              </w:tc>
              <w:tc>
                <w:tcPr>
                  <w:tcW w:w="1314" w:type="dxa"/>
                  <w:vMerge w:val="continue"/>
                  <w:tcBorders>
                    <w:top w:val="nil"/>
                    <w:bottom w:val="nil"/>
                  </w:tcBorders>
                  <w:noWrap w:val="0"/>
                  <w:vAlign w:val="center"/>
                </w:tcPr>
                <w:p w14:paraId="51D42E92">
                  <w:pPr>
                    <w:widowControl/>
                    <w:jc w:val="center"/>
                    <w:rPr>
                      <w:rFonts w:hint="default" w:ascii="宋体" w:hAnsi="宋体" w:eastAsia="宋体" w:cs="宋体"/>
                      <w:color w:val="auto"/>
                      <w:sz w:val="24"/>
                      <w:szCs w:val="24"/>
                      <w:highlight w:val="none"/>
                    </w:rPr>
                  </w:pPr>
                </w:p>
              </w:tc>
              <w:tc>
                <w:tcPr>
                  <w:tcW w:w="1200" w:type="dxa"/>
                  <w:noWrap w:val="0"/>
                  <w:vAlign w:val="center"/>
                </w:tcPr>
                <w:p w14:paraId="2B3D750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独立网卡网口数量</w:t>
                  </w:r>
                </w:p>
              </w:tc>
              <w:tc>
                <w:tcPr>
                  <w:tcW w:w="4915" w:type="dxa"/>
                  <w:noWrap w:val="0"/>
                  <w:vAlign w:val="center"/>
                </w:tcPr>
                <w:p w14:paraId="66C4DCC0">
                  <w:pPr>
                    <w:spacing w:before="162" w:line="251" w:lineRule="auto"/>
                    <w:ind w:left="115"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若配备独立网卡，独立网卡网口数</w:t>
                  </w:r>
                  <w:r>
                    <w:rPr>
                      <w:rFonts w:hint="eastAsia" w:ascii="宋体" w:hAnsi="宋体" w:eastAsia="宋体" w:cs="宋体"/>
                      <w:i/>
                      <w:iCs/>
                      <w:color w:val="auto"/>
                      <w:spacing w:val="-4"/>
                      <w:sz w:val="24"/>
                      <w:szCs w:val="24"/>
                      <w:highlight w:val="none"/>
                      <w:u w:val="single"/>
                      <w:lang w:eastAsia="en-US"/>
                    </w:rPr>
                    <w:t>量≥0</w:t>
                  </w:r>
                </w:p>
              </w:tc>
            </w:tr>
            <w:tr w14:paraId="0CD032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4" w:hRule="atLeast"/>
                <w:jc w:val="center"/>
              </w:trPr>
              <w:tc>
                <w:tcPr>
                  <w:tcW w:w="719" w:type="dxa"/>
                  <w:noWrap w:val="0"/>
                  <w:vAlign w:val="center"/>
                </w:tcPr>
                <w:p w14:paraId="6B4E4377">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25</w:t>
                  </w:r>
                </w:p>
              </w:tc>
              <w:tc>
                <w:tcPr>
                  <w:tcW w:w="1314" w:type="dxa"/>
                  <w:vMerge w:val="continue"/>
                  <w:tcBorders>
                    <w:top w:val="nil"/>
                    <w:bottom w:val="nil"/>
                  </w:tcBorders>
                  <w:noWrap w:val="0"/>
                  <w:vAlign w:val="center"/>
                </w:tcPr>
                <w:p w14:paraId="7FB87165">
                  <w:pPr>
                    <w:widowControl/>
                    <w:jc w:val="center"/>
                    <w:rPr>
                      <w:rFonts w:hint="default" w:ascii="宋体" w:hAnsi="宋体" w:eastAsia="宋体" w:cs="宋体"/>
                      <w:color w:val="auto"/>
                      <w:sz w:val="24"/>
                      <w:szCs w:val="24"/>
                      <w:highlight w:val="none"/>
                    </w:rPr>
                  </w:pPr>
                </w:p>
              </w:tc>
              <w:tc>
                <w:tcPr>
                  <w:tcW w:w="1200" w:type="dxa"/>
                  <w:noWrap w:val="0"/>
                  <w:vAlign w:val="center"/>
                </w:tcPr>
                <w:p w14:paraId="7ACDF38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独立网卡接口类型</w:t>
                  </w:r>
                </w:p>
              </w:tc>
              <w:tc>
                <w:tcPr>
                  <w:tcW w:w="4915" w:type="dxa"/>
                  <w:noWrap w:val="0"/>
                  <w:vAlign w:val="center"/>
                </w:tcPr>
                <w:p w14:paraId="4A74E2E6">
                  <w:pPr>
                    <w:spacing w:before="58"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支持RJ45/QSFP/SFP等</w:t>
                  </w:r>
                </w:p>
              </w:tc>
            </w:tr>
            <w:tr w14:paraId="5F13B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4" w:hRule="atLeast"/>
                <w:jc w:val="center"/>
              </w:trPr>
              <w:tc>
                <w:tcPr>
                  <w:tcW w:w="719" w:type="dxa"/>
                  <w:noWrap w:val="0"/>
                  <w:vAlign w:val="center"/>
                </w:tcPr>
                <w:p w14:paraId="4F2DE901">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26</w:t>
                  </w:r>
                </w:p>
              </w:tc>
              <w:tc>
                <w:tcPr>
                  <w:tcW w:w="1314" w:type="dxa"/>
                  <w:vMerge w:val="continue"/>
                  <w:tcBorders>
                    <w:top w:val="nil"/>
                  </w:tcBorders>
                  <w:noWrap w:val="0"/>
                  <w:vAlign w:val="center"/>
                </w:tcPr>
                <w:p w14:paraId="7FA1BC8F">
                  <w:pPr>
                    <w:widowControl/>
                    <w:jc w:val="center"/>
                    <w:rPr>
                      <w:rFonts w:hint="default" w:ascii="宋体" w:hAnsi="宋体" w:eastAsia="宋体" w:cs="宋体"/>
                      <w:color w:val="auto"/>
                      <w:sz w:val="24"/>
                      <w:szCs w:val="24"/>
                      <w:highlight w:val="none"/>
                    </w:rPr>
                  </w:pPr>
                </w:p>
              </w:tc>
              <w:tc>
                <w:tcPr>
                  <w:tcW w:w="1200" w:type="dxa"/>
                  <w:noWrap w:val="0"/>
                  <w:vAlign w:val="center"/>
                </w:tcPr>
                <w:p w14:paraId="2DBCA6F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板载网卡接口类型</w:t>
                  </w:r>
                </w:p>
              </w:tc>
              <w:tc>
                <w:tcPr>
                  <w:tcW w:w="4915" w:type="dxa"/>
                  <w:noWrap w:val="0"/>
                  <w:vAlign w:val="center"/>
                </w:tcPr>
                <w:p w14:paraId="7C142559">
                  <w:pPr>
                    <w:spacing w:before="59" w:line="222" w:lineRule="auto"/>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支持RJ45/QSFP/SFP等</w:t>
                  </w:r>
                </w:p>
              </w:tc>
            </w:tr>
            <w:tr w14:paraId="06EC5E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101E9509">
                  <w:pPr>
                    <w:spacing w:before="157" w:line="240" w:lineRule="exact"/>
                    <w:ind w:left="24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27</w:t>
                  </w:r>
                </w:p>
              </w:tc>
              <w:tc>
                <w:tcPr>
                  <w:tcW w:w="1314" w:type="dxa"/>
                  <w:tcBorders>
                    <w:bottom w:val="nil"/>
                  </w:tcBorders>
                  <w:noWrap w:val="0"/>
                  <w:vAlign w:val="center"/>
                </w:tcPr>
                <w:p w14:paraId="5460D3C4">
                  <w:pPr>
                    <w:spacing w:before="289" w:line="190"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外部</w:t>
                  </w:r>
                </w:p>
              </w:tc>
              <w:tc>
                <w:tcPr>
                  <w:tcW w:w="1200" w:type="dxa"/>
                  <w:noWrap w:val="0"/>
                  <w:vAlign w:val="center"/>
                </w:tcPr>
                <w:p w14:paraId="719F926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显示接口</w:t>
                  </w:r>
                </w:p>
              </w:tc>
              <w:tc>
                <w:tcPr>
                  <w:tcW w:w="4915" w:type="dxa"/>
                  <w:noWrap w:val="0"/>
                  <w:vAlign w:val="center"/>
                </w:tcPr>
                <w:p w14:paraId="2EE5479D">
                  <w:pPr>
                    <w:spacing w:before="45" w:line="220" w:lineRule="auto"/>
                    <w:ind w:left="108" w:right="206" w:firstLine="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显示接口类型应不少于1种，如：</w:t>
                  </w:r>
                  <w:r>
                    <w:rPr>
                      <w:rFonts w:hint="eastAsia" w:ascii="宋体" w:hAnsi="宋体" w:eastAsia="宋体" w:cs="宋体"/>
                      <w:i/>
                      <w:iCs/>
                      <w:color w:val="auto"/>
                      <w:spacing w:val="-1"/>
                      <w:sz w:val="24"/>
                      <w:szCs w:val="24"/>
                      <w:highlight w:val="none"/>
                      <w:u w:val="single"/>
                      <w:lang w:eastAsia="en-US"/>
                    </w:rPr>
                    <w:t>VGA、DP、HDMI等</w:t>
                  </w:r>
                </w:p>
              </w:tc>
            </w:tr>
            <w:tr w14:paraId="5CA5A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jc w:val="center"/>
              </w:trPr>
              <w:tc>
                <w:tcPr>
                  <w:tcW w:w="719" w:type="dxa"/>
                  <w:noWrap w:val="0"/>
                  <w:vAlign w:val="center"/>
                </w:tcPr>
                <w:p w14:paraId="59FDC21C">
                  <w:pPr>
                    <w:spacing w:before="277" w:line="237" w:lineRule="exact"/>
                    <w:ind w:left="24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28</w:t>
                  </w:r>
                </w:p>
              </w:tc>
              <w:tc>
                <w:tcPr>
                  <w:tcW w:w="1314" w:type="dxa"/>
                  <w:tcBorders>
                    <w:top w:val="nil"/>
                  </w:tcBorders>
                  <w:noWrap w:val="0"/>
                  <w:vAlign w:val="center"/>
                </w:tcPr>
                <w:p w14:paraId="6DE6FC24">
                  <w:pPr>
                    <w:spacing w:before="40" w:line="248" w:lineRule="auto"/>
                    <w:ind w:left="186" w:righ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接口</w:t>
                  </w:r>
                  <w:r>
                    <w:rPr>
                      <w:rFonts w:hint="eastAsia" w:ascii="宋体" w:hAnsi="宋体" w:eastAsia="宋体" w:cs="宋体"/>
                      <w:color w:val="auto"/>
                      <w:spacing w:val="-3"/>
                      <w:sz w:val="24"/>
                      <w:szCs w:val="24"/>
                      <w:highlight w:val="none"/>
                      <w:lang w:eastAsia="en-US"/>
                    </w:rPr>
                    <w:t>规格</w:t>
                  </w:r>
                </w:p>
              </w:tc>
              <w:tc>
                <w:tcPr>
                  <w:tcW w:w="1200" w:type="dxa"/>
                  <w:noWrap w:val="0"/>
                  <w:vAlign w:val="center"/>
                </w:tcPr>
                <w:p w14:paraId="4DD36885">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USB 接口</w:t>
                  </w:r>
                </w:p>
              </w:tc>
              <w:tc>
                <w:tcPr>
                  <w:tcW w:w="4915" w:type="dxa"/>
                  <w:noWrap w:val="0"/>
                  <w:vAlign w:val="center"/>
                </w:tcPr>
                <w:p w14:paraId="723FCCB8">
                  <w:pPr>
                    <w:spacing w:before="165" w:line="248" w:lineRule="auto"/>
                    <w:ind w:left="112" w:right="123"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配备USB接口，如USB2.0、USB3.0</w:t>
                  </w:r>
                  <w:r>
                    <w:rPr>
                      <w:rFonts w:hint="eastAsia" w:ascii="宋体" w:hAnsi="宋体" w:eastAsia="宋体" w:cs="宋体"/>
                      <w:i/>
                      <w:iCs/>
                      <w:color w:val="auto"/>
                      <w:sz w:val="24"/>
                      <w:szCs w:val="24"/>
                      <w:highlight w:val="none"/>
                      <w:u w:val="single"/>
                      <w:lang w:eastAsia="en-US"/>
                    </w:rPr>
                    <w:t>等</w:t>
                  </w:r>
                </w:p>
              </w:tc>
            </w:tr>
            <w:tr w14:paraId="6628A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1BA9EA68">
                  <w:pPr>
                    <w:spacing w:before="274" w:line="237" w:lineRule="exact"/>
                    <w:ind w:left="246"/>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29</w:t>
                  </w:r>
                </w:p>
              </w:tc>
              <w:tc>
                <w:tcPr>
                  <w:tcW w:w="1314" w:type="dxa"/>
                  <w:vMerge w:val="restart"/>
                  <w:tcBorders>
                    <w:top w:val="nil"/>
                    <w:bottom w:val="nil"/>
                  </w:tcBorders>
                  <w:noWrap w:val="0"/>
                  <w:vAlign w:val="center"/>
                </w:tcPr>
                <w:p w14:paraId="51C31106">
                  <w:pPr>
                    <w:widowControl/>
                    <w:jc w:val="center"/>
                    <w:rPr>
                      <w:rFonts w:hint="default" w:ascii="宋体" w:hAnsi="宋体" w:eastAsia="宋体" w:cs="宋体"/>
                      <w:color w:val="auto"/>
                      <w:sz w:val="24"/>
                      <w:szCs w:val="24"/>
                      <w:highlight w:val="none"/>
                    </w:rPr>
                  </w:pPr>
                </w:p>
              </w:tc>
              <w:tc>
                <w:tcPr>
                  <w:tcW w:w="1200" w:type="dxa"/>
                  <w:noWrap w:val="0"/>
                  <w:vAlign w:val="center"/>
                </w:tcPr>
                <w:p w14:paraId="7808BAE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特殊接口及孔位</w:t>
                  </w:r>
                </w:p>
              </w:tc>
              <w:tc>
                <w:tcPr>
                  <w:tcW w:w="4915" w:type="dxa"/>
                  <w:noWrap w:val="0"/>
                  <w:vAlign w:val="center"/>
                </w:tcPr>
                <w:p w14:paraId="48BFAF72">
                  <w:pPr>
                    <w:spacing w:before="159" w:line="248" w:lineRule="auto"/>
                    <w:ind w:left="114" w:right="168" w:hanging="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z w:val="24"/>
                      <w:szCs w:val="24"/>
                      <w:highlight w:val="none"/>
                      <w:u w:val="single"/>
                      <w:lang w:eastAsia="en-US"/>
                    </w:rPr>
                    <w:t>前面板预留1个专用USB母座接口</w:t>
                  </w:r>
                  <w:r>
                    <w:rPr>
                      <w:rFonts w:hint="eastAsia" w:ascii="宋体" w:hAnsi="宋体" w:eastAsia="宋体" w:cs="宋体"/>
                      <w:i/>
                      <w:iCs/>
                      <w:color w:val="auto"/>
                      <w:spacing w:val="-5"/>
                      <w:sz w:val="24"/>
                      <w:szCs w:val="24"/>
                      <w:highlight w:val="none"/>
                      <w:u w:val="single"/>
                      <w:lang w:eastAsia="en-US"/>
                    </w:rPr>
                    <w:t>孔位</w:t>
                  </w:r>
                </w:p>
              </w:tc>
            </w:tr>
            <w:tr w14:paraId="33A22D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4" w:hRule="atLeast"/>
                <w:jc w:val="center"/>
              </w:trPr>
              <w:tc>
                <w:tcPr>
                  <w:tcW w:w="719" w:type="dxa"/>
                  <w:noWrap w:val="0"/>
                  <w:vAlign w:val="center"/>
                </w:tcPr>
                <w:p w14:paraId="42647972">
                  <w:pPr>
                    <w:spacing w:before="58"/>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30</w:t>
                  </w:r>
                </w:p>
              </w:tc>
              <w:tc>
                <w:tcPr>
                  <w:tcW w:w="1314" w:type="dxa"/>
                  <w:vMerge w:val="continue"/>
                  <w:tcBorders>
                    <w:top w:val="nil"/>
                  </w:tcBorders>
                  <w:noWrap w:val="0"/>
                  <w:vAlign w:val="center"/>
                </w:tcPr>
                <w:p w14:paraId="20E36AEF">
                  <w:pPr>
                    <w:widowControl/>
                    <w:jc w:val="center"/>
                    <w:rPr>
                      <w:rFonts w:hint="default" w:ascii="宋体" w:hAnsi="宋体" w:eastAsia="宋体" w:cs="宋体"/>
                      <w:color w:val="auto"/>
                      <w:sz w:val="24"/>
                      <w:szCs w:val="24"/>
                      <w:highlight w:val="none"/>
                    </w:rPr>
                  </w:pPr>
                </w:p>
              </w:tc>
              <w:tc>
                <w:tcPr>
                  <w:tcW w:w="1200" w:type="dxa"/>
                  <w:noWrap w:val="0"/>
                  <w:vAlign w:val="center"/>
                </w:tcPr>
                <w:p w14:paraId="220C478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其他接口</w:t>
                  </w:r>
                </w:p>
              </w:tc>
              <w:tc>
                <w:tcPr>
                  <w:tcW w:w="4915" w:type="dxa"/>
                  <w:noWrap w:val="0"/>
                  <w:vAlign w:val="center"/>
                </w:tcPr>
                <w:p w14:paraId="568E2A4A">
                  <w:pPr>
                    <w:spacing w:before="41" w:line="244" w:lineRule="auto"/>
                    <w:ind w:left="113" w:right="103"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a)串口数量不少于1个，并可实现</w:t>
                  </w:r>
                  <w:r>
                    <w:rPr>
                      <w:rFonts w:hint="eastAsia" w:ascii="宋体" w:hAnsi="宋体" w:eastAsia="宋体" w:cs="宋体"/>
                      <w:i/>
                      <w:iCs/>
                      <w:color w:val="auto"/>
                      <w:spacing w:val="-2"/>
                      <w:sz w:val="24"/>
                      <w:szCs w:val="24"/>
                      <w:highlight w:val="none"/>
                      <w:u w:val="single"/>
                      <w:lang w:eastAsia="en-US"/>
                    </w:rPr>
                    <w:t>GB/T 6107或GB/T 26803.2的相关</w:t>
                  </w:r>
                  <w:r>
                    <w:rPr>
                      <w:rFonts w:hint="eastAsia" w:ascii="宋体" w:hAnsi="宋体" w:eastAsia="宋体" w:cs="宋体"/>
                      <w:i/>
                      <w:iCs/>
                      <w:color w:val="auto"/>
                      <w:spacing w:val="-3"/>
                      <w:sz w:val="24"/>
                      <w:szCs w:val="24"/>
                      <w:highlight w:val="none"/>
                      <w:u w:val="single"/>
                      <w:lang w:eastAsia="en-US"/>
                    </w:rPr>
                    <w:t>功能；</w:t>
                  </w:r>
                </w:p>
                <w:p w14:paraId="6F3CC8A0">
                  <w:pPr>
                    <w:spacing w:before="5" w:line="230" w:lineRule="auto"/>
                    <w:ind w:left="114"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 服务器主机前面板可根据用户</w:t>
                  </w:r>
                  <w:r>
                    <w:rPr>
                      <w:rFonts w:hint="eastAsia" w:ascii="宋体" w:hAnsi="宋体" w:eastAsia="宋体" w:cs="宋体"/>
                      <w:i/>
                      <w:iCs/>
                      <w:color w:val="auto"/>
                      <w:spacing w:val="-4"/>
                      <w:sz w:val="24"/>
                      <w:szCs w:val="24"/>
                      <w:highlight w:val="none"/>
                      <w:u w:val="single"/>
                      <w:lang w:eastAsia="en-US"/>
                    </w:rPr>
                    <w:t>实际使用需求预留1个专用USB母</w:t>
                  </w:r>
                  <w:r>
                    <w:rPr>
                      <w:rFonts w:hint="eastAsia" w:ascii="宋体" w:hAnsi="宋体" w:eastAsia="宋体" w:cs="宋体"/>
                      <w:i/>
                      <w:iCs/>
                      <w:color w:val="auto"/>
                      <w:spacing w:val="-2"/>
                      <w:sz w:val="24"/>
                      <w:szCs w:val="24"/>
                      <w:highlight w:val="none"/>
                      <w:u w:val="single"/>
                      <w:lang w:eastAsia="en-US"/>
                    </w:rPr>
                    <w:t>座接口孔位</w:t>
                  </w:r>
                </w:p>
              </w:tc>
            </w:tr>
            <w:tr w14:paraId="014A3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jc w:val="center"/>
              </w:trPr>
              <w:tc>
                <w:tcPr>
                  <w:tcW w:w="719" w:type="dxa"/>
                  <w:noWrap w:val="0"/>
                  <w:vAlign w:val="center"/>
                </w:tcPr>
                <w:p w14:paraId="1735C92A">
                  <w:pPr>
                    <w:spacing w:before="58"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31</w:t>
                  </w:r>
                </w:p>
              </w:tc>
              <w:tc>
                <w:tcPr>
                  <w:tcW w:w="1314" w:type="dxa"/>
                  <w:vMerge w:val="restart"/>
                  <w:tcBorders>
                    <w:bottom w:val="nil"/>
                  </w:tcBorders>
                  <w:noWrap w:val="0"/>
                  <w:vAlign w:val="center"/>
                </w:tcPr>
                <w:p w14:paraId="42850A8E">
                  <w:pPr>
                    <w:spacing w:before="59"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电源</w:t>
                  </w:r>
                  <w:r>
                    <w:rPr>
                      <w:rFonts w:hint="eastAsia" w:ascii="宋体" w:hAnsi="宋体" w:eastAsia="宋体" w:cs="宋体"/>
                      <w:color w:val="auto"/>
                      <w:spacing w:val="-3"/>
                      <w:sz w:val="24"/>
                      <w:szCs w:val="24"/>
                      <w:highlight w:val="none"/>
                      <w:lang w:eastAsia="en-US"/>
                    </w:rPr>
                    <w:t>规格</w:t>
                  </w:r>
                </w:p>
              </w:tc>
              <w:tc>
                <w:tcPr>
                  <w:tcW w:w="1200" w:type="dxa"/>
                  <w:noWrap w:val="0"/>
                  <w:vAlign w:val="center"/>
                </w:tcPr>
                <w:p w14:paraId="63A5500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电源冗余模式</w:t>
                  </w:r>
                </w:p>
              </w:tc>
              <w:tc>
                <w:tcPr>
                  <w:tcW w:w="4915" w:type="dxa"/>
                  <w:noWrap w:val="0"/>
                  <w:vAlign w:val="center"/>
                </w:tcPr>
                <w:p w14:paraId="76B3F7D1">
                  <w:pPr>
                    <w:spacing w:before="58" w:line="248" w:lineRule="auto"/>
                    <w:ind w:left="115" w:right="168" w:hanging="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整机电源模块按1+1冗余或N+1冗</w:t>
                  </w:r>
                  <w:r>
                    <w:rPr>
                      <w:rFonts w:hint="eastAsia" w:ascii="宋体" w:hAnsi="宋体" w:eastAsia="宋体" w:cs="宋体"/>
                      <w:i/>
                      <w:iCs/>
                      <w:color w:val="auto"/>
                      <w:spacing w:val="-4"/>
                      <w:sz w:val="24"/>
                      <w:szCs w:val="24"/>
                      <w:highlight w:val="none"/>
                      <w:u w:val="single"/>
                      <w:lang w:eastAsia="en-US"/>
                    </w:rPr>
                    <w:t>余配置</w:t>
                  </w:r>
                </w:p>
              </w:tc>
            </w:tr>
            <w:tr w14:paraId="00687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19" w:type="dxa"/>
                  <w:noWrap w:val="0"/>
                  <w:vAlign w:val="center"/>
                </w:tcPr>
                <w:p w14:paraId="00802E85">
                  <w:pPr>
                    <w:spacing w:before="59"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32</w:t>
                  </w:r>
                </w:p>
              </w:tc>
              <w:tc>
                <w:tcPr>
                  <w:tcW w:w="1314" w:type="dxa"/>
                  <w:vMerge w:val="continue"/>
                  <w:tcBorders>
                    <w:top w:val="nil"/>
                    <w:bottom w:val="nil"/>
                  </w:tcBorders>
                  <w:noWrap w:val="0"/>
                  <w:vAlign w:val="center"/>
                </w:tcPr>
                <w:p w14:paraId="5D94E0B2">
                  <w:pPr>
                    <w:widowControl/>
                    <w:jc w:val="center"/>
                    <w:rPr>
                      <w:rFonts w:hint="default" w:ascii="宋体" w:hAnsi="宋体" w:eastAsia="宋体" w:cs="宋体"/>
                      <w:color w:val="auto"/>
                      <w:sz w:val="24"/>
                      <w:szCs w:val="24"/>
                      <w:highlight w:val="none"/>
                    </w:rPr>
                  </w:pPr>
                </w:p>
              </w:tc>
              <w:tc>
                <w:tcPr>
                  <w:tcW w:w="1200" w:type="dxa"/>
                  <w:noWrap w:val="0"/>
                  <w:vAlign w:val="center"/>
                </w:tcPr>
                <w:p w14:paraId="022C179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电源模块数量</w:t>
                  </w:r>
                </w:p>
              </w:tc>
              <w:tc>
                <w:tcPr>
                  <w:tcW w:w="4915" w:type="dxa"/>
                  <w:noWrap w:val="0"/>
                  <w:vAlign w:val="center"/>
                </w:tcPr>
                <w:p w14:paraId="4C8B0A88">
                  <w:pPr>
                    <w:widowControl/>
                    <w:spacing w:line="341" w:lineRule="auto"/>
                    <w:rPr>
                      <w:rFonts w:hint="default" w:ascii="宋体" w:hAnsi="宋体" w:eastAsia="宋体" w:cs="宋体"/>
                      <w:i/>
                      <w:iCs/>
                      <w:color w:val="auto"/>
                      <w:sz w:val="24"/>
                      <w:szCs w:val="24"/>
                      <w:highlight w:val="none"/>
                      <w:u w:val="single"/>
                    </w:rPr>
                  </w:pPr>
                </w:p>
                <w:p w14:paraId="5FC4517B">
                  <w:pPr>
                    <w:spacing w:before="58"/>
                    <w:ind w:left="131"/>
                    <w:rPr>
                      <w:rFonts w:hint="eastAsia" w:ascii="宋体" w:hAnsi="宋体" w:eastAsia="宋体" w:cs="宋体"/>
                      <w:i/>
                      <w:iCs/>
                      <w:color w:val="auto"/>
                      <w:sz w:val="24"/>
                      <w:szCs w:val="24"/>
                      <w:highlight w:val="none"/>
                      <w:u w:val="single"/>
                      <w:lang w:eastAsia="zh-CN"/>
                    </w:rPr>
                  </w:pPr>
                  <w:r>
                    <w:rPr>
                      <w:rFonts w:hint="eastAsia" w:ascii="宋体" w:hAnsi="宋体" w:eastAsia="宋体" w:cs="宋体"/>
                      <w:i/>
                      <w:iCs/>
                      <w:color w:val="auto"/>
                      <w:spacing w:val="-13"/>
                      <w:sz w:val="24"/>
                      <w:szCs w:val="24"/>
                      <w:highlight w:val="none"/>
                      <w:u w:val="single"/>
                      <w:lang w:eastAsia="en-US"/>
                    </w:rPr>
                    <w:t>≥</w:t>
                  </w:r>
                  <w:r>
                    <w:rPr>
                      <w:rFonts w:hint="eastAsia" w:ascii="宋体" w:hAnsi="宋体" w:eastAsia="宋体" w:cs="宋体"/>
                      <w:i/>
                      <w:iCs/>
                      <w:color w:val="auto"/>
                      <w:spacing w:val="-13"/>
                      <w:sz w:val="24"/>
                      <w:szCs w:val="24"/>
                      <w:highlight w:val="none"/>
                      <w:u w:val="single"/>
                      <w:lang w:val="en-US" w:eastAsia="zh-CN"/>
                    </w:rPr>
                    <w:t>2</w:t>
                  </w:r>
                </w:p>
              </w:tc>
            </w:tr>
            <w:tr w14:paraId="5CDB00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 w:hRule="atLeast"/>
                <w:jc w:val="center"/>
              </w:trPr>
              <w:tc>
                <w:tcPr>
                  <w:tcW w:w="719" w:type="dxa"/>
                  <w:noWrap w:val="0"/>
                  <w:vAlign w:val="center"/>
                </w:tcPr>
                <w:p w14:paraId="4781613D">
                  <w:pPr>
                    <w:spacing w:before="58"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33</w:t>
                  </w:r>
                </w:p>
              </w:tc>
              <w:tc>
                <w:tcPr>
                  <w:tcW w:w="1314" w:type="dxa"/>
                  <w:vMerge w:val="continue"/>
                  <w:tcBorders>
                    <w:top w:val="nil"/>
                    <w:bottom w:val="nil"/>
                  </w:tcBorders>
                  <w:noWrap w:val="0"/>
                  <w:vAlign w:val="center"/>
                </w:tcPr>
                <w:p w14:paraId="3CEE78FC">
                  <w:pPr>
                    <w:widowControl/>
                    <w:jc w:val="center"/>
                    <w:rPr>
                      <w:rFonts w:hint="default" w:ascii="宋体" w:hAnsi="宋体" w:eastAsia="宋体" w:cs="宋体"/>
                      <w:color w:val="auto"/>
                      <w:sz w:val="24"/>
                      <w:szCs w:val="24"/>
                      <w:highlight w:val="none"/>
                    </w:rPr>
                  </w:pPr>
                </w:p>
              </w:tc>
              <w:tc>
                <w:tcPr>
                  <w:tcW w:w="1200" w:type="dxa"/>
                  <w:noWrap w:val="0"/>
                  <w:vAlign w:val="center"/>
                </w:tcPr>
                <w:p w14:paraId="7D1435D3">
                  <w:pPr>
                    <w:spacing w:before="58" w:line="221"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电源功率</w:t>
                  </w:r>
                </w:p>
              </w:tc>
              <w:tc>
                <w:tcPr>
                  <w:tcW w:w="4915" w:type="dxa"/>
                  <w:noWrap w:val="0"/>
                  <w:vAlign w:val="center"/>
                </w:tcPr>
                <w:p w14:paraId="65E7E0A2">
                  <w:pPr>
                    <w:spacing w:before="58" w:line="248" w:lineRule="auto"/>
                    <w:ind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电源模块功率应有一定冗余，满足</w:t>
                  </w:r>
                  <w:r>
                    <w:rPr>
                      <w:rFonts w:hint="eastAsia" w:ascii="宋体" w:hAnsi="宋体" w:eastAsia="宋体" w:cs="宋体"/>
                      <w:i/>
                      <w:iCs/>
                      <w:color w:val="auto"/>
                      <w:spacing w:val="-1"/>
                      <w:sz w:val="24"/>
                      <w:szCs w:val="24"/>
                      <w:highlight w:val="none"/>
                      <w:u w:val="single"/>
                      <w:lang w:eastAsia="en-US"/>
                    </w:rPr>
                    <w:t>处理器满载时的需求</w:t>
                  </w:r>
                </w:p>
              </w:tc>
            </w:tr>
            <w:tr w14:paraId="54BE3B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1A35CCC8">
                  <w:pPr>
                    <w:spacing w:before="274"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34</w:t>
                  </w:r>
                </w:p>
              </w:tc>
              <w:tc>
                <w:tcPr>
                  <w:tcW w:w="1314" w:type="dxa"/>
                  <w:vMerge w:val="continue"/>
                  <w:tcBorders>
                    <w:top w:val="nil"/>
                  </w:tcBorders>
                  <w:noWrap w:val="0"/>
                  <w:vAlign w:val="center"/>
                </w:tcPr>
                <w:p w14:paraId="2B4E524A">
                  <w:pPr>
                    <w:widowControl/>
                    <w:jc w:val="center"/>
                    <w:rPr>
                      <w:rFonts w:hint="default" w:ascii="宋体" w:hAnsi="宋体" w:eastAsia="宋体" w:cs="宋体"/>
                      <w:color w:val="auto"/>
                      <w:sz w:val="24"/>
                      <w:szCs w:val="24"/>
                      <w:highlight w:val="none"/>
                    </w:rPr>
                  </w:pPr>
                </w:p>
              </w:tc>
              <w:tc>
                <w:tcPr>
                  <w:tcW w:w="1200" w:type="dxa"/>
                  <w:noWrap w:val="0"/>
                  <w:vAlign w:val="center"/>
                </w:tcPr>
                <w:p w14:paraId="2F63A5C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电源指示灯</w:t>
                  </w:r>
                </w:p>
              </w:tc>
              <w:tc>
                <w:tcPr>
                  <w:tcW w:w="4915" w:type="dxa"/>
                  <w:noWrap w:val="0"/>
                  <w:vAlign w:val="center"/>
                </w:tcPr>
                <w:p w14:paraId="1934A1E5">
                  <w:pPr>
                    <w:spacing w:before="161" w:line="248" w:lineRule="auto"/>
                    <w:ind w:left="116"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配备电源指示灯，指示待机、工作</w:t>
                  </w:r>
                  <w:r>
                    <w:rPr>
                      <w:rFonts w:hint="eastAsia" w:ascii="宋体" w:hAnsi="宋体" w:eastAsia="宋体" w:cs="宋体"/>
                      <w:i/>
                      <w:iCs/>
                      <w:color w:val="auto"/>
                      <w:spacing w:val="-3"/>
                      <w:sz w:val="24"/>
                      <w:szCs w:val="24"/>
                      <w:highlight w:val="none"/>
                      <w:u w:val="single"/>
                      <w:lang w:eastAsia="en-US"/>
                    </w:rPr>
                    <w:t>异常等状态</w:t>
                  </w:r>
                </w:p>
              </w:tc>
            </w:tr>
            <w:tr w14:paraId="3D44D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1" w:hRule="atLeast"/>
                <w:jc w:val="center"/>
              </w:trPr>
              <w:tc>
                <w:tcPr>
                  <w:tcW w:w="719" w:type="dxa"/>
                  <w:noWrap w:val="0"/>
                  <w:vAlign w:val="center"/>
                </w:tcPr>
                <w:p w14:paraId="47F686B5">
                  <w:pPr>
                    <w:spacing w:before="59"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35</w:t>
                  </w:r>
                </w:p>
              </w:tc>
              <w:tc>
                <w:tcPr>
                  <w:tcW w:w="1314" w:type="dxa"/>
                  <w:noWrap w:val="0"/>
                  <w:vAlign w:val="center"/>
                </w:tcPr>
                <w:p w14:paraId="50E71A41">
                  <w:pPr>
                    <w:spacing w:before="58"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整机</w:t>
                  </w:r>
                  <w:r>
                    <w:rPr>
                      <w:rFonts w:hint="eastAsia" w:ascii="宋体" w:hAnsi="宋体" w:eastAsia="宋体" w:cs="宋体"/>
                      <w:color w:val="auto"/>
                      <w:spacing w:val="-3"/>
                      <w:sz w:val="24"/>
                      <w:szCs w:val="24"/>
                      <w:highlight w:val="none"/>
                      <w:lang w:eastAsia="en-US"/>
                    </w:rPr>
                    <w:t>规格</w:t>
                  </w:r>
                </w:p>
              </w:tc>
              <w:tc>
                <w:tcPr>
                  <w:tcW w:w="1200" w:type="dxa"/>
                  <w:noWrap w:val="0"/>
                  <w:vAlign w:val="center"/>
                </w:tcPr>
                <w:p w14:paraId="7738292B">
                  <w:pPr>
                    <w:spacing w:before="58" w:line="250" w:lineRule="auto"/>
                    <w:ind w:right="12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外观和结构</w:t>
                  </w:r>
                </w:p>
              </w:tc>
              <w:tc>
                <w:tcPr>
                  <w:tcW w:w="4915" w:type="dxa"/>
                  <w:noWrap w:val="0"/>
                  <w:vAlign w:val="center"/>
                </w:tcPr>
                <w:p w14:paraId="2D81523E">
                  <w:pPr>
                    <w:spacing w:before="40" w:line="245" w:lineRule="auto"/>
                    <w:ind w:left="112" w:right="168"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a)服务器的零部件应紧固无松动，可插拔部件应可靠连接，开关、按钮和其它控制部件应灵活可靠，布局应方便使用；</w:t>
                  </w:r>
                </w:p>
                <w:p w14:paraId="1BDC75B7">
                  <w:pPr>
                    <w:spacing w:before="5" w:line="245" w:lineRule="auto"/>
                    <w:ind w:left="112" w:right="103"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b) 产品表面不应有明显的凹痕、划</w:t>
                  </w:r>
                  <w:r>
                    <w:rPr>
                      <w:rFonts w:hint="eastAsia" w:ascii="宋体" w:hAnsi="宋体" w:eastAsia="宋体" w:cs="宋体"/>
                      <w:i/>
                      <w:iCs/>
                      <w:color w:val="auto"/>
                      <w:spacing w:val="-1"/>
                      <w:sz w:val="24"/>
                      <w:szCs w:val="24"/>
                      <w:highlight w:val="none"/>
                      <w:u w:val="single"/>
                      <w:lang w:eastAsia="en-US"/>
                    </w:rPr>
                    <w:t>伤、裂缝、变形和污染等。表面涂层均匀，不应起泡、龟裂、脱落和磨损，金属零部件无锈蚀及其它机</w:t>
                  </w:r>
                  <w:r>
                    <w:rPr>
                      <w:rFonts w:hint="eastAsia" w:ascii="宋体" w:hAnsi="宋体" w:eastAsia="宋体" w:cs="宋体"/>
                      <w:i/>
                      <w:iCs/>
                      <w:color w:val="auto"/>
                      <w:spacing w:val="-2"/>
                      <w:sz w:val="24"/>
                      <w:szCs w:val="24"/>
                      <w:highlight w:val="none"/>
                      <w:u w:val="single"/>
                      <w:lang w:eastAsia="en-US"/>
                    </w:rPr>
                    <w:t>械损伤；</w:t>
                  </w:r>
                </w:p>
                <w:p w14:paraId="613F0100">
                  <w:pPr>
                    <w:spacing w:before="6" w:line="243" w:lineRule="auto"/>
                    <w:ind w:left="114" w:right="103" w:hanging="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c) 产品表面说明功能的文字、符号</w:t>
                  </w:r>
                  <w:r>
                    <w:rPr>
                      <w:rFonts w:hint="eastAsia" w:ascii="宋体" w:hAnsi="宋体" w:eastAsia="宋体" w:cs="宋体"/>
                      <w:i/>
                      <w:iCs/>
                      <w:color w:val="auto"/>
                      <w:spacing w:val="-1"/>
                      <w:sz w:val="24"/>
                      <w:szCs w:val="24"/>
                      <w:highlight w:val="none"/>
                      <w:u w:val="single"/>
                      <w:lang w:eastAsia="en-US"/>
                    </w:rPr>
                    <w:t>和标志应清晰、端正且牢固；</w:t>
                  </w:r>
                </w:p>
                <w:p w14:paraId="321EA548">
                  <w:pPr>
                    <w:spacing w:before="6" w:line="244" w:lineRule="auto"/>
                    <w:ind w:left="113"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d) 应在服务器的显著位置提供运行状态的指示功能，并在随机文件中明确具体含义；</w:t>
                  </w:r>
                </w:p>
                <w:p w14:paraId="40E2D7E9">
                  <w:pPr>
                    <w:spacing w:before="6" w:line="245" w:lineRule="auto"/>
                    <w:ind w:left="110" w:right="57" w:firstLine="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e) 机架、机箱的尺寸应符合通用机</w:t>
                  </w:r>
                  <w:r>
                    <w:rPr>
                      <w:rFonts w:hint="eastAsia" w:ascii="宋体" w:hAnsi="宋体" w:eastAsia="宋体" w:cs="宋体"/>
                      <w:i/>
                      <w:iCs/>
                      <w:color w:val="auto"/>
                      <w:spacing w:val="-1"/>
                      <w:sz w:val="24"/>
                      <w:szCs w:val="24"/>
                      <w:highlight w:val="none"/>
                      <w:u w:val="single"/>
                      <w:lang w:eastAsia="en-US"/>
                    </w:rPr>
                    <w:t>柜的安装要求，插入总线插座的电路板接口外形尺寸应符合有关总线</w:t>
                  </w:r>
                  <w:r>
                    <w:rPr>
                      <w:rFonts w:hint="eastAsia" w:ascii="宋体" w:hAnsi="宋体" w:eastAsia="宋体" w:cs="宋体"/>
                      <w:i/>
                      <w:iCs/>
                      <w:color w:val="auto"/>
                      <w:spacing w:val="-5"/>
                      <w:sz w:val="24"/>
                      <w:szCs w:val="24"/>
                      <w:highlight w:val="none"/>
                      <w:u w:val="single"/>
                      <w:lang w:eastAsia="en-US"/>
                    </w:rPr>
                    <w:t>标准的规定，将机箱固定在机柜上，</w:t>
                  </w:r>
                  <w:r>
                    <w:rPr>
                      <w:rFonts w:hint="eastAsia" w:ascii="宋体" w:hAnsi="宋体" w:eastAsia="宋体" w:cs="宋体"/>
                      <w:i/>
                      <w:iCs/>
                      <w:color w:val="auto"/>
                      <w:spacing w:val="-1"/>
                      <w:sz w:val="24"/>
                      <w:szCs w:val="24"/>
                      <w:highlight w:val="none"/>
                      <w:u w:val="single"/>
                      <w:lang w:eastAsia="en-US"/>
                    </w:rPr>
                    <w:t>机箱底面最大下垂变形不得干涉相邻机体；</w:t>
                  </w:r>
                </w:p>
                <w:p w14:paraId="5D146C5A">
                  <w:pPr>
                    <w:spacing w:before="6" w:line="245" w:lineRule="auto"/>
                    <w:ind w:left="110" w:right="57" w:firstLine="3"/>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rPr>
                    <w:t>f) 高密度服务器应给出 CPU 个数与</w:t>
                  </w:r>
                  <w:r>
                    <w:rPr>
                      <w:rFonts w:hint="eastAsia" w:ascii="宋体" w:hAnsi="宋体" w:eastAsia="宋体" w:cs="宋体"/>
                      <w:i/>
                      <w:iCs/>
                      <w:color w:val="auto"/>
                      <w:spacing w:val="-2"/>
                      <w:sz w:val="24"/>
                      <w:szCs w:val="24"/>
                      <w:highlight w:val="none"/>
                      <w:u w:val="single"/>
                      <w:lang w:eastAsia="en-US"/>
                    </w:rPr>
                    <w:t>机柜高度；</w:t>
                  </w:r>
                </w:p>
                <w:p w14:paraId="10BC0A20">
                  <w:pPr>
                    <w:spacing w:before="6" w:line="245" w:lineRule="auto"/>
                    <w:ind w:left="110" w:right="57" w:firstLine="3"/>
                    <w:rPr>
                      <w:rFonts w:hint="default" w:ascii="宋体" w:hAnsi="宋体" w:eastAsia="宋体" w:cs="宋体"/>
                      <w:i/>
                      <w:iCs/>
                      <w:color w:val="auto"/>
                      <w:spacing w:val="-2"/>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g) 服务器尺寸具体要求在随机文件中明确</w:t>
                  </w:r>
                </w:p>
                <w:p w14:paraId="5B17A3FE">
                  <w:pPr>
                    <w:spacing w:before="5" w:line="200" w:lineRule="auto"/>
                    <w:rPr>
                      <w:rFonts w:hint="default" w:ascii="宋体" w:hAnsi="宋体" w:eastAsia="宋体" w:cs="宋体"/>
                      <w:i/>
                      <w:iCs/>
                      <w:color w:val="auto"/>
                      <w:sz w:val="24"/>
                      <w:szCs w:val="24"/>
                      <w:highlight w:val="none"/>
                      <w:u w:val="single"/>
                      <w:lang w:eastAsia="en-US"/>
                    </w:rPr>
                  </w:pPr>
                </w:p>
              </w:tc>
            </w:tr>
            <w:tr w14:paraId="515DD4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25914FE3">
                  <w:pPr>
                    <w:spacing w:before="58"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36</w:t>
                  </w:r>
                </w:p>
              </w:tc>
              <w:tc>
                <w:tcPr>
                  <w:tcW w:w="1314" w:type="dxa"/>
                  <w:vMerge w:val="restart"/>
                  <w:tcBorders>
                    <w:top w:val="nil"/>
                  </w:tcBorders>
                  <w:noWrap w:val="0"/>
                  <w:vAlign w:val="center"/>
                </w:tcPr>
                <w:p w14:paraId="4EE59C2A">
                  <w:pPr>
                    <w:widowControl/>
                    <w:jc w:val="center"/>
                    <w:rPr>
                      <w:rFonts w:hint="default" w:ascii="宋体" w:hAnsi="宋体" w:eastAsia="宋体" w:cs="宋体"/>
                      <w:color w:val="auto"/>
                      <w:sz w:val="24"/>
                      <w:szCs w:val="24"/>
                      <w:highlight w:val="none"/>
                    </w:rPr>
                  </w:pPr>
                </w:p>
              </w:tc>
              <w:tc>
                <w:tcPr>
                  <w:tcW w:w="1200" w:type="dxa"/>
                  <w:noWrap w:val="0"/>
                  <w:vAlign w:val="center"/>
                </w:tcPr>
                <w:p w14:paraId="1F92A31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尺寸（高×宽×深）</w:t>
                  </w:r>
                </w:p>
              </w:tc>
              <w:tc>
                <w:tcPr>
                  <w:tcW w:w="4915" w:type="dxa"/>
                  <w:noWrap w:val="0"/>
                  <w:vAlign w:val="center"/>
                </w:tcPr>
                <w:p w14:paraId="5C46697E">
                  <w:pPr>
                    <w:spacing w:before="6" w:line="245" w:lineRule="auto"/>
                    <w:ind w:left="110" w:right="57" w:firstLine="3"/>
                    <w:rPr>
                      <w:rFonts w:hint="default" w:ascii="宋体" w:hAnsi="宋体" w:eastAsia="宋体" w:cs="宋体"/>
                      <w:i/>
                      <w:iCs/>
                      <w:color w:val="auto"/>
                      <w:spacing w:val="-1"/>
                      <w:sz w:val="24"/>
                      <w:szCs w:val="24"/>
                      <w:highlight w:val="none"/>
                      <w:u w:val="single"/>
                    </w:rPr>
                  </w:pPr>
                  <w:r>
                    <w:rPr>
                      <w:rFonts w:hint="eastAsia" w:ascii="宋体" w:hAnsi="宋体" w:eastAsia="宋体" w:cs="宋体"/>
                      <w:i/>
                      <w:iCs/>
                      <w:color w:val="auto"/>
                      <w:spacing w:val="-1"/>
                      <w:sz w:val="24"/>
                      <w:szCs w:val="24"/>
                      <w:highlight w:val="none"/>
                      <w:u w:val="single"/>
                    </w:rPr>
                    <w:t>2U标准尺寸</w:t>
                  </w:r>
                </w:p>
                <w:p w14:paraId="1B4DCF55">
                  <w:pPr>
                    <w:spacing w:before="6" w:line="245" w:lineRule="auto"/>
                    <w:ind w:left="110" w:right="57" w:firstLine="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设计应遵循标准化、系列化的要求；机箱的内部结构符合通用部件的安</w:t>
                  </w:r>
                  <w:r>
                    <w:rPr>
                      <w:rFonts w:hint="eastAsia" w:ascii="宋体" w:hAnsi="宋体" w:eastAsia="宋体" w:cs="宋体"/>
                      <w:i/>
                      <w:iCs/>
                      <w:color w:val="auto"/>
                      <w:spacing w:val="-2"/>
                      <w:sz w:val="24"/>
                      <w:szCs w:val="24"/>
                      <w:highlight w:val="none"/>
                      <w:u w:val="single"/>
                      <w:lang w:eastAsia="en-US"/>
                    </w:rPr>
                    <w:t>装需要</w:t>
                  </w:r>
                </w:p>
              </w:tc>
            </w:tr>
            <w:tr w14:paraId="60FF61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158CFD8E">
                  <w:pPr>
                    <w:spacing w:before="153" w:line="238"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37</w:t>
                  </w:r>
                </w:p>
              </w:tc>
              <w:tc>
                <w:tcPr>
                  <w:tcW w:w="1314" w:type="dxa"/>
                  <w:vMerge w:val="continue"/>
                  <w:tcBorders>
                    <w:top w:val="nil"/>
                    <w:bottom w:val="nil"/>
                  </w:tcBorders>
                  <w:noWrap w:val="0"/>
                  <w:vAlign w:val="center"/>
                </w:tcPr>
                <w:p w14:paraId="62FB1556">
                  <w:pPr>
                    <w:widowControl/>
                    <w:jc w:val="center"/>
                    <w:rPr>
                      <w:rFonts w:hint="default" w:ascii="宋体" w:hAnsi="宋体" w:eastAsia="宋体" w:cs="宋体"/>
                      <w:color w:val="auto"/>
                      <w:sz w:val="24"/>
                      <w:szCs w:val="24"/>
                      <w:highlight w:val="none"/>
                    </w:rPr>
                  </w:pPr>
                </w:p>
              </w:tc>
              <w:tc>
                <w:tcPr>
                  <w:tcW w:w="1200" w:type="dxa"/>
                  <w:noWrap w:val="0"/>
                  <w:vAlign w:val="center"/>
                </w:tcPr>
                <w:p w14:paraId="658D893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服务器导轨</w:t>
                  </w:r>
                </w:p>
              </w:tc>
              <w:tc>
                <w:tcPr>
                  <w:tcW w:w="4915" w:type="dxa"/>
                  <w:noWrap w:val="0"/>
                  <w:vAlign w:val="center"/>
                </w:tcPr>
                <w:p w14:paraId="1D2F1B2A">
                  <w:pPr>
                    <w:spacing w:before="42" w:line="222" w:lineRule="auto"/>
                    <w:ind w:left="113"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19英寸标准，</w:t>
                  </w:r>
                  <w:r>
                    <w:rPr>
                      <w:rFonts w:hint="eastAsia" w:ascii="宋体" w:hAnsi="宋体" w:eastAsia="宋体" w:cs="宋体"/>
                      <w:i/>
                      <w:iCs/>
                      <w:color w:val="auto"/>
                      <w:spacing w:val="-1"/>
                      <w:sz w:val="24"/>
                      <w:szCs w:val="24"/>
                      <w:highlight w:val="none"/>
                      <w:u w:val="single"/>
                    </w:rPr>
                    <w:t>L型固定支架安装</w:t>
                  </w:r>
                </w:p>
              </w:tc>
            </w:tr>
            <w:tr w14:paraId="62FE9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53F7D88B">
                  <w:pPr>
                    <w:spacing w:before="58"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38</w:t>
                  </w:r>
                </w:p>
              </w:tc>
              <w:tc>
                <w:tcPr>
                  <w:tcW w:w="1314" w:type="dxa"/>
                  <w:vMerge w:val="continue"/>
                  <w:tcBorders>
                    <w:top w:val="nil"/>
                    <w:bottom w:val="nil"/>
                  </w:tcBorders>
                  <w:noWrap w:val="0"/>
                  <w:vAlign w:val="center"/>
                </w:tcPr>
                <w:p w14:paraId="220836B5">
                  <w:pPr>
                    <w:widowControl/>
                    <w:jc w:val="center"/>
                    <w:rPr>
                      <w:rFonts w:hint="default" w:ascii="宋体" w:hAnsi="宋体" w:eastAsia="宋体" w:cs="宋体"/>
                      <w:color w:val="auto"/>
                      <w:sz w:val="24"/>
                      <w:szCs w:val="24"/>
                      <w:highlight w:val="none"/>
                    </w:rPr>
                  </w:pPr>
                </w:p>
              </w:tc>
              <w:tc>
                <w:tcPr>
                  <w:tcW w:w="1200" w:type="dxa"/>
                  <w:noWrap w:val="0"/>
                  <w:vAlign w:val="center"/>
                </w:tcPr>
                <w:p w14:paraId="4AAEE8E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CPU 个数与机柜高度单位(U)比</w:t>
                  </w:r>
                </w:p>
              </w:tc>
              <w:tc>
                <w:tcPr>
                  <w:tcW w:w="4915" w:type="dxa"/>
                  <w:noWrap w:val="0"/>
                  <w:vAlign w:val="center"/>
                </w:tcPr>
                <w:p w14:paraId="5597C765">
                  <w:pPr>
                    <w:widowControl/>
                    <w:spacing w:line="339" w:lineRule="auto"/>
                    <w:rPr>
                      <w:rFonts w:hint="default" w:ascii="宋体" w:hAnsi="宋体" w:eastAsia="宋体" w:cs="宋体"/>
                      <w:i/>
                      <w:iCs/>
                      <w:color w:val="auto"/>
                      <w:sz w:val="24"/>
                      <w:szCs w:val="24"/>
                      <w:highlight w:val="none"/>
                      <w:u w:val="single"/>
                    </w:rPr>
                  </w:pPr>
                </w:p>
                <w:p w14:paraId="51E736D4">
                  <w:pPr>
                    <w:spacing w:before="59" w:line="222" w:lineRule="auto"/>
                    <w:ind w:left="113"/>
                    <w:rPr>
                      <w:rFonts w:hint="default" w:ascii="宋体" w:hAnsi="宋体" w:eastAsia="宋体" w:cs="宋体"/>
                      <w:i/>
                      <w:iCs/>
                      <w:color w:val="auto"/>
                      <w:sz w:val="24"/>
                      <w:szCs w:val="24"/>
                      <w:highlight w:val="none"/>
                      <w:u w:val="single"/>
                    </w:rPr>
                  </w:pPr>
                  <w:r>
                    <w:rPr>
                      <w:rFonts w:hint="eastAsia" w:ascii="宋体" w:hAnsi="宋体" w:eastAsia="宋体" w:cs="宋体"/>
                      <w:i/>
                      <w:iCs/>
                      <w:color w:val="auto"/>
                      <w:spacing w:val="2"/>
                      <w:sz w:val="24"/>
                      <w:szCs w:val="24"/>
                      <w:highlight w:val="none"/>
                      <w:u w:val="single"/>
                    </w:rPr>
                    <w:t>1*</w:t>
                  </w:r>
                  <w:r>
                    <w:rPr>
                      <w:rFonts w:hint="eastAsia" w:ascii="宋体" w:hAnsi="宋体" w:eastAsia="宋体" w:cs="宋体"/>
                      <w:i/>
                      <w:iCs/>
                      <w:color w:val="auto"/>
                      <w:sz w:val="24"/>
                      <w:szCs w:val="24"/>
                      <w:highlight w:val="none"/>
                      <w:u w:val="single"/>
                      <w:lang w:eastAsia="en-US"/>
                    </w:rPr>
                    <w:t>CPU</w:t>
                  </w:r>
                  <w:r>
                    <w:rPr>
                      <w:rFonts w:hint="eastAsia" w:ascii="宋体" w:hAnsi="宋体" w:eastAsia="宋体" w:cs="宋体"/>
                      <w:i/>
                      <w:iCs/>
                      <w:color w:val="auto"/>
                      <w:spacing w:val="2"/>
                      <w:sz w:val="24"/>
                      <w:szCs w:val="24"/>
                      <w:highlight w:val="none"/>
                      <w:u w:val="single"/>
                      <w:lang w:eastAsia="en-US"/>
                    </w:rPr>
                    <w:t>个数与机柜高度</w:t>
                  </w:r>
                  <w:r>
                    <w:rPr>
                      <w:rFonts w:hint="eastAsia" w:ascii="宋体" w:hAnsi="宋体" w:eastAsia="宋体" w:cs="宋体"/>
                      <w:i/>
                      <w:iCs/>
                      <w:color w:val="auto"/>
                      <w:spacing w:val="2"/>
                      <w:sz w:val="24"/>
                      <w:szCs w:val="24"/>
                      <w:highlight w:val="none"/>
                      <w:u w:val="single"/>
                    </w:rPr>
                    <w:t>（42U）</w:t>
                  </w:r>
                </w:p>
              </w:tc>
            </w:tr>
            <w:tr w14:paraId="3149E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noWrap w:val="0"/>
                  <w:vAlign w:val="center"/>
                </w:tcPr>
                <w:p w14:paraId="3B388503">
                  <w:pPr>
                    <w:spacing w:before="58" w:line="237" w:lineRule="exact"/>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39</w:t>
                  </w:r>
                </w:p>
              </w:tc>
              <w:tc>
                <w:tcPr>
                  <w:tcW w:w="1314" w:type="dxa"/>
                  <w:vMerge w:val="continue"/>
                  <w:tcBorders>
                    <w:top w:val="nil"/>
                    <w:bottom w:val="nil"/>
                  </w:tcBorders>
                  <w:noWrap w:val="0"/>
                  <w:vAlign w:val="center"/>
                </w:tcPr>
                <w:p w14:paraId="45BBDE46">
                  <w:pPr>
                    <w:widowControl/>
                    <w:jc w:val="center"/>
                    <w:rPr>
                      <w:rFonts w:hint="default" w:ascii="宋体" w:hAnsi="宋体" w:eastAsia="宋体" w:cs="宋体"/>
                      <w:color w:val="auto"/>
                      <w:sz w:val="24"/>
                      <w:szCs w:val="24"/>
                      <w:highlight w:val="none"/>
                    </w:rPr>
                  </w:pPr>
                </w:p>
              </w:tc>
              <w:tc>
                <w:tcPr>
                  <w:tcW w:w="1200" w:type="dxa"/>
                  <w:noWrap w:val="0"/>
                  <w:vAlign w:val="center"/>
                </w:tcPr>
                <w:p w14:paraId="42F56080">
                  <w:pPr>
                    <w:spacing w:before="59" w:line="248" w:lineRule="auto"/>
                    <w:ind w:left="110" w:right="123" w:hanging="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环境适应性</w:t>
                  </w:r>
                </w:p>
              </w:tc>
              <w:tc>
                <w:tcPr>
                  <w:tcW w:w="4915" w:type="dxa"/>
                  <w:noWrap w:val="0"/>
                  <w:vAlign w:val="center"/>
                </w:tcPr>
                <w:p w14:paraId="51149B07">
                  <w:pPr>
                    <w:spacing w:before="40" w:line="222" w:lineRule="auto"/>
                    <w:ind w:left="11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气候环境适应性应符合</w:t>
                  </w:r>
                  <w:r>
                    <w:rPr>
                      <w:rFonts w:hint="eastAsia" w:ascii="宋体" w:hAnsi="宋体" w:eastAsia="宋体" w:cs="宋体"/>
                      <w:i/>
                      <w:iCs/>
                      <w:color w:val="auto"/>
                      <w:sz w:val="24"/>
                      <w:szCs w:val="24"/>
                      <w:highlight w:val="none"/>
                      <w:u w:val="single"/>
                      <w:lang w:eastAsia="en-US"/>
                    </w:rPr>
                    <w:t>GB</w:t>
                  </w:r>
                  <w:r>
                    <w:rPr>
                      <w:rFonts w:hint="eastAsia" w:ascii="宋体" w:hAnsi="宋体" w:eastAsia="宋体" w:cs="宋体"/>
                      <w:i/>
                      <w:iCs/>
                      <w:color w:val="auto"/>
                      <w:spacing w:val="2"/>
                      <w:sz w:val="24"/>
                      <w:szCs w:val="24"/>
                      <w:highlight w:val="none"/>
                      <w:u w:val="single"/>
                      <w:lang w:eastAsia="en-US"/>
                    </w:rPr>
                    <w:t>/T</w:t>
                  </w:r>
                </w:p>
                <w:p w14:paraId="656036A6">
                  <w:pPr>
                    <w:spacing w:before="26" w:line="236" w:lineRule="auto"/>
                    <w:ind w:left="110" w:right="103"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9813.3的有关规定，工作温度10~</w:t>
                  </w:r>
                  <w:r>
                    <w:rPr>
                      <w:rFonts w:hint="eastAsia" w:ascii="宋体" w:hAnsi="宋体" w:eastAsia="宋体" w:cs="宋体"/>
                      <w:i/>
                      <w:iCs/>
                      <w:color w:val="auto"/>
                      <w:spacing w:val="-5"/>
                      <w:sz w:val="24"/>
                      <w:szCs w:val="24"/>
                      <w:highlight w:val="none"/>
                      <w:u w:val="single"/>
                      <w:lang w:eastAsia="en-US"/>
                    </w:rPr>
                    <w:t>35℃,贮存运输温度-40～55℃；工</w:t>
                  </w:r>
                  <w:r>
                    <w:rPr>
                      <w:rFonts w:hint="eastAsia" w:ascii="宋体" w:hAnsi="宋体" w:eastAsia="宋体" w:cs="宋体"/>
                      <w:i/>
                      <w:iCs/>
                      <w:color w:val="auto"/>
                      <w:spacing w:val="2"/>
                      <w:sz w:val="24"/>
                      <w:szCs w:val="24"/>
                      <w:highlight w:val="none"/>
                      <w:u w:val="single"/>
                      <w:lang w:eastAsia="en-US"/>
                    </w:rPr>
                    <w:t>作相对湿度35%～80%，贮存运输相</w:t>
                  </w:r>
                  <w:r>
                    <w:rPr>
                      <w:rFonts w:hint="eastAsia" w:ascii="宋体" w:hAnsi="宋体" w:eastAsia="宋体" w:cs="宋体"/>
                      <w:i/>
                      <w:iCs/>
                      <w:color w:val="auto"/>
                      <w:spacing w:val="-4"/>
                      <w:sz w:val="24"/>
                      <w:szCs w:val="24"/>
                      <w:highlight w:val="none"/>
                      <w:u w:val="single"/>
                      <w:lang w:eastAsia="en-US"/>
                    </w:rPr>
                    <w:t>对湿度20％～93%（40℃) ；大气压</w:t>
                  </w:r>
                  <w:r>
                    <w:rPr>
                      <w:rFonts w:hint="eastAsia" w:ascii="宋体" w:hAnsi="宋体" w:eastAsia="宋体" w:cs="宋体"/>
                      <w:i/>
                      <w:iCs/>
                      <w:color w:val="auto"/>
                      <w:spacing w:val="-1"/>
                      <w:sz w:val="24"/>
                      <w:szCs w:val="24"/>
                      <w:highlight w:val="none"/>
                      <w:u w:val="single"/>
                      <w:lang w:eastAsia="en-US"/>
                    </w:rPr>
                    <w:t>86～106kPa</w:t>
                  </w:r>
                </w:p>
              </w:tc>
            </w:tr>
            <w:tr w14:paraId="5BE3AF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noWrap w:val="0"/>
                  <w:vAlign w:val="center"/>
                </w:tcPr>
                <w:p w14:paraId="2F8A63E2">
                  <w:pPr>
                    <w:spacing w:before="59"/>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40</w:t>
                  </w:r>
                </w:p>
              </w:tc>
              <w:tc>
                <w:tcPr>
                  <w:tcW w:w="1314" w:type="dxa"/>
                  <w:vMerge w:val="continue"/>
                  <w:tcBorders>
                    <w:top w:val="nil"/>
                    <w:bottom w:val="nil"/>
                  </w:tcBorders>
                  <w:noWrap w:val="0"/>
                  <w:vAlign w:val="center"/>
                </w:tcPr>
                <w:p w14:paraId="1390F390">
                  <w:pPr>
                    <w:widowControl/>
                    <w:jc w:val="center"/>
                    <w:rPr>
                      <w:rFonts w:hint="default" w:ascii="宋体" w:hAnsi="宋体" w:eastAsia="宋体" w:cs="宋体"/>
                      <w:color w:val="auto"/>
                      <w:sz w:val="24"/>
                      <w:szCs w:val="24"/>
                      <w:highlight w:val="none"/>
                    </w:rPr>
                  </w:pPr>
                </w:p>
              </w:tc>
              <w:tc>
                <w:tcPr>
                  <w:tcW w:w="1200" w:type="dxa"/>
                  <w:noWrap w:val="0"/>
                  <w:vAlign w:val="center"/>
                </w:tcPr>
                <w:p w14:paraId="70BDD9E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特殊机型</w:t>
                  </w:r>
                </w:p>
                <w:p w14:paraId="07B8D87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环境适应性</w:t>
                  </w:r>
                </w:p>
              </w:tc>
              <w:tc>
                <w:tcPr>
                  <w:tcW w:w="4915" w:type="dxa"/>
                  <w:noWrap w:val="0"/>
                  <w:vAlign w:val="center"/>
                </w:tcPr>
                <w:p w14:paraId="6288865B">
                  <w:pPr>
                    <w:spacing w:before="42" w:line="234" w:lineRule="auto"/>
                    <w:ind w:left="113" w:right="10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边缘应用服务器，工作环境温度宜</w:t>
                  </w:r>
                  <w:r>
                    <w:rPr>
                      <w:rFonts w:hint="eastAsia" w:ascii="宋体" w:hAnsi="宋体" w:eastAsia="宋体" w:cs="宋体"/>
                      <w:i/>
                      <w:iCs/>
                      <w:color w:val="auto"/>
                      <w:spacing w:val="-5"/>
                      <w:sz w:val="24"/>
                      <w:szCs w:val="24"/>
                      <w:highlight w:val="none"/>
                      <w:u w:val="single"/>
                      <w:lang w:eastAsia="en-US"/>
                    </w:rPr>
                    <w:t>为0～45℃,短期工作可承受环境温度宜为-5～55℃,液冷服务器贮存</w:t>
                  </w:r>
                  <w:r>
                    <w:rPr>
                      <w:rFonts w:hint="eastAsia" w:ascii="宋体" w:hAnsi="宋体" w:eastAsia="宋体" w:cs="宋体"/>
                      <w:i/>
                      <w:iCs/>
                      <w:color w:val="auto"/>
                      <w:spacing w:val="-1"/>
                      <w:sz w:val="24"/>
                      <w:szCs w:val="24"/>
                      <w:highlight w:val="none"/>
                      <w:u w:val="single"/>
                      <w:lang w:eastAsia="en-US"/>
                    </w:rPr>
                    <w:t>运输温度宜为-30～55℃</w:t>
                  </w:r>
                </w:p>
              </w:tc>
            </w:tr>
            <w:tr w14:paraId="012096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2500818E">
                  <w:pPr>
                    <w:spacing w:before="154" w:line="239"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41</w:t>
                  </w:r>
                </w:p>
              </w:tc>
              <w:tc>
                <w:tcPr>
                  <w:tcW w:w="1314" w:type="dxa"/>
                  <w:vMerge w:val="continue"/>
                  <w:tcBorders>
                    <w:top w:val="nil"/>
                    <w:bottom w:val="nil"/>
                  </w:tcBorders>
                  <w:noWrap w:val="0"/>
                  <w:vAlign w:val="center"/>
                </w:tcPr>
                <w:p w14:paraId="20244681">
                  <w:pPr>
                    <w:widowControl/>
                    <w:jc w:val="center"/>
                    <w:rPr>
                      <w:rFonts w:hint="default" w:ascii="宋体" w:hAnsi="宋体" w:eastAsia="宋体" w:cs="宋体"/>
                      <w:color w:val="auto"/>
                      <w:sz w:val="24"/>
                      <w:szCs w:val="24"/>
                      <w:highlight w:val="none"/>
                    </w:rPr>
                  </w:pPr>
                </w:p>
              </w:tc>
              <w:tc>
                <w:tcPr>
                  <w:tcW w:w="1200" w:type="dxa"/>
                  <w:noWrap w:val="0"/>
                  <w:vAlign w:val="center"/>
                </w:tcPr>
                <w:p w14:paraId="51F4F29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机械环境适应性</w:t>
                  </w:r>
                </w:p>
              </w:tc>
              <w:tc>
                <w:tcPr>
                  <w:tcW w:w="4915" w:type="dxa"/>
                  <w:noWrap w:val="0"/>
                  <w:vAlign w:val="center"/>
                </w:tcPr>
                <w:p w14:paraId="02FB879A">
                  <w:pPr>
                    <w:spacing w:before="42" w:line="222" w:lineRule="auto"/>
                    <w:ind w:left="108" w:right="666" w:firstLine="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机械环境适应性应符合</w:t>
                  </w:r>
                  <w:r>
                    <w:rPr>
                      <w:rFonts w:hint="eastAsia" w:ascii="宋体" w:hAnsi="宋体" w:eastAsia="宋体" w:cs="宋体"/>
                      <w:i/>
                      <w:iCs/>
                      <w:color w:val="auto"/>
                      <w:sz w:val="24"/>
                      <w:szCs w:val="24"/>
                      <w:highlight w:val="none"/>
                      <w:u w:val="single"/>
                      <w:lang w:eastAsia="en-US"/>
                    </w:rPr>
                    <w:t>GB</w:t>
                  </w:r>
                  <w:r>
                    <w:rPr>
                      <w:rFonts w:hint="eastAsia" w:ascii="宋体" w:hAnsi="宋体" w:eastAsia="宋体" w:cs="宋体"/>
                      <w:i/>
                      <w:iCs/>
                      <w:color w:val="auto"/>
                      <w:spacing w:val="3"/>
                      <w:sz w:val="24"/>
                      <w:szCs w:val="24"/>
                      <w:highlight w:val="none"/>
                      <w:u w:val="single"/>
                      <w:lang w:eastAsia="en-US"/>
                    </w:rPr>
                    <w:t>/T</w:t>
                  </w:r>
                  <w:r>
                    <w:rPr>
                      <w:rFonts w:hint="eastAsia" w:ascii="宋体" w:hAnsi="宋体" w:eastAsia="宋体" w:cs="宋体"/>
                      <w:i/>
                      <w:iCs/>
                      <w:color w:val="auto"/>
                      <w:spacing w:val="-2"/>
                      <w:sz w:val="24"/>
                      <w:szCs w:val="24"/>
                      <w:highlight w:val="none"/>
                      <w:u w:val="single"/>
                      <w:lang w:eastAsia="en-US"/>
                    </w:rPr>
                    <w:t>9813.3的有关规定</w:t>
                  </w:r>
                </w:p>
              </w:tc>
            </w:tr>
            <w:tr w14:paraId="1D4DE6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noWrap w:val="0"/>
                  <w:vAlign w:val="center"/>
                </w:tcPr>
                <w:p w14:paraId="28E64423">
                  <w:pPr>
                    <w:spacing w:before="59" w:line="239"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42</w:t>
                  </w:r>
                </w:p>
              </w:tc>
              <w:tc>
                <w:tcPr>
                  <w:tcW w:w="1314" w:type="dxa"/>
                  <w:vMerge w:val="continue"/>
                  <w:tcBorders>
                    <w:top w:val="nil"/>
                  </w:tcBorders>
                  <w:noWrap w:val="0"/>
                  <w:vAlign w:val="center"/>
                </w:tcPr>
                <w:p w14:paraId="7C8031D9">
                  <w:pPr>
                    <w:widowControl/>
                    <w:jc w:val="center"/>
                    <w:rPr>
                      <w:rFonts w:hint="default" w:ascii="宋体" w:hAnsi="宋体" w:eastAsia="宋体" w:cs="宋体"/>
                      <w:color w:val="auto"/>
                      <w:sz w:val="24"/>
                      <w:szCs w:val="24"/>
                      <w:highlight w:val="none"/>
                    </w:rPr>
                  </w:pPr>
                </w:p>
              </w:tc>
              <w:tc>
                <w:tcPr>
                  <w:tcW w:w="1200" w:type="dxa"/>
                  <w:noWrap w:val="0"/>
                  <w:vAlign w:val="center"/>
                </w:tcPr>
                <w:p w14:paraId="5B7FB774">
                  <w:pPr>
                    <w:spacing w:before="59"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噪声</w:t>
                  </w:r>
                </w:p>
              </w:tc>
              <w:tc>
                <w:tcPr>
                  <w:tcW w:w="4915" w:type="dxa"/>
                  <w:noWrap w:val="0"/>
                  <w:vAlign w:val="center"/>
                </w:tcPr>
                <w:p w14:paraId="0E563678">
                  <w:pPr>
                    <w:spacing w:before="41" w:line="246"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符合GB/T 9813.3的有关规定，在</w:t>
                  </w:r>
                  <w:r>
                    <w:rPr>
                      <w:rFonts w:hint="eastAsia" w:ascii="宋体" w:hAnsi="宋体" w:eastAsia="宋体" w:cs="宋体"/>
                      <w:i/>
                      <w:iCs/>
                      <w:color w:val="auto"/>
                      <w:spacing w:val="-1"/>
                      <w:sz w:val="24"/>
                      <w:szCs w:val="24"/>
                      <w:highlight w:val="none"/>
                      <w:u w:val="single"/>
                      <w:lang w:eastAsia="en-US"/>
                    </w:rPr>
                    <w:t>产品说明中给出具体测试值</w:t>
                  </w:r>
                </w:p>
                <w:p w14:paraId="3A925CF0">
                  <w:pPr>
                    <w:spacing w:line="222" w:lineRule="auto"/>
                    <w:ind w:left="114" w:right="168" w:hanging="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塔式服务器噪声在空闲状态下不大</w:t>
                  </w:r>
                  <w:r>
                    <w:rPr>
                      <w:rFonts w:hint="eastAsia" w:ascii="宋体" w:hAnsi="宋体" w:eastAsia="宋体" w:cs="宋体"/>
                      <w:i/>
                      <w:iCs/>
                      <w:color w:val="auto"/>
                      <w:spacing w:val="-3"/>
                      <w:sz w:val="24"/>
                      <w:szCs w:val="24"/>
                      <w:highlight w:val="none"/>
                      <w:u w:val="single"/>
                      <w:lang w:eastAsia="en-US"/>
                    </w:rPr>
                    <w:t>于50dB</w:t>
                  </w:r>
                </w:p>
              </w:tc>
            </w:tr>
            <w:tr w14:paraId="0D1FB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04" w:hRule="atLeast"/>
                <w:jc w:val="center"/>
              </w:trPr>
              <w:tc>
                <w:tcPr>
                  <w:tcW w:w="719" w:type="dxa"/>
                  <w:noWrap w:val="0"/>
                  <w:vAlign w:val="center"/>
                </w:tcPr>
                <w:p w14:paraId="285F4DE3">
                  <w:pPr>
                    <w:spacing w:before="58"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43</w:t>
                  </w:r>
                </w:p>
              </w:tc>
              <w:tc>
                <w:tcPr>
                  <w:tcW w:w="1314" w:type="dxa"/>
                  <w:vMerge w:val="restart"/>
                  <w:tcBorders>
                    <w:bottom w:val="nil"/>
                  </w:tcBorders>
                  <w:noWrap w:val="0"/>
                  <w:vAlign w:val="center"/>
                </w:tcPr>
                <w:p w14:paraId="1AEB6D97">
                  <w:pPr>
                    <w:spacing w:before="23" w:line="223" w:lineRule="auto"/>
                    <w:ind w:left="192"/>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AI计</w:t>
                  </w:r>
                  <w:r>
                    <w:rPr>
                      <w:rFonts w:hint="eastAsia" w:ascii="宋体" w:hAnsi="宋体" w:eastAsia="宋体" w:cs="宋体"/>
                      <w:color w:val="auto"/>
                      <w:spacing w:val="-4"/>
                      <w:sz w:val="24"/>
                      <w:szCs w:val="24"/>
                      <w:highlight w:val="none"/>
                      <w:lang w:eastAsia="en-US"/>
                    </w:rPr>
                    <w:t>算单</w:t>
                  </w:r>
                  <w:r>
                    <w:rPr>
                      <w:rFonts w:hint="eastAsia" w:ascii="宋体" w:hAnsi="宋体" w:eastAsia="宋体" w:cs="宋体"/>
                      <w:color w:val="auto"/>
                      <w:spacing w:val="-6"/>
                      <w:sz w:val="24"/>
                      <w:szCs w:val="24"/>
                      <w:highlight w:val="none"/>
                      <w:lang w:eastAsia="en-US"/>
                    </w:rPr>
                    <w:t>元规</w:t>
                  </w:r>
                  <w:r>
                    <w:rPr>
                      <w:rFonts w:hint="eastAsia" w:ascii="宋体" w:hAnsi="宋体" w:eastAsia="宋体" w:cs="宋体"/>
                      <w:color w:val="auto"/>
                      <w:sz w:val="24"/>
                      <w:szCs w:val="24"/>
                      <w:highlight w:val="none"/>
                      <w:lang w:eastAsia="en-US"/>
                    </w:rPr>
                    <w:t>格</w:t>
                  </w:r>
                </w:p>
              </w:tc>
              <w:tc>
                <w:tcPr>
                  <w:tcW w:w="1200" w:type="dxa"/>
                  <w:noWrap w:val="0"/>
                  <w:vAlign w:val="center"/>
                </w:tcPr>
                <w:p w14:paraId="63004E01">
                  <w:pPr>
                    <w:spacing w:before="58" w:line="249" w:lineRule="auto"/>
                    <w:ind w:right="168"/>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AI 计算单元</w:t>
                  </w:r>
                </w:p>
              </w:tc>
              <w:tc>
                <w:tcPr>
                  <w:tcW w:w="4915" w:type="dxa"/>
                  <w:noWrap w:val="0"/>
                  <w:vAlign w:val="center"/>
                </w:tcPr>
                <w:p w14:paraId="2EC60AEA">
                  <w:pPr>
                    <w:spacing w:before="43" w:line="246" w:lineRule="auto"/>
                    <w:ind w:left="114" w:right="259" w:hanging="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若配备</w:t>
                  </w:r>
                  <w:r>
                    <w:rPr>
                      <w:rFonts w:hint="eastAsia" w:ascii="宋体" w:hAnsi="宋体" w:eastAsia="宋体" w:cs="宋体"/>
                      <w:i/>
                      <w:iCs/>
                      <w:color w:val="auto"/>
                      <w:sz w:val="24"/>
                      <w:szCs w:val="24"/>
                      <w:highlight w:val="none"/>
                      <w:u w:val="single"/>
                      <w:lang w:eastAsia="en-US"/>
                    </w:rPr>
                    <w:t>AI</w:t>
                  </w:r>
                  <w:r>
                    <w:rPr>
                      <w:rFonts w:hint="eastAsia" w:ascii="宋体" w:hAnsi="宋体" w:eastAsia="宋体" w:cs="宋体"/>
                      <w:i/>
                      <w:iCs/>
                      <w:color w:val="auto"/>
                      <w:spacing w:val="6"/>
                      <w:sz w:val="24"/>
                      <w:szCs w:val="24"/>
                      <w:highlight w:val="none"/>
                      <w:u w:val="single"/>
                      <w:lang w:eastAsia="en-US"/>
                    </w:rPr>
                    <w:t>计算单元应符合如下要</w:t>
                  </w:r>
                  <w:r>
                    <w:rPr>
                      <w:rFonts w:hint="eastAsia" w:ascii="宋体" w:hAnsi="宋体" w:eastAsia="宋体" w:cs="宋体"/>
                      <w:i/>
                      <w:iCs/>
                      <w:color w:val="auto"/>
                      <w:spacing w:val="-5"/>
                      <w:sz w:val="24"/>
                      <w:szCs w:val="24"/>
                      <w:highlight w:val="none"/>
                      <w:u w:val="single"/>
                      <w:lang w:eastAsia="en-US"/>
                    </w:rPr>
                    <w:t>求：</w:t>
                  </w:r>
                </w:p>
                <w:p w14:paraId="2C91CFB7">
                  <w:pPr>
                    <w:spacing w:line="244" w:lineRule="auto"/>
                    <w:ind w:left="112" w:right="103"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a) 具备人工智能加速处理器，计算</w:t>
                  </w:r>
                  <w:r>
                    <w:rPr>
                      <w:rFonts w:hint="eastAsia" w:ascii="宋体" w:hAnsi="宋体" w:eastAsia="宋体" w:cs="宋体"/>
                      <w:i/>
                      <w:iCs/>
                      <w:color w:val="auto"/>
                      <w:sz w:val="24"/>
                      <w:szCs w:val="24"/>
                      <w:highlight w:val="none"/>
                      <w:u w:val="single"/>
                      <w:lang w:eastAsia="en-US"/>
                    </w:rPr>
                    <w:t xml:space="preserve">精度至少支持FP16、BF16、FP32、 </w:t>
                  </w:r>
                  <w:r>
                    <w:rPr>
                      <w:rFonts w:hint="eastAsia" w:ascii="宋体" w:hAnsi="宋体" w:eastAsia="宋体" w:cs="宋体"/>
                      <w:i/>
                      <w:iCs/>
                      <w:color w:val="auto"/>
                      <w:spacing w:val="-5"/>
                      <w:sz w:val="24"/>
                      <w:szCs w:val="24"/>
                      <w:highlight w:val="none"/>
                      <w:u w:val="single"/>
                      <w:lang w:eastAsia="en-US"/>
                    </w:rPr>
                    <w:t>FP64、INT8和 INT16等中的1种；</w:t>
                  </w:r>
                </w:p>
                <w:p w14:paraId="3975EEF6">
                  <w:pPr>
                    <w:spacing w:before="5" w:line="236" w:lineRule="auto"/>
                    <w:ind w:left="112" w:right="168"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 单推理卡或模块，具备视频解析、文本识别、语音分析等推理能力；在视觉场景下配备可直接调用的接口实现视觉计算加速，路数不小于64（1080P 30FPS）</w:t>
                  </w:r>
                </w:p>
              </w:tc>
            </w:tr>
            <w:tr w14:paraId="5FA7E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45129A61">
                  <w:pPr>
                    <w:spacing w:before="276" w:line="239"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44</w:t>
                  </w:r>
                </w:p>
              </w:tc>
              <w:tc>
                <w:tcPr>
                  <w:tcW w:w="1314" w:type="dxa"/>
                  <w:vMerge w:val="continue"/>
                  <w:tcBorders>
                    <w:top w:val="nil"/>
                  </w:tcBorders>
                  <w:noWrap w:val="0"/>
                  <w:vAlign w:val="center"/>
                </w:tcPr>
                <w:p w14:paraId="6937472B">
                  <w:pPr>
                    <w:widowControl/>
                    <w:jc w:val="center"/>
                    <w:rPr>
                      <w:rFonts w:hint="default" w:ascii="宋体" w:hAnsi="宋体" w:eastAsia="宋体" w:cs="宋体"/>
                      <w:color w:val="auto"/>
                      <w:sz w:val="24"/>
                      <w:szCs w:val="24"/>
                      <w:highlight w:val="none"/>
                    </w:rPr>
                  </w:pPr>
                </w:p>
              </w:tc>
              <w:tc>
                <w:tcPr>
                  <w:tcW w:w="1200" w:type="dxa"/>
                  <w:noWrap w:val="0"/>
                  <w:vAlign w:val="center"/>
                </w:tcPr>
                <w:p w14:paraId="5BF49E1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一键式迁移</w:t>
                  </w:r>
                </w:p>
              </w:tc>
              <w:tc>
                <w:tcPr>
                  <w:tcW w:w="4915" w:type="dxa"/>
                  <w:noWrap w:val="0"/>
                  <w:vAlign w:val="center"/>
                </w:tcPr>
                <w:p w14:paraId="56402F89">
                  <w:pPr>
                    <w:spacing w:before="163" w:line="248" w:lineRule="auto"/>
                    <w:ind w:left="113" w:right="10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若服务器配备</w:t>
                  </w:r>
                  <w:r>
                    <w:rPr>
                      <w:rFonts w:hint="eastAsia" w:ascii="宋体" w:hAnsi="宋体" w:eastAsia="宋体" w:cs="宋体"/>
                      <w:i/>
                      <w:iCs/>
                      <w:color w:val="auto"/>
                      <w:sz w:val="24"/>
                      <w:szCs w:val="24"/>
                      <w:highlight w:val="none"/>
                      <w:u w:val="single"/>
                      <w:lang w:eastAsia="en-US"/>
                    </w:rPr>
                    <w:t>AI</w:t>
                  </w:r>
                  <w:r>
                    <w:rPr>
                      <w:rFonts w:hint="eastAsia" w:ascii="宋体" w:hAnsi="宋体" w:eastAsia="宋体" w:cs="宋体"/>
                      <w:i/>
                      <w:iCs/>
                      <w:color w:val="auto"/>
                      <w:spacing w:val="4"/>
                      <w:sz w:val="24"/>
                      <w:szCs w:val="24"/>
                      <w:highlight w:val="none"/>
                      <w:u w:val="single"/>
                      <w:lang w:eastAsia="en-US"/>
                    </w:rPr>
                    <w:t>计算单元，提供训</w:t>
                  </w:r>
                  <w:r>
                    <w:rPr>
                      <w:rFonts w:hint="eastAsia" w:ascii="宋体" w:hAnsi="宋体" w:eastAsia="宋体" w:cs="宋体"/>
                      <w:i/>
                      <w:iCs/>
                      <w:color w:val="auto"/>
                      <w:spacing w:val="-2"/>
                      <w:sz w:val="24"/>
                      <w:szCs w:val="24"/>
                      <w:highlight w:val="none"/>
                      <w:u w:val="single"/>
                      <w:lang w:eastAsia="en-US"/>
                    </w:rPr>
                    <w:t>练脚本迁移工具</w:t>
                  </w:r>
                </w:p>
              </w:tc>
            </w:tr>
            <w:tr w14:paraId="10AF32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04C5EF22">
                  <w:pPr>
                    <w:spacing w:before="156" w:line="242"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45</w:t>
                  </w:r>
                </w:p>
              </w:tc>
              <w:tc>
                <w:tcPr>
                  <w:tcW w:w="1314" w:type="dxa"/>
                  <w:vMerge w:val="restart"/>
                  <w:tcBorders>
                    <w:bottom w:val="nil"/>
                  </w:tcBorders>
                  <w:noWrap w:val="0"/>
                  <w:vAlign w:val="center"/>
                </w:tcPr>
                <w:p w14:paraId="4621DD42">
                  <w:pPr>
                    <w:widowControl/>
                    <w:spacing w:line="267" w:lineRule="auto"/>
                    <w:rPr>
                      <w:rFonts w:hint="default" w:ascii="宋体" w:hAnsi="宋体" w:eastAsia="宋体" w:cs="宋体"/>
                      <w:color w:val="auto"/>
                      <w:sz w:val="24"/>
                      <w:szCs w:val="24"/>
                      <w:highlight w:val="none"/>
                    </w:rPr>
                  </w:pPr>
                </w:p>
                <w:p w14:paraId="3D05C958">
                  <w:pPr>
                    <w:spacing w:before="59" w:line="248" w:lineRule="auto"/>
                    <w:ind w:left="186" w:righ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机柜规格</w:t>
                  </w:r>
                </w:p>
              </w:tc>
              <w:tc>
                <w:tcPr>
                  <w:tcW w:w="1200" w:type="dxa"/>
                  <w:noWrap w:val="0"/>
                  <w:vAlign w:val="center"/>
                </w:tcPr>
                <w:p w14:paraId="7063056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机柜尺寸</w:t>
                  </w:r>
                </w:p>
              </w:tc>
              <w:tc>
                <w:tcPr>
                  <w:tcW w:w="4915" w:type="dxa"/>
                  <w:noWrap w:val="0"/>
                  <w:vAlign w:val="center"/>
                </w:tcPr>
                <w:p w14:paraId="7022E6C8">
                  <w:pPr>
                    <w:widowControl w:val="0"/>
                    <w:jc w:val="left"/>
                    <w:rPr>
                      <w:rFonts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6</w:t>
                  </w:r>
                  <w:r>
                    <w:rPr>
                      <w:rFonts w:hint="eastAsia" w:ascii="宋体" w:hAnsi="宋体" w:eastAsia="宋体" w:cs="宋体"/>
                      <w:i/>
                      <w:iCs/>
                      <w:color w:val="auto"/>
                      <w:spacing w:val="4"/>
                      <w:sz w:val="24"/>
                      <w:szCs w:val="24"/>
                      <w:highlight w:val="none"/>
                      <w:u w:val="single"/>
                      <w:lang w:val="en-US" w:eastAsia="zh-CN" w:bidi="ar-SA"/>
                    </w:rPr>
                    <w:t>00*800*2000mm、42U标准尺寸</w:t>
                  </w:r>
                </w:p>
              </w:tc>
            </w:tr>
            <w:tr w14:paraId="79AE57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66000879">
                  <w:pPr>
                    <w:spacing w:before="276" w:line="242"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46</w:t>
                  </w:r>
                </w:p>
              </w:tc>
              <w:tc>
                <w:tcPr>
                  <w:tcW w:w="1314" w:type="dxa"/>
                  <w:vMerge w:val="continue"/>
                  <w:tcBorders>
                    <w:top w:val="nil"/>
                    <w:bottom w:val="nil"/>
                  </w:tcBorders>
                  <w:noWrap w:val="0"/>
                  <w:vAlign w:val="center"/>
                </w:tcPr>
                <w:p w14:paraId="760B4871">
                  <w:pPr>
                    <w:widowControl/>
                    <w:jc w:val="center"/>
                    <w:rPr>
                      <w:rFonts w:hint="default" w:ascii="宋体" w:hAnsi="宋体" w:eastAsia="宋体" w:cs="宋体"/>
                      <w:color w:val="auto"/>
                      <w:sz w:val="24"/>
                      <w:szCs w:val="24"/>
                      <w:highlight w:val="none"/>
                    </w:rPr>
                  </w:pPr>
                </w:p>
              </w:tc>
              <w:tc>
                <w:tcPr>
                  <w:tcW w:w="1200" w:type="dxa"/>
                  <w:noWrap w:val="0"/>
                  <w:vAlign w:val="center"/>
                </w:tcPr>
                <w:p w14:paraId="77B9AE4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机柜管理板</w:t>
                  </w:r>
                </w:p>
              </w:tc>
              <w:tc>
                <w:tcPr>
                  <w:tcW w:w="4915" w:type="dxa"/>
                  <w:noWrap w:val="0"/>
                  <w:vAlign w:val="center"/>
                </w:tcPr>
                <w:p w14:paraId="2EC1C066">
                  <w:pPr>
                    <w:spacing w:before="282" w:line="221" w:lineRule="auto"/>
                    <w:ind w:left="11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配备机柜管理板</w:t>
                  </w:r>
                </w:p>
              </w:tc>
            </w:tr>
            <w:tr w14:paraId="7ADEE9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noWrap w:val="0"/>
                  <w:vAlign w:val="center"/>
                </w:tcPr>
                <w:p w14:paraId="0CD9E362">
                  <w:pPr>
                    <w:spacing w:before="58" w:line="240"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47</w:t>
                  </w:r>
                </w:p>
              </w:tc>
              <w:tc>
                <w:tcPr>
                  <w:tcW w:w="1314" w:type="dxa"/>
                  <w:vMerge w:val="continue"/>
                  <w:tcBorders>
                    <w:top w:val="nil"/>
                  </w:tcBorders>
                  <w:noWrap w:val="0"/>
                  <w:vAlign w:val="center"/>
                </w:tcPr>
                <w:p w14:paraId="354F0973">
                  <w:pPr>
                    <w:widowControl/>
                    <w:jc w:val="center"/>
                    <w:rPr>
                      <w:rFonts w:hint="default" w:ascii="宋体" w:hAnsi="宋体" w:eastAsia="宋体" w:cs="宋体"/>
                      <w:color w:val="auto"/>
                      <w:sz w:val="24"/>
                      <w:szCs w:val="24"/>
                      <w:highlight w:val="none"/>
                    </w:rPr>
                  </w:pPr>
                </w:p>
              </w:tc>
              <w:tc>
                <w:tcPr>
                  <w:tcW w:w="1200" w:type="dxa"/>
                  <w:noWrap w:val="0"/>
                  <w:vAlign w:val="center"/>
                </w:tcPr>
                <w:p w14:paraId="7C717046">
                  <w:pPr>
                    <w:spacing w:before="59" w:line="248"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机柜电源规格</w:t>
                  </w:r>
                </w:p>
              </w:tc>
              <w:tc>
                <w:tcPr>
                  <w:tcW w:w="4915" w:type="dxa"/>
                  <w:noWrap w:val="0"/>
                  <w:vAlign w:val="center"/>
                </w:tcPr>
                <w:p w14:paraId="5AC82359">
                  <w:pPr>
                    <w:spacing w:before="283" w:line="243" w:lineRule="auto"/>
                    <w:ind w:left="113" w:right="103"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a) 机柜电源支持集中供电，电源输入不少于2路且支持自动切换；</w:t>
                  </w:r>
                </w:p>
                <w:p w14:paraId="5E7EB716">
                  <w:pPr>
                    <w:spacing w:before="6" w:line="243" w:lineRule="auto"/>
                    <w:ind w:left="117" w:right="259"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 机柜电源模块支持N+1冗余配</w:t>
                  </w:r>
                  <w:r>
                    <w:rPr>
                      <w:rFonts w:hint="eastAsia" w:ascii="宋体" w:hAnsi="宋体" w:eastAsia="宋体" w:cs="宋体"/>
                      <w:i/>
                      <w:iCs/>
                      <w:color w:val="auto"/>
                      <w:spacing w:val="-2"/>
                      <w:sz w:val="24"/>
                      <w:szCs w:val="24"/>
                      <w:highlight w:val="none"/>
                      <w:u w:val="single"/>
                      <w:lang w:eastAsia="en-US"/>
                    </w:rPr>
                    <w:t>置，电源模块可独立更换</w:t>
                  </w:r>
                </w:p>
              </w:tc>
            </w:tr>
            <w:tr w14:paraId="6C1747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jc w:val="center"/>
              </w:trPr>
              <w:tc>
                <w:tcPr>
                  <w:tcW w:w="719" w:type="dxa"/>
                  <w:noWrap w:val="0"/>
                  <w:vAlign w:val="center"/>
                </w:tcPr>
                <w:p w14:paraId="4959A3DA">
                  <w:pPr>
                    <w:spacing w:before="38" w:line="205"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48</w:t>
                  </w:r>
                </w:p>
              </w:tc>
              <w:tc>
                <w:tcPr>
                  <w:tcW w:w="1314" w:type="dxa"/>
                  <w:noWrap w:val="0"/>
                  <w:vAlign w:val="center"/>
                </w:tcPr>
                <w:p w14:paraId="3F04CD5B">
                  <w:pPr>
                    <w:spacing w:before="43" w:line="200"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主板</w:t>
                  </w:r>
                  <w:r>
                    <w:rPr>
                      <w:rFonts w:hint="eastAsia" w:ascii="宋体" w:hAnsi="宋体" w:eastAsia="宋体" w:cs="宋体"/>
                      <w:color w:val="auto"/>
                      <w:spacing w:val="-5"/>
                      <w:sz w:val="24"/>
                      <w:szCs w:val="24"/>
                      <w:highlight w:val="none"/>
                      <w:lang w:eastAsia="en-US"/>
                    </w:rPr>
                    <w:t>功能</w:t>
                  </w:r>
                </w:p>
              </w:tc>
              <w:tc>
                <w:tcPr>
                  <w:tcW w:w="1200" w:type="dxa"/>
                  <w:noWrap w:val="0"/>
                  <w:vAlign w:val="center"/>
                </w:tcPr>
                <w:p w14:paraId="33E240A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主板外部接口种类</w:t>
                  </w:r>
                </w:p>
              </w:tc>
              <w:tc>
                <w:tcPr>
                  <w:tcW w:w="4915" w:type="dxa"/>
                  <w:noWrap w:val="0"/>
                  <w:vAlign w:val="center"/>
                </w:tcPr>
                <w:p w14:paraId="66031A7E">
                  <w:pPr>
                    <w:spacing w:before="43" w:line="200"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支持USB、显示、管理等接口，如：</w:t>
                  </w:r>
                  <w:r>
                    <w:rPr>
                      <w:rFonts w:hint="eastAsia" w:ascii="宋体" w:hAnsi="宋体" w:eastAsia="宋体" w:cs="宋体"/>
                      <w:i/>
                      <w:iCs/>
                      <w:color w:val="auto"/>
                      <w:spacing w:val="-8"/>
                      <w:sz w:val="24"/>
                      <w:szCs w:val="24"/>
                      <w:highlight w:val="none"/>
                      <w:u w:val="single"/>
                      <w:lang w:eastAsia="en-US"/>
                    </w:rPr>
                    <w:t>VGA、DP、HDMI、USB3.0、PS/2接口、</w:t>
                  </w:r>
                  <w:r>
                    <w:rPr>
                      <w:rFonts w:hint="eastAsia" w:ascii="宋体" w:hAnsi="宋体" w:eastAsia="宋体" w:cs="宋体"/>
                      <w:i/>
                      <w:iCs/>
                      <w:color w:val="auto"/>
                      <w:spacing w:val="-3"/>
                      <w:sz w:val="24"/>
                      <w:szCs w:val="24"/>
                      <w:highlight w:val="none"/>
                      <w:u w:val="single"/>
                      <w:lang w:eastAsia="en-US"/>
                    </w:rPr>
                    <w:t>BMC管理端口</w:t>
                  </w:r>
                </w:p>
              </w:tc>
            </w:tr>
            <w:tr w14:paraId="2B5569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3A11BBF5">
                  <w:pPr>
                    <w:spacing w:before="59"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49</w:t>
                  </w:r>
                </w:p>
              </w:tc>
              <w:tc>
                <w:tcPr>
                  <w:tcW w:w="1314" w:type="dxa"/>
                  <w:tcBorders>
                    <w:top w:val="nil"/>
                    <w:bottom w:val="nil"/>
                  </w:tcBorders>
                  <w:noWrap w:val="0"/>
                  <w:vAlign w:val="center"/>
                </w:tcPr>
                <w:p w14:paraId="354CD65F">
                  <w:pPr>
                    <w:widowControl/>
                    <w:jc w:val="center"/>
                    <w:rPr>
                      <w:rFonts w:hint="default" w:ascii="宋体" w:hAnsi="宋体" w:eastAsia="宋体" w:cs="宋体"/>
                      <w:color w:val="auto"/>
                      <w:sz w:val="24"/>
                      <w:szCs w:val="24"/>
                      <w:highlight w:val="none"/>
                    </w:rPr>
                  </w:pPr>
                </w:p>
              </w:tc>
              <w:tc>
                <w:tcPr>
                  <w:tcW w:w="1200" w:type="dxa"/>
                  <w:noWrap w:val="0"/>
                  <w:vAlign w:val="center"/>
                </w:tcPr>
                <w:p w14:paraId="1FBE9F7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主板防烧板设计</w:t>
                  </w:r>
                </w:p>
              </w:tc>
              <w:tc>
                <w:tcPr>
                  <w:tcW w:w="4915" w:type="dxa"/>
                  <w:noWrap w:val="0"/>
                  <w:vAlign w:val="center"/>
                </w:tcPr>
                <w:p w14:paraId="0A6AB234">
                  <w:pPr>
                    <w:spacing w:before="279" w:line="248" w:lineRule="auto"/>
                    <w:ind w:left="118" w:right="168"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支持主板防烧板设计，保证电源故</w:t>
                  </w:r>
                  <w:r>
                    <w:rPr>
                      <w:rFonts w:hint="eastAsia" w:ascii="宋体" w:hAnsi="宋体" w:eastAsia="宋体" w:cs="宋体"/>
                      <w:i/>
                      <w:iCs/>
                      <w:color w:val="auto"/>
                      <w:spacing w:val="-3"/>
                      <w:sz w:val="24"/>
                      <w:szCs w:val="24"/>
                      <w:highlight w:val="none"/>
                      <w:u w:val="single"/>
                      <w:lang w:eastAsia="en-US"/>
                    </w:rPr>
                    <w:t>障后不扩散</w:t>
                  </w:r>
                </w:p>
              </w:tc>
            </w:tr>
            <w:tr w14:paraId="37534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23A7A9EE">
                  <w:pPr>
                    <w:spacing w:before="275"/>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50</w:t>
                  </w:r>
                </w:p>
              </w:tc>
              <w:tc>
                <w:tcPr>
                  <w:tcW w:w="1314" w:type="dxa"/>
                  <w:tcBorders>
                    <w:top w:val="nil"/>
                  </w:tcBorders>
                  <w:noWrap w:val="0"/>
                  <w:vAlign w:val="center"/>
                </w:tcPr>
                <w:p w14:paraId="6B817CB1">
                  <w:pPr>
                    <w:widowControl/>
                    <w:jc w:val="center"/>
                    <w:rPr>
                      <w:rFonts w:hint="default" w:ascii="宋体" w:hAnsi="宋体" w:eastAsia="宋体" w:cs="宋体"/>
                      <w:color w:val="auto"/>
                      <w:sz w:val="24"/>
                      <w:szCs w:val="24"/>
                      <w:highlight w:val="none"/>
                    </w:rPr>
                  </w:pPr>
                </w:p>
              </w:tc>
              <w:tc>
                <w:tcPr>
                  <w:tcW w:w="1200" w:type="dxa"/>
                  <w:noWrap w:val="0"/>
                  <w:vAlign w:val="center"/>
                </w:tcPr>
                <w:p w14:paraId="17D7DD0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扩展功能</w:t>
                  </w:r>
                </w:p>
              </w:tc>
              <w:tc>
                <w:tcPr>
                  <w:tcW w:w="4915" w:type="dxa"/>
                  <w:noWrap w:val="0"/>
                  <w:vAlign w:val="center"/>
                </w:tcPr>
                <w:p w14:paraId="4B4ADCF1">
                  <w:pPr>
                    <w:spacing w:before="42" w:line="230" w:lineRule="auto"/>
                    <w:ind w:left="115" w:right="168" w:firstLine="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实现至少一种扩展功能，如存储功能卡、显示功能卡、运算加速功能卡及网络功能卡等扩展功能</w:t>
                  </w:r>
                </w:p>
              </w:tc>
            </w:tr>
            <w:tr w14:paraId="03E0F4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4962EE15">
                  <w:pPr>
                    <w:spacing w:before="155"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51</w:t>
                  </w:r>
                </w:p>
              </w:tc>
              <w:tc>
                <w:tcPr>
                  <w:tcW w:w="1314" w:type="dxa"/>
                  <w:noWrap w:val="0"/>
                  <w:vAlign w:val="center"/>
                </w:tcPr>
                <w:p w14:paraId="0F27E7D9">
                  <w:pPr>
                    <w:spacing w:before="42" w:line="222" w:lineRule="auto"/>
                    <w:ind w:left="189" w:right="141" w:hanging="5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网络</w:t>
                  </w:r>
                  <w:r>
                    <w:rPr>
                      <w:rFonts w:hint="eastAsia" w:ascii="宋体" w:hAnsi="宋体" w:eastAsia="宋体" w:cs="宋体"/>
                      <w:color w:val="auto"/>
                      <w:spacing w:val="-5"/>
                      <w:sz w:val="24"/>
                      <w:szCs w:val="24"/>
                      <w:highlight w:val="none"/>
                      <w:lang w:eastAsia="en-US"/>
                    </w:rPr>
                    <w:t>功能</w:t>
                  </w:r>
                </w:p>
              </w:tc>
              <w:tc>
                <w:tcPr>
                  <w:tcW w:w="1200" w:type="dxa"/>
                  <w:noWrap w:val="0"/>
                  <w:vAlign w:val="center"/>
                </w:tcPr>
                <w:p w14:paraId="680E160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网络功能</w:t>
                  </w:r>
                </w:p>
              </w:tc>
              <w:tc>
                <w:tcPr>
                  <w:tcW w:w="4915" w:type="dxa"/>
                  <w:noWrap w:val="0"/>
                  <w:vAlign w:val="center"/>
                </w:tcPr>
                <w:p w14:paraId="6F58363F">
                  <w:pPr>
                    <w:spacing w:before="42" w:line="222" w:lineRule="auto"/>
                    <w:ind w:left="113" w:right="168" w:firstLine="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支持网络连接、网络访问、数据交换和网络管控功能</w:t>
                  </w:r>
                </w:p>
              </w:tc>
            </w:tr>
            <w:tr w14:paraId="1CDE6A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noWrap w:val="0"/>
                  <w:vAlign w:val="center"/>
                </w:tcPr>
                <w:p w14:paraId="270FFAB6">
                  <w:pPr>
                    <w:spacing w:before="59"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52</w:t>
                  </w:r>
                </w:p>
              </w:tc>
              <w:tc>
                <w:tcPr>
                  <w:tcW w:w="1314" w:type="dxa"/>
                  <w:vMerge w:val="restart"/>
                  <w:tcBorders>
                    <w:bottom w:val="nil"/>
                  </w:tcBorders>
                  <w:noWrap w:val="0"/>
                  <w:vAlign w:val="center"/>
                </w:tcPr>
                <w:p w14:paraId="1D88DED0">
                  <w:pPr>
                    <w:spacing w:before="58" w:line="258" w:lineRule="auto"/>
                    <w:ind w:right="1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CPU</w:t>
                  </w:r>
                  <w:r>
                    <w:rPr>
                      <w:rFonts w:hint="eastAsia" w:ascii="宋体" w:hAnsi="宋体" w:eastAsia="宋体" w:cs="宋体"/>
                      <w:color w:val="auto"/>
                      <w:spacing w:val="-5"/>
                      <w:sz w:val="24"/>
                      <w:szCs w:val="24"/>
                      <w:highlight w:val="none"/>
                      <w:lang w:eastAsia="en-US"/>
                    </w:rPr>
                    <w:t>功能</w:t>
                  </w:r>
                </w:p>
              </w:tc>
              <w:tc>
                <w:tcPr>
                  <w:tcW w:w="1200" w:type="dxa"/>
                  <w:noWrap w:val="0"/>
                  <w:vAlign w:val="center"/>
                </w:tcPr>
                <w:p w14:paraId="0309C083">
                  <w:pPr>
                    <w:spacing w:before="59"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计算处理</w:t>
                  </w:r>
                </w:p>
              </w:tc>
              <w:tc>
                <w:tcPr>
                  <w:tcW w:w="4915" w:type="dxa"/>
                  <w:noWrap w:val="0"/>
                  <w:vAlign w:val="center"/>
                </w:tcPr>
                <w:p w14:paraId="7DFBECD4">
                  <w:pPr>
                    <w:spacing w:before="41" w:line="238" w:lineRule="auto"/>
                    <w:ind w:left="113" w:right="103" w:firstLine="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支持通用计算及虚拟化功能。处理器需集成整型计算单元、浮点计算</w:t>
                  </w:r>
                  <w:r>
                    <w:rPr>
                      <w:rFonts w:hint="eastAsia" w:ascii="宋体" w:hAnsi="宋体" w:eastAsia="宋体" w:cs="宋体"/>
                      <w:i/>
                      <w:iCs/>
                      <w:color w:val="auto"/>
                      <w:spacing w:val="-6"/>
                      <w:sz w:val="24"/>
                      <w:szCs w:val="24"/>
                      <w:highlight w:val="none"/>
                      <w:u w:val="single"/>
                      <w:lang w:eastAsia="en-US"/>
                    </w:rPr>
                    <w:t>单元、内存控制器、I/O模块等，处</w:t>
                  </w:r>
                  <w:r>
                    <w:rPr>
                      <w:rFonts w:hint="eastAsia" w:ascii="宋体" w:hAnsi="宋体" w:eastAsia="宋体" w:cs="宋体"/>
                      <w:i/>
                      <w:iCs/>
                      <w:color w:val="auto"/>
                      <w:spacing w:val="-1"/>
                      <w:sz w:val="24"/>
                      <w:szCs w:val="24"/>
                      <w:highlight w:val="none"/>
                      <w:u w:val="single"/>
                      <w:lang w:eastAsia="en-US"/>
                    </w:rPr>
                    <w:t>理器与存储部件、网络部件、I/O部件等组成计算系统，提供数据处理、网络接入等计算相关功能</w:t>
                  </w:r>
                </w:p>
              </w:tc>
            </w:tr>
            <w:tr w14:paraId="7C41B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noWrap w:val="0"/>
                  <w:vAlign w:val="center"/>
                </w:tcPr>
                <w:p w14:paraId="7188588B">
                  <w:pPr>
                    <w:spacing w:before="59"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53</w:t>
                  </w:r>
                </w:p>
              </w:tc>
              <w:tc>
                <w:tcPr>
                  <w:tcW w:w="1314" w:type="dxa"/>
                  <w:vMerge w:val="continue"/>
                  <w:tcBorders>
                    <w:top w:val="nil"/>
                  </w:tcBorders>
                  <w:noWrap w:val="0"/>
                  <w:vAlign w:val="center"/>
                </w:tcPr>
                <w:p w14:paraId="4B9A3ED7">
                  <w:pPr>
                    <w:widowControl/>
                    <w:jc w:val="center"/>
                    <w:rPr>
                      <w:rFonts w:hint="default" w:ascii="宋体" w:hAnsi="宋体" w:eastAsia="宋体" w:cs="宋体"/>
                      <w:color w:val="auto"/>
                      <w:sz w:val="24"/>
                      <w:szCs w:val="24"/>
                      <w:highlight w:val="none"/>
                    </w:rPr>
                  </w:pPr>
                </w:p>
              </w:tc>
              <w:tc>
                <w:tcPr>
                  <w:tcW w:w="1200" w:type="dxa"/>
                  <w:noWrap w:val="0"/>
                  <w:vAlign w:val="center"/>
                </w:tcPr>
                <w:p w14:paraId="30213CF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密码算法实现</w:t>
                  </w:r>
                </w:p>
              </w:tc>
              <w:tc>
                <w:tcPr>
                  <w:tcW w:w="4915" w:type="dxa"/>
                  <w:noWrap w:val="0"/>
                  <w:vAlign w:val="center"/>
                </w:tcPr>
                <w:p w14:paraId="3AFE3F8B">
                  <w:pPr>
                    <w:spacing w:before="162" w:line="243" w:lineRule="auto"/>
                    <w:ind w:left="111" w:right="103"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CPU芯片应符合GM/T0008的相关规</w:t>
                  </w:r>
                  <w:r>
                    <w:rPr>
                      <w:rFonts w:hint="eastAsia" w:ascii="宋体" w:hAnsi="宋体" w:eastAsia="宋体" w:cs="宋体"/>
                      <w:i/>
                      <w:iCs/>
                      <w:color w:val="auto"/>
                      <w:spacing w:val="2"/>
                      <w:sz w:val="24"/>
                      <w:szCs w:val="24"/>
                      <w:highlight w:val="none"/>
                      <w:u w:val="single"/>
                      <w:lang w:eastAsia="en-US"/>
                    </w:rPr>
                    <w:t>定，或芯片密码模块应符合</w:t>
                  </w:r>
                  <w:r>
                    <w:rPr>
                      <w:rFonts w:hint="eastAsia" w:ascii="宋体" w:hAnsi="宋体" w:eastAsia="宋体" w:cs="宋体"/>
                      <w:i/>
                      <w:iCs/>
                      <w:color w:val="auto"/>
                      <w:sz w:val="24"/>
                      <w:szCs w:val="24"/>
                      <w:highlight w:val="none"/>
                      <w:u w:val="single"/>
                      <w:lang w:eastAsia="en-US"/>
                    </w:rPr>
                    <w:t>GB</w:t>
                  </w:r>
                  <w:r>
                    <w:rPr>
                      <w:rFonts w:hint="eastAsia" w:ascii="宋体" w:hAnsi="宋体" w:eastAsia="宋体" w:cs="宋体"/>
                      <w:i/>
                      <w:iCs/>
                      <w:color w:val="auto"/>
                      <w:spacing w:val="2"/>
                      <w:sz w:val="24"/>
                      <w:szCs w:val="24"/>
                      <w:highlight w:val="none"/>
                      <w:u w:val="single"/>
                      <w:lang w:eastAsia="en-US"/>
                    </w:rPr>
                    <w:t>/T</w:t>
                  </w:r>
                </w:p>
                <w:p w14:paraId="3A5A4945">
                  <w:pPr>
                    <w:spacing w:before="5" w:line="222"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37092或GM/T 0028的相关规定</w:t>
                  </w:r>
                </w:p>
              </w:tc>
            </w:tr>
            <w:tr w14:paraId="459E15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noWrap w:val="0"/>
                  <w:vAlign w:val="center"/>
                </w:tcPr>
                <w:p w14:paraId="52655688">
                  <w:pPr>
                    <w:spacing w:before="58"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54</w:t>
                  </w:r>
                </w:p>
              </w:tc>
              <w:tc>
                <w:tcPr>
                  <w:tcW w:w="1314" w:type="dxa"/>
                  <w:vMerge w:val="restart"/>
                  <w:tcBorders>
                    <w:bottom w:val="nil"/>
                  </w:tcBorders>
                  <w:noWrap w:val="0"/>
                  <w:vAlign w:val="center"/>
                </w:tcPr>
                <w:p w14:paraId="42A246C7">
                  <w:pPr>
                    <w:widowControl/>
                    <w:spacing w:line="316" w:lineRule="auto"/>
                    <w:rPr>
                      <w:rFonts w:hint="default" w:ascii="宋体" w:hAnsi="宋体" w:eastAsia="宋体" w:cs="宋体"/>
                      <w:color w:val="auto"/>
                      <w:sz w:val="24"/>
                      <w:szCs w:val="24"/>
                      <w:highlight w:val="none"/>
                    </w:rPr>
                  </w:pPr>
                </w:p>
                <w:p w14:paraId="1EE514CD">
                  <w:pPr>
                    <w:spacing w:before="59" w:line="248" w:lineRule="auto"/>
                    <w:ind w:left="189" w:righ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存储功能</w:t>
                  </w:r>
                </w:p>
              </w:tc>
              <w:tc>
                <w:tcPr>
                  <w:tcW w:w="1200" w:type="dxa"/>
                  <w:noWrap w:val="0"/>
                  <w:vAlign w:val="center"/>
                </w:tcPr>
                <w:p w14:paraId="15F8C8DE">
                  <w:pPr>
                    <w:widowControl/>
                    <w:spacing w:line="340" w:lineRule="auto"/>
                    <w:jc w:val="center"/>
                    <w:rPr>
                      <w:rFonts w:hint="default" w:ascii="宋体" w:hAnsi="宋体" w:eastAsia="宋体" w:cs="宋体"/>
                      <w:color w:val="auto"/>
                      <w:spacing w:val="-2"/>
                      <w:sz w:val="24"/>
                      <w:szCs w:val="24"/>
                      <w:highlight w:val="none"/>
                      <w:lang w:eastAsia="en-US"/>
                    </w:rPr>
                  </w:pPr>
                </w:p>
                <w:p w14:paraId="1644FB7C">
                  <w:pPr>
                    <w:spacing w:before="59" w:line="222" w:lineRule="auto"/>
                    <w:ind w:left="121"/>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内存校验</w:t>
                  </w:r>
                </w:p>
              </w:tc>
              <w:tc>
                <w:tcPr>
                  <w:tcW w:w="4915" w:type="dxa"/>
                  <w:noWrap w:val="0"/>
                  <w:vAlign w:val="center"/>
                </w:tcPr>
                <w:p w14:paraId="0C393095">
                  <w:pPr>
                    <w:spacing w:before="281" w:line="248" w:lineRule="auto"/>
                    <w:ind w:left="119"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支持内存校验或内存增强型纠错功</w:t>
                  </w:r>
                  <w:r>
                    <w:rPr>
                      <w:rFonts w:hint="eastAsia" w:ascii="宋体" w:hAnsi="宋体" w:eastAsia="宋体" w:cs="宋体"/>
                      <w:i/>
                      <w:iCs/>
                      <w:color w:val="auto"/>
                      <w:sz w:val="24"/>
                      <w:szCs w:val="24"/>
                      <w:highlight w:val="none"/>
                      <w:u w:val="single"/>
                      <w:lang w:eastAsia="en-US"/>
                    </w:rPr>
                    <w:t>能</w:t>
                  </w:r>
                </w:p>
              </w:tc>
            </w:tr>
            <w:tr w14:paraId="5978C8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32B6FA29">
                  <w:pPr>
                    <w:spacing w:before="276"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55</w:t>
                  </w:r>
                </w:p>
              </w:tc>
              <w:tc>
                <w:tcPr>
                  <w:tcW w:w="1314" w:type="dxa"/>
                  <w:vMerge w:val="continue"/>
                  <w:tcBorders>
                    <w:top w:val="nil"/>
                    <w:bottom w:val="nil"/>
                  </w:tcBorders>
                  <w:noWrap w:val="0"/>
                  <w:vAlign w:val="center"/>
                </w:tcPr>
                <w:p w14:paraId="649AD987">
                  <w:pPr>
                    <w:widowControl/>
                    <w:jc w:val="center"/>
                    <w:rPr>
                      <w:rFonts w:hint="default" w:ascii="宋体" w:hAnsi="宋体" w:eastAsia="宋体" w:cs="宋体"/>
                      <w:color w:val="auto"/>
                      <w:sz w:val="24"/>
                      <w:szCs w:val="24"/>
                      <w:highlight w:val="none"/>
                    </w:rPr>
                  </w:pPr>
                </w:p>
              </w:tc>
              <w:tc>
                <w:tcPr>
                  <w:tcW w:w="1200" w:type="dxa"/>
                  <w:noWrap w:val="0"/>
                  <w:vAlign w:val="center"/>
                </w:tcPr>
                <w:p w14:paraId="1A6CDD3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SATA SSD NAND 健康状态上报</w:t>
                  </w:r>
                </w:p>
              </w:tc>
              <w:tc>
                <w:tcPr>
                  <w:tcW w:w="4915" w:type="dxa"/>
                  <w:noWrap w:val="0"/>
                  <w:vAlign w:val="center"/>
                </w:tcPr>
                <w:p w14:paraId="653E686E">
                  <w:pPr>
                    <w:spacing w:before="42" w:line="230" w:lineRule="auto"/>
                    <w:ind w:left="112" w:right="102" w:firstLine="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支持关键外部存储器（硬磁盘、SSD</w:t>
                  </w:r>
                  <w:r>
                    <w:rPr>
                      <w:rFonts w:hint="eastAsia" w:ascii="宋体" w:hAnsi="宋体" w:eastAsia="宋体" w:cs="宋体"/>
                      <w:i/>
                      <w:iCs/>
                      <w:color w:val="auto"/>
                      <w:spacing w:val="-1"/>
                      <w:sz w:val="24"/>
                      <w:szCs w:val="24"/>
                      <w:highlight w:val="none"/>
                      <w:u w:val="single"/>
                      <w:lang w:eastAsia="en-US"/>
                    </w:rPr>
                    <w:t>等）的健康状态上报并进行故障诊</w:t>
                  </w:r>
                  <w:r>
                    <w:rPr>
                      <w:rFonts w:hint="eastAsia" w:ascii="宋体" w:hAnsi="宋体" w:eastAsia="宋体" w:cs="宋体"/>
                      <w:i/>
                      <w:iCs/>
                      <w:color w:val="auto"/>
                      <w:sz w:val="24"/>
                      <w:szCs w:val="24"/>
                      <w:highlight w:val="none"/>
                      <w:u w:val="single"/>
                      <w:lang w:eastAsia="en-US"/>
                    </w:rPr>
                    <w:t>断</w:t>
                  </w:r>
                </w:p>
              </w:tc>
            </w:tr>
            <w:tr w14:paraId="64278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6029F8A0">
                  <w:pPr>
                    <w:spacing w:before="276"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56</w:t>
                  </w:r>
                </w:p>
              </w:tc>
              <w:tc>
                <w:tcPr>
                  <w:tcW w:w="1314" w:type="dxa"/>
                  <w:vMerge w:val="continue"/>
                  <w:tcBorders>
                    <w:top w:val="nil"/>
                  </w:tcBorders>
                  <w:noWrap w:val="0"/>
                  <w:vAlign w:val="center"/>
                </w:tcPr>
                <w:p w14:paraId="644CA236">
                  <w:pPr>
                    <w:widowControl/>
                    <w:jc w:val="center"/>
                    <w:rPr>
                      <w:rFonts w:hint="default" w:ascii="宋体" w:hAnsi="宋体" w:eastAsia="宋体" w:cs="宋体"/>
                      <w:color w:val="auto"/>
                      <w:sz w:val="24"/>
                      <w:szCs w:val="24"/>
                      <w:highlight w:val="none"/>
                    </w:rPr>
                  </w:pPr>
                </w:p>
              </w:tc>
              <w:tc>
                <w:tcPr>
                  <w:tcW w:w="1200" w:type="dxa"/>
                  <w:noWrap w:val="0"/>
                  <w:vAlign w:val="center"/>
                </w:tcPr>
                <w:p w14:paraId="38280A6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SATA SSD单 die 故障隔离</w:t>
                  </w:r>
                </w:p>
              </w:tc>
              <w:tc>
                <w:tcPr>
                  <w:tcW w:w="4915" w:type="dxa"/>
                  <w:noWrap w:val="0"/>
                  <w:vAlign w:val="center"/>
                </w:tcPr>
                <w:p w14:paraId="69B1CC90">
                  <w:pPr>
                    <w:spacing w:before="163" w:line="248" w:lineRule="auto"/>
                    <w:ind w:left="121"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支持SSD关键外部存储器中单存储晶元故障隔离</w:t>
                  </w:r>
                </w:p>
              </w:tc>
            </w:tr>
            <w:tr w14:paraId="5D482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19" w:type="dxa"/>
                  <w:noWrap w:val="0"/>
                  <w:vAlign w:val="center"/>
                </w:tcPr>
                <w:p w14:paraId="09B4F0BF">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57</w:t>
                  </w:r>
                </w:p>
              </w:tc>
              <w:tc>
                <w:tcPr>
                  <w:tcW w:w="1314" w:type="dxa"/>
                  <w:vMerge w:val="restart"/>
                  <w:tcBorders>
                    <w:bottom w:val="nil"/>
                  </w:tcBorders>
                  <w:noWrap w:val="0"/>
                  <w:vAlign w:val="center"/>
                </w:tcPr>
                <w:p w14:paraId="19EA02CC">
                  <w:pPr>
                    <w:spacing w:before="58" w:line="247" w:lineRule="auto"/>
                    <w:ind w:left="117" w:right="107" w:firstLine="7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RAID</w:t>
                  </w:r>
                  <w:r>
                    <w:rPr>
                      <w:rFonts w:hint="eastAsia" w:ascii="宋体" w:hAnsi="宋体" w:eastAsia="宋体" w:cs="宋体"/>
                      <w:color w:val="auto"/>
                      <w:spacing w:val="32"/>
                      <w:sz w:val="24"/>
                      <w:szCs w:val="24"/>
                      <w:highlight w:val="none"/>
                      <w:lang w:eastAsia="en-US"/>
                    </w:rPr>
                    <w:t>卡功</w:t>
                  </w:r>
                  <w:r>
                    <w:rPr>
                      <w:rFonts w:hint="eastAsia" w:ascii="宋体" w:hAnsi="宋体" w:eastAsia="宋体" w:cs="宋体"/>
                      <w:color w:val="auto"/>
                      <w:spacing w:val="-13"/>
                      <w:sz w:val="24"/>
                      <w:szCs w:val="24"/>
                      <w:highlight w:val="none"/>
                      <w:lang w:eastAsia="en-US"/>
                    </w:rPr>
                    <w:t>能（若</w:t>
                  </w:r>
                  <w:r>
                    <w:rPr>
                      <w:rFonts w:hint="eastAsia" w:ascii="宋体" w:hAnsi="宋体" w:eastAsia="宋体" w:cs="宋体"/>
                      <w:color w:val="auto"/>
                      <w:spacing w:val="32"/>
                      <w:sz w:val="24"/>
                      <w:szCs w:val="24"/>
                      <w:highlight w:val="none"/>
                      <w:lang w:eastAsia="en-US"/>
                    </w:rPr>
                    <w:t>支持</w:t>
                  </w:r>
                  <w:r>
                    <w:rPr>
                      <w:rFonts w:hint="eastAsia" w:ascii="宋体" w:hAnsi="宋体" w:eastAsia="宋体" w:cs="宋体"/>
                      <w:color w:val="auto"/>
                      <w:spacing w:val="16"/>
                      <w:sz w:val="24"/>
                      <w:szCs w:val="24"/>
                      <w:highlight w:val="none"/>
                      <w:lang w:eastAsia="en-US"/>
                    </w:rPr>
                    <w:t>RAID</w:t>
                  </w:r>
                  <w:r>
                    <w:rPr>
                      <w:rFonts w:hint="eastAsia" w:ascii="宋体" w:hAnsi="宋体" w:eastAsia="宋体" w:cs="宋体"/>
                      <w:color w:val="auto"/>
                      <w:spacing w:val="32"/>
                      <w:sz w:val="24"/>
                      <w:szCs w:val="24"/>
                      <w:highlight w:val="none"/>
                      <w:lang w:eastAsia="en-US"/>
                    </w:rPr>
                    <w:t>卡）</w:t>
                  </w:r>
                </w:p>
              </w:tc>
              <w:tc>
                <w:tcPr>
                  <w:tcW w:w="1200" w:type="dxa"/>
                  <w:noWrap w:val="0"/>
                  <w:vAlign w:val="center"/>
                </w:tcPr>
                <w:p w14:paraId="7EFD0C5E">
                  <w:pPr>
                    <w:spacing w:before="58" w:line="224"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w:t>
                  </w:r>
                </w:p>
                <w:p w14:paraId="15693851">
                  <w:pPr>
                    <w:spacing w:before="21" w:line="248" w:lineRule="auto"/>
                    <w:ind w:left="115" w:right="168" w:hanging="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级别支持</w:t>
                  </w:r>
                </w:p>
              </w:tc>
              <w:tc>
                <w:tcPr>
                  <w:tcW w:w="4915" w:type="dxa"/>
                  <w:noWrap w:val="0"/>
                  <w:vAlign w:val="center"/>
                </w:tcPr>
                <w:p w14:paraId="4D5BA36E">
                  <w:pPr>
                    <w:spacing w:before="59" w:line="248" w:lineRule="auto"/>
                    <w:ind w:left="112" w:right="168"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RAID模式支持RAID 0/1/10/5，存储型支持RAID 0/1/5/6/10/50/60</w:t>
                  </w:r>
                </w:p>
              </w:tc>
            </w:tr>
            <w:tr w14:paraId="011A4D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35886FAB">
                  <w:pPr>
                    <w:spacing w:before="156"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58</w:t>
                  </w:r>
                </w:p>
              </w:tc>
              <w:tc>
                <w:tcPr>
                  <w:tcW w:w="1314" w:type="dxa"/>
                  <w:vMerge w:val="continue"/>
                  <w:tcBorders>
                    <w:top w:val="nil"/>
                  </w:tcBorders>
                  <w:noWrap w:val="0"/>
                  <w:vAlign w:val="center"/>
                </w:tcPr>
                <w:p w14:paraId="786BC6C6">
                  <w:pPr>
                    <w:widowControl/>
                    <w:jc w:val="center"/>
                    <w:rPr>
                      <w:rFonts w:hint="default" w:ascii="宋体" w:hAnsi="宋体" w:eastAsia="宋体" w:cs="宋体"/>
                      <w:color w:val="auto"/>
                      <w:sz w:val="24"/>
                      <w:szCs w:val="24"/>
                      <w:highlight w:val="none"/>
                    </w:rPr>
                  </w:pPr>
                </w:p>
              </w:tc>
              <w:tc>
                <w:tcPr>
                  <w:tcW w:w="1200" w:type="dxa"/>
                  <w:noWrap w:val="0"/>
                  <w:vAlign w:val="center"/>
                </w:tcPr>
                <w:p w14:paraId="1AED881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w:t>
                  </w:r>
                </w:p>
                <w:p w14:paraId="6AA7EF0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BBU 单元</w:t>
                  </w:r>
                </w:p>
              </w:tc>
              <w:tc>
                <w:tcPr>
                  <w:tcW w:w="4915" w:type="dxa"/>
                  <w:noWrap w:val="0"/>
                  <w:vAlign w:val="center"/>
                </w:tcPr>
                <w:p w14:paraId="0EC01F77">
                  <w:pPr>
                    <w:spacing w:before="162" w:line="222" w:lineRule="auto"/>
                    <w:ind w:left="11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RAID卡支持电池或电容备份单元</w:t>
                  </w:r>
                </w:p>
              </w:tc>
            </w:tr>
            <w:tr w14:paraId="427ABB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jc w:val="center"/>
              </w:trPr>
              <w:tc>
                <w:tcPr>
                  <w:tcW w:w="719" w:type="dxa"/>
                  <w:noWrap w:val="0"/>
                  <w:vAlign w:val="center"/>
                </w:tcPr>
                <w:p w14:paraId="15BA762E">
                  <w:pPr>
                    <w:spacing w:before="276" w:line="242" w:lineRule="auto"/>
                    <w:ind w:left="243"/>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59</w:t>
                  </w:r>
                </w:p>
              </w:tc>
              <w:tc>
                <w:tcPr>
                  <w:tcW w:w="1314" w:type="dxa"/>
                  <w:noWrap w:val="0"/>
                  <w:vAlign w:val="center"/>
                </w:tcPr>
                <w:p w14:paraId="6677FAAA">
                  <w:pPr>
                    <w:spacing w:before="162" w:line="248" w:lineRule="auto"/>
                    <w:ind w:left="189" w:right="186" w:hanging="2"/>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光驱</w:t>
                  </w:r>
                  <w:r>
                    <w:rPr>
                      <w:rFonts w:hint="eastAsia" w:ascii="宋体" w:hAnsi="宋体" w:eastAsia="宋体" w:cs="宋体"/>
                      <w:color w:val="auto"/>
                      <w:spacing w:val="-5"/>
                      <w:sz w:val="24"/>
                      <w:szCs w:val="24"/>
                      <w:highlight w:val="none"/>
                      <w:lang w:eastAsia="en-US"/>
                    </w:rPr>
                    <w:t>功能</w:t>
                  </w:r>
                </w:p>
              </w:tc>
              <w:tc>
                <w:tcPr>
                  <w:tcW w:w="1200" w:type="dxa"/>
                  <w:noWrap w:val="0"/>
                  <w:vAlign w:val="center"/>
                </w:tcPr>
                <w:p w14:paraId="4330196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光驱类型</w:t>
                  </w:r>
                </w:p>
                <w:p w14:paraId="15CDA56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（是否支持 RW，以及光盘类型</w:t>
                  </w:r>
                </w:p>
                <w:p w14:paraId="28CBCD3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CD/DVD）</w:t>
                  </w:r>
                </w:p>
              </w:tc>
              <w:tc>
                <w:tcPr>
                  <w:tcW w:w="4915" w:type="dxa"/>
                  <w:noWrap w:val="0"/>
                  <w:vAlign w:val="center"/>
                </w:tcPr>
                <w:p w14:paraId="62F80302">
                  <w:pPr>
                    <w:spacing w:before="44" w:line="230" w:lineRule="auto"/>
                    <w:ind w:left="115"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若配备光驱，应提供光驱的安装形式（如内置、外置）、光驱读写类型（如只读、可刻录等）、光盘类</w:t>
                  </w:r>
                  <w:r>
                    <w:rPr>
                      <w:rFonts w:hint="eastAsia" w:ascii="宋体" w:hAnsi="宋体" w:eastAsia="宋体" w:cs="宋体"/>
                      <w:i/>
                      <w:iCs/>
                      <w:color w:val="auto"/>
                      <w:spacing w:val="-3"/>
                      <w:sz w:val="24"/>
                      <w:szCs w:val="24"/>
                      <w:highlight w:val="none"/>
                      <w:u w:val="single"/>
                      <w:lang w:eastAsia="en-US"/>
                    </w:rPr>
                    <w:t>型的兼容列表（如CD-ROM、CD-RW、</w:t>
                  </w:r>
                  <w:r>
                    <w:rPr>
                      <w:rFonts w:hint="eastAsia" w:ascii="宋体" w:hAnsi="宋体" w:eastAsia="宋体" w:cs="宋体"/>
                      <w:i/>
                      <w:iCs/>
                      <w:color w:val="auto"/>
                      <w:spacing w:val="-2"/>
                      <w:sz w:val="24"/>
                      <w:szCs w:val="24"/>
                      <w:highlight w:val="none"/>
                      <w:u w:val="single"/>
                      <w:lang w:eastAsia="en-US"/>
                    </w:rPr>
                    <w:t>DVD±RW等）</w:t>
                  </w:r>
                </w:p>
              </w:tc>
            </w:tr>
            <w:tr w14:paraId="7336D3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5AAF99DE">
                  <w:pPr>
                    <w:spacing w:before="154"/>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60</w:t>
                  </w:r>
                </w:p>
              </w:tc>
              <w:tc>
                <w:tcPr>
                  <w:tcW w:w="1314" w:type="dxa"/>
                  <w:vMerge w:val="restart"/>
                  <w:tcBorders>
                    <w:bottom w:val="nil"/>
                  </w:tcBorders>
                  <w:noWrap w:val="0"/>
                  <w:vAlign w:val="center"/>
                </w:tcPr>
                <w:p w14:paraId="1805173F">
                  <w:pPr>
                    <w:spacing w:before="286" w:line="248" w:lineRule="auto"/>
                    <w:ind w:left="112" w:right="174" w:hanging="4"/>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电源</w:t>
                  </w:r>
                  <w:r>
                    <w:rPr>
                      <w:rFonts w:hint="eastAsia" w:ascii="宋体" w:hAnsi="宋体" w:eastAsia="宋体" w:cs="宋体"/>
                      <w:color w:val="auto"/>
                      <w:spacing w:val="-5"/>
                      <w:sz w:val="24"/>
                      <w:szCs w:val="24"/>
                      <w:highlight w:val="none"/>
                      <w:lang w:eastAsia="en-US"/>
                    </w:rPr>
                    <w:t>功能</w:t>
                  </w:r>
                </w:p>
              </w:tc>
              <w:tc>
                <w:tcPr>
                  <w:tcW w:w="1200" w:type="dxa"/>
                  <w:noWrap w:val="0"/>
                  <w:vAlign w:val="center"/>
                </w:tcPr>
                <w:p w14:paraId="416C20B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电源热插拔</w:t>
                  </w:r>
                </w:p>
              </w:tc>
              <w:tc>
                <w:tcPr>
                  <w:tcW w:w="4915" w:type="dxa"/>
                  <w:noWrap w:val="0"/>
                  <w:vAlign w:val="center"/>
                </w:tcPr>
                <w:p w14:paraId="68A13EDE">
                  <w:pPr>
                    <w:spacing w:before="159" w:line="221" w:lineRule="auto"/>
                    <w:ind w:left="11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整机电源模块应具备热插拔功能</w:t>
                  </w:r>
                </w:p>
              </w:tc>
            </w:tr>
            <w:tr w14:paraId="2262C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6479679D">
                  <w:pPr>
                    <w:spacing w:before="154"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61</w:t>
                  </w:r>
                </w:p>
              </w:tc>
              <w:tc>
                <w:tcPr>
                  <w:tcW w:w="1314" w:type="dxa"/>
                  <w:vMerge w:val="continue"/>
                  <w:tcBorders>
                    <w:top w:val="nil"/>
                  </w:tcBorders>
                  <w:noWrap w:val="0"/>
                  <w:vAlign w:val="center"/>
                </w:tcPr>
                <w:p w14:paraId="2311AA03">
                  <w:pPr>
                    <w:widowControl/>
                    <w:jc w:val="center"/>
                    <w:rPr>
                      <w:rFonts w:hint="default" w:ascii="宋体" w:hAnsi="宋体" w:eastAsia="宋体" w:cs="宋体"/>
                      <w:color w:val="auto"/>
                      <w:sz w:val="24"/>
                      <w:szCs w:val="24"/>
                      <w:highlight w:val="none"/>
                    </w:rPr>
                  </w:pPr>
                </w:p>
              </w:tc>
              <w:tc>
                <w:tcPr>
                  <w:tcW w:w="1200" w:type="dxa"/>
                  <w:noWrap w:val="0"/>
                  <w:vAlign w:val="center"/>
                </w:tcPr>
                <w:p w14:paraId="5C912C4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电源过流保护</w:t>
                  </w:r>
                </w:p>
              </w:tc>
              <w:tc>
                <w:tcPr>
                  <w:tcW w:w="4915" w:type="dxa"/>
                  <w:noWrap w:val="0"/>
                  <w:vAlign w:val="center"/>
                </w:tcPr>
                <w:p w14:paraId="15E996B3">
                  <w:pPr>
                    <w:spacing w:before="161" w:line="221"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支持过流及短路保护的功能</w:t>
                  </w:r>
                </w:p>
              </w:tc>
            </w:tr>
            <w:tr w14:paraId="78311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6D001B89">
                  <w:pPr>
                    <w:spacing w:before="154"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62</w:t>
                  </w:r>
                </w:p>
              </w:tc>
              <w:tc>
                <w:tcPr>
                  <w:tcW w:w="1314" w:type="dxa"/>
                  <w:vMerge w:val="restart"/>
                  <w:tcBorders>
                    <w:bottom w:val="nil"/>
                  </w:tcBorders>
                  <w:noWrap w:val="0"/>
                  <w:vAlign w:val="center"/>
                </w:tcPr>
                <w:p w14:paraId="5BFC9F33">
                  <w:pPr>
                    <w:widowControl/>
                    <w:spacing w:line="344" w:lineRule="auto"/>
                    <w:jc w:val="center"/>
                    <w:rPr>
                      <w:rFonts w:hint="default" w:ascii="宋体" w:hAnsi="宋体" w:eastAsia="宋体" w:cs="宋体"/>
                      <w:color w:val="auto"/>
                      <w:sz w:val="24"/>
                      <w:szCs w:val="24"/>
                      <w:highlight w:val="none"/>
                    </w:rPr>
                  </w:pPr>
                </w:p>
                <w:p w14:paraId="3C03452D">
                  <w:pPr>
                    <w:spacing w:before="59" w:line="248" w:lineRule="auto"/>
                    <w:ind w:left="189" w:right="141" w:hanging="5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整机</w:t>
                  </w:r>
                  <w:r>
                    <w:rPr>
                      <w:rFonts w:hint="eastAsia" w:ascii="宋体" w:hAnsi="宋体" w:eastAsia="宋体" w:cs="宋体"/>
                      <w:color w:val="auto"/>
                      <w:spacing w:val="-5"/>
                      <w:sz w:val="24"/>
                      <w:szCs w:val="24"/>
                      <w:highlight w:val="none"/>
                      <w:lang w:eastAsia="en-US"/>
                    </w:rPr>
                    <w:t>功能</w:t>
                  </w:r>
                </w:p>
              </w:tc>
              <w:tc>
                <w:tcPr>
                  <w:tcW w:w="1200" w:type="dxa"/>
                  <w:noWrap w:val="0"/>
                  <w:vAlign w:val="center"/>
                </w:tcPr>
                <w:p w14:paraId="24554BB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散热方式</w:t>
                  </w:r>
                </w:p>
              </w:tc>
              <w:tc>
                <w:tcPr>
                  <w:tcW w:w="4915" w:type="dxa"/>
                  <w:noWrap w:val="0"/>
                  <w:vAlign w:val="center"/>
                </w:tcPr>
                <w:p w14:paraId="5344A8CE">
                  <w:pPr>
                    <w:spacing w:before="160" w:line="221"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支持风冷或液冷等散热方式</w:t>
                  </w:r>
                </w:p>
              </w:tc>
            </w:tr>
            <w:tr w14:paraId="039E1D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465D912C">
                  <w:pPr>
                    <w:spacing w:before="273"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63</w:t>
                  </w:r>
                </w:p>
              </w:tc>
              <w:tc>
                <w:tcPr>
                  <w:tcW w:w="1314" w:type="dxa"/>
                  <w:vMerge w:val="continue"/>
                  <w:tcBorders>
                    <w:top w:val="nil"/>
                  </w:tcBorders>
                  <w:noWrap w:val="0"/>
                  <w:vAlign w:val="center"/>
                </w:tcPr>
                <w:p w14:paraId="0A37947C">
                  <w:pPr>
                    <w:widowControl/>
                    <w:jc w:val="center"/>
                    <w:rPr>
                      <w:rFonts w:hint="default" w:ascii="宋体" w:hAnsi="宋体" w:eastAsia="宋体" w:cs="宋体"/>
                      <w:color w:val="auto"/>
                      <w:sz w:val="24"/>
                      <w:szCs w:val="24"/>
                      <w:highlight w:val="none"/>
                    </w:rPr>
                  </w:pPr>
                </w:p>
              </w:tc>
              <w:tc>
                <w:tcPr>
                  <w:tcW w:w="1200" w:type="dxa"/>
                  <w:noWrap w:val="0"/>
                  <w:vAlign w:val="center"/>
                </w:tcPr>
                <w:p w14:paraId="117AB8E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其他功能</w:t>
                  </w:r>
                </w:p>
              </w:tc>
              <w:tc>
                <w:tcPr>
                  <w:tcW w:w="4915" w:type="dxa"/>
                  <w:noWrap w:val="0"/>
                  <w:vAlign w:val="center"/>
                </w:tcPr>
                <w:p w14:paraId="1F9287D3">
                  <w:pPr>
                    <w:spacing w:before="40" w:line="243" w:lineRule="auto"/>
                    <w:ind w:left="114" w:right="10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a) 支持关键部件冗余（包括电源、风扇等</w:t>
                  </w:r>
                  <w:r>
                    <w:rPr>
                      <w:rFonts w:hint="eastAsia" w:ascii="宋体" w:hAnsi="宋体" w:eastAsia="宋体" w:cs="宋体"/>
                      <w:i/>
                      <w:iCs/>
                      <w:color w:val="auto"/>
                      <w:sz w:val="24"/>
                      <w:szCs w:val="24"/>
                      <w:highlight w:val="none"/>
                      <w:u w:val="single"/>
                      <w:lang w:eastAsia="en-US"/>
                    </w:rPr>
                    <w:t>）；</w:t>
                  </w:r>
                </w:p>
                <w:p w14:paraId="7E2C9691">
                  <w:pPr>
                    <w:spacing w:before="5" w:line="200" w:lineRule="auto"/>
                    <w:ind w:left="11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 支持熔断保护与恢复功能</w:t>
                  </w:r>
                </w:p>
              </w:tc>
            </w:tr>
            <w:tr w14:paraId="27EAF4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5" w:hRule="atLeast"/>
                <w:jc w:val="center"/>
              </w:trPr>
              <w:tc>
                <w:tcPr>
                  <w:tcW w:w="719" w:type="dxa"/>
                  <w:noWrap w:val="0"/>
                  <w:vAlign w:val="center"/>
                </w:tcPr>
                <w:p w14:paraId="160BEA65">
                  <w:pPr>
                    <w:spacing w:before="59"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64</w:t>
                  </w:r>
                </w:p>
              </w:tc>
              <w:tc>
                <w:tcPr>
                  <w:tcW w:w="1314" w:type="dxa"/>
                  <w:noWrap w:val="0"/>
                  <w:vAlign w:val="center"/>
                </w:tcPr>
                <w:p w14:paraId="4ECC9028">
                  <w:pPr>
                    <w:spacing w:before="58" w:line="247" w:lineRule="auto"/>
                    <w:ind w:left="189" w:right="141" w:hanging="5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管理</w:t>
                  </w:r>
                  <w:r>
                    <w:rPr>
                      <w:rFonts w:hint="eastAsia" w:ascii="宋体" w:hAnsi="宋体" w:eastAsia="宋体" w:cs="宋体"/>
                      <w:color w:val="auto"/>
                      <w:spacing w:val="-5"/>
                      <w:sz w:val="24"/>
                      <w:szCs w:val="24"/>
                      <w:highlight w:val="none"/>
                      <w:lang w:eastAsia="en-US"/>
                    </w:rPr>
                    <w:t>系统功能</w:t>
                  </w:r>
                </w:p>
              </w:tc>
              <w:tc>
                <w:tcPr>
                  <w:tcW w:w="1200" w:type="dxa"/>
                  <w:noWrap w:val="0"/>
                  <w:vAlign w:val="center"/>
                </w:tcPr>
                <w:p w14:paraId="49B9D538">
                  <w:pPr>
                    <w:spacing w:before="59" w:line="247" w:lineRule="auto"/>
                    <w:ind w:right="168"/>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BMC 固件基础功能</w:t>
                  </w:r>
                </w:p>
              </w:tc>
              <w:tc>
                <w:tcPr>
                  <w:tcW w:w="4915" w:type="dxa"/>
                  <w:noWrap w:val="0"/>
                  <w:vAlign w:val="center"/>
                </w:tcPr>
                <w:p w14:paraId="7AE95AE1">
                  <w:pPr>
                    <w:spacing w:before="39" w:line="213" w:lineRule="auto"/>
                    <w:ind w:left="12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1)支持DHCP设置网络功能；</w:t>
                  </w:r>
                </w:p>
                <w:p w14:paraId="64A5195C">
                  <w:pPr>
                    <w:spacing w:before="32" w:line="213" w:lineRule="auto"/>
                    <w:ind w:left="11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2)支持静态 IP设置网络功能；</w:t>
                  </w:r>
                </w:p>
                <w:p w14:paraId="3E61219B">
                  <w:pPr>
                    <w:spacing w:before="33" w:line="244" w:lineRule="auto"/>
                    <w:ind w:left="112" w:right="168"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3)支持设备日志记录，包括但不限于登录日志、操作日志和报警日志</w:t>
                  </w:r>
                  <w:r>
                    <w:rPr>
                      <w:rFonts w:hint="eastAsia" w:ascii="宋体" w:hAnsi="宋体" w:eastAsia="宋体" w:cs="宋体"/>
                      <w:i/>
                      <w:iCs/>
                      <w:color w:val="auto"/>
                      <w:spacing w:val="-2"/>
                      <w:sz w:val="24"/>
                      <w:szCs w:val="24"/>
                      <w:highlight w:val="none"/>
                      <w:u w:val="single"/>
                      <w:lang w:eastAsia="en-US"/>
                    </w:rPr>
                    <w:t>等功能；</w:t>
                  </w:r>
                </w:p>
                <w:p w14:paraId="4F27E05C">
                  <w:pPr>
                    <w:spacing w:before="6" w:line="243" w:lineRule="auto"/>
                    <w:ind w:left="118" w:right="168" w:hanging="10"/>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4)支持日志信息导出和记录删除功</w:t>
                  </w:r>
                  <w:r>
                    <w:rPr>
                      <w:rFonts w:hint="eastAsia" w:ascii="宋体" w:hAnsi="宋体" w:eastAsia="宋体" w:cs="宋体"/>
                      <w:i/>
                      <w:iCs/>
                      <w:color w:val="auto"/>
                      <w:spacing w:val="-7"/>
                      <w:sz w:val="24"/>
                      <w:szCs w:val="24"/>
                      <w:highlight w:val="none"/>
                      <w:u w:val="single"/>
                      <w:lang w:eastAsia="en-US"/>
                    </w:rPr>
                    <w:t>能；</w:t>
                  </w:r>
                </w:p>
                <w:p w14:paraId="68E588D0">
                  <w:pPr>
                    <w:spacing w:before="6" w:line="243" w:lineRule="auto"/>
                    <w:ind w:left="123" w:right="168" w:hanging="1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5)支持通过管理接口向外输出准确</w:t>
                  </w:r>
                  <w:r>
                    <w:rPr>
                      <w:rFonts w:hint="eastAsia" w:ascii="宋体" w:hAnsi="宋体" w:eastAsia="宋体" w:cs="宋体"/>
                      <w:i/>
                      <w:iCs/>
                      <w:color w:val="auto"/>
                      <w:spacing w:val="-3"/>
                      <w:sz w:val="24"/>
                      <w:szCs w:val="24"/>
                      <w:highlight w:val="none"/>
                      <w:u w:val="single"/>
                      <w:lang w:eastAsia="en-US"/>
                    </w:rPr>
                    <w:t>的报警信息功能；</w:t>
                  </w:r>
                </w:p>
                <w:p w14:paraId="3C7437C2">
                  <w:pPr>
                    <w:spacing w:before="6" w:line="243"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6)设备的</w:t>
                  </w:r>
                  <w:r>
                    <w:rPr>
                      <w:rFonts w:hint="eastAsia" w:ascii="宋体" w:hAnsi="宋体" w:eastAsia="宋体" w:cs="宋体"/>
                      <w:i/>
                      <w:iCs/>
                      <w:color w:val="auto"/>
                      <w:sz w:val="24"/>
                      <w:szCs w:val="24"/>
                      <w:highlight w:val="none"/>
                      <w:u w:val="single"/>
                      <w:lang w:eastAsia="en-US"/>
                    </w:rPr>
                    <w:t>BMC</w:t>
                  </w:r>
                  <w:r>
                    <w:rPr>
                      <w:rFonts w:hint="eastAsia" w:ascii="宋体" w:hAnsi="宋体" w:eastAsia="宋体" w:cs="宋体"/>
                      <w:i/>
                      <w:iCs/>
                      <w:color w:val="auto"/>
                      <w:spacing w:val="1"/>
                      <w:sz w:val="24"/>
                      <w:szCs w:val="24"/>
                      <w:highlight w:val="none"/>
                      <w:u w:val="single"/>
                      <w:lang w:eastAsia="en-US"/>
                    </w:rPr>
                    <w:t>管理软件应能够按报</w:t>
                  </w:r>
                  <w:r>
                    <w:rPr>
                      <w:rFonts w:hint="eastAsia" w:ascii="宋体" w:hAnsi="宋体" w:eastAsia="宋体" w:cs="宋体"/>
                      <w:i/>
                      <w:iCs/>
                      <w:color w:val="auto"/>
                      <w:spacing w:val="-1"/>
                      <w:sz w:val="24"/>
                      <w:szCs w:val="24"/>
                      <w:highlight w:val="none"/>
                      <w:u w:val="single"/>
                      <w:lang w:eastAsia="en-US"/>
                    </w:rPr>
                    <w:t>警的严重程度进行区分；</w:t>
                  </w:r>
                </w:p>
                <w:p w14:paraId="7F6CFC35">
                  <w:pPr>
                    <w:spacing w:before="6" w:line="243" w:lineRule="auto"/>
                    <w:ind w:left="112" w:right="215"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7)支持 IPMI2.0、SNMP或Redfish</w:t>
                  </w:r>
                  <w:r>
                    <w:rPr>
                      <w:rFonts w:hint="eastAsia" w:ascii="宋体" w:hAnsi="宋体" w:eastAsia="宋体" w:cs="宋体"/>
                      <w:i/>
                      <w:iCs/>
                      <w:color w:val="auto"/>
                      <w:spacing w:val="-1"/>
                      <w:sz w:val="24"/>
                      <w:szCs w:val="24"/>
                      <w:highlight w:val="none"/>
                      <w:u w:val="single"/>
                      <w:lang w:eastAsia="en-US"/>
                    </w:rPr>
                    <w:t>等接口功能；</w:t>
                  </w:r>
                </w:p>
                <w:p w14:paraId="049EF212">
                  <w:pPr>
                    <w:spacing w:before="6" w:line="244" w:lineRule="auto"/>
                    <w:ind w:left="112" w:right="41" w:hanging="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8)支持键盘、鼠标和视频的重定向、</w:t>
                  </w:r>
                  <w:r>
                    <w:rPr>
                      <w:rFonts w:hint="eastAsia" w:ascii="宋体" w:hAnsi="宋体" w:eastAsia="宋体" w:cs="宋体"/>
                      <w:i/>
                      <w:iCs/>
                      <w:color w:val="auto"/>
                      <w:spacing w:val="-1"/>
                      <w:sz w:val="24"/>
                      <w:szCs w:val="24"/>
                      <w:highlight w:val="none"/>
                      <w:u w:val="single"/>
                      <w:lang w:eastAsia="en-US"/>
                    </w:rPr>
                    <w:t>文本控制台的重定向、远程虚拟媒</w:t>
                  </w:r>
                  <w:r>
                    <w:rPr>
                      <w:rFonts w:hint="eastAsia" w:ascii="宋体" w:hAnsi="宋体" w:eastAsia="宋体" w:cs="宋体"/>
                      <w:i/>
                      <w:iCs/>
                      <w:color w:val="auto"/>
                      <w:spacing w:val="-4"/>
                      <w:sz w:val="24"/>
                      <w:szCs w:val="24"/>
                      <w:highlight w:val="none"/>
                      <w:u w:val="single"/>
                      <w:lang w:eastAsia="en-US"/>
                    </w:rPr>
                    <w:t>体、高可靠的硬件监控和管理功能；</w:t>
                  </w:r>
                </w:p>
                <w:p w14:paraId="717C4DC7">
                  <w:pPr>
                    <w:spacing w:before="6" w:line="244" w:lineRule="auto"/>
                    <w:ind w:left="113" w:right="168" w:hanging="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9)支持基于网络开启、关闭和重启设备的功能，并查询当前设备开机</w:t>
                  </w:r>
                  <w:r>
                    <w:rPr>
                      <w:rFonts w:hint="eastAsia" w:ascii="宋体" w:hAnsi="宋体" w:eastAsia="宋体" w:cs="宋体"/>
                      <w:i/>
                      <w:iCs/>
                      <w:color w:val="auto"/>
                      <w:spacing w:val="-2"/>
                      <w:sz w:val="24"/>
                      <w:szCs w:val="24"/>
                      <w:highlight w:val="none"/>
                      <w:u w:val="single"/>
                      <w:lang w:eastAsia="en-US"/>
                    </w:rPr>
                    <w:t>运行状态；</w:t>
                  </w:r>
                </w:p>
                <w:p w14:paraId="53170662">
                  <w:pPr>
                    <w:spacing w:before="6" w:line="243" w:lineRule="auto"/>
                    <w:ind w:left="134" w:right="103" w:hanging="1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10)支持故障提示功能，并可通过接口读取服务器故障信息；</w:t>
                  </w:r>
                </w:p>
                <w:p w14:paraId="6A6821F5">
                  <w:pPr>
                    <w:spacing w:before="6" w:line="243" w:lineRule="auto"/>
                    <w:ind w:left="112" w:right="124" w:firstLine="10"/>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11)支持基于网络的固件更新功能，包括BMC和BIOS等；</w:t>
                  </w:r>
                </w:p>
                <w:p w14:paraId="208CE47A">
                  <w:pPr>
                    <w:spacing w:before="7" w:line="244" w:lineRule="auto"/>
                    <w:ind w:left="113" w:right="168" w:firstLine="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12)支持基于网络安装操作系统的</w:t>
                  </w:r>
                  <w:r>
                    <w:rPr>
                      <w:rFonts w:hint="eastAsia" w:ascii="宋体" w:hAnsi="宋体" w:eastAsia="宋体" w:cs="宋体"/>
                      <w:i/>
                      <w:iCs/>
                      <w:color w:val="auto"/>
                      <w:spacing w:val="-1"/>
                      <w:sz w:val="24"/>
                      <w:szCs w:val="24"/>
                      <w:highlight w:val="none"/>
                      <w:u w:val="single"/>
                      <w:lang w:eastAsia="en-US"/>
                    </w:rPr>
                    <w:t>功能，并可通过网络控制台访问设</w:t>
                  </w:r>
                  <w:r>
                    <w:rPr>
                      <w:rFonts w:hint="eastAsia" w:ascii="宋体" w:hAnsi="宋体" w:eastAsia="宋体" w:cs="宋体"/>
                      <w:i/>
                      <w:iCs/>
                      <w:color w:val="auto"/>
                      <w:spacing w:val="-4"/>
                      <w:sz w:val="24"/>
                      <w:szCs w:val="24"/>
                      <w:highlight w:val="none"/>
                      <w:u w:val="single"/>
                      <w:lang w:eastAsia="en-US"/>
                    </w:rPr>
                    <w:t>备；</w:t>
                  </w:r>
                </w:p>
                <w:p w14:paraId="473B8B83">
                  <w:pPr>
                    <w:spacing w:before="6" w:line="244" w:lineRule="auto"/>
                    <w:ind w:left="112" w:right="168" w:firstLine="10"/>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13)支持通过本地的硬盘或光驱等</w:t>
                  </w:r>
                  <w:r>
                    <w:rPr>
                      <w:rFonts w:hint="eastAsia" w:ascii="宋体" w:hAnsi="宋体" w:eastAsia="宋体" w:cs="宋体"/>
                      <w:i/>
                      <w:iCs/>
                      <w:color w:val="auto"/>
                      <w:spacing w:val="-1"/>
                      <w:sz w:val="24"/>
                      <w:szCs w:val="24"/>
                      <w:highlight w:val="none"/>
                      <w:u w:val="single"/>
                      <w:lang w:eastAsia="en-US"/>
                    </w:rPr>
                    <w:t>存储设备，基于网络完成设备的操作系统安装功能；</w:t>
                  </w:r>
                </w:p>
                <w:p w14:paraId="458F7BFE">
                  <w:pPr>
                    <w:spacing w:before="6" w:line="243" w:lineRule="auto"/>
                    <w:ind w:left="115" w:right="259" w:firstLine="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14)支持通过浏览器打开管理界面并登录功能；</w:t>
                  </w:r>
                </w:p>
                <w:p w14:paraId="4B50B5D1">
                  <w:pPr>
                    <w:spacing w:before="6" w:line="213" w:lineRule="auto"/>
                    <w:ind w:left="12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15)支持设置口令策略功能；</w:t>
                  </w:r>
                </w:p>
                <w:p w14:paraId="59C50FE4">
                  <w:pPr>
                    <w:spacing w:before="33" w:line="243" w:lineRule="auto"/>
                    <w:ind w:left="141" w:right="103" w:hanging="1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16)支持访问权限设置功能，并通过</w:t>
                  </w:r>
                  <w:r>
                    <w:rPr>
                      <w:rFonts w:hint="eastAsia" w:ascii="宋体" w:hAnsi="宋体" w:eastAsia="宋体" w:cs="宋体"/>
                      <w:i/>
                      <w:iCs/>
                      <w:color w:val="auto"/>
                      <w:spacing w:val="-4"/>
                      <w:sz w:val="24"/>
                      <w:szCs w:val="24"/>
                      <w:highlight w:val="none"/>
                      <w:u w:val="single"/>
                      <w:lang w:eastAsia="en-US"/>
                    </w:rPr>
                    <w:t>日志记录访问事件；</w:t>
                  </w:r>
                </w:p>
                <w:p w14:paraId="4AB9EA28">
                  <w:pPr>
                    <w:spacing w:before="6" w:line="244" w:lineRule="auto"/>
                    <w:ind w:left="112" w:right="168" w:firstLine="10"/>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17)支持对出厂默认的用户名及口</w:t>
                  </w:r>
                  <w:r>
                    <w:rPr>
                      <w:rFonts w:hint="eastAsia" w:ascii="宋体" w:hAnsi="宋体" w:eastAsia="宋体" w:cs="宋体"/>
                      <w:i/>
                      <w:iCs/>
                      <w:color w:val="auto"/>
                      <w:spacing w:val="-1"/>
                      <w:sz w:val="24"/>
                      <w:szCs w:val="24"/>
                      <w:highlight w:val="none"/>
                      <w:u w:val="single"/>
                      <w:lang w:eastAsia="en-US"/>
                    </w:rPr>
                    <w:t>令进行安全保护功能，并提供默认口令修改提示；</w:t>
                  </w:r>
                </w:p>
                <w:p w14:paraId="1722DD36">
                  <w:pPr>
                    <w:spacing w:before="6" w:line="243" w:lineRule="auto"/>
                    <w:ind w:left="114" w:right="259" w:firstLine="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18)支持读取设备主板的工作环境温度功能；</w:t>
                  </w:r>
                </w:p>
                <w:p w14:paraId="4379AFB0">
                  <w:pPr>
                    <w:spacing w:before="6" w:line="243" w:lineRule="auto"/>
                    <w:ind w:left="123" w:right="10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19)支持读取服务器CPU等核心器件</w:t>
                  </w:r>
                  <w:r>
                    <w:rPr>
                      <w:rFonts w:hint="eastAsia" w:ascii="宋体" w:hAnsi="宋体" w:eastAsia="宋体" w:cs="宋体"/>
                      <w:i/>
                      <w:iCs/>
                      <w:color w:val="auto"/>
                      <w:spacing w:val="-3"/>
                      <w:sz w:val="24"/>
                      <w:szCs w:val="24"/>
                      <w:highlight w:val="none"/>
                      <w:u w:val="single"/>
                      <w:lang w:eastAsia="en-US"/>
                    </w:rPr>
                    <w:t>的温度功能；</w:t>
                  </w:r>
                </w:p>
                <w:p w14:paraId="1EEAA06F">
                  <w:pPr>
                    <w:spacing w:before="6" w:line="199" w:lineRule="auto"/>
                    <w:ind w:left="11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20)支持通过外部管理工具进行BMC参数设置的功能，并可基于网络通</w:t>
                  </w:r>
                  <w:r>
                    <w:rPr>
                      <w:rFonts w:hint="eastAsia" w:ascii="宋体" w:hAnsi="宋体" w:eastAsia="宋体" w:cs="宋体"/>
                      <w:i/>
                      <w:iCs/>
                      <w:color w:val="auto"/>
                      <w:spacing w:val="-2"/>
                      <w:sz w:val="24"/>
                      <w:szCs w:val="24"/>
                      <w:highlight w:val="none"/>
                      <w:u w:val="single"/>
                      <w:lang w:eastAsia="en-US"/>
                    </w:rPr>
                    <w:t>过外部管理工具对BMC进行管理；</w:t>
                  </w:r>
                </w:p>
                <w:p w14:paraId="252F4085">
                  <w:pPr>
                    <w:spacing w:before="5" w:line="221" w:lineRule="auto"/>
                    <w:ind w:left="11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21)应支持固件版本查询、固件升级</w:t>
                  </w:r>
                </w:p>
                <w:p w14:paraId="49F3CC11">
                  <w:pPr>
                    <w:spacing w:before="25" w:line="243" w:lineRule="auto"/>
                    <w:ind w:left="112" w:right="25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22)支持基于网络实现开关机和复位控制的功能；</w:t>
                  </w:r>
                </w:p>
                <w:p w14:paraId="597AED75">
                  <w:pPr>
                    <w:spacing w:before="6" w:line="244" w:lineRule="auto"/>
                    <w:ind w:left="113" w:right="103" w:hanging="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23)BMC启动时间应不超过180s，实</w:t>
                  </w:r>
                  <w:r>
                    <w:rPr>
                      <w:rFonts w:hint="eastAsia" w:ascii="宋体" w:hAnsi="宋体" w:eastAsia="宋体" w:cs="宋体"/>
                      <w:i/>
                      <w:iCs/>
                      <w:color w:val="auto"/>
                      <w:spacing w:val="-1"/>
                      <w:sz w:val="24"/>
                      <w:szCs w:val="24"/>
                      <w:highlight w:val="none"/>
                      <w:u w:val="single"/>
                      <w:lang w:eastAsia="en-US"/>
                    </w:rPr>
                    <w:t>现功能包括网络、IPMI、散热、传</w:t>
                  </w:r>
                  <w:r>
                    <w:rPr>
                      <w:rFonts w:hint="eastAsia" w:ascii="宋体" w:hAnsi="宋体" w:eastAsia="宋体" w:cs="宋体"/>
                      <w:i/>
                      <w:iCs/>
                      <w:color w:val="auto"/>
                      <w:spacing w:val="-2"/>
                      <w:sz w:val="24"/>
                      <w:szCs w:val="24"/>
                      <w:highlight w:val="none"/>
                      <w:u w:val="single"/>
                      <w:lang w:eastAsia="en-US"/>
                    </w:rPr>
                    <w:t>感器服务可用；</w:t>
                  </w:r>
                </w:p>
                <w:p w14:paraId="011C0127">
                  <w:pPr>
                    <w:spacing w:before="6" w:line="199" w:lineRule="auto"/>
                    <w:ind w:left="112"/>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24)支持BMC固件设置的恢复出厂功</w:t>
                  </w:r>
                  <w:r>
                    <w:rPr>
                      <w:rFonts w:hint="eastAsia" w:ascii="宋体" w:hAnsi="宋体" w:eastAsia="宋体" w:cs="宋体"/>
                      <w:i/>
                      <w:iCs/>
                      <w:color w:val="auto"/>
                      <w:sz w:val="24"/>
                      <w:szCs w:val="24"/>
                      <w:highlight w:val="none"/>
                      <w:u w:val="single"/>
                      <w:lang w:eastAsia="en-US"/>
                    </w:rPr>
                    <w:t>能</w:t>
                  </w:r>
                </w:p>
              </w:tc>
            </w:tr>
            <w:tr w14:paraId="5B7F6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38" w:hRule="atLeast"/>
                <w:jc w:val="center"/>
              </w:trPr>
              <w:tc>
                <w:tcPr>
                  <w:tcW w:w="719" w:type="dxa"/>
                  <w:noWrap w:val="0"/>
                  <w:vAlign w:val="center"/>
                </w:tcPr>
                <w:p w14:paraId="46F71765">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65</w:t>
                  </w:r>
                </w:p>
              </w:tc>
              <w:tc>
                <w:tcPr>
                  <w:tcW w:w="1314" w:type="dxa"/>
                  <w:vMerge w:val="restart"/>
                  <w:tcBorders>
                    <w:top w:val="nil"/>
                  </w:tcBorders>
                  <w:noWrap w:val="0"/>
                  <w:vAlign w:val="center"/>
                </w:tcPr>
                <w:p w14:paraId="442B4E60">
                  <w:pPr>
                    <w:widowControl/>
                    <w:jc w:val="center"/>
                    <w:rPr>
                      <w:rFonts w:hint="default" w:ascii="宋体" w:hAnsi="宋体" w:eastAsia="宋体" w:cs="宋体"/>
                      <w:color w:val="auto"/>
                      <w:sz w:val="24"/>
                      <w:szCs w:val="24"/>
                      <w:highlight w:val="none"/>
                    </w:rPr>
                  </w:pPr>
                </w:p>
              </w:tc>
              <w:tc>
                <w:tcPr>
                  <w:tcW w:w="1200" w:type="dxa"/>
                  <w:noWrap w:val="0"/>
                  <w:vAlign w:val="center"/>
                </w:tcPr>
                <w:p w14:paraId="672E5BBE">
                  <w:pPr>
                    <w:spacing w:before="59" w:line="248"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BMC 固件增强功能</w:t>
                  </w:r>
                </w:p>
              </w:tc>
              <w:tc>
                <w:tcPr>
                  <w:tcW w:w="4915" w:type="dxa"/>
                  <w:noWrap w:val="0"/>
                  <w:vAlign w:val="center"/>
                </w:tcPr>
                <w:p w14:paraId="3F4E33FD">
                  <w:pPr>
                    <w:spacing w:before="29" w:line="236" w:lineRule="auto"/>
                    <w:ind w:left="118" w:right="103" w:hanging="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a）网络控制、安装提供图形访问界面网络；</w:t>
                  </w:r>
                </w:p>
                <w:p w14:paraId="73C83E1A">
                  <w:pPr>
                    <w:spacing w:before="5" w:line="238" w:lineRule="auto"/>
                    <w:ind w:left="112" w:right="103"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b）设备的BMC管理软件界面显示报</w:t>
                  </w:r>
                  <w:r>
                    <w:rPr>
                      <w:rFonts w:hint="eastAsia" w:ascii="宋体" w:hAnsi="宋体" w:eastAsia="宋体" w:cs="宋体"/>
                      <w:i/>
                      <w:iCs/>
                      <w:color w:val="auto"/>
                      <w:spacing w:val="-1"/>
                      <w:sz w:val="24"/>
                      <w:szCs w:val="24"/>
                      <w:highlight w:val="none"/>
                      <w:u w:val="single"/>
                      <w:lang w:eastAsia="en-US"/>
                    </w:rPr>
                    <w:t>警信息，且能够按报警的严重程度</w:t>
                  </w:r>
                  <w:r>
                    <w:rPr>
                      <w:rFonts w:hint="eastAsia" w:ascii="宋体" w:hAnsi="宋体" w:eastAsia="宋体" w:cs="宋体"/>
                      <w:i/>
                      <w:iCs/>
                      <w:color w:val="auto"/>
                      <w:spacing w:val="-2"/>
                      <w:sz w:val="24"/>
                      <w:szCs w:val="24"/>
                      <w:highlight w:val="none"/>
                      <w:u w:val="single"/>
                      <w:lang w:eastAsia="en-US"/>
                    </w:rPr>
                    <w:t>进行区分；</w:t>
                  </w:r>
                </w:p>
                <w:p w14:paraId="55FE74E4">
                  <w:pPr>
                    <w:spacing w:before="3" w:line="222" w:lineRule="auto"/>
                    <w:ind w:left="113" w:right="12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c）Web GUI采用BMC端口直连，平</w:t>
                  </w:r>
                  <w:r>
                    <w:rPr>
                      <w:rFonts w:hint="eastAsia" w:ascii="宋体" w:hAnsi="宋体" w:eastAsia="宋体" w:cs="宋体"/>
                      <w:i/>
                      <w:iCs/>
                      <w:color w:val="auto"/>
                      <w:spacing w:val="-3"/>
                      <w:sz w:val="24"/>
                      <w:szCs w:val="24"/>
                      <w:highlight w:val="none"/>
                      <w:u w:val="single"/>
                      <w:lang w:eastAsia="en-US"/>
                    </w:rPr>
                    <w:t>均响应时间为不大于1s</w:t>
                  </w:r>
                </w:p>
              </w:tc>
            </w:tr>
            <w:tr w14:paraId="293F4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2" w:hRule="atLeast"/>
                <w:jc w:val="center"/>
              </w:trPr>
              <w:tc>
                <w:tcPr>
                  <w:tcW w:w="719" w:type="dxa"/>
                  <w:noWrap w:val="0"/>
                  <w:vAlign w:val="center"/>
                </w:tcPr>
                <w:p w14:paraId="13E229C0">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66</w:t>
                  </w:r>
                </w:p>
              </w:tc>
              <w:tc>
                <w:tcPr>
                  <w:tcW w:w="1314" w:type="dxa"/>
                  <w:vMerge w:val="continue"/>
                  <w:tcBorders>
                    <w:top w:val="nil"/>
                    <w:bottom w:val="nil"/>
                  </w:tcBorders>
                  <w:noWrap w:val="0"/>
                  <w:vAlign w:val="center"/>
                </w:tcPr>
                <w:p w14:paraId="3EC24550">
                  <w:pPr>
                    <w:widowControl/>
                    <w:jc w:val="center"/>
                    <w:rPr>
                      <w:rFonts w:hint="default" w:ascii="宋体" w:hAnsi="宋体" w:eastAsia="宋体" w:cs="宋体"/>
                      <w:color w:val="auto"/>
                      <w:sz w:val="24"/>
                      <w:szCs w:val="24"/>
                      <w:highlight w:val="none"/>
                    </w:rPr>
                  </w:pPr>
                </w:p>
              </w:tc>
              <w:tc>
                <w:tcPr>
                  <w:tcW w:w="1200" w:type="dxa"/>
                  <w:noWrap w:val="0"/>
                  <w:vAlign w:val="center"/>
                </w:tcPr>
                <w:p w14:paraId="2F2B37E0">
                  <w:pPr>
                    <w:spacing w:before="58" w:line="247"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BIOS 固件基础功能</w:t>
                  </w:r>
                </w:p>
              </w:tc>
              <w:tc>
                <w:tcPr>
                  <w:tcW w:w="4915" w:type="dxa"/>
                  <w:noWrap w:val="0"/>
                  <w:vAlign w:val="center"/>
                </w:tcPr>
                <w:p w14:paraId="0ED8E0A0">
                  <w:pPr>
                    <w:spacing w:before="30" w:line="237" w:lineRule="auto"/>
                    <w:ind w:left="113" w:right="10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a）支持查看固件版本、内存信息、</w:t>
                  </w:r>
                  <w:r>
                    <w:rPr>
                      <w:rFonts w:hint="eastAsia" w:ascii="宋体" w:hAnsi="宋体" w:eastAsia="宋体" w:cs="宋体"/>
                      <w:i/>
                      <w:iCs/>
                      <w:color w:val="auto"/>
                      <w:spacing w:val="-1"/>
                      <w:sz w:val="24"/>
                      <w:szCs w:val="24"/>
                      <w:highlight w:val="none"/>
                      <w:u w:val="single"/>
                      <w:lang w:eastAsia="en-US"/>
                    </w:rPr>
                    <w:t>主板信息、处理器信息和系统时间</w:t>
                  </w:r>
                  <w:r>
                    <w:rPr>
                      <w:rFonts w:hint="eastAsia" w:ascii="宋体" w:hAnsi="宋体" w:eastAsia="宋体" w:cs="宋体"/>
                      <w:i/>
                      <w:iCs/>
                      <w:color w:val="auto"/>
                      <w:spacing w:val="-2"/>
                      <w:sz w:val="24"/>
                      <w:szCs w:val="24"/>
                      <w:highlight w:val="none"/>
                      <w:u w:val="single"/>
                      <w:lang w:eastAsia="en-US"/>
                    </w:rPr>
                    <w:t>信息功能；</w:t>
                  </w:r>
                </w:p>
                <w:p w14:paraId="666B600C">
                  <w:pPr>
                    <w:spacing w:before="7" w:line="237" w:lineRule="auto"/>
                    <w:ind w:left="112" w:right="103"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b）支持上电初始化界面显示CPU信</w:t>
                  </w:r>
                  <w:r>
                    <w:rPr>
                      <w:rFonts w:hint="eastAsia" w:ascii="宋体" w:hAnsi="宋体" w:eastAsia="宋体" w:cs="宋体"/>
                      <w:i/>
                      <w:iCs/>
                      <w:color w:val="auto"/>
                      <w:spacing w:val="-1"/>
                      <w:sz w:val="24"/>
                      <w:szCs w:val="24"/>
                      <w:highlight w:val="none"/>
                      <w:u w:val="single"/>
                      <w:lang w:eastAsia="en-US"/>
                    </w:rPr>
                    <w:t>息、内存信息、固件版本和部分快捷键信息功能；</w:t>
                  </w:r>
                </w:p>
                <w:p w14:paraId="440D406B">
                  <w:pPr>
                    <w:spacing w:before="6" w:line="238" w:lineRule="auto"/>
                    <w:ind w:left="119" w:right="103" w:hanging="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c）支持设置界面中英文显示切换功</w:t>
                  </w:r>
                  <w:r>
                    <w:rPr>
                      <w:rFonts w:hint="eastAsia" w:ascii="宋体" w:hAnsi="宋体" w:eastAsia="宋体" w:cs="宋体"/>
                      <w:i/>
                      <w:iCs/>
                      <w:color w:val="auto"/>
                      <w:spacing w:val="-7"/>
                      <w:sz w:val="24"/>
                      <w:szCs w:val="24"/>
                      <w:highlight w:val="none"/>
                      <w:u w:val="single"/>
                      <w:lang w:eastAsia="en-US"/>
                    </w:rPr>
                    <w:t>能；</w:t>
                  </w:r>
                </w:p>
                <w:p w14:paraId="2E659A93">
                  <w:pPr>
                    <w:spacing w:before="2" w:line="236" w:lineRule="auto"/>
                    <w:ind w:left="114" w:right="169" w:hanging="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d）支持查看PCIe设备信息，SATA设备信息功能；</w:t>
                  </w:r>
                </w:p>
                <w:p w14:paraId="08B7434F">
                  <w:pPr>
                    <w:spacing w:before="5" w:line="238" w:lineRule="auto"/>
                    <w:ind w:left="114" w:right="124" w:hanging="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e）支持操作系统安装和引导功能，</w:t>
                  </w:r>
                  <w:r>
                    <w:rPr>
                      <w:rFonts w:hint="eastAsia" w:ascii="宋体" w:hAnsi="宋体" w:eastAsia="宋体" w:cs="宋体"/>
                      <w:i/>
                      <w:iCs/>
                      <w:color w:val="auto"/>
                      <w:spacing w:val="-1"/>
                      <w:sz w:val="24"/>
                      <w:szCs w:val="24"/>
                      <w:highlight w:val="none"/>
                      <w:u w:val="single"/>
                      <w:lang w:eastAsia="en-US"/>
                    </w:rPr>
                    <w:t>应并向操作系统提供计算机主板信</w:t>
                  </w:r>
                  <w:r>
                    <w:rPr>
                      <w:rFonts w:hint="eastAsia" w:ascii="宋体" w:hAnsi="宋体" w:eastAsia="宋体" w:cs="宋体"/>
                      <w:i/>
                      <w:iCs/>
                      <w:color w:val="auto"/>
                      <w:spacing w:val="-2"/>
                      <w:sz w:val="24"/>
                      <w:szCs w:val="24"/>
                      <w:highlight w:val="none"/>
                      <w:u w:val="single"/>
                      <w:lang w:eastAsia="en-US"/>
                    </w:rPr>
                    <w:t>息和服务接口；</w:t>
                  </w:r>
                </w:p>
                <w:p w14:paraId="4F1C7A0D">
                  <w:pPr>
                    <w:spacing w:before="6" w:line="238" w:lineRule="auto"/>
                    <w:ind w:left="123" w:right="103" w:hanging="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f）支持设置启动顺序，并按照设置</w:t>
                  </w:r>
                  <w:r>
                    <w:rPr>
                      <w:rFonts w:hint="eastAsia" w:ascii="宋体" w:hAnsi="宋体" w:eastAsia="宋体" w:cs="宋体"/>
                      <w:i/>
                      <w:iCs/>
                      <w:color w:val="auto"/>
                      <w:spacing w:val="-2"/>
                      <w:sz w:val="24"/>
                      <w:szCs w:val="24"/>
                      <w:highlight w:val="none"/>
                      <w:u w:val="single"/>
                      <w:lang w:eastAsia="en-US"/>
                    </w:rPr>
                    <w:t>的启动顺序启动功能；</w:t>
                  </w:r>
                </w:p>
                <w:p w14:paraId="1B6F81D5">
                  <w:pPr>
                    <w:spacing w:before="3" w:line="213"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g）支持安全启动功能；</w:t>
                  </w:r>
                </w:p>
                <w:p w14:paraId="3EFA4CE2">
                  <w:pPr>
                    <w:spacing w:before="25" w:line="236" w:lineRule="auto"/>
                    <w:ind w:left="134" w:right="103" w:hanging="1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h）支持设置口令、修改口令、验证</w:t>
                  </w:r>
                  <w:r>
                    <w:rPr>
                      <w:rFonts w:hint="eastAsia" w:ascii="宋体" w:hAnsi="宋体" w:eastAsia="宋体" w:cs="宋体"/>
                      <w:i/>
                      <w:iCs/>
                      <w:color w:val="auto"/>
                      <w:spacing w:val="-6"/>
                      <w:sz w:val="24"/>
                      <w:szCs w:val="24"/>
                      <w:highlight w:val="none"/>
                      <w:u w:val="single"/>
                      <w:lang w:eastAsia="en-US"/>
                    </w:rPr>
                    <w:t>口令功能；</w:t>
                  </w:r>
                </w:p>
                <w:p w14:paraId="4B2E1633">
                  <w:pPr>
                    <w:spacing w:before="6" w:line="238" w:lineRule="auto"/>
                    <w:ind w:left="118" w:right="103" w:firstLine="2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i）支持板载显示控制或独立显卡的</w:t>
                  </w:r>
                  <w:r>
                    <w:rPr>
                      <w:rFonts w:hint="eastAsia" w:ascii="宋体" w:hAnsi="宋体" w:eastAsia="宋体" w:cs="宋体"/>
                      <w:i/>
                      <w:iCs/>
                      <w:color w:val="auto"/>
                      <w:spacing w:val="-2"/>
                      <w:sz w:val="24"/>
                      <w:szCs w:val="24"/>
                      <w:highlight w:val="none"/>
                      <w:u w:val="single"/>
                      <w:lang w:eastAsia="en-US"/>
                    </w:rPr>
                    <w:t>显示控制功能；</w:t>
                  </w:r>
                </w:p>
                <w:p w14:paraId="5EBE86D3">
                  <w:pPr>
                    <w:spacing w:before="3" w:line="213" w:lineRule="auto"/>
                    <w:ind w:left="12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j）支持RAID识别和启动功能；</w:t>
                  </w:r>
                </w:p>
                <w:p w14:paraId="6194ADE8">
                  <w:pPr>
                    <w:spacing w:before="25" w:line="213" w:lineRule="auto"/>
                    <w:ind w:left="11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k）支持串口重定向功能；</w:t>
                  </w:r>
                </w:p>
                <w:p w14:paraId="247F8295">
                  <w:pPr>
                    <w:spacing w:before="25" w:line="213" w:lineRule="auto"/>
                    <w:ind w:left="14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l）支持固件更新功能；</w:t>
                  </w:r>
                </w:p>
                <w:p w14:paraId="3CD8CC84">
                  <w:pPr>
                    <w:spacing w:before="28" w:line="236" w:lineRule="auto"/>
                    <w:ind w:left="114" w:right="168" w:hanging="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m）支持</w:t>
                  </w:r>
                  <w:r>
                    <w:rPr>
                      <w:rFonts w:hint="eastAsia" w:ascii="宋体" w:hAnsi="宋体" w:eastAsia="宋体" w:cs="宋体"/>
                      <w:i/>
                      <w:iCs/>
                      <w:color w:val="auto"/>
                      <w:sz w:val="24"/>
                      <w:szCs w:val="24"/>
                      <w:highlight w:val="none"/>
                      <w:u w:val="single"/>
                      <w:lang w:eastAsia="en-US"/>
                    </w:rPr>
                    <w:t>BIOS</w:t>
                  </w:r>
                  <w:r>
                    <w:rPr>
                      <w:rFonts w:hint="eastAsia" w:ascii="宋体" w:hAnsi="宋体" w:eastAsia="宋体" w:cs="宋体"/>
                      <w:i/>
                      <w:iCs/>
                      <w:color w:val="auto"/>
                      <w:spacing w:val="1"/>
                      <w:sz w:val="24"/>
                      <w:szCs w:val="24"/>
                      <w:highlight w:val="none"/>
                      <w:u w:val="single"/>
                      <w:lang w:eastAsia="en-US"/>
                    </w:rPr>
                    <w:t>固件设置的恢复出厂</w:t>
                  </w:r>
                  <w:r>
                    <w:rPr>
                      <w:rFonts w:hint="eastAsia" w:ascii="宋体" w:hAnsi="宋体" w:eastAsia="宋体" w:cs="宋体"/>
                      <w:i/>
                      <w:iCs/>
                      <w:color w:val="auto"/>
                      <w:spacing w:val="-3"/>
                      <w:sz w:val="24"/>
                      <w:szCs w:val="24"/>
                      <w:highlight w:val="none"/>
                      <w:u w:val="single"/>
                      <w:lang w:eastAsia="en-US"/>
                    </w:rPr>
                    <w:t>功能；</w:t>
                  </w:r>
                </w:p>
                <w:p w14:paraId="4412A515">
                  <w:pPr>
                    <w:spacing w:before="5" w:line="202" w:lineRule="auto"/>
                    <w:ind w:left="11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n）支持网络引导启用和关闭功能</w:t>
                  </w:r>
                </w:p>
              </w:tc>
            </w:tr>
            <w:tr w14:paraId="085180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24453411">
                  <w:pPr>
                    <w:spacing w:before="155"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67</w:t>
                  </w:r>
                </w:p>
              </w:tc>
              <w:tc>
                <w:tcPr>
                  <w:tcW w:w="1314" w:type="dxa"/>
                  <w:vMerge w:val="continue"/>
                  <w:tcBorders>
                    <w:top w:val="nil"/>
                  </w:tcBorders>
                  <w:noWrap w:val="0"/>
                  <w:vAlign w:val="center"/>
                </w:tcPr>
                <w:p w14:paraId="50E72664">
                  <w:pPr>
                    <w:widowControl/>
                    <w:jc w:val="center"/>
                    <w:rPr>
                      <w:rFonts w:hint="default" w:ascii="宋体" w:hAnsi="宋体" w:eastAsia="宋体" w:cs="宋体"/>
                      <w:color w:val="auto"/>
                      <w:sz w:val="24"/>
                      <w:szCs w:val="24"/>
                      <w:highlight w:val="none"/>
                    </w:rPr>
                  </w:pPr>
                </w:p>
              </w:tc>
              <w:tc>
                <w:tcPr>
                  <w:tcW w:w="1200" w:type="dxa"/>
                  <w:noWrap w:val="0"/>
                  <w:vAlign w:val="center"/>
                </w:tcPr>
                <w:p w14:paraId="4D3973F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远程控制</w:t>
                  </w:r>
                </w:p>
              </w:tc>
              <w:tc>
                <w:tcPr>
                  <w:tcW w:w="4915" w:type="dxa"/>
                  <w:noWrap w:val="0"/>
                  <w:vAlign w:val="center"/>
                </w:tcPr>
                <w:p w14:paraId="5C0F98F1">
                  <w:pPr>
                    <w:spacing w:before="162" w:line="221"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支持远程关机和重新启动功能</w:t>
                  </w:r>
                </w:p>
              </w:tc>
            </w:tr>
            <w:tr w14:paraId="12F8C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5F79FAAE">
                  <w:pPr>
                    <w:spacing w:before="277"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68</w:t>
                  </w:r>
                </w:p>
              </w:tc>
              <w:tc>
                <w:tcPr>
                  <w:tcW w:w="1314" w:type="dxa"/>
                  <w:vMerge w:val="restart"/>
                  <w:tcBorders>
                    <w:bottom w:val="nil"/>
                  </w:tcBorders>
                  <w:noWrap w:val="0"/>
                  <w:vAlign w:val="center"/>
                </w:tcPr>
                <w:p w14:paraId="3511ACD9">
                  <w:pPr>
                    <w:spacing w:before="58" w:line="22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操作</w:t>
                  </w:r>
                </w:p>
                <w:p w14:paraId="12F0EBAD">
                  <w:pPr>
                    <w:spacing w:before="23" w:line="221" w:lineRule="auto"/>
                    <w:ind w:left="192"/>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系统</w:t>
                  </w:r>
                </w:p>
                <w:p w14:paraId="221B0861">
                  <w:pPr>
                    <w:spacing w:before="24" w:line="222" w:lineRule="auto"/>
                    <w:ind w:left="18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及驱</w:t>
                  </w:r>
                </w:p>
                <w:p w14:paraId="5624DFF0">
                  <w:pPr>
                    <w:spacing w:before="23" w:line="222" w:lineRule="auto"/>
                    <w:ind w:left="18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动功</w:t>
                  </w:r>
                </w:p>
                <w:p w14:paraId="5D8B2343">
                  <w:pPr>
                    <w:spacing w:before="24" w:line="222" w:lineRule="auto"/>
                    <w:ind w:left="2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能</w:t>
                  </w:r>
                </w:p>
              </w:tc>
              <w:tc>
                <w:tcPr>
                  <w:tcW w:w="1200" w:type="dxa"/>
                  <w:noWrap w:val="0"/>
                  <w:vAlign w:val="center"/>
                </w:tcPr>
                <w:p w14:paraId="079628D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操作系统及驱动的升级</w:t>
                  </w:r>
                </w:p>
              </w:tc>
              <w:tc>
                <w:tcPr>
                  <w:tcW w:w="4915" w:type="dxa"/>
                  <w:noWrap w:val="0"/>
                  <w:vAlign w:val="center"/>
                </w:tcPr>
                <w:p w14:paraId="69B48DF8">
                  <w:pPr>
                    <w:spacing w:before="164" w:line="247" w:lineRule="auto"/>
                    <w:ind w:left="112" w:right="41" w:firstLine="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支持通过网络、闪存盘对操作系统、</w:t>
                  </w:r>
                  <w:r>
                    <w:rPr>
                      <w:rFonts w:hint="eastAsia" w:ascii="宋体" w:hAnsi="宋体" w:eastAsia="宋体" w:cs="宋体"/>
                      <w:i/>
                      <w:iCs/>
                      <w:color w:val="auto"/>
                      <w:spacing w:val="-1"/>
                      <w:sz w:val="24"/>
                      <w:szCs w:val="24"/>
                      <w:highlight w:val="none"/>
                      <w:u w:val="single"/>
                      <w:lang w:eastAsia="en-US"/>
                    </w:rPr>
                    <w:t>驱动进行升级</w:t>
                  </w:r>
                </w:p>
              </w:tc>
            </w:tr>
            <w:tr w14:paraId="1FEA9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5E850ED9">
                  <w:pPr>
                    <w:spacing w:before="277" w:line="242" w:lineRule="auto"/>
                    <w:ind w:left="247"/>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69</w:t>
                  </w:r>
                </w:p>
              </w:tc>
              <w:tc>
                <w:tcPr>
                  <w:tcW w:w="1314" w:type="dxa"/>
                  <w:vMerge w:val="continue"/>
                  <w:tcBorders>
                    <w:top w:val="nil"/>
                    <w:bottom w:val="nil"/>
                  </w:tcBorders>
                  <w:noWrap w:val="0"/>
                  <w:vAlign w:val="center"/>
                </w:tcPr>
                <w:p w14:paraId="4FAA52B9">
                  <w:pPr>
                    <w:widowControl/>
                    <w:jc w:val="center"/>
                    <w:rPr>
                      <w:rFonts w:hint="default" w:ascii="宋体" w:hAnsi="宋体" w:eastAsia="宋体" w:cs="宋体"/>
                      <w:color w:val="auto"/>
                      <w:sz w:val="24"/>
                      <w:szCs w:val="24"/>
                      <w:highlight w:val="none"/>
                    </w:rPr>
                  </w:pPr>
                </w:p>
              </w:tc>
              <w:tc>
                <w:tcPr>
                  <w:tcW w:w="1200" w:type="dxa"/>
                  <w:noWrap w:val="0"/>
                  <w:vAlign w:val="center"/>
                </w:tcPr>
                <w:p w14:paraId="5EB0C27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操作系统</w:t>
                  </w:r>
                </w:p>
                <w:p w14:paraId="5F4BAA4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及驱动的</w:t>
                  </w:r>
                </w:p>
                <w:p w14:paraId="3347D35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备份还原</w:t>
                  </w:r>
                </w:p>
              </w:tc>
              <w:tc>
                <w:tcPr>
                  <w:tcW w:w="4915" w:type="dxa"/>
                  <w:noWrap w:val="0"/>
                  <w:vAlign w:val="center"/>
                </w:tcPr>
                <w:p w14:paraId="4D2799E4">
                  <w:pPr>
                    <w:spacing w:before="283" w:line="221"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支持操作系统备份及还原功能</w:t>
                  </w:r>
                </w:p>
              </w:tc>
            </w:tr>
            <w:tr w14:paraId="088D4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7" w:hRule="atLeast"/>
                <w:jc w:val="center"/>
              </w:trPr>
              <w:tc>
                <w:tcPr>
                  <w:tcW w:w="719" w:type="dxa"/>
                  <w:noWrap w:val="0"/>
                  <w:vAlign w:val="center"/>
                </w:tcPr>
                <w:p w14:paraId="5E6CF9C2">
                  <w:pPr>
                    <w:spacing w:before="58"/>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70</w:t>
                  </w:r>
                </w:p>
              </w:tc>
              <w:tc>
                <w:tcPr>
                  <w:tcW w:w="1314" w:type="dxa"/>
                  <w:vMerge w:val="continue"/>
                  <w:tcBorders>
                    <w:top w:val="nil"/>
                  </w:tcBorders>
                  <w:noWrap w:val="0"/>
                  <w:vAlign w:val="center"/>
                </w:tcPr>
                <w:p w14:paraId="7FAF6E89">
                  <w:pPr>
                    <w:widowControl/>
                    <w:jc w:val="center"/>
                    <w:rPr>
                      <w:rFonts w:hint="default" w:ascii="宋体" w:hAnsi="宋体" w:eastAsia="宋体" w:cs="宋体"/>
                      <w:color w:val="auto"/>
                      <w:sz w:val="24"/>
                      <w:szCs w:val="24"/>
                      <w:highlight w:val="none"/>
                    </w:rPr>
                  </w:pPr>
                </w:p>
              </w:tc>
              <w:tc>
                <w:tcPr>
                  <w:tcW w:w="1200" w:type="dxa"/>
                  <w:noWrap w:val="0"/>
                  <w:vAlign w:val="center"/>
                </w:tcPr>
                <w:p w14:paraId="0931574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操作系统功能</w:t>
                  </w:r>
                </w:p>
              </w:tc>
              <w:tc>
                <w:tcPr>
                  <w:tcW w:w="4915" w:type="dxa"/>
                  <w:noWrap w:val="0"/>
                  <w:vAlign w:val="center"/>
                </w:tcPr>
                <w:p w14:paraId="63E2AEB9">
                  <w:pPr>
                    <w:spacing w:before="44" w:line="243" w:lineRule="auto"/>
                    <w:ind w:left="113" w:right="103"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a) 支持访问控制、安全审计、网络</w:t>
                  </w:r>
                  <w:r>
                    <w:rPr>
                      <w:rFonts w:hint="eastAsia" w:ascii="宋体" w:hAnsi="宋体" w:eastAsia="宋体" w:cs="宋体"/>
                      <w:i/>
                      <w:iCs/>
                      <w:color w:val="auto"/>
                      <w:spacing w:val="-1"/>
                      <w:sz w:val="24"/>
                      <w:szCs w:val="24"/>
                      <w:highlight w:val="none"/>
                      <w:u w:val="single"/>
                      <w:lang w:eastAsia="en-US"/>
                    </w:rPr>
                    <w:t>接入鉴别等功能；</w:t>
                  </w:r>
                </w:p>
                <w:p w14:paraId="76FD0875">
                  <w:pPr>
                    <w:spacing w:before="6" w:line="222" w:lineRule="auto"/>
                    <w:ind w:left="117" w:right="259"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 操作系统其他功能应满足操作系统政府采购需求标准中加*的指</w:t>
                  </w:r>
                  <w:r>
                    <w:rPr>
                      <w:rFonts w:hint="eastAsia" w:ascii="宋体" w:hAnsi="宋体" w:eastAsia="宋体" w:cs="宋体"/>
                      <w:i/>
                      <w:iCs/>
                      <w:color w:val="auto"/>
                      <w:spacing w:val="-2"/>
                      <w:sz w:val="24"/>
                      <w:szCs w:val="24"/>
                      <w:highlight w:val="none"/>
                      <w:u w:val="single"/>
                      <w:lang w:eastAsia="en-US"/>
                    </w:rPr>
                    <w:t>标要求</w:t>
                  </w:r>
                </w:p>
              </w:tc>
            </w:tr>
            <w:tr w14:paraId="21CA58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06879CFE">
                  <w:pPr>
                    <w:spacing w:before="59" w:line="239"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71</w:t>
                  </w:r>
                </w:p>
              </w:tc>
              <w:tc>
                <w:tcPr>
                  <w:tcW w:w="1314" w:type="dxa"/>
                  <w:noWrap w:val="0"/>
                  <w:vAlign w:val="center"/>
                </w:tcPr>
                <w:p w14:paraId="5F1914E0">
                  <w:pPr>
                    <w:spacing w:before="38" w:line="246" w:lineRule="auto"/>
                    <w:ind w:left="188" w:right="141" w:hanging="4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中文</w:t>
                  </w:r>
                  <w:r>
                    <w:rPr>
                      <w:rFonts w:hint="eastAsia" w:ascii="宋体" w:hAnsi="宋体" w:eastAsia="宋体" w:cs="宋体"/>
                      <w:color w:val="auto"/>
                      <w:spacing w:val="-4"/>
                      <w:sz w:val="24"/>
                      <w:szCs w:val="24"/>
                      <w:highlight w:val="none"/>
                      <w:lang w:eastAsia="en-US"/>
                    </w:rPr>
                    <w:t>信息处理</w:t>
                  </w:r>
                  <w:r>
                    <w:rPr>
                      <w:rFonts w:hint="eastAsia" w:ascii="宋体" w:hAnsi="宋体" w:eastAsia="宋体" w:cs="宋体"/>
                      <w:color w:val="auto"/>
                      <w:spacing w:val="-5"/>
                      <w:sz w:val="24"/>
                      <w:szCs w:val="24"/>
                      <w:highlight w:val="none"/>
                      <w:lang w:eastAsia="en-US"/>
                    </w:rPr>
                    <w:t>功能</w:t>
                  </w:r>
                </w:p>
              </w:tc>
              <w:tc>
                <w:tcPr>
                  <w:tcW w:w="1200" w:type="dxa"/>
                  <w:noWrap w:val="0"/>
                  <w:vAlign w:val="center"/>
                </w:tcPr>
                <w:p w14:paraId="48D544E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中文信息处理</w:t>
                  </w:r>
                </w:p>
              </w:tc>
              <w:tc>
                <w:tcPr>
                  <w:tcW w:w="4915" w:type="dxa"/>
                  <w:noWrap w:val="0"/>
                  <w:vAlign w:val="center"/>
                </w:tcPr>
                <w:p w14:paraId="034D5830">
                  <w:pPr>
                    <w:widowControl/>
                    <w:spacing w:line="337" w:lineRule="auto"/>
                    <w:rPr>
                      <w:rFonts w:hint="default" w:ascii="宋体" w:hAnsi="宋体" w:eastAsia="宋体" w:cs="宋体"/>
                      <w:i/>
                      <w:iCs/>
                      <w:color w:val="auto"/>
                      <w:sz w:val="24"/>
                      <w:szCs w:val="24"/>
                      <w:highlight w:val="none"/>
                      <w:u w:val="single"/>
                    </w:rPr>
                  </w:pPr>
                </w:p>
                <w:p w14:paraId="4F111CF7">
                  <w:pPr>
                    <w:spacing w:before="58" w:line="222"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符合GB18030的有关规定</w:t>
                  </w:r>
                </w:p>
              </w:tc>
            </w:tr>
            <w:tr w14:paraId="206414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15968363">
                  <w:pPr>
                    <w:spacing w:before="273" w:line="240"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72</w:t>
                  </w:r>
                </w:p>
              </w:tc>
              <w:tc>
                <w:tcPr>
                  <w:tcW w:w="1314" w:type="dxa"/>
                  <w:vMerge w:val="restart"/>
                  <w:tcBorders>
                    <w:bottom w:val="nil"/>
                  </w:tcBorders>
                  <w:noWrap w:val="0"/>
                  <w:vAlign w:val="center"/>
                </w:tcPr>
                <w:p w14:paraId="692EEC3B">
                  <w:pPr>
                    <w:spacing w:before="58" w:line="248" w:lineRule="auto"/>
                    <w:ind w:righ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机柜</w:t>
                  </w:r>
                  <w:r>
                    <w:rPr>
                      <w:rFonts w:hint="eastAsia" w:ascii="宋体" w:hAnsi="宋体" w:eastAsia="宋体" w:cs="宋体"/>
                      <w:color w:val="auto"/>
                      <w:spacing w:val="-5"/>
                      <w:sz w:val="24"/>
                      <w:szCs w:val="24"/>
                      <w:highlight w:val="none"/>
                      <w:lang w:eastAsia="en-US"/>
                    </w:rPr>
                    <w:t>功能</w:t>
                  </w:r>
                </w:p>
              </w:tc>
              <w:tc>
                <w:tcPr>
                  <w:tcW w:w="1200" w:type="dxa"/>
                  <w:noWrap w:val="0"/>
                  <w:vAlign w:val="center"/>
                </w:tcPr>
                <w:p w14:paraId="1D9EF65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机柜管理功能</w:t>
                  </w:r>
                </w:p>
              </w:tc>
              <w:tc>
                <w:tcPr>
                  <w:tcW w:w="4915" w:type="dxa"/>
                  <w:noWrap w:val="0"/>
                  <w:vAlign w:val="center"/>
                </w:tcPr>
                <w:p w14:paraId="16610C67">
                  <w:pPr>
                    <w:spacing w:before="42" w:line="230" w:lineRule="auto"/>
                    <w:ind w:left="114"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机柜管理系统包括服务器节点BMC管理系统、机柜管理系统或交换节</w:t>
                  </w:r>
                  <w:r>
                    <w:rPr>
                      <w:rFonts w:hint="eastAsia" w:ascii="宋体" w:hAnsi="宋体" w:eastAsia="宋体" w:cs="宋体"/>
                      <w:i/>
                      <w:iCs/>
                      <w:color w:val="auto"/>
                      <w:spacing w:val="-2"/>
                      <w:sz w:val="24"/>
                      <w:szCs w:val="24"/>
                      <w:highlight w:val="none"/>
                      <w:u w:val="single"/>
                      <w:lang w:eastAsia="en-US"/>
                    </w:rPr>
                    <w:t>点管理系统</w:t>
                  </w:r>
                </w:p>
              </w:tc>
            </w:tr>
            <w:tr w14:paraId="72677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3D1383A3">
                  <w:pPr>
                    <w:spacing w:before="273" w:line="237"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73</w:t>
                  </w:r>
                </w:p>
              </w:tc>
              <w:tc>
                <w:tcPr>
                  <w:tcW w:w="1314" w:type="dxa"/>
                  <w:vMerge w:val="continue"/>
                  <w:tcBorders>
                    <w:top w:val="nil"/>
                    <w:bottom w:val="nil"/>
                  </w:tcBorders>
                  <w:noWrap w:val="0"/>
                  <w:vAlign w:val="center"/>
                </w:tcPr>
                <w:p w14:paraId="6F01B42A">
                  <w:pPr>
                    <w:widowControl/>
                    <w:jc w:val="center"/>
                    <w:rPr>
                      <w:rFonts w:hint="default" w:ascii="宋体" w:hAnsi="宋体" w:eastAsia="宋体" w:cs="宋体"/>
                      <w:color w:val="auto"/>
                      <w:sz w:val="24"/>
                      <w:szCs w:val="24"/>
                      <w:highlight w:val="none"/>
                    </w:rPr>
                  </w:pPr>
                </w:p>
              </w:tc>
              <w:tc>
                <w:tcPr>
                  <w:tcW w:w="1200" w:type="dxa"/>
                  <w:noWrap w:val="0"/>
                  <w:vAlign w:val="center"/>
                </w:tcPr>
                <w:p w14:paraId="232A082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机柜通信方式</w:t>
                  </w:r>
                </w:p>
              </w:tc>
              <w:tc>
                <w:tcPr>
                  <w:tcW w:w="4915" w:type="dxa"/>
                  <w:noWrap w:val="0"/>
                  <w:vAlign w:val="center"/>
                </w:tcPr>
                <w:p w14:paraId="4FE7D1C9">
                  <w:pPr>
                    <w:spacing w:before="39" w:line="231" w:lineRule="auto"/>
                    <w:ind w:left="112" w:right="168"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若配备机柜管理板可实现包括：资产管理、电源模块、功耗管理和液冷漏液检测等功能</w:t>
                  </w:r>
                </w:p>
              </w:tc>
            </w:tr>
            <w:tr w14:paraId="7EC171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1168B21B">
                  <w:pPr>
                    <w:spacing w:before="273" w:line="239"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74</w:t>
                  </w:r>
                </w:p>
              </w:tc>
              <w:tc>
                <w:tcPr>
                  <w:tcW w:w="1314" w:type="dxa"/>
                  <w:vMerge w:val="continue"/>
                  <w:tcBorders>
                    <w:top w:val="nil"/>
                  </w:tcBorders>
                  <w:noWrap w:val="0"/>
                  <w:vAlign w:val="center"/>
                </w:tcPr>
                <w:p w14:paraId="2C1AB5BB">
                  <w:pPr>
                    <w:widowControl/>
                    <w:jc w:val="center"/>
                    <w:rPr>
                      <w:rFonts w:hint="default" w:ascii="宋体" w:hAnsi="宋体" w:eastAsia="宋体" w:cs="宋体"/>
                      <w:color w:val="auto"/>
                      <w:sz w:val="24"/>
                      <w:szCs w:val="24"/>
                      <w:highlight w:val="none"/>
                    </w:rPr>
                  </w:pPr>
                </w:p>
              </w:tc>
              <w:tc>
                <w:tcPr>
                  <w:tcW w:w="1200" w:type="dxa"/>
                  <w:noWrap w:val="0"/>
                  <w:vAlign w:val="center"/>
                </w:tcPr>
                <w:p w14:paraId="0B21CF7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多集群作业管理</w:t>
                  </w:r>
                </w:p>
              </w:tc>
              <w:tc>
                <w:tcPr>
                  <w:tcW w:w="4915" w:type="dxa"/>
                  <w:noWrap w:val="0"/>
                  <w:vAlign w:val="center"/>
                </w:tcPr>
                <w:p w14:paraId="4C9EBAA1">
                  <w:pPr>
                    <w:spacing w:before="280" w:line="221"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支持多集群作业管理功能</w:t>
                  </w:r>
                </w:p>
              </w:tc>
            </w:tr>
            <w:tr w14:paraId="1ECFF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719" w:type="dxa"/>
                  <w:noWrap w:val="0"/>
                  <w:vAlign w:val="center"/>
                </w:tcPr>
                <w:p w14:paraId="08FC20FE">
                  <w:pPr>
                    <w:spacing w:before="58"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75</w:t>
                  </w:r>
                </w:p>
              </w:tc>
              <w:tc>
                <w:tcPr>
                  <w:tcW w:w="1314" w:type="dxa"/>
                  <w:noWrap w:val="0"/>
                  <w:vAlign w:val="center"/>
                </w:tcPr>
                <w:p w14:paraId="6F368F2F">
                  <w:pPr>
                    <w:spacing w:before="59" w:line="247" w:lineRule="auto"/>
                    <w:ind w:right="174"/>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关键</w:t>
                  </w:r>
                  <w:r>
                    <w:rPr>
                      <w:rFonts w:hint="eastAsia" w:ascii="宋体" w:hAnsi="宋体" w:eastAsia="宋体" w:cs="宋体"/>
                      <w:color w:val="auto"/>
                      <w:spacing w:val="-3"/>
                      <w:sz w:val="24"/>
                      <w:szCs w:val="24"/>
                      <w:highlight w:val="none"/>
                      <w:lang w:eastAsia="en-US"/>
                    </w:rPr>
                    <w:t>部件安全要求</w:t>
                  </w:r>
                </w:p>
              </w:tc>
              <w:tc>
                <w:tcPr>
                  <w:tcW w:w="1200" w:type="dxa"/>
                  <w:noWrap w:val="0"/>
                  <w:vAlign w:val="center"/>
                </w:tcPr>
                <w:p w14:paraId="645A0032">
                  <w:pPr>
                    <w:spacing w:before="59" w:line="223"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关键部件</w:t>
                  </w:r>
                </w:p>
                <w:p w14:paraId="0502CF2C">
                  <w:pPr>
                    <w:spacing w:before="7" w:line="238" w:lineRule="auto"/>
                    <w:ind w:left="117"/>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安全要求</w:t>
                  </w:r>
                </w:p>
              </w:tc>
              <w:tc>
                <w:tcPr>
                  <w:tcW w:w="4915" w:type="dxa"/>
                  <w:noWrap w:val="0"/>
                  <w:vAlign w:val="center"/>
                </w:tcPr>
                <w:p w14:paraId="008A7CE9">
                  <w:pPr>
                    <w:spacing w:before="58" w:line="248" w:lineRule="auto"/>
                    <w:ind w:right="2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CPU和操作系统等关键部件应当符</w:t>
                  </w:r>
                  <w:r>
                    <w:rPr>
                      <w:rFonts w:hint="eastAsia" w:ascii="宋体" w:hAnsi="宋体" w:eastAsia="宋体" w:cs="宋体"/>
                      <w:i/>
                      <w:iCs/>
                      <w:color w:val="auto"/>
                      <w:spacing w:val="-1"/>
                      <w:sz w:val="24"/>
                      <w:szCs w:val="24"/>
                      <w:highlight w:val="none"/>
                      <w:u w:val="single"/>
                      <w:lang w:eastAsia="en-US"/>
                    </w:rPr>
                    <w:t>合安全可靠测评要求</w:t>
                  </w:r>
                </w:p>
              </w:tc>
            </w:tr>
            <w:tr w14:paraId="52748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2C289D10">
                  <w:pPr>
                    <w:spacing w:before="273" w:line="242" w:lineRule="auto"/>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76</w:t>
                  </w:r>
                </w:p>
              </w:tc>
              <w:tc>
                <w:tcPr>
                  <w:tcW w:w="1314" w:type="dxa"/>
                  <w:vMerge w:val="restart"/>
                  <w:tcBorders>
                    <w:bottom w:val="nil"/>
                  </w:tcBorders>
                  <w:noWrap w:val="0"/>
                  <w:vAlign w:val="center"/>
                </w:tcPr>
                <w:p w14:paraId="5434FAA8">
                  <w:pPr>
                    <w:spacing w:before="58" w:line="247"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固件</w:t>
                  </w:r>
                  <w:r>
                    <w:rPr>
                      <w:rFonts w:hint="eastAsia" w:ascii="宋体" w:hAnsi="宋体" w:eastAsia="宋体" w:cs="宋体"/>
                      <w:color w:val="auto"/>
                      <w:spacing w:val="-3"/>
                      <w:sz w:val="24"/>
                      <w:szCs w:val="24"/>
                      <w:highlight w:val="none"/>
                      <w:lang w:eastAsia="en-US"/>
                    </w:rPr>
                    <w:t>安全要求</w:t>
                  </w:r>
                </w:p>
              </w:tc>
              <w:tc>
                <w:tcPr>
                  <w:tcW w:w="1200" w:type="dxa"/>
                  <w:noWrap w:val="0"/>
                  <w:vAlign w:val="center"/>
                </w:tcPr>
                <w:p w14:paraId="32D954B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故障检测</w:t>
                  </w:r>
                </w:p>
              </w:tc>
              <w:tc>
                <w:tcPr>
                  <w:tcW w:w="4915" w:type="dxa"/>
                  <w:noWrap w:val="0"/>
                  <w:vAlign w:val="center"/>
                </w:tcPr>
                <w:p w14:paraId="400BE408">
                  <w:pPr>
                    <w:spacing w:before="39" w:line="231" w:lineRule="auto"/>
                    <w:ind w:left="113" w:right="103" w:firstLine="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支持故障检测功能，可以检测到具</w:t>
                  </w:r>
                  <w:r>
                    <w:rPr>
                      <w:rFonts w:hint="eastAsia" w:ascii="宋体" w:hAnsi="宋体" w:eastAsia="宋体" w:cs="宋体"/>
                      <w:i/>
                      <w:iCs/>
                      <w:color w:val="auto"/>
                      <w:spacing w:val="-5"/>
                      <w:sz w:val="24"/>
                      <w:szCs w:val="24"/>
                      <w:highlight w:val="none"/>
                      <w:u w:val="single"/>
                      <w:lang w:eastAsia="en-US"/>
                    </w:rPr>
                    <w:t>体的FRU（内存、硬盘等）的故障并</w:t>
                  </w:r>
                  <w:r>
                    <w:rPr>
                      <w:rFonts w:hint="eastAsia" w:ascii="宋体" w:hAnsi="宋体" w:eastAsia="宋体" w:cs="宋体"/>
                      <w:i/>
                      <w:iCs/>
                      <w:color w:val="auto"/>
                      <w:spacing w:val="-2"/>
                      <w:sz w:val="24"/>
                      <w:szCs w:val="24"/>
                      <w:highlight w:val="none"/>
                      <w:u w:val="single"/>
                      <w:lang w:eastAsia="en-US"/>
                    </w:rPr>
                    <w:t>发出告警</w:t>
                  </w:r>
                </w:p>
              </w:tc>
            </w:tr>
            <w:tr w14:paraId="721C25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06F84A91">
                  <w:pPr>
                    <w:spacing w:before="59" w:line="239"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77</w:t>
                  </w:r>
                </w:p>
              </w:tc>
              <w:tc>
                <w:tcPr>
                  <w:tcW w:w="1314" w:type="dxa"/>
                  <w:vMerge w:val="continue"/>
                  <w:tcBorders>
                    <w:top w:val="nil"/>
                    <w:bottom w:val="nil"/>
                  </w:tcBorders>
                  <w:noWrap w:val="0"/>
                  <w:vAlign w:val="center"/>
                </w:tcPr>
                <w:p w14:paraId="3DE86597">
                  <w:pPr>
                    <w:widowControl/>
                    <w:jc w:val="center"/>
                    <w:rPr>
                      <w:rFonts w:hint="default" w:ascii="宋体" w:hAnsi="宋体" w:eastAsia="宋体" w:cs="宋体"/>
                      <w:color w:val="auto"/>
                      <w:sz w:val="24"/>
                      <w:szCs w:val="24"/>
                      <w:highlight w:val="none"/>
                    </w:rPr>
                  </w:pPr>
                </w:p>
              </w:tc>
              <w:tc>
                <w:tcPr>
                  <w:tcW w:w="1200" w:type="dxa"/>
                  <w:noWrap w:val="0"/>
                  <w:vAlign w:val="center"/>
                </w:tcPr>
                <w:p w14:paraId="174B7E0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内存故障</w:t>
                  </w:r>
                </w:p>
                <w:p w14:paraId="3258A63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智能预测</w:t>
                  </w:r>
                </w:p>
                <w:p w14:paraId="0F4E5EF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和自愈修复</w:t>
                  </w:r>
                </w:p>
              </w:tc>
              <w:tc>
                <w:tcPr>
                  <w:tcW w:w="4915" w:type="dxa"/>
                  <w:noWrap w:val="0"/>
                  <w:vAlign w:val="center"/>
                </w:tcPr>
                <w:p w14:paraId="7DB5DE08">
                  <w:pPr>
                    <w:spacing w:before="39" w:line="222"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支持内存故障智能预测和自愈修</w:t>
                  </w:r>
                </w:p>
                <w:p w14:paraId="4309DB45">
                  <w:pPr>
                    <w:spacing w:before="25" w:line="230" w:lineRule="auto"/>
                    <w:ind w:left="117"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复，提前自动硬隔离，避免内存故障引起的非预期宕机以及内存寿命</w:t>
                  </w:r>
                  <w:r>
                    <w:rPr>
                      <w:rFonts w:hint="eastAsia" w:ascii="宋体" w:hAnsi="宋体" w:eastAsia="宋体" w:cs="宋体"/>
                      <w:i/>
                      <w:iCs/>
                      <w:color w:val="auto"/>
                      <w:spacing w:val="-4"/>
                      <w:sz w:val="24"/>
                      <w:szCs w:val="24"/>
                      <w:highlight w:val="none"/>
                      <w:u w:val="single"/>
                      <w:lang w:eastAsia="en-US"/>
                    </w:rPr>
                    <w:t>的降低</w:t>
                  </w:r>
                </w:p>
              </w:tc>
            </w:tr>
            <w:tr w14:paraId="2EEF5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03C413BA">
                  <w:pPr>
                    <w:spacing w:before="275" w:line="238"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78</w:t>
                  </w:r>
                </w:p>
              </w:tc>
              <w:tc>
                <w:tcPr>
                  <w:tcW w:w="1314" w:type="dxa"/>
                  <w:vMerge w:val="continue"/>
                  <w:tcBorders>
                    <w:top w:val="nil"/>
                    <w:bottom w:val="nil"/>
                  </w:tcBorders>
                  <w:noWrap w:val="0"/>
                  <w:vAlign w:val="center"/>
                </w:tcPr>
                <w:p w14:paraId="6F9710CF">
                  <w:pPr>
                    <w:widowControl/>
                    <w:jc w:val="center"/>
                    <w:rPr>
                      <w:rFonts w:hint="default" w:ascii="宋体" w:hAnsi="宋体" w:eastAsia="宋体" w:cs="宋体"/>
                      <w:color w:val="auto"/>
                      <w:sz w:val="24"/>
                      <w:szCs w:val="24"/>
                      <w:highlight w:val="none"/>
                    </w:rPr>
                  </w:pPr>
                </w:p>
              </w:tc>
              <w:tc>
                <w:tcPr>
                  <w:tcW w:w="1200" w:type="dxa"/>
                  <w:noWrap w:val="0"/>
                  <w:vAlign w:val="center"/>
                </w:tcPr>
                <w:p w14:paraId="53CFF92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硬盘故障智能预测</w:t>
                  </w:r>
                </w:p>
              </w:tc>
              <w:tc>
                <w:tcPr>
                  <w:tcW w:w="4915" w:type="dxa"/>
                  <w:noWrap w:val="0"/>
                  <w:vAlign w:val="center"/>
                </w:tcPr>
                <w:p w14:paraId="0EAE1CE7">
                  <w:pPr>
                    <w:spacing w:before="162" w:line="248" w:lineRule="auto"/>
                    <w:ind w:left="112" w:right="168" w:firstLine="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支持硬盘故障智能预测，基于故障模型预测出硬盘的故障</w:t>
                  </w:r>
                </w:p>
              </w:tc>
            </w:tr>
            <w:tr w14:paraId="413E1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014E0AFB">
                  <w:pPr>
                    <w:spacing w:before="275" w:line="237" w:lineRule="exact"/>
                    <w:ind w:left="248"/>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position w:val="1"/>
                      <w:sz w:val="24"/>
                      <w:szCs w:val="24"/>
                      <w:highlight w:val="none"/>
                      <w:lang w:eastAsia="en-US"/>
                    </w:rPr>
                    <w:t>79</w:t>
                  </w:r>
                </w:p>
              </w:tc>
              <w:tc>
                <w:tcPr>
                  <w:tcW w:w="1314" w:type="dxa"/>
                  <w:vMerge w:val="continue"/>
                  <w:tcBorders>
                    <w:top w:val="nil"/>
                    <w:bottom w:val="nil"/>
                  </w:tcBorders>
                  <w:noWrap w:val="0"/>
                  <w:vAlign w:val="center"/>
                </w:tcPr>
                <w:p w14:paraId="08FE4C31">
                  <w:pPr>
                    <w:widowControl/>
                    <w:jc w:val="center"/>
                    <w:rPr>
                      <w:rFonts w:hint="default" w:ascii="宋体" w:hAnsi="宋体" w:eastAsia="宋体" w:cs="宋体"/>
                      <w:color w:val="auto"/>
                      <w:sz w:val="24"/>
                      <w:szCs w:val="24"/>
                      <w:highlight w:val="none"/>
                    </w:rPr>
                  </w:pPr>
                </w:p>
              </w:tc>
              <w:tc>
                <w:tcPr>
                  <w:tcW w:w="1200" w:type="dxa"/>
                  <w:noWrap w:val="0"/>
                  <w:vAlign w:val="center"/>
                </w:tcPr>
                <w:p w14:paraId="2499D22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PCIe 链路故障智能诊断</w:t>
                  </w:r>
                </w:p>
              </w:tc>
              <w:tc>
                <w:tcPr>
                  <w:tcW w:w="4915" w:type="dxa"/>
                  <w:noWrap w:val="0"/>
                  <w:vAlign w:val="center"/>
                </w:tcPr>
                <w:p w14:paraId="17D5A211">
                  <w:pPr>
                    <w:spacing w:before="162" w:line="248" w:lineRule="auto"/>
                    <w:ind w:left="125" w:right="103" w:hanging="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支持PCIe链路故障智能诊断，判断</w:t>
                  </w:r>
                  <w:r>
                    <w:rPr>
                      <w:rFonts w:hint="eastAsia" w:ascii="宋体" w:hAnsi="宋体" w:eastAsia="宋体" w:cs="宋体"/>
                      <w:i/>
                      <w:iCs/>
                      <w:color w:val="auto"/>
                      <w:spacing w:val="2"/>
                      <w:sz w:val="24"/>
                      <w:szCs w:val="24"/>
                      <w:highlight w:val="none"/>
                      <w:u w:val="single"/>
                      <w:lang w:eastAsia="en-US"/>
                    </w:rPr>
                    <w:t>出现故障的</w:t>
                  </w:r>
                  <w:r>
                    <w:rPr>
                      <w:rFonts w:hint="eastAsia" w:ascii="宋体" w:hAnsi="宋体" w:eastAsia="宋体" w:cs="宋体"/>
                      <w:i/>
                      <w:iCs/>
                      <w:color w:val="auto"/>
                      <w:sz w:val="24"/>
                      <w:szCs w:val="24"/>
                      <w:highlight w:val="none"/>
                      <w:u w:val="single"/>
                      <w:lang w:eastAsia="en-US"/>
                    </w:rPr>
                    <w:t>PCIe</w:t>
                  </w:r>
                  <w:r>
                    <w:rPr>
                      <w:rFonts w:hint="eastAsia" w:ascii="宋体" w:hAnsi="宋体" w:eastAsia="宋体" w:cs="宋体"/>
                      <w:i/>
                      <w:iCs/>
                      <w:color w:val="auto"/>
                      <w:spacing w:val="2"/>
                      <w:sz w:val="24"/>
                      <w:szCs w:val="24"/>
                      <w:highlight w:val="none"/>
                      <w:u w:val="single"/>
                      <w:lang w:eastAsia="en-US"/>
                    </w:rPr>
                    <w:t>链路</w:t>
                  </w:r>
                </w:p>
              </w:tc>
            </w:tr>
            <w:tr w14:paraId="47CDC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46C7EE71">
                  <w:pPr>
                    <w:spacing w:before="275"/>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80</w:t>
                  </w:r>
                </w:p>
              </w:tc>
              <w:tc>
                <w:tcPr>
                  <w:tcW w:w="1314" w:type="dxa"/>
                  <w:vMerge w:val="continue"/>
                  <w:tcBorders>
                    <w:top w:val="nil"/>
                    <w:bottom w:val="nil"/>
                  </w:tcBorders>
                  <w:noWrap w:val="0"/>
                  <w:vAlign w:val="center"/>
                </w:tcPr>
                <w:p w14:paraId="652DCF3F">
                  <w:pPr>
                    <w:widowControl/>
                    <w:jc w:val="center"/>
                    <w:rPr>
                      <w:rFonts w:hint="default" w:ascii="宋体" w:hAnsi="宋体" w:eastAsia="宋体" w:cs="宋体"/>
                      <w:color w:val="auto"/>
                      <w:sz w:val="24"/>
                      <w:szCs w:val="24"/>
                      <w:highlight w:val="none"/>
                    </w:rPr>
                  </w:pPr>
                </w:p>
              </w:tc>
              <w:tc>
                <w:tcPr>
                  <w:tcW w:w="1200" w:type="dxa"/>
                  <w:noWrap w:val="0"/>
                  <w:vAlign w:val="center"/>
                </w:tcPr>
                <w:p w14:paraId="508147E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内存故障隔离</w:t>
                  </w:r>
                </w:p>
              </w:tc>
              <w:tc>
                <w:tcPr>
                  <w:tcW w:w="4915" w:type="dxa"/>
                  <w:noWrap w:val="0"/>
                  <w:vAlign w:val="center"/>
                </w:tcPr>
                <w:p w14:paraId="5B19191E">
                  <w:pPr>
                    <w:spacing w:before="42" w:line="230" w:lineRule="auto"/>
                    <w:ind w:left="115" w:right="123" w:firstLine="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支持内存故障隔离，在内存产生CE</w:t>
                  </w:r>
                  <w:r>
                    <w:rPr>
                      <w:rFonts w:hint="eastAsia" w:ascii="宋体" w:hAnsi="宋体" w:eastAsia="宋体" w:cs="宋体"/>
                      <w:i/>
                      <w:iCs/>
                      <w:color w:val="auto"/>
                      <w:spacing w:val="-1"/>
                      <w:sz w:val="24"/>
                      <w:szCs w:val="24"/>
                      <w:highlight w:val="none"/>
                      <w:u w:val="single"/>
                      <w:lang w:eastAsia="en-US"/>
                    </w:rPr>
                    <w:t>故障时，内存地址被隔离成功，服务器正常运行，业务系统不中断</w:t>
                  </w:r>
                </w:p>
              </w:tc>
            </w:tr>
            <w:tr w14:paraId="3E942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7677F5B9">
                  <w:pPr>
                    <w:spacing w:before="58"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81</w:t>
                  </w:r>
                </w:p>
              </w:tc>
              <w:tc>
                <w:tcPr>
                  <w:tcW w:w="1314" w:type="dxa"/>
                  <w:vMerge w:val="continue"/>
                  <w:tcBorders>
                    <w:top w:val="nil"/>
                    <w:bottom w:val="nil"/>
                  </w:tcBorders>
                  <w:noWrap w:val="0"/>
                  <w:vAlign w:val="center"/>
                </w:tcPr>
                <w:p w14:paraId="36FF96B0">
                  <w:pPr>
                    <w:widowControl/>
                    <w:jc w:val="center"/>
                    <w:rPr>
                      <w:rFonts w:hint="default" w:ascii="宋体" w:hAnsi="宋体" w:eastAsia="宋体" w:cs="宋体"/>
                      <w:color w:val="auto"/>
                      <w:sz w:val="24"/>
                      <w:szCs w:val="24"/>
                      <w:highlight w:val="none"/>
                    </w:rPr>
                  </w:pPr>
                </w:p>
              </w:tc>
              <w:tc>
                <w:tcPr>
                  <w:tcW w:w="1200" w:type="dxa"/>
                  <w:noWrap w:val="0"/>
                  <w:vAlign w:val="center"/>
                </w:tcPr>
                <w:p w14:paraId="61B21A2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内存、PCIe卡的故障</w:t>
                  </w:r>
                </w:p>
                <w:p w14:paraId="489B1D1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精准告警功能</w:t>
                  </w:r>
                </w:p>
              </w:tc>
              <w:tc>
                <w:tcPr>
                  <w:tcW w:w="4915" w:type="dxa"/>
                  <w:noWrap w:val="0"/>
                  <w:vAlign w:val="center"/>
                </w:tcPr>
                <w:p w14:paraId="5515D38E">
                  <w:pPr>
                    <w:spacing w:before="163" w:line="247" w:lineRule="auto"/>
                    <w:ind w:left="115" w:right="125" w:firstLine="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支持内存、PCIe卡的故障精准告警</w:t>
                  </w:r>
                  <w:r>
                    <w:rPr>
                      <w:rFonts w:hint="eastAsia" w:ascii="宋体" w:hAnsi="宋体" w:eastAsia="宋体" w:cs="宋体"/>
                      <w:i/>
                      <w:iCs/>
                      <w:color w:val="auto"/>
                      <w:spacing w:val="-1"/>
                      <w:sz w:val="24"/>
                      <w:szCs w:val="24"/>
                      <w:highlight w:val="none"/>
                      <w:u w:val="single"/>
                      <w:lang w:eastAsia="en-US"/>
                    </w:rPr>
                    <w:t>功能，触发告警并明确指示具体的</w:t>
                  </w:r>
                  <w:r>
                    <w:rPr>
                      <w:rFonts w:hint="eastAsia" w:ascii="宋体" w:hAnsi="宋体" w:eastAsia="宋体" w:cs="宋体"/>
                      <w:i/>
                      <w:iCs/>
                      <w:color w:val="auto"/>
                      <w:spacing w:val="-3"/>
                      <w:sz w:val="24"/>
                      <w:szCs w:val="24"/>
                      <w:highlight w:val="none"/>
                      <w:u w:val="single"/>
                      <w:lang w:eastAsia="en-US"/>
                    </w:rPr>
                    <w:t>故障位置</w:t>
                  </w:r>
                </w:p>
              </w:tc>
            </w:tr>
            <w:tr w14:paraId="0F52E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067EB24A">
                  <w:pPr>
                    <w:spacing w:before="275"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82</w:t>
                  </w:r>
                </w:p>
              </w:tc>
              <w:tc>
                <w:tcPr>
                  <w:tcW w:w="1314" w:type="dxa"/>
                  <w:vMerge w:val="continue"/>
                  <w:tcBorders>
                    <w:top w:val="nil"/>
                    <w:bottom w:val="nil"/>
                  </w:tcBorders>
                  <w:noWrap w:val="0"/>
                  <w:vAlign w:val="center"/>
                </w:tcPr>
                <w:p w14:paraId="5330A13D">
                  <w:pPr>
                    <w:widowControl/>
                    <w:jc w:val="center"/>
                    <w:rPr>
                      <w:rFonts w:hint="default" w:ascii="宋体" w:hAnsi="宋体" w:eastAsia="宋体" w:cs="宋体"/>
                      <w:color w:val="auto"/>
                      <w:sz w:val="24"/>
                      <w:szCs w:val="24"/>
                      <w:highlight w:val="none"/>
                    </w:rPr>
                  </w:pPr>
                </w:p>
              </w:tc>
              <w:tc>
                <w:tcPr>
                  <w:tcW w:w="1200" w:type="dxa"/>
                  <w:noWrap w:val="0"/>
                  <w:vAlign w:val="center"/>
                </w:tcPr>
                <w:p w14:paraId="3CC3E88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异常下电</w:t>
                  </w:r>
                </w:p>
                <w:p w14:paraId="35347B2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关键数据保护</w:t>
                  </w:r>
                </w:p>
              </w:tc>
              <w:tc>
                <w:tcPr>
                  <w:tcW w:w="4915" w:type="dxa"/>
                  <w:noWrap w:val="0"/>
                  <w:vAlign w:val="center"/>
                </w:tcPr>
                <w:p w14:paraId="6E7A12A6">
                  <w:pPr>
                    <w:spacing w:before="42" w:line="230" w:lineRule="auto"/>
                    <w:ind w:left="113" w:right="168" w:firstLine="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支持异常下电关键数据保护，支持数据备份恢复机制，防止系统异常掉电导致的数据文件丢失</w:t>
                  </w:r>
                </w:p>
              </w:tc>
            </w:tr>
            <w:tr w14:paraId="49528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2C9A1450">
                  <w:pPr>
                    <w:spacing w:before="277"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83</w:t>
                  </w:r>
                </w:p>
              </w:tc>
              <w:tc>
                <w:tcPr>
                  <w:tcW w:w="1314" w:type="dxa"/>
                  <w:vMerge w:val="continue"/>
                  <w:tcBorders>
                    <w:top w:val="nil"/>
                    <w:bottom w:val="nil"/>
                  </w:tcBorders>
                  <w:noWrap w:val="0"/>
                  <w:vAlign w:val="center"/>
                </w:tcPr>
                <w:p w14:paraId="635FDB1A">
                  <w:pPr>
                    <w:widowControl/>
                    <w:jc w:val="center"/>
                    <w:rPr>
                      <w:rFonts w:hint="default" w:ascii="宋体" w:hAnsi="宋体" w:eastAsia="宋体" w:cs="宋体"/>
                      <w:color w:val="auto"/>
                      <w:sz w:val="24"/>
                      <w:szCs w:val="24"/>
                      <w:highlight w:val="none"/>
                    </w:rPr>
                  </w:pPr>
                </w:p>
              </w:tc>
              <w:tc>
                <w:tcPr>
                  <w:tcW w:w="1200" w:type="dxa"/>
                  <w:noWrap w:val="0"/>
                  <w:vAlign w:val="center"/>
                </w:tcPr>
                <w:p w14:paraId="0F49DA8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BMC/BIOS固件双镜像保护</w:t>
                  </w:r>
                </w:p>
              </w:tc>
              <w:tc>
                <w:tcPr>
                  <w:tcW w:w="4915" w:type="dxa"/>
                  <w:noWrap w:val="0"/>
                  <w:vAlign w:val="center"/>
                </w:tcPr>
                <w:p w14:paraId="71DAC6C0">
                  <w:pPr>
                    <w:spacing w:before="42" w:line="246" w:lineRule="auto"/>
                    <w:ind w:left="113" w:right="103" w:firstLine="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支持BMC/BIOS固件双镜像保护，运</w:t>
                  </w:r>
                  <w:r>
                    <w:rPr>
                      <w:rFonts w:hint="eastAsia" w:ascii="宋体" w:hAnsi="宋体" w:eastAsia="宋体" w:cs="宋体"/>
                      <w:i/>
                      <w:iCs/>
                      <w:color w:val="auto"/>
                      <w:spacing w:val="-1"/>
                      <w:sz w:val="24"/>
                      <w:szCs w:val="24"/>
                      <w:highlight w:val="none"/>
                      <w:u w:val="single"/>
                      <w:lang w:eastAsia="en-US"/>
                    </w:rPr>
                    <w:t>行异常时自动切换到备份镜像运</w:t>
                  </w:r>
                </w:p>
                <w:p w14:paraId="5980E81A">
                  <w:pPr>
                    <w:spacing w:line="197"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行，提升系统稳定性</w:t>
                  </w:r>
                </w:p>
              </w:tc>
            </w:tr>
            <w:tr w14:paraId="54EDF3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4D9D5C23">
                  <w:pPr>
                    <w:widowControl/>
                    <w:spacing w:line="336" w:lineRule="auto"/>
                    <w:jc w:val="center"/>
                    <w:rPr>
                      <w:rFonts w:hint="default" w:ascii="宋体" w:hAnsi="宋体" w:eastAsia="宋体" w:cs="宋体"/>
                      <w:color w:val="auto"/>
                      <w:sz w:val="24"/>
                      <w:szCs w:val="24"/>
                      <w:highlight w:val="none"/>
                    </w:rPr>
                  </w:pPr>
                </w:p>
                <w:p w14:paraId="4BE2517F">
                  <w:pPr>
                    <w:spacing w:before="58" w:line="238"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84</w:t>
                  </w:r>
                </w:p>
              </w:tc>
              <w:tc>
                <w:tcPr>
                  <w:tcW w:w="1314" w:type="dxa"/>
                  <w:vMerge w:val="continue"/>
                  <w:tcBorders>
                    <w:top w:val="nil"/>
                    <w:bottom w:val="nil"/>
                  </w:tcBorders>
                  <w:noWrap w:val="0"/>
                  <w:vAlign w:val="center"/>
                </w:tcPr>
                <w:p w14:paraId="266D5311">
                  <w:pPr>
                    <w:widowControl/>
                    <w:jc w:val="center"/>
                    <w:rPr>
                      <w:rFonts w:hint="default" w:ascii="宋体" w:hAnsi="宋体" w:eastAsia="宋体" w:cs="宋体"/>
                      <w:color w:val="auto"/>
                      <w:sz w:val="24"/>
                      <w:szCs w:val="24"/>
                      <w:highlight w:val="none"/>
                    </w:rPr>
                  </w:pPr>
                </w:p>
              </w:tc>
              <w:tc>
                <w:tcPr>
                  <w:tcW w:w="1200" w:type="dxa"/>
                  <w:noWrap w:val="0"/>
                  <w:vAlign w:val="center"/>
                </w:tcPr>
                <w:p w14:paraId="740E6BC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CPU 核重启隔离</w:t>
                  </w:r>
                </w:p>
              </w:tc>
              <w:tc>
                <w:tcPr>
                  <w:tcW w:w="4915" w:type="dxa"/>
                  <w:noWrap w:val="0"/>
                  <w:vAlign w:val="center"/>
                </w:tcPr>
                <w:p w14:paraId="2B926719">
                  <w:pPr>
                    <w:spacing w:before="44" w:line="213"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支持CPU核发生不可纠正故障后，</w:t>
                  </w:r>
                </w:p>
                <w:p w14:paraId="5241E778">
                  <w:pPr>
                    <w:spacing w:before="32" w:line="229" w:lineRule="auto"/>
                    <w:ind w:left="115" w:right="103"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重启后由</w:t>
                  </w:r>
                  <w:r>
                    <w:rPr>
                      <w:rFonts w:hint="eastAsia" w:ascii="宋体" w:hAnsi="宋体" w:eastAsia="宋体" w:cs="宋体"/>
                      <w:i/>
                      <w:iCs/>
                      <w:color w:val="auto"/>
                      <w:sz w:val="24"/>
                      <w:szCs w:val="24"/>
                      <w:highlight w:val="none"/>
                      <w:u w:val="single"/>
                      <w:lang w:eastAsia="en-US"/>
                    </w:rPr>
                    <w:t>BIOS</w:t>
                  </w:r>
                  <w:r>
                    <w:rPr>
                      <w:rFonts w:hint="eastAsia" w:ascii="宋体" w:hAnsi="宋体" w:eastAsia="宋体" w:cs="宋体"/>
                      <w:i/>
                      <w:iCs/>
                      <w:color w:val="auto"/>
                      <w:spacing w:val="1"/>
                      <w:sz w:val="24"/>
                      <w:szCs w:val="24"/>
                      <w:highlight w:val="none"/>
                      <w:u w:val="single"/>
                      <w:lang w:eastAsia="en-US"/>
                    </w:rPr>
                    <w:t>隔离该故障核，</w:t>
                  </w:r>
                  <w:r>
                    <w:rPr>
                      <w:rFonts w:hint="eastAsia" w:ascii="宋体" w:hAnsi="宋体" w:eastAsia="宋体" w:cs="宋体"/>
                      <w:i/>
                      <w:iCs/>
                      <w:color w:val="auto"/>
                      <w:sz w:val="24"/>
                      <w:szCs w:val="24"/>
                      <w:highlight w:val="none"/>
                      <w:u w:val="single"/>
                      <w:lang w:eastAsia="en-US"/>
                    </w:rPr>
                    <w:t>OS</w:t>
                  </w:r>
                  <w:r>
                    <w:rPr>
                      <w:rFonts w:hint="eastAsia" w:ascii="宋体" w:hAnsi="宋体" w:eastAsia="宋体" w:cs="宋体"/>
                      <w:i/>
                      <w:iCs/>
                      <w:color w:val="auto"/>
                      <w:spacing w:val="-3"/>
                      <w:sz w:val="24"/>
                      <w:szCs w:val="24"/>
                      <w:highlight w:val="none"/>
                      <w:u w:val="single"/>
                      <w:lang w:eastAsia="en-US"/>
                    </w:rPr>
                    <w:t>不可见，防止OS再次使用导致系统</w:t>
                  </w:r>
                  <w:r>
                    <w:rPr>
                      <w:rFonts w:hint="eastAsia" w:ascii="宋体" w:hAnsi="宋体" w:eastAsia="宋体" w:cs="宋体"/>
                      <w:i/>
                      <w:iCs/>
                      <w:color w:val="auto"/>
                      <w:spacing w:val="-5"/>
                      <w:sz w:val="24"/>
                      <w:szCs w:val="24"/>
                      <w:highlight w:val="none"/>
                      <w:u w:val="single"/>
                      <w:lang w:eastAsia="en-US"/>
                    </w:rPr>
                    <w:t>异常，核0除外</w:t>
                  </w:r>
                </w:p>
              </w:tc>
            </w:tr>
            <w:tr w14:paraId="31EA3E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8" w:hRule="atLeast"/>
                <w:jc w:val="center"/>
              </w:trPr>
              <w:tc>
                <w:tcPr>
                  <w:tcW w:w="719" w:type="dxa"/>
                  <w:noWrap w:val="0"/>
                  <w:vAlign w:val="center"/>
                </w:tcPr>
                <w:p w14:paraId="5CF30C0D">
                  <w:pPr>
                    <w:spacing w:before="37" w:line="206" w:lineRule="auto"/>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85</w:t>
                  </w:r>
                </w:p>
              </w:tc>
              <w:tc>
                <w:tcPr>
                  <w:tcW w:w="1314" w:type="dxa"/>
                  <w:vMerge w:val="continue"/>
                  <w:tcBorders>
                    <w:top w:val="nil"/>
                  </w:tcBorders>
                  <w:noWrap w:val="0"/>
                  <w:vAlign w:val="center"/>
                </w:tcPr>
                <w:p w14:paraId="2134C979">
                  <w:pPr>
                    <w:widowControl/>
                    <w:jc w:val="center"/>
                    <w:rPr>
                      <w:rFonts w:hint="default" w:ascii="宋体" w:hAnsi="宋体" w:eastAsia="宋体" w:cs="宋体"/>
                      <w:color w:val="auto"/>
                      <w:sz w:val="24"/>
                      <w:szCs w:val="24"/>
                      <w:highlight w:val="none"/>
                    </w:rPr>
                  </w:pPr>
                </w:p>
              </w:tc>
              <w:tc>
                <w:tcPr>
                  <w:tcW w:w="1200" w:type="dxa"/>
                  <w:noWrap w:val="0"/>
                  <w:vAlign w:val="center"/>
                </w:tcPr>
                <w:p w14:paraId="11C39FD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内存地址隔离</w:t>
                  </w:r>
                </w:p>
              </w:tc>
              <w:tc>
                <w:tcPr>
                  <w:tcW w:w="4915" w:type="dxa"/>
                  <w:noWrap w:val="0"/>
                  <w:vAlign w:val="center"/>
                </w:tcPr>
                <w:p w14:paraId="7216D817">
                  <w:pPr>
                    <w:spacing w:before="44" w:line="198" w:lineRule="auto"/>
                    <w:ind w:left="11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在硬件支持的情况下，支持故障内</w:t>
                  </w:r>
                  <w:r>
                    <w:rPr>
                      <w:rFonts w:hint="eastAsia" w:ascii="宋体" w:hAnsi="宋体" w:eastAsia="宋体" w:cs="宋体"/>
                      <w:i/>
                      <w:iCs/>
                      <w:color w:val="auto"/>
                      <w:spacing w:val="-2"/>
                      <w:sz w:val="24"/>
                      <w:szCs w:val="24"/>
                      <w:highlight w:val="none"/>
                      <w:u w:val="single"/>
                      <w:lang w:eastAsia="en-US"/>
                    </w:rPr>
                    <w:t>存地址重启后隔离</w:t>
                  </w:r>
                </w:p>
              </w:tc>
            </w:tr>
            <w:tr w14:paraId="478FA8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61D73BCE">
                  <w:pPr>
                    <w:spacing w:before="273" w:line="242" w:lineRule="auto"/>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86</w:t>
                  </w:r>
                </w:p>
              </w:tc>
              <w:tc>
                <w:tcPr>
                  <w:tcW w:w="1314" w:type="dxa"/>
                  <w:vMerge w:val="continue"/>
                  <w:tcBorders>
                    <w:top w:val="nil"/>
                    <w:bottom w:val="nil"/>
                  </w:tcBorders>
                  <w:noWrap w:val="0"/>
                  <w:vAlign w:val="center"/>
                </w:tcPr>
                <w:p w14:paraId="739EDC01">
                  <w:pPr>
                    <w:widowControl/>
                    <w:jc w:val="center"/>
                    <w:rPr>
                      <w:rFonts w:hint="default" w:ascii="宋体" w:hAnsi="宋体" w:eastAsia="宋体" w:cs="宋体"/>
                      <w:color w:val="auto"/>
                      <w:sz w:val="24"/>
                      <w:szCs w:val="24"/>
                      <w:highlight w:val="none"/>
                    </w:rPr>
                  </w:pPr>
                </w:p>
              </w:tc>
              <w:tc>
                <w:tcPr>
                  <w:tcW w:w="1200" w:type="dxa"/>
                  <w:noWrap w:val="0"/>
                  <w:vAlign w:val="center"/>
                </w:tcPr>
                <w:p w14:paraId="6F2B096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内存存储阵列替换</w:t>
                  </w:r>
                </w:p>
              </w:tc>
              <w:tc>
                <w:tcPr>
                  <w:tcW w:w="4915" w:type="dxa"/>
                  <w:noWrap w:val="0"/>
                  <w:vAlign w:val="center"/>
                </w:tcPr>
                <w:p w14:paraId="323B8FA8">
                  <w:pPr>
                    <w:spacing w:before="157" w:line="248" w:lineRule="auto"/>
                    <w:ind w:left="114"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在硬件支持的情况下，支持故障内</w:t>
                  </w:r>
                  <w:r>
                    <w:rPr>
                      <w:rFonts w:hint="eastAsia" w:ascii="宋体" w:hAnsi="宋体" w:eastAsia="宋体" w:cs="宋体"/>
                      <w:i/>
                      <w:iCs/>
                      <w:color w:val="auto"/>
                      <w:spacing w:val="-2"/>
                      <w:sz w:val="24"/>
                      <w:szCs w:val="24"/>
                      <w:highlight w:val="none"/>
                      <w:u w:val="single"/>
                      <w:lang w:eastAsia="en-US"/>
                    </w:rPr>
                    <w:t>存存储阵列替换</w:t>
                  </w:r>
                </w:p>
              </w:tc>
            </w:tr>
            <w:tr w14:paraId="5B6AA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0844A7B5">
                  <w:pPr>
                    <w:spacing w:before="272" w:line="238"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87</w:t>
                  </w:r>
                </w:p>
              </w:tc>
              <w:tc>
                <w:tcPr>
                  <w:tcW w:w="1314" w:type="dxa"/>
                  <w:vMerge w:val="continue"/>
                  <w:tcBorders>
                    <w:top w:val="nil"/>
                  </w:tcBorders>
                  <w:noWrap w:val="0"/>
                  <w:vAlign w:val="center"/>
                </w:tcPr>
                <w:p w14:paraId="425BDEA9">
                  <w:pPr>
                    <w:widowControl/>
                    <w:jc w:val="center"/>
                    <w:rPr>
                      <w:rFonts w:hint="default" w:ascii="宋体" w:hAnsi="宋体" w:eastAsia="宋体" w:cs="宋体"/>
                      <w:color w:val="auto"/>
                      <w:sz w:val="24"/>
                      <w:szCs w:val="24"/>
                      <w:highlight w:val="none"/>
                    </w:rPr>
                  </w:pPr>
                </w:p>
              </w:tc>
              <w:tc>
                <w:tcPr>
                  <w:tcW w:w="1200" w:type="dxa"/>
                  <w:noWrap w:val="0"/>
                  <w:vAlign w:val="center"/>
                </w:tcPr>
                <w:p w14:paraId="12B8312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安全启动</w:t>
                  </w:r>
                </w:p>
              </w:tc>
              <w:tc>
                <w:tcPr>
                  <w:tcW w:w="4915" w:type="dxa"/>
                  <w:noWrap w:val="0"/>
                  <w:vAlign w:val="center"/>
                </w:tcPr>
                <w:p w14:paraId="704BF9C3">
                  <w:pPr>
                    <w:spacing w:before="39" w:line="231" w:lineRule="auto"/>
                    <w:ind w:left="112" w:right="168" w:firstLine="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支持执行环境要求在整个系统启动的过程中，系统应提供一个机制来保护平台的完整性</w:t>
                  </w:r>
                </w:p>
              </w:tc>
            </w:tr>
            <w:tr w14:paraId="5123C1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19" w:type="dxa"/>
                  <w:noWrap w:val="0"/>
                  <w:vAlign w:val="center"/>
                </w:tcPr>
                <w:p w14:paraId="61F517B8">
                  <w:pPr>
                    <w:spacing w:before="272"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88</w:t>
                  </w:r>
                </w:p>
              </w:tc>
              <w:tc>
                <w:tcPr>
                  <w:tcW w:w="1314" w:type="dxa"/>
                  <w:vMerge w:val="restart"/>
                  <w:tcBorders>
                    <w:bottom w:val="nil"/>
                  </w:tcBorders>
                  <w:noWrap w:val="0"/>
                  <w:vAlign w:val="center"/>
                </w:tcPr>
                <w:p w14:paraId="078A3270">
                  <w:pPr>
                    <w:spacing w:before="59" w:line="247"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系统</w:t>
                  </w:r>
                  <w:r>
                    <w:rPr>
                      <w:rFonts w:hint="eastAsia" w:ascii="宋体" w:hAnsi="宋体" w:eastAsia="宋体" w:cs="宋体"/>
                      <w:color w:val="auto"/>
                      <w:spacing w:val="-3"/>
                      <w:sz w:val="24"/>
                      <w:szCs w:val="24"/>
                      <w:highlight w:val="none"/>
                      <w:lang w:eastAsia="en-US"/>
                    </w:rPr>
                    <w:t>安全要求</w:t>
                  </w:r>
                </w:p>
              </w:tc>
              <w:tc>
                <w:tcPr>
                  <w:tcW w:w="1200" w:type="dxa"/>
                  <w:noWrap w:val="0"/>
                  <w:vAlign w:val="center"/>
                </w:tcPr>
                <w:p w14:paraId="57B69C5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syslog 双向鉴别</w:t>
                  </w:r>
                </w:p>
              </w:tc>
              <w:tc>
                <w:tcPr>
                  <w:tcW w:w="4915" w:type="dxa"/>
                  <w:noWrap w:val="0"/>
                  <w:vAlign w:val="center"/>
                </w:tcPr>
                <w:p w14:paraId="6305018F">
                  <w:pPr>
                    <w:spacing w:before="160" w:line="247" w:lineRule="auto"/>
                    <w:ind w:left="112" w:right="168" w:firstLine="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支持系统日志双向鉴别，对服务器根证书和客户端根证书进行鉴别</w:t>
                  </w:r>
                </w:p>
              </w:tc>
            </w:tr>
            <w:tr w14:paraId="06177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1FBDB845">
                  <w:pPr>
                    <w:spacing w:before="272" w:line="237" w:lineRule="exact"/>
                    <w:ind w:left="245"/>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position w:val="1"/>
                      <w:sz w:val="24"/>
                      <w:szCs w:val="24"/>
                      <w:highlight w:val="none"/>
                      <w:lang w:eastAsia="en-US"/>
                    </w:rPr>
                    <w:t>89</w:t>
                  </w:r>
                </w:p>
              </w:tc>
              <w:tc>
                <w:tcPr>
                  <w:tcW w:w="1314" w:type="dxa"/>
                  <w:vMerge w:val="continue"/>
                  <w:tcBorders>
                    <w:top w:val="nil"/>
                    <w:bottom w:val="nil"/>
                  </w:tcBorders>
                  <w:noWrap w:val="0"/>
                  <w:vAlign w:val="center"/>
                </w:tcPr>
                <w:p w14:paraId="325AEA6E">
                  <w:pPr>
                    <w:widowControl/>
                    <w:jc w:val="center"/>
                    <w:rPr>
                      <w:rFonts w:hint="default" w:ascii="宋体" w:hAnsi="宋体" w:eastAsia="宋体" w:cs="宋体"/>
                      <w:color w:val="auto"/>
                      <w:sz w:val="24"/>
                      <w:szCs w:val="24"/>
                      <w:highlight w:val="none"/>
                    </w:rPr>
                  </w:pPr>
                </w:p>
              </w:tc>
              <w:tc>
                <w:tcPr>
                  <w:tcW w:w="1200" w:type="dxa"/>
                  <w:noWrap w:val="0"/>
                  <w:vAlign w:val="center"/>
                </w:tcPr>
                <w:p w14:paraId="4BA7E10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弱口令字典检查</w:t>
                  </w:r>
                </w:p>
              </w:tc>
              <w:tc>
                <w:tcPr>
                  <w:tcW w:w="4915" w:type="dxa"/>
                  <w:noWrap w:val="0"/>
                  <w:vAlign w:val="center"/>
                </w:tcPr>
                <w:p w14:paraId="1CB70CC9">
                  <w:pPr>
                    <w:spacing w:before="39" w:line="231" w:lineRule="auto"/>
                    <w:ind w:left="118" w:right="168"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支持弱口令字典检查功能，出现在弱口令字典中的字符串不能被设置</w:t>
                  </w:r>
                  <w:r>
                    <w:rPr>
                      <w:rFonts w:hint="eastAsia" w:ascii="宋体" w:hAnsi="宋体" w:eastAsia="宋体" w:cs="宋体"/>
                      <w:i/>
                      <w:iCs/>
                      <w:color w:val="auto"/>
                      <w:spacing w:val="-3"/>
                      <w:sz w:val="24"/>
                      <w:szCs w:val="24"/>
                      <w:highlight w:val="none"/>
                      <w:u w:val="single"/>
                      <w:lang w:eastAsia="en-US"/>
                    </w:rPr>
                    <w:t>为用户口令</w:t>
                  </w:r>
                </w:p>
              </w:tc>
            </w:tr>
            <w:tr w14:paraId="6FAA13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6CC27548">
                  <w:pPr>
                    <w:spacing w:before="272"/>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90</w:t>
                  </w:r>
                </w:p>
              </w:tc>
              <w:tc>
                <w:tcPr>
                  <w:tcW w:w="1314" w:type="dxa"/>
                  <w:vMerge w:val="continue"/>
                  <w:tcBorders>
                    <w:top w:val="nil"/>
                    <w:bottom w:val="nil"/>
                  </w:tcBorders>
                  <w:noWrap w:val="0"/>
                  <w:vAlign w:val="center"/>
                </w:tcPr>
                <w:p w14:paraId="11362CE7">
                  <w:pPr>
                    <w:widowControl/>
                    <w:jc w:val="center"/>
                    <w:rPr>
                      <w:rFonts w:hint="default" w:ascii="宋体" w:hAnsi="宋体" w:eastAsia="宋体" w:cs="宋体"/>
                      <w:color w:val="auto"/>
                      <w:sz w:val="24"/>
                      <w:szCs w:val="24"/>
                      <w:highlight w:val="none"/>
                    </w:rPr>
                  </w:pPr>
                </w:p>
              </w:tc>
              <w:tc>
                <w:tcPr>
                  <w:tcW w:w="1200" w:type="dxa"/>
                  <w:noWrap w:val="0"/>
                  <w:vAlign w:val="center"/>
                </w:tcPr>
                <w:p w14:paraId="7B77E19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白名单访问控制</w:t>
                  </w:r>
                </w:p>
              </w:tc>
              <w:tc>
                <w:tcPr>
                  <w:tcW w:w="4915" w:type="dxa"/>
                  <w:noWrap w:val="0"/>
                  <w:vAlign w:val="center"/>
                </w:tcPr>
                <w:p w14:paraId="6ADE7F21">
                  <w:pPr>
                    <w:spacing w:before="159" w:line="248" w:lineRule="auto"/>
                    <w:ind w:left="123" w:right="125" w:hanging="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支持基于时间、IP或MAC 白名单访</w:t>
                  </w:r>
                  <w:r>
                    <w:rPr>
                      <w:rFonts w:hint="eastAsia" w:ascii="宋体" w:hAnsi="宋体" w:eastAsia="宋体" w:cs="宋体"/>
                      <w:i/>
                      <w:iCs/>
                      <w:color w:val="auto"/>
                      <w:spacing w:val="-6"/>
                      <w:sz w:val="24"/>
                      <w:szCs w:val="24"/>
                      <w:highlight w:val="none"/>
                      <w:u w:val="single"/>
                      <w:lang w:eastAsia="en-US"/>
                    </w:rPr>
                    <w:t>问控制</w:t>
                  </w:r>
                </w:p>
              </w:tc>
            </w:tr>
            <w:tr w14:paraId="40DEB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506B188F">
                  <w:pPr>
                    <w:spacing w:before="271"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91</w:t>
                  </w:r>
                </w:p>
              </w:tc>
              <w:tc>
                <w:tcPr>
                  <w:tcW w:w="1314" w:type="dxa"/>
                  <w:vMerge w:val="continue"/>
                  <w:tcBorders>
                    <w:top w:val="nil"/>
                    <w:bottom w:val="nil"/>
                  </w:tcBorders>
                  <w:noWrap w:val="0"/>
                  <w:vAlign w:val="center"/>
                </w:tcPr>
                <w:p w14:paraId="2F6977C7">
                  <w:pPr>
                    <w:widowControl/>
                    <w:jc w:val="center"/>
                    <w:rPr>
                      <w:rFonts w:hint="default" w:ascii="宋体" w:hAnsi="宋体" w:eastAsia="宋体" w:cs="宋体"/>
                      <w:color w:val="auto"/>
                      <w:sz w:val="24"/>
                      <w:szCs w:val="24"/>
                      <w:highlight w:val="none"/>
                    </w:rPr>
                  </w:pPr>
                </w:p>
              </w:tc>
              <w:tc>
                <w:tcPr>
                  <w:tcW w:w="1200" w:type="dxa"/>
                  <w:noWrap w:val="0"/>
                  <w:vAlign w:val="center"/>
                </w:tcPr>
                <w:p w14:paraId="4F2B049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双因素鉴别</w:t>
                  </w:r>
                </w:p>
              </w:tc>
              <w:tc>
                <w:tcPr>
                  <w:tcW w:w="4915" w:type="dxa"/>
                  <w:noWrap w:val="0"/>
                  <w:vAlign w:val="center"/>
                </w:tcPr>
                <w:p w14:paraId="50FA04B4">
                  <w:pPr>
                    <w:spacing w:before="159" w:line="247" w:lineRule="auto"/>
                    <w:ind w:left="116" w:right="168"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支持使用客户端证书和证书密码的双因素鉴别方式登录管理系统</w:t>
                  </w:r>
                </w:p>
              </w:tc>
            </w:tr>
            <w:tr w14:paraId="4691D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3EE00260">
                  <w:pPr>
                    <w:widowControl/>
                    <w:spacing w:line="332" w:lineRule="auto"/>
                    <w:rPr>
                      <w:rFonts w:hint="default" w:ascii="宋体" w:hAnsi="宋体" w:eastAsia="宋体" w:cs="宋体"/>
                      <w:color w:val="auto"/>
                      <w:sz w:val="24"/>
                      <w:szCs w:val="24"/>
                      <w:highlight w:val="none"/>
                    </w:rPr>
                  </w:pPr>
                </w:p>
                <w:p w14:paraId="2EF7F2B2">
                  <w:pPr>
                    <w:spacing w:before="59"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92</w:t>
                  </w:r>
                </w:p>
              </w:tc>
              <w:tc>
                <w:tcPr>
                  <w:tcW w:w="1314" w:type="dxa"/>
                  <w:vMerge w:val="continue"/>
                  <w:tcBorders>
                    <w:top w:val="nil"/>
                    <w:bottom w:val="nil"/>
                  </w:tcBorders>
                  <w:noWrap w:val="0"/>
                  <w:vAlign w:val="center"/>
                </w:tcPr>
                <w:p w14:paraId="57FDE1B8">
                  <w:pPr>
                    <w:widowControl/>
                    <w:jc w:val="center"/>
                    <w:rPr>
                      <w:rFonts w:hint="default" w:ascii="宋体" w:hAnsi="宋体" w:eastAsia="宋体" w:cs="宋体"/>
                      <w:color w:val="auto"/>
                      <w:sz w:val="24"/>
                      <w:szCs w:val="24"/>
                      <w:highlight w:val="none"/>
                    </w:rPr>
                  </w:pPr>
                </w:p>
              </w:tc>
              <w:tc>
                <w:tcPr>
                  <w:tcW w:w="1200" w:type="dxa"/>
                  <w:noWrap w:val="0"/>
                  <w:vAlign w:val="center"/>
                </w:tcPr>
                <w:p w14:paraId="59903210">
                  <w:pPr>
                    <w:spacing w:before="58"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二次鉴别</w:t>
                  </w:r>
                </w:p>
              </w:tc>
              <w:tc>
                <w:tcPr>
                  <w:tcW w:w="4915" w:type="dxa"/>
                  <w:noWrap w:val="0"/>
                  <w:vAlign w:val="center"/>
                </w:tcPr>
                <w:p w14:paraId="037684FF">
                  <w:pPr>
                    <w:spacing w:before="37" w:line="235" w:lineRule="auto"/>
                    <w:ind w:left="112" w:right="41" w:firstLine="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支持二次鉴别功能。对于用户配置、</w:t>
                  </w:r>
                  <w:r>
                    <w:rPr>
                      <w:rFonts w:hint="eastAsia" w:ascii="宋体" w:hAnsi="宋体" w:eastAsia="宋体" w:cs="宋体"/>
                      <w:i/>
                      <w:iCs/>
                      <w:color w:val="auto"/>
                      <w:spacing w:val="-1"/>
                      <w:sz w:val="24"/>
                      <w:szCs w:val="24"/>
                      <w:highlight w:val="none"/>
                      <w:u w:val="single"/>
                      <w:lang w:eastAsia="en-US"/>
                    </w:rPr>
                    <w:t>权限配置、公钥导入等重要的管理操作，已登录用户应通过二次鉴别后，才能执行操作</w:t>
                  </w:r>
                </w:p>
              </w:tc>
            </w:tr>
            <w:tr w14:paraId="64E03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0418F0BD">
                  <w:pPr>
                    <w:spacing w:before="273" w:line="238"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93</w:t>
                  </w:r>
                </w:p>
              </w:tc>
              <w:tc>
                <w:tcPr>
                  <w:tcW w:w="1314" w:type="dxa"/>
                  <w:vMerge w:val="continue"/>
                  <w:tcBorders>
                    <w:top w:val="nil"/>
                    <w:bottom w:val="nil"/>
                  </w:tcBorders>
                  <w:noWrap w:val="0"/>
                  <w:vAlign w:val="center"/>
                </w:tcPr>
                <w:p w14:paraId="34D414E8">
                  <w:pPr>
                    <w:widowControl/>
                    <w:jc w:val="center"/>
                    <w:rPr>
                      <w:rFonts w:hint="default" w:ascii="宋体" w:hAnsi="宋体" w:eastAsia="宋体" w:cs="宋体"/>
                      <w:color w:val="auto"/>
                      <w:sz w:val="24"/>
                      <w:szCs w:val="24"/>
                      <w:highlight w:val="none"/>
                    </w:rPr>
                  </w:pPr>
                </w:p>
              </w:tc>
              <w:tc>
                <w:tcPr>
                  <w:tcW w:w="1200" w:type="dxa"/>
                  <w:noWrap w:val="0"/>
                  <w:vAlign w:val="center"/>
                </w:tcPr>
                <w:p w14:paraId="52AD2BB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匿名化用</w:t>
                  </w:r>
                </w:p>
                <w:p w14:paraId="177D63B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户告警接收邮箱</w:t>
                  </w:r>
                </w:p>
              </w:tc>
              <w:tc>
                <w:tcPr>
                  <w:tcW w:w="4915" w:type="dxa"/>
                  <w:noWrap w:val="0"/>
                  <w:vAlign w:val="center"/>
                </w:tcPr>
                <w:p w14:paraId="3FC5C3F2">
                  <w:pPr>
                    <w:spacing w:before="160" w:line="248" w:lineRule="auto"/>
                    <w:ind w:left="113" w:right="168" w:firstLine="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支持带外管理系统中的用户告警接收邮箱进行匿名化处理</w:t>
                  </w:r>
                </w:p>
              </w:tc>
            </w:tr>
            <w:tr w14:paraId="24D32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302D5C8F">
                  <w:pPr>
                    <w:spacing w:before="58"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94</w:t>
                  </w:r>
                </w:p>
              </w:tc>
              <w:tc>
                <w:tcPr>
                  <w:tcW w:w="1314" w:type="dxa"/>
                  <w:vMerge w:val="continue"/>
                  <w:tcBorders>
                    <w:top w:val="nil"/>
                    <w:bottom w:val="nil"/>
                  </w:tcBorders>
                  <w:noWrap w:val="0"/>
                  <w:vAlign w:val="center"/>
                </w:tcPr>
                <w:p w14:paraId="37651564">
                  <w:pPr>
                    <w:widowControl/>
                    <w:jc w:val="center"/>
                    <w:rPr>
                      <w:rFonts w:hint="default" w:ascii="宋体" w:hAnsi="宋体" w:eastAsia="宋体" w:cs="宋体"/>
                      <w:color w:val="auto"/>
                      <w:sz w:val="24"/>
                      <w:szCs w:val="24"/>
                      <w:highlight w:val="none"/>
                    </w:rPr>
                  </w:pPr>
                </w:p>
              </w:tc>
              <w:tc>
                <w:tcPr>
                  <w:tcW w:w="1200" w:type="dxa"/>
                  <w:noWrap w:val="0"/>
                  <w:vAlign w:val="center"/>
                </w:tcPr>
                <w:p w14:paraId="6130525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密码证书安全加密存储</w:t>
                  </w:r>
                </w:p>
              </w:tc>
              <w:tc>
                <w:tcPr>
                  <w:tcW w:w="4915" w:type="dxa"/>
                  <w:noWrap w:val="0"/>
                  <w:vAlign w:val="center"/>
                </w:tcPr>
                <w:p w14:paraId="674EE315">
                  <w:pPr>
                    <w:spacing w:before="41" w:line="234" w:lineRule="auto"/>
                    <w:ind w:left="114" w:right="168" w:firstLine="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支持对带外管理系统中的用户口令和证书等敏感信息进行加密存储，禁止使用私有的和业界已知不安全</w:t>
                  </w:r>
                  <w:r>
                    <w:rPr>
                      <w:rFonts w:hint="eastAsia" w:ascii="宋体" w:hAnsi="宋体" w:eastAsia="宋体" w:cs="宋体"/>
                      <w:i/>
                      <w:iCs/>
                      <w:color w:val="auto"/>
                      <w:spacing w:val="-2"/>
                      <w:sz w:val="24"/>
                      <w:szCs w:val="24"/>
                      <w:highlight w:val="none"/>
                      <w:u w:val="single"/>
                      <w:lang w:eastAsia="en-US"/>
                    </w:rPr>
                    <w:t>的密码算法</w:t>
                  </w:r>
                </w:p>
              </w:tc>
            </w:tr>
            <w:tr w14:paraId="784501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77A49DFE">
                  <w:pPr>
                    <w:spacing w:before="274" w:line="242"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95</w:t>
                  </w:r>
                </w:p>
              </w:tc>
              <w:tc>
                <w:tcPr>
                  <w:tcW w:w="1314" w:type="dxa"/>
                  <w:vMerge w:val="continue"/>
                  <w:tcBorders>
                    <w:top w:val="nil"/>
                  </w:tcBorders>
                  <w:noWrap w:val="0"/>
                  <w:vAlign w:val="center"/>
                </w:tcPr>
                <w:p w14:paraId="038DD9A9">
                  <w:pPr>
                    <w:widowControl/>
                    <w:jc w:val="center"/>
                    <w:rPr>
                      <w:rFonts w:hint="default" w:ascii="宋体" w:hAnsi="宋体" w:eastAsia="宋体" w:cs="宋体"/>
                      <w:color w:val="auto"/>
                      <w:sz w:val="24"/>
                      <w:szCs w:val="24"/>
                      <w:highlight w:val="none"/>
                    </w:rPr>
                  </w:pPr>
                </w:p>
              </w:tc>
              <w:tc>
                <w:tcPr>
                  <w:tcW w:w="1200" w:type="dxa"/>
                  <w:noWrap w:val="0"/>
                  <w:vAlign w:val="center"/>
                </w:tcPr>
                <w:p w14:paraId="264CAA9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敏感信息安全加密传输</w:t>
                  </w:r>
                </w:p>
              </w:tc>
              <w:tc>
                <w:tcPr>
                  <w:tcW w:w="4915" w:type="dxa"/>
                  <w:noWrap w:val="0"/>
                  <w:vAlign w:val="center"/>
                </w:tcPr>
                <w:p w14:paraId="729DC395">
                  <w:pPr>
                    <w:spacing w:before="42" w:line="230" w:lineRule="auto"/>
                    <w:ind w:left="113" w:right="103" w:firstLine="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支持使用安全的传输加密协议（如</w:t>
                  </w:r>
                  <w:r>
                    <w:rPr>
                      <w:rFonts w:hint="eastAsia" w:ascii="宋体" w:hAnsi="宋体" w:eastAsia="宋体" w:cs="宋体"/>
                      <w:i/>
                      <w:iCs/>
                      <w:color w:val="auto"/>
                      <w:spacing w:val="-6"/>
                      <w:sz w:val="24"/>
                      <w:szCs w:val="24"/>
                      <w:highlight w:val="none"/>
                      <w:u w:val="single"/>
                      <w:lang w:eastAsia="en-US"/>
                    </w:rPr>
                    <w:t>SSH或</w:t>
                  </w:r>
                  <w:r>
                    <w:rPr>
                      <w:rFonts w:hint="default" w:eastAsia="宋体" w:cs="Times New Roman"/>
                      <w:color w:val="auto"/>
                      <w:highlight w:val="none"/>
                    </w:rPr>
                    <w:fldChar w:fldCharType="begin"/>
                  </w:r>
                  <w:r>
                    <w:rPr>
                      <w:rFonts w:hint="default" w:eastAsia="宋体" w:cs="Times New Roman"/>
                      <w:color w:val="auto"/>
                      <w:highlight w:val="none"/>
                    </w:rPr>
                    <w:instrText xml:space="preserve"> HYPERLINK "file:///C:\\Users\\Administrator\\Documents\\WeChat%20Files\\zj19900816zj\\FileStorage\\File\\2026-07\\HTTPS" </w:instrText>
                  </w:r>
                  <w:r>
                    <w:rPr>
                      <w:rFonts w:hint="default" w:eastAsia="宋体" w:cs="Times New Roman"/>
                      <w:color w:val="auto"/>
                      <w:highlight w:val="none"/>
                    </w:rPr>
                    <w:fldChar w:fldCharType="separate"/>
                  </w:r>
                  <w:r>
                    <w:rPr>
                      <w:rFonts w:hint="eastAsia" w:ascii="宋体" w:hAnsi="宋体" w:eastAsia="宋体" w:cs="宋体"/>
                      <w:i/>
                      <w:iCs/>
                      <w:color w:val="auto"/>
                      <w:spacing w:val="-6"/>
                      <w:sz w:val="24"/>
                      <w:szCs w:val="24"/>
                      <w:highlight w:val="none"/>
                      <w:u w:val="single"/>
                      <w:lang w:eastAsia="en-US"/>
                    </w:rPr>
                    <w:t>HTTPS</w:t>
                  </w:r>
                  <w:r>
                    <w:rPr>
                      <w:rFonts w:hint="eastAsia" w:ascii="宋体" w:hAnsi="宋体" w:eastAsia="宋体" w:cs="宋体"/>
                      <w:i/>
                      <w:iCs/>
                      <w:color w:val="auto"/>
                      <w:spacing w:val="-6"/>
                      <w:sz w:val="24"/>
                      <w:szCs w:val="24"/>
                      <w:highlight w:val="none"/>
                      <w:u w:val="single"/>
                      <w:lang w:eastAsia="en-US"/>
                    </w:rPr>
                    <w:fldChar w:fldCharType="end"/>
                  </w:r>
                  <w:r>
                    <w:rPr>
                      <w:rFonts w:hint="eastAsia" w:ascii="宋体" w:hAnsi="宋体" w:eastAsia="宋体" w:cs="宋体"/>
                      <w:i/>
                      <w:iCs/>
                      <w:color w:val="auto"/>
                      <w:spacing w:val="-6"/>
                      <w:sz w:val="24"/>
                      <w:szCs w:val="24"/>
                      <w:highlight w:val="none"/>
                      <w:u w:val="single"/>
                      <w:lang w:eastAsia="en-US"/>
                    </w:rPr>
                    <w:t>等）传输用户的敏感信</w:t>
                  </w:r>
                  <w:r>
                    <w:rPr>
                      <w:rFonts w:hint="eastAsia" w:ascii="宋体" w:hAnsi="宋体" w:eastAsia="宋体" w:cs="宋体"/>
                      <w:i/>
                      <w:iCs/>
                      <w:color w:val="auto"/>
                      <w:sz w:val="24"/>
                      <w:szCs w:val="24"/>
                      <w:highlight w:val="none"/>
                      <w:u w:val="single"/>
                      <w:lang w:eastAsia="en-US"/>
                    </w:rPr>
                    <w:t>息</w:t>
                  </w:r>
                </w:p>
              </w:tc>
            </w:tr>
            <w:tr w14:paraId="59C2D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8" w:hRule="atLeast"/>
                <w:jc w:val="center"/>
              </w:trPr>
              <w:tc>
                <w:tcPr>
                  <w:tcW w:w="719" w:type="dxa"/>
                  <w:noWrap w:val="0"/>
                  <w:vAlign w:val="center"/>
                </w:tcPr>
                <w:p w14:paraId="71A8E503">
                  <w:pPr>
                    <w:spacing w:before="58" w:line="242" w:lineRule="auto"/>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96</w:t>
                  </w:r>
                </w:p>
              </w:tc>
              <w:tc>
                <w:tcPr>
                  <w:tcW w:w="1314" w:type="dxa"/>
                  <w:vMerge w:val="restart"/>
                  <w:tcBorders>
                    <w:bottom w:val="nil"/>
                  </w:tcBorders>
                  <w:noWrap w:val="0"/>
                  <w:vAlign w:val="center"/>
                </w:tcPr>
                <w:p w14:paraId="116C2F75">
                  <w:pPr>
                    <w:spacing w:before="59" w:line="247"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信息</w:t>
                  </w:r>
                  <w:r>
                    <w:rPr>
                      <w:rFonts w:hint="eastAsia" w:ascii="宋体" w:hAnsi="宋体" w:eastAsia="宋体" w:cs="宋体"/>
                      <w:color w:val="auto"/>
                      <w:spacing w:val="-3"/>
                      <w:sz w:val="24"/>
                      <w:szCs w:val="24"/>
                      <w:highlight w:val="none"/>
                      <w:lang w:eastAsia="en-US"/>
                    </w:rPr>
                    <w:t>安全要求</w:t>
                  </w:r>
                </w:p>
              </w:tc>
              <w:tc>
                <w:tcPr>
                  <w:tcW w:w="1200" w:type="dxa"/>
                  <w:noWrap w:val="0"/>
                  <w:vAlign w:val="center"/>
                </w:tcPr>
                <w:p w14:paraId="41C1C69C">
                  <w:pPr>
                    <w:spacing w:before="58" w:line="248" w:lineRule="auto"/>
                    <w:ind w:right="12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研发过程安全</w:t>
                  </w:r>
                </w:p>
              </w:tc>
              <w:tc>
                <w:tcPr>
                  <w:tcW w:w="4915" w:type="dxa"/>
                  <w:noWrap w:val="0"/>
                  <w:vAlign w:val="center"/>
                </w:tcPr>
                <w:p w14:paraId="7E3214B4">
                  <w:pPr>
                    <w:spacing w:before="41" w:line="246" w:lineRule="auto"/>
                    <w:ind w:left="114" w:right="41" w:hanging="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供应商承诺，生产商已建立从需求、</w:t>
                  </w:r>
                  <w:r>
                    <w:rPr>
                      <w:rFonts w:hint="eastAsia" w:ascii="宋体" w:hAnsi="宋体" w:eastAsia="宋体" w:cs="宋体"/>
                      <w:i/>
                      <w:iCs/>
                      <w:color w:val="auto"/>
                      <w:spacing w:val="-1"/>
                      <w:sz w:val="24"/>
                      <w:szCs w:val="24"/>
                      <w:highlight w:val="none"/>
                      <w:u w:val="single"/>
                      <w:lang w:eastAsia="en-US"/>
                    </w:rPr>
                    <w:t>设计、开发、测试、维护端到端的开发流程管理机制，输出和保存开发流程中每个阶段的产品需求清</w:t>
                  </w:r>
                </w:p>
                <w:p w14:paraId="4F88173D">
                  <w:pPr>
                    <w:spacing w:line="222" w:lineRule="auto"/>
                    <w:ind w:left="115" w:right="168" w:firstLine="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单、设计文档、开发文档、测试记录等材料，保证各个流程可追溯</w:t>
                  </w:r>
                </w:p>
              </w:tc>
            </w:tr>
            <w:tr w14:paraId="0D7E81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69BE3327">
                  <w:pPr>
                    <w:spacing w:before="59"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97</w:t>
                  </w:r>
                </w:p>
              </w:tc>
              <w:tc>
                <w:tcPr>
                  <w:tcW w:w="1314" w:type="dxa"/>
                  <w:vMerge w:val="continue"/>
                  <w:tcBorders>
                    <w:top w:val="nil"/>
                    <w:bottom w:val="nil"/>
                  </w:tcBorders>
                  <w:noWrap w:val="0"/>
                  <w:vAlign w:val="center"/>
                </w:tcPr>
                <w:p w14:paraId="7900BB64">
                  <w:pPr>
                    <w:widowControl/>
                    <w:jc w:val="center"/>
                    <w:rPr>
                      <w:rFonts w:hint="default" w:ascii="宋体" w:hAnsi="宋体" w:eastAsia="宋体" w:cs="宋体"/>
                      <w:color w:val="auto"/>
                      <w:sz w:val="24"/>
                      <w:szCs w:val="24"/>
                      <w:highlight w:val="none"/>
                    </w:rPr>
                  </w:pPr>
                </w:p>
              </w:tc>
              <w:tc>
                <w:tcPr>
                  <w:tcW w:w="1200" w:type="dxa"/>
                  <w:noWrap w:val="0"/>
                  <w:vAlign w:val="center"/>
                </w:tcPr>
                <w:p w14:paraId="527E8FA7">
                  <w:pPr>
                    <w:spacing w:before="59" w:line="222" w:lineRule="auto"/>
                    <w:ind w:left="110"/>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漏洞管理</w:t>
                  </w:r>
                </w:p>
              </w:tc>
              <w:tc>
                <w:tcPr>
                  <w:tcW w:w="4915" w:type="dxa"/>
                  <w:noWrap w:val="0"/>
                  <w:vAlign w:val="center"/>
                </w:tcPr>
                <w:p w14:paraId="7C119E5F">
                  <w:pPr>
                    <w:spacing w:before="41" w:line="234" w:lineRule="auto"/>
                    <w:ind w:left="113"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供应商承诺，生产商已建立漏洞全量视图，保证产品版本涉及到的所</w:t>
                  </w:r>
                  <w:r>
                    <w:rPr>
                      <w:rFonts w:hint="eastAsia" w:ascii="宋体" w:hAnsi="宋体" w:eastAsia="宋体" w:cs="宋体"/>
                      <w:i/>
                      <w:iCs/>
                      <w:color w:val="auto"/>
                      <w:spacing w:val="-2"/>
                      <w:sz w:val="24"/>
                      <w:szCs w:val="24"/>
                      <w:highlight w:val="none"/>
                      <w:u w:val="single"/>
                      <w:lang w:eastAsia="en-US"/>
                    </w:rPr>
                    <w:t>有漏洞(如驱动程序、BMC软件等)都可以查看</w:t>
                  </w:r>
                </w:p>
              </w:tc>
            </w:tr>
            <w:tr w14:paraId="2B14E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7C4F93C3">
                  <w:pPr>
                    <w:spacing w:before="277"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98</w:t>
                  </w:r>
                </w:p>
              </w:tc>
              <w:tc>
                <w:tcPr>
                  <w:tcW w:w="1314" w:type="dxa"/>
                  <w:vMerge w:val="continue"/>
                  <w:tcBorders>
                    <w:top w:val="nil"/>
                    <w:bottom w:val="nil"/>
                  </w:tcBorders>
                  <w:noWrap w:val="0"/>
                  <w:vAlign w:val="center"/>
                </w:tcPr>
                <w:p w14:paraId="27D3533D">
                  <w:pPr>
                    <w:widowControl/>
                    <w:jc w:val="center"/>
                    <w:rPr>
                      <w:rFonts w:hint="default" w:ascii="宋体" w:hAnsi="宋体" w:eastAsia="宋体" w:cs="宋体"/>
                      <w:color w:val="auto"/>
                      <w:sz w:val="24"/>
                      <w:szCs w:val="24"/>
                      <w:highlight w:val="none"/>
                    </w:rPr>
                  </w:pPr>
                </w:p>
              </w:tc>
              <w:tc>
                <w:tcPr>
                  <w:tcW w:w="1200" w:type="dxa"/>
                  <w:noWrap w:val="0"/>
                  <w:vAlign w:val="center"/>
                </w:tcPr>
                <w:p w14:paraId="191E514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网络关键</w:t>
                  </w:r>
                </w:p>
                <w:p w14:paraId="4EE51F2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设备服务器要求</w:t>
                  </w:r>
                </w:p>
              </w:tc>
              <w:tc>
                <w:tcPr>
                  <w:tcW w:w="4915" w:type="dxa"/>
                  <w:noWrap w:val="0"/>
                  <w:vAlign w:val="center"/>
                </w:tcPr>
                <w:p w14:paraId="5B0D330D">
                  <w:pPr>
                    <w:spacing w:before="162" w:line="248"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作为网络关键设备的服务器应符合</w:t>
                  </w:r>
                  <w:r>
                    <w:rPr>
                      <w:rFonts w:hint="eastAsia" w:ascii="宋体" w:hAnsi="宋体" w:eastAsia="宋体" w:cs="宋体"/>
                      <w:i/>
                      <w:iCs/>
                      <w:color w:val="auto"/>
                      <w:spacing w:val="-3"/>
                      <w:sz w:val="24"/>
                      <w:szCs w:val="24"/>
                      <w:highlight w:val="none"/>
                      <w:u w:val="single"/>
                      <w:lang w:eastAsia="en-US"/>
                    </w:rPr>
                    <w:t>GB 40050的相关规定</w:t>
                  </w:r>
                </w:p>
              </w:tc>
            </w:tr>
            <w:tr w14:paraId="78EA53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7" w:hRule="atLeast"/>
                <w:jc w:val="center"/>
              </w:trPr>
              <w:tc>
                <w:tcPr>
                  <w:tcW w:w="719" w:type="dxa"/>
                  <w:noWrap w:val="0"/>
                  <w:vAlign w:val="center"/>
                </w:tcPr>
                <w:p w14:paraId="6B223A7F">
                  <w:pPr>
                    <w:spacing w:before="58" w:line="237" w:lineRule="exact"/>
                    <w:ind w:left="242"/>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position w:val="1"/>
                      <w:sz w:val="24"/>
                      <w:szCs w:val="24"/>
                      <w:highlight w:val="none"/>
                      <w:lang w:eastAsia="en-US"/>
                    </w:rPr>
                    <w:t>99</w:t>
                  </w:r>
                </w:p>
              </w:tc>
              <w:tc>
                <w:tcPr>
                  <w:tcW w:w="1314" w:type="dxa"/>
                  <w:vMerge w:val="continue"/>
                  <w:tcBorders>
                    <w:top w:val="nil"/>
                  </w:tcBorders>
                  <w:noWrap w:val="0"/>
                  <w:vAlign w:val="center"/>
                </w:tcPr>
                <w:p w14:paraId="38C6B8A5">
                  <w:pPr>
                    <w:widowControl/>
                    <w:jc w:val="center"/>
                    <w:rPr>
                      <w:rFonts w:hint="default" w:ascii="宋体" w:hAnsi="宋体" w:eastAsia="宋体" w:cs="宋体"/>
                      <w:color w:val="auto"/>
                      <w:sz w:val="24"/>
                      <w:szCs w:val="24"/>
                      <w:highlight w:val="none"/>
                    </w:rPr>
                  </w:pPr>
                </w:p>
              </w:tc>
              <w:tc>
                <w:tcPr>
                  <w:tcW w:w="1200" w:type="dxa"/>
                  <w:noWrap w:val="0"/>
                  <w:vAlign w:val="center"/>
                </w:tcPr>
                <w:p w14:paraId="621755E7">
                  <w:pPr>
                    <w:spacing w:before="59" w:line="222" w:lineRule="auto"/>
                    <w:ind w:left="109"/>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增强要求</w:t>
                  </w:r>
                </w:p>
              </w:tc>
              <w:tc>
                <w:tcPr>
                  <w:tcW w:w="4915" w:type="dxa"/>
                  <w:noWrap w:val="0"/>
                  <w:vAlign w:val="center"/>
                </w:tcPr>
                <w:p w14:paraId="768EBD06">
                  <w:pPr>
                    <w:spacing w:before="44" w:line="243" w:lineRule="auto"/>
                    <w:ind w:left="113" w:right="103"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a) 嵌入物理可信根，实现设备的信任链构建；</w:t>
                  </w:r>
                </w:p>
                <w:p w14:paraId="2E9C73DD">
                  <w:pPr>
                    <w:spacing w:before="5" w:line="213" w:lineRule="auto"/>
                    <w:ind w:left="11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 支持可信平台控制模块(TPCM)；</w:t>
                  </w:r>
                </w:p>
                <w:p w14:paraId="709DAF30">
                  <w:pPr>
                    <w:spacing w:before="32" w:line="221"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c) 支持在固件系统（BMC、BIOS）</w:t>
                  </w:r>
                </w:p>
                <w:p w14:paraId="5C2BCDDE">
                  <w:pPr>
                    <w:spacing w:before="24" w:line="230" w:lineRule="auto"/>
                    <w:ind w:left="112" w:right="103" w:firstLine="1"/>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启动前实现对固件度量的功能，支持物理可信根对BMC固件或BIOS固件进行完整性检测、更新和恢复；</w:t>
                  </w:r>
                </w:p>
                <w:p w14:paraId="29A41E73">
                  <w:pPr>
                    <w:spacing w:before="38" w:line="246" w:lineRule="auto"/>
                    <w:ind w:left="113" w:right="12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d) 支持对CPU、网络控制器等关键处理器进行身份识别与度量的功</w:t>
                  </w:r>
                </w:p>
                <w:p w14:paraId="47703712">
                  <w:pPr>
                    <w:spacing w:line="212"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能；</w:t>
                  </w:r>
                </w:p>
                <w:p w14:paraId="101967A1">
                  <w:pPr>
                    <w:spacing w:before="32" w:line="243" w:lineRule="auto"/>
                    <w:ind w:left="112" w:right="259"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e) 支持基于处理器或可信计算模块度量的功能；</w:t>
                  </w:r>
                </w:p>
                <w:p w14:paraId="5B0694B1">
                  <w:pPr>
                    <w:spacing w:before="6" w:line="243" w:lineRule="auto"/>
                    <w:ind w:left="113" w:right="259"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f) 所采用的可信密码模块接口应</w:t>
                  </w:r>
                  <w:r>
                    <w:rPr>
                      <w:rFonts w:hint="eastAsia" w:ascii="宋体" w:hAnsi="宋体" w:eastAsia="宋体" w:cs="宋体"/>
                      <w:i/>
                      <w:iCs/>
                      <w:color w:val="auto"/>
                      <w:spacing w:val="-2"/>
                      <w:sz w:val="24"/>
                      <w:szCs w:val="24"/>
                      <w:highlight w:val="none"/>
                      <w:u w:val="single"/>
                      <w:lang w:eastAsia="en-US"/>
                    </w:rPr>
                    <w:t>符合GM/T 0012的相关规定；</w:t>
                  </w:r>
                </w:p>
                <w:p w14:paraId="1B998595">
                  <w:pPr>
                    <w:spacing w:before="24" w:line="230" w:lineRule="auto"/>
                    <w:ind w:left="112" w:right="103" w:firstLine="1"/>
                    <w:rPr>
                      <w:rFonts w:hint="default" w:ascii="宋体" w:hAnsi="宋体" w:eastAsia="宋体" w:cs="宋体"/>
                      <w:i/>
                      <w:iCs/>
                      <w:color w:val="auto"/>
                      <w:spacing w:val="-1"/>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g) 可信安全管理模块、处理器等硬</w:t>
                  </w:r>
                  <w:r>
                    <w:rPr>
                      <w:rFonts w:hint="eastAsia" w:ascii="宋体" w:hAnsi="宋体" w:eastAsia="宋体" w:cs="宋体"/>
                      <w:i/>
                      <w:iCs/>
                      <w:color w:val="auto"/>
                      <w:spacing w:val="-1"/>
                      <w:sz w:val="24"/>
                      <w:szCs w:val="24"/>
                      <w:highlight w:val="none"/>
                      <w:u w:val="single"/>
                      <w:lang w:eastAsia="en-US"/>
                    </w:rPr>
                    <w:t>件载体应通过国家相关部门的认证</w:t>
                  </w:r>
                  <w:r>
                    <w:rPr>
                      <w:rFonts w:hint="eastAsia" w:ascii="宋体" w:hAnsi="宋体" w:eastAsia="宋体" w:cs="宋体"/>
                      <w:i/>
                      <w:iCs/>
                      <w:color w:val="auto"/>
                      <w:spacing w:val="-2"/>
                      <w:sz w:val="24"/>
                      <w:szCs w:val="24"/>
                      <w:highlight w:val="none"/>
                      <w:u w:val="single"/>
                      <w:lang w:eastAsia="en-US"/>
                    </w:rPr>
                    <w:t>和许可</w:t>
                  </w:r>
                </w:p>
              </w:tc>
            </w:tr>
            <w:tr w14:paraId="5693B7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2D6E0CF1">
                  <w:pPr>
                    <w:spacing w:before="154"/>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100</w:t>
                  </w:r>
                </w:p>
              </w:tc>
              <w:tc>
                <w:tcPr>
                  <w:tcW w:w="1314" w:type="dxa"/>
                  <w:noWrap w:val="0"/>
                  <w:vAlign w:val="center"/>
                </w:tcPr>
                <w:p w14:paraId="6F59247A">
                  <w:pPr>
                    <w:spacing w:before="40" w:line="223" w:lineRule="auto"/>
                    <w:ind w:left="195" w:right="141" w:hanging="5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物理</w:t>
                  </w:r>
                  <w:r>
                    <w:rPr>
                      <w:rFonts w:hint="eastAsia" w:ascii="宋体" w:hAnsi="宋体" w:eastAsia="宋体" w:cs="宋体"/>
                      <w:color w:val="auto"/>
                      <w:spacing w:val="-8"/>
                      <w:sz w:val="24"/>
                      <w:szCs w:val="24"/>
                      <w:highlight w:val="none"/>
                      <w:lang w:eastAsia="en-US"/>
                    </w:rPr>
                    <w:t>安全</w:t>
                  </w:r>
                </w:p>
              </w:tc>
              <w:tc>
                <w:tcPr>
                  <w:tcW w:w="1200" w:type="dxa"/>
                  <w:noWrap w:val="0"/>
                  <w:vAlign w:val="center"/>
                </w:tcPr>
                <w:p w14:paraId="12F06F0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物理安全</w:t>
                  </w:r>
                </w:p>
              </w:tc>
              <w:tc>
                <w:tcPr>
                  <w:tcW w:w="4915" w:type="dxa"/>
                  <w:noWrap w:val="0"/>
                  <w:vAlign w:val="center"/>
                </w:tcPr>
                <w:p w14:paraId="0B3ADD41">
                  <w:pPr>
                    <w:spacing w:before="158" w:line="222" w:lineRule="auto"/>
                    <w:ind w:left="120"/>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安全要求应符合GB 4943.1的规定</w:t>
                  </w:r>
                </w:p>
              </w:tc>
            </w:tr>
            <w:tr w14:paraId="049A2D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19" w:type="dxa"/>
                  <w:noWrap w:val="0"/>
                  <w:vAlign w:val="center"/>
                </w:tcPr>
                <w:p w14:paraId="0F821F3F">
                  <w:pPr>
                    <w:spacing w:before="5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101</w:t>
                  </w:r>
                </w:p>
              </w:tc>
              <w:tc>
                <w:tcPr>
                  <w:tcW w:w="1314" w:type="dxa"/>
                  <w:noWrap w:val="0"/>
                  <w:vAlign w:val="center"/>
                </w:tcPr>
                <w:p w14:paraId="7B05644A">
                  <w:pPr>
                    <w:spacing w:before="28" w:line="239" w:lineRule="auto"/>
                    <w:ind w:left="187" w:right="141" w:hanging="4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限用</w:t>
                  </w:r>
                  <w:r>
                    <w:rPr>
                      <w:rFonts w:hint="eastAsia" w:ascii="宋体" w:hAnsi="宋体" w:eastAsia="宋体" w:cs="宋体"/>
                      <w:color w:val="auto"/>
                      <w:spacing w:val="-4"/>
                      <w:sz w:val="24"/>
                      <w:szCs w:val="24"/>
                      <w:highlight w:val="none"/>
                      <w:lang w:eastAsia="en-US"/>
                    </w:rPr>
                    <w:t>物质</w:t>
                  </w:r>
                </w:p>
                <w:p w14:paraId="399A2A98">
                  <w:pPr>
                    <w:spacing w:line="223" w:lineRule="auto"/>
                    <w:ind w:left="19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9"/>
                      <w:sz w:val="24"/>
                      <w:szCs w:val="24"/>
                      <w:highlight w:val="none"/>
                      <w:lang w:eastAsia="en-US"/>
                    </w:rPr>
                    <w:t>的限</w:t>
                  </w:r>
                </w:p>
                <w:p w14:paraId="7B9A778F">
                  <w:pPr>
                    <w:spacing w:before="17" w:line="221" w:lineRule="auto"/>
                    <w:ind w:left="280" w:right="186" w:hanging="9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量要</w:t>
                  </w:r>
                  <w:r>
                    <w:rPr>
                      <w:rFonts w:hint="eastAsia" w:ascii="宋体" w:hAnsi="宋体" w:eastAsia="宋体" w:cs="宋体"/>
                      <w:color w:val="auto"/>
                      <w:sz w:val="24"/>
                      <w:szCs w:val="24"/>
                      <w:highlight w:val="none"/>
                      <w:lang w:eastAsia="en-US"/>
                    </w:rPr>
                    <w:t>求</w:t>
                  </w:r>
                </w:p>
              </w:tc>
              <w:tc>
                <w:tcPr>
                  <w:tcW w:w="1200" w:type="dxa"/>
                  <w:noWrap w:val="0"/>
                  <w:vAlign w:val="center"/>
                </w:tcPr>
                <w:p w14:paraId="1C21A02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限用物质的限量要求</w:t>
                  </w:r>
                </w:p>
              </w:tc>
              <w:tc>
                <w:tcPr>
                  <w:tcW w:w="4915" w:type="dxa"/>
                  <w:noWrap w:val="0"/>
                  <w:vAlign w:val="center"/>
                </w:tcPr>
                <w:p w14:paraId="75CD955C">
                  <w:pPr>
                    <w:widowControl/>
                    <w:spacing w:line="318" w:lineRule="auto"/>
                    <w:rPr>
                      <w:rFonts w:hint="default" w:ascii="宋体" w:hAnsi="宋体" w:eastAsia="宋体" w:cs="宋体"/>
                      <w:i/>
                      <w:iCs/>
                      <w:color w:val="auto"/>
                      <w:sz w:val="24"/>
                      <w:szCs w:val="24"/>
                      <w:highlight w:val="none"/>
                      <w:u w:val="single"/>
                    </w:rPr>
                  </w:pPr>
                </w:p>
                <w:p w14:paraId="4EC14E0A">
                  <w:pPr>
                    <w:spacing w:before="58" w:line="241" w:lineRule="auto"/>
                    <w:ind w:left="123" w:right="123"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限用物质的限量应符合</w:t>
                  </w:r>
                  <w:r>
                    <w:rPr>
                      <w:rFonts w:hint="eastAsia" w:ascii="宋体" w:hAnsi="宋体" w:eastAsia="宋体" w:cs="宋体"/>
                      <w:i/>
                      <w:iCs/>
                      <w:color w:val="auto"/>
                      <w:sz w:val="24"/>
                      <w:szCs w:val="24"/>
                      <w:highlight w:val="none"/>
                      <w:u w:val="single"/>
                      <w:lang w:eastAsia="en-US"/>
                    </w:rPr>
                    <w:t>GB</w:t>
                  </w:r>
                  <w:r>
                    <w:rPr>
                      <w:rFonts w:hint="eastAsia" w:ascii="宋体" w:hAnsi="宋体" w:eastAsia="宋体" w:cs="宋体"/>
                      <w:i/>
                      <w:iCs/>
                      <w:color w:val="auto"/>
                      <w:spacing w:val="1"/>
                      <w:sz w:val="24"/>
                      <w:szCs w:val="24"/>
                      <w:highlight w:val="none"/>
                      <w:u w:val="single"/>
                      <w:lang w:eastAsia="en-US"/>
                    </w:rPr>
                    <w:t>/T 26572</w:t>
                  </w:r>
                  <w:r>
                    <w:rPr>
                      <w:rFonts w:hint="eastAsia" w:ascii="宋体" w:hAnsi="宋体" w:eastAsia="宋体" w:cs="宋体"/>
                      <w:i/>
                      <w:iCs/>
                      <w:color w:val="auto"/>
                      <w:spacing w:val="-6"/>
                      <w:sz w:val="24"/>
                      <w:szCs w:val="24"/>
                      <w:highlight w:val="none"/>
                      <w:u w:val="single"/>
                      <w:lang w:eastAsia="en-US"/>
                    </w:rPr>
                    <w:t>的要求</w:t>
                  </w:r>
                </w:p>
              </w:tc>
            </w:tr>
            <w:tr w14:paraId="1D6354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noWrap w:val="0"/>
                  <w:vAlign w:val="center"/>
                </w:tcPr>
                <w:p w14:paraId="6A8CC119">
                  <w:pPr>
                    <w:spacing w:before="147"/>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102</w:t>
                  </w:r>
                </w:p>
              </w:tc>
              <w:tc>
                <w:tcPr>
                  <w:tcW w:w="1314" w:type="dxa"/>
                  <w:vMerge w:val="restart"/>
                  <w:tcBorders>
                    <w:bottom w:val="nil"/>
                  </w:tcBorders>
                  <w:noWrap w:val="0"/>
                  <w:vAlign w:val="center"/>
                </w:tcPr>
                <w:p w14:paraId="6A98C438">
                  <w:pPr>
                    <w:spacing w:before="59" w:line="249" w:lineRule="auto"/>
                    <w:ind w:left="187" w:right="185" w:hanging="3"/>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CPU</w:t>
                  </w:r>
                  <w:r>
                    <w:rPr>
                      <w:rFonts w:hint="eastAsia" w:ascii="宋体" w:hAnsi="宋体" w:eastAsia="宋体" w:cs="宋体"/>
                      <w:color w:val="auto"/>
                      <w:spacing w:val="-4"/>
                      <w:sz w:val="24"/>
                      <w:szCs w:val="24"/>
                      <w:highlight w:val="none"/>
                      <w:lang w:eastAsia="en-US"/>
                    </w:rPr>
                    <w:t>性能</w:t>
                  </w:r>
                </w:p>
              </w:tc>
              <w:tc>
                <w:tcPr>
                  <w:tcW w:w="1200" w:type="dxa"/>
                  <w:noWrap w:val="0"/>
                  <w:vAlign w:val="center"/>
                </w:tcPr>
                <w:p w14:paraId="326D9175">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CPU 主频</w:t>
                  </w:r>
                </w:p>
              </w:tc>
              <w:tc>
                <w:tcPr>
                  <w:tcW w:w="4915" w:type="dxa"/>
                  <w:noWrap w:val="0"/>
                  <w:vAlign w:val="center"/>
                </w:tcPr>
                <w:p w14:paraId="2967D56C">
                  <w:pPr>
                    <w:spacing w:before="147"/>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w:t>
                  </w:r>
                  <w:r>
                    <w:rPr>
                      <w:rFonts w:hint="eastAsia" w:ascii="宋体" w:hAnsi="宋体" w:eastAsia="宋体" w:cs="宋体"/>
                      <w:i/>
                      <w:iCs/>
                      <w:color w:val="auto"/>
                      <w:spacing w:val="-4"/>
                      <w:sz w:val="24"/>
                      <w:szCs w:val="24"/>
                      <w:highlight w:val="none"/>
                      <w:u w:val="single"/>
                      <w:lang w:val="en-US" w:eastAsia="zh-CN"/>
                    </w:rPr>
                    <w:t>2</w:t>
                  </w:r>
                  <w:r>
                    <w:rPr>
                      <w:rFonts w:hint="eastAsia" w:ascii="宋体" w:hAnsi="宋体" w:eastAsia="宋体" w:cs="宋体"/>
                      <w:i/>
                      <w:iCs/>
                      <w:color w:val="auto"/>
                      <w:spacing w:val="-4"/>
                      <w:sz w:val="24"/>
                      <w:szCs w:val="24"/>
                      <w:highlight w:val="none"/>
                      <w:u w:val="single"/>
                      <w:lang w:eastAsia="en-US"/>
                    </w:rPr>
                    <w:t>.</w:t>
                  </w:r>
                  <w:r>
                    <w:rPr>
                      <w:rFonts w:hint="eastAsia" w:ascii="宋体" w:hAnsi="宋体" w:eastAsia="宋体" w:cs="宋体"/>
                      <w:i/>
                      <w:iCs/>
                      <w:color w:val="auto"/>
                      <w:spacing w:val="-4"/>
                      <w:sz w:val="24"/>
                      <w:szCs w:val="24"/>
                      <w:highlight w:val="none"/>
                      <w:u w:val="single"/>
                      <w:lang w:val="en-US" w:eastAsia="zh-CN"/>
                    </w:rPr>
                    <w:t>6</w:t>
                  </w:r>
                  <w:r>
                    <w:rPr>
                      <w:rFonts w:hint="eastAsia" w:ascii="宋体" w:hAnsi="宋体" w:eastAsia="宋体" w:cs="宋体"/>
                      <w:i/>
                      <w:iCs/>
                      <w:color w:val="auto"/>
                      <w:spacing w:val="-4"/>
                      <w:sz w:val="24"/>
                      <w:szCs w:val="24"/>
                      <w:highlight w:val="none"/>
                      <w:u w:val="single"/>
                      <w:lang w:eastAsia="en-US"/>
                    </w:rPr>
                    <w:t>GHz</w:t>
                  </w:r>
                </w:p>
              </w:tc>
            </w:tr>
            <w:tr w14:paraId="167546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19" w:type="dxa"/>
                  <w:noWrap w:val="0"/>
                  <w:vAlign w:val="center"/>
                </w:tcPr>
                <w:p w14:paraId="7A2EE3F5">
                  <w:pPr>
                    <w:spacing w:before="265"/>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103</w:t>
                  </w:r>
                </w:p>
              </w:tc>
              <w:tc>
                <w:tcPr>
                  <w:tcW w:w="1314" w:type="dxa"/>
                  <w:vMerge w:val="continue"/>
                  <w:tcBorders>
                    <w:top w:val="nil"/>
                    <w:bottom w:val="nil"/>
                  </w:tcBorders>
                  <w:noWrap w:val="0"/>
                  <w:vAlign w:val="center"/>
                </w:tcPr>
                <w:p w14:paraId="07DE4A69">
                  <w:pPr>
                    <w:widowControl/>
                    <w:jc w:val="center"/>
                    <w:rPr>
                      <w:rFonts w:hint="default" w:ascii="宋体" w:hAnsi="宋体" w:eastAsia="宋体" w:cs="宋体"/>
                      <w:color w:val="auto"/>
                      <w:sz w:val="24"/>
                      <w:szCs w:val="24"/>
                      <w:highlight w:val="none"/>
                    </w:rPr>
                  </w:pPr>
                </w:p>
              </w:tc>
              <w:tc>
                <w:tcPr>
                  <w:tcW w:w="1200" w:type="dxa"/>
                  <w:noWrap w:val="0"/>
                  <w:vAlign w:val="center"/>
                </w:tcPr>
                <w:p w14:paraId="306D24D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单 CPU 核数</w:t>
                  </w:r>
                </w:p>
              </w:tc>
              <w:tc>
                <w:tcPr>
                  <w:tcW w:w="4915" w:type="dxa"/>
                  <w:noWrap w:val="0"/>
                  <w:vAlign w:val="center"/>
                </w:tcPr>
                <w:p w14:paraId="783AFBC6">
                  <w:pPr>
                    <w:spacing w:before="262"/>
                    <w:ind w:left="131"/>
                    <w:rPr>
                      <w:rFonts w:hint="default"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pacing w:val="-13"/>
                      <w:sz w:val="24"/>
                      <w:szCs w:val="24"/>
                      <w:highlight w:val="none"/>
                      <w:u w:val="single"/>
                      <w:lang w:eastAsia="en-US"/>
                    </w:rPr>
                    <w:t>≥</w:t>
                  </w:r>
                  <w:r>
                    <w:rPr>
                      <w:rFonts w:hint="eastAsia" w:ascii="宋体" w:hAnsi="宋体" w:eastAsia="宋体" w:cs="宋体"/>
                      <w:i/>
                      <w:iCs/>
                      <w:color w:val="auto"/>
                      <w:spacing w:val="-13"/>
                      <w:sz w:val="24"/>
                      <w:szCs w:val="24"/>
                      <w:highlight w:val="none"/>
                      <w:u w:val="single"/>
                      <w:lang w:val="en-US" w:eastAsia="zh-CN"/>
                    </w:rPr>
                    <w:t>32</w:t>
                  </w:r>
                </w:p>
              </w:tc>
            </w:tr>
            <w:tr w14:paraId="675BAD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719" w:type="dxa"/>
                  <w:noWrap w:val="0"/>
                  <w:vAlign w:val="center"/>
                </w:tcPr>
                <w:p w14:paraId="7F93BCB0">
                  <w:pPr>
                    <w:spacing w:before="5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104</w:t>
                  </w:r>
                </w:p>
              </w:tc>
              <w:tc>
                <w:tcPr>
                  <w:tcW w:w="1314" w:type="dxa"/>
                  <w:vMerge w:val="continue"/>
                  <w:tcBorders>
                    <w:top w:val="nil"/>
                  </w:tcBorders>
                  <w:noWrap w:val="0"/>
                  <w:vAlign w:val="center"/>
                </w:tcPr>
                <w:p w14:paraId="3E743022">
                  <w:pPr>
                    <w:widowControl/>
                    <w:jc w:val="center"/>
                    <w:rPr>
                      <w:rFonts w:hint="default" w:ascii="宋体" w:hAnsi="宋体" w:eastAsia="宋体" w:cs="宋体"/>
                      <w:color w:val="auto"/>
                      <w:sz w:val="24"/>
                      <w:szCs w:val="24"/>
                      <w:highlight w:val="none"/>
                    </w:rPr>
                  </w:pPr>
                </w:p>
              </w:tc>
              <w:tc>
                <w:tcPr>
                  <w:tcW w:w="1200" w:type="dxa"/>
                  <w:noWrap w:val="0"/>
                  <w:vAlign w:val="center"/>
                </w:tcPr>
                <w:p w14:paraId="6D0EBC3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单CPU末级缓存容量</w:t>
                  </w:r>
                </w:p>
              </w:tc>
              <w:tc>
                <w:tcPr>
                  <w:tcW w:w="4915" w:type="dxa"/>
                  <w:noWrap w:val="0"/>
                  <w:vAlign w:val="center"/>
                </w:tcPr>
                <w:p w14:paraId="6F4F7249">
                  <w:pPr>
                    <w:widowControl/>
                    <w:spacing w:line="435" w:lineRule="auto"/>
                    <w:rPr>
                      <w:rFonts w:hint="default" w:ascii="宋体" w:hAnsi="宋体" w:eastAsia="宋体" w:cs="宋体"/>
                      <w:i/>
                      <w:iCs/>
                      <w:color w:val="auto"/>
                      <w:sz w:val="24"/>
                      <w:szCs w:val="24"/>
                      <w:highlight w:val="none"/>
                      <w:u w:val="single"/>
                    </w:rPr>
                  </w:pPr>
                </w:p>
                <w:p w14:paraId="265EB018">
                  <w:pPr>
                    <w:spacing w:before="59"/>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w:t>
                  </w:r>
                  <w:r>
                    <w:rPr>
                      <w:rFonts w:hint="eastAsia" w:ascii="宋体" w:hAnsi="宋体" w:eastAsia="宋体" w:cs="宋体"/>
                      <w:i/>
                      <w:iCs/>
                      <w:color w:val="auto"/>
                      <w:spacing w:val="-7"/>
                      <w:sz w:val="24"/>
                      <w:szCs w:val="24"/>
                      <w:highlight w:val="none"/>
                      <w:u w:val="single"/>
                      <w:lang w:val="en-US" w:eastAsia="zh-CN"/>
                    </w:rPr>
                    <w:t>64</w:t>
                  </w:r>
                  <w:r>
                    <w:rPr>
                      <w:rFonts w:hint="eastAsia" w:ascii="宋体" w:hAnsi="宋体" w:eastAsia="宋体" w:cs="宋体"/>
                      <w:i/>
                      <w:iCs/>
                      <w:color w:val="auto"/>
                      <w:spacing w:val="-7"/>
                      <w:sz w:val="24"/>
                      <w:szCs w:val="24"/>
                      <w:highlight w:val="none"/>
                      <w:u w:val="single"/>
                      <w:lang w:eastAsia="en-US"/>
                    </w:rPr>
                    <w:t>MB</w:t>
                  </w:r>
                </w:p>
              </w:tc>
            </w:tr>
            <w:tr w14:paraId="6CB61F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19" w:type="dxa"/>
                  <w:noWrap w:val="0"/>
                  <w:vAlign w:val="center"/>
                </w:tcPr>
                <w:p w14:paraId="7C744CF3">
                  <w:pPr>
                    <w:spacing w:before="14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105</w:t>
                  </w:r>
                </w:p>
              </w:tc>
              <w:tc>
                <w:tcPr>
                  <w:tcW w:w="1314" w:type="dxa"/>
                  <w:vMerge w:val="restart"/>
                  <w:tcBorders>
                    <w:bottom w:val="nil"/>
                  </w:tcBorders>
                  <w:noWrap w:val="0"/>
                  <w:vAlign w:val="center"/>
                </w:tcPr>
                <w:p w14:paraId="0B654307">
                  <w:pPr>
                    <w:spacing w:before="269" w:line="241" w:lineRule="auto"/>
                    <w:ind w:left="188" w:right="141" w:hanging="4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内存</w:t>
                  </w:r>
                  <w:r>
                    <w:rPr>
                      <w:rFonts w:hint="eastAsia" w:ascii="宋体" w:hAnsi="宋体" w:eastAsia="宋体" w:cs="宋体"/>
                      <w:color w:val="auto"/>
                      <w:spacing w:val="-4"/>
                      <w:sz w:val="24"/>
                      <w:szCs w:val="24"/>
                      <w:highlight w:val="none"/>
                      <w:lang w:eastAsia="en-US"/>
                    </w:rPr>
                    <w:t>性能</w:t>
                  </w:r>
                </w:p>
              </w:tc>
              <w:tc>
                <w:tcPr>
                  <w:tcW w:w="1200" w:type="dxa"/>
                  <w:noWrap w:val="0"/>
                  <w:vAlign w:val="center"/>
                </w:tcPr>
                <w:p w14:paraId="308DA95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单内存模块容量</w:t>
                  </w:r>
                </w:p>
              </w:tc>
              <w:tc>
                <w:tcPr>
                  <w:tcW w:w="4915" w:type="dxa"/>
                  <w:noWrap w:val="0"/>
                  <w:vAlign w:val="center"/>
                </w:tcPr>
                <w:p w14:paraId="3BB7DAE6">
                  <w:pPr>
                    <w:spacing w:before="148"/>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w:t>
                  </w:r>
                  <w:r>
                    <w:rPr>
                      <w:rFonts w:hint="eastAsia" w:ascii="宋体" w:hAnsi="宋体" w:eastAsia="宋体" w:cs="宋体"/>
                      <w:i/>
                      <w:iCs/>
                      <w:color w:val="auto"/>
                      <w:spacing w:val="-6"/>
                      <w:sz w:val="24"/>
                      <w:szCs w:val="24"/>
                      <w:highlight w:val="none"/>
                      <w:u w:val="single"/>
                      <w:lang w:val="en-US" w:eastAsia="zh-CN"/>
                    </w:rPr>
                    <w:t>32</w:t>
                  </w:r>
                  <w:r>
                    <w:rPr>
                      <w:rFonts w:hint="eastAsia" w:ascii="宋体" w:hAnsi="宋体" w:eastAsia="宋体" w:cs="宋体"/>
                      <w:i/>
                      <w:iCs/>
                      <w:color w:val="auto"/>
                      <w:spacing w:val="-6"/>
                      <w:sz w:val="24"/>
                      <w:szCs w:val="24"/>
                      <w:highlight w:val="none"/>
                      <w:u w:val="single"/>
                      <w:lang w:eastAsia="en-US"/>
                    </w:rPr>
                    <w:t>GB</w:t>
                  </w:r>
                </w:p>
              </w:tc>
            </w:tr>
            <w:tr w14:paraId="12769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noWrap w:val="0"/>
                  <w:vAlign w:val="center"/>
                </w:tcPr>
                <w:p w14:paraId="1AA2E32B">
                  <w:pPr>
                    <w:spacing w:before="149"/>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106</w:t>
                  </w:r>
                </w:p>
              </w:tc>
              <w:tc>
                <w:tcPr>
                  <w:tcW w:w="1314" w:type="dxa"/>
                  <w:vMerge w:val="continue"/>
                  <w:tcBorders>
                    <w:top w:val="nil"/>
                  </w:tcBorders>
                  <w:noWrap w:val="0"/>
                  <w:vAlign w:val="center"/>
                </w:tcPr>
                <w:p w14:paraId="2267665A">
                  <w:pPr>
                    <w:widowControl/>
                    <w:jc w:val="center"/>
                    <w:rPr>
                      <w:rFonts w:hint="default" w:ascii="宋体" w:hAnsi="宋体" w:eastAsia="宋体" w:cs="宋体"/>
                      <w:color w:val="auto"/>
                      <w:sz w:val="24"/>
                      <w:szCs w:val="24"/>
                      <w:highlight w:val="none"/>
                    </w:rPr>
                  </w:pPr>
                </w:p>
              </w:tc>
              <w:tc>
                <w:tcPr>
                  <w:tcW w:w="1200" w:type="dxa"/>
                  <w:noWrap w:val="0"/>
                  <w:vAlign w:val="center"/>
                </w:tcPr>
                <w:p w14:paraId="125F73F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内存速率</w:t>
                  </w:r>
                </w:p>
              </w:tc>
              <w:tc>
                <w:tcPr>
                  <w:tcW w:w="4915" w:type="dxa"/>
                  <w:noWrap w:val="0"/>
                  <w:vAlign w:val="center"/>
                </w:tcPr>
                <w:p w14:paraId="52DBB5F4">
                  <w:pPr>
                    <w:spacing w:before="149" w:line="236" w:lineRule="auto"/>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≥2666MT/s</w:t>
                  </w:r>
                </w:p>
              </w:tc>
            </w:tr>
            <w:tr w14:paraId="23A529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noWrap w:val="0"/>
                  <w:vAlign w:val="center"/>
                </w:tcPr>
                <w:p w14:paraId="44D188EC">
                  <w:pPr>
                    <w:spacing w:before="150"/>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107</w:t>
                  </w:r>
                </w:p>
              </w:tc>
              <w:tc>
                <w:tcPr>
                  <w:tcW w:w="1314" w:type="dxa"/>
                  <w:noWrap w:val="0"/>
                  <w:vAlign w:val="center"/>
                </w:tcPr>
                <w:p w14:paraId="1D4CCF19">
                  <w:pPr>
                    <w:spacing w:before="31" w:line="222" w:lineRule="auto"/>
                    <w:ind w:left="18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存储</w:t>
                  </w:r>
                  <w:r>
                    <w:rPr>
                      <w:rFonts w:hint="eastAsia" w:ascii="宋体" w:hAnsi="宋体" w:eastAsia="宋体" w:cs="宋体"/>
                      <w:color w:val="auto"/>
                      <w:spacing w:val="-4"/>
                      <w:sz w:val="24"/>
                      <w:szCs w:val="24"/>
                      <w:highlight w:val="none"/>
                      <w:lang w:eastAsia="en-US"/>
                    </w:rPr>
                    <w:t>性能</w:t>
                  </w:r>
                </w:p>
              </w:tc>
              <w:tc>
                <w:tcPr>
                  <w:tcW w:w="1200" w:type="dxa"/>
                  <w:noWrap w:val="0"/>
                  <w:vAlign w:val="center"/>
                </w:tcPr>
                <w:p w14:paraId="1DAB9EC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硬盘转速</w:t>
                  </w:r>
                </w:p>
              </w:tc>
              <w:tc>
                <w:tcPr>
                  <w:tcW w:w="4915" w:type="dxa"/>
                  <w:noWrap w:val="0"/>
                  <w:vAlign w:val="center"/>
                </w:tcPr>
                <w:p w14:paraId="1297917B">
                  <w:pPr>
                    <w:spacing w:before="147" w:line="218" w:lineRule="auto"/>
                    <w:ind w:left="120"/>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安装的硬磁盘转速不小于7200</w:t>
                  </w:r>
                  <w:r>
                    <w:rPr>
                      <w:rFonts w:hint="eastAsia" w:ascii="宋体" w:hAnsi="宋体" w:eastAsia="宋体" w:cs="宋体"/>
                      <w:i/>
                      <w:iCs/>
                      <w:color w:val="auto"/>
                      <w:sz w:val="24"/>
                      <w:szCs w:val="24"/>
                      <w:highlight w:val="none"/>
                      <w:u w:val="single"/>
                      <w:lang w:eastAsia="en-US"/>
                    </w:rPr>
                    <w:t>rpm</w:t>
                  </w:r>
                </w:p>
              </w:tc>
            </w:tr>
            <w:tr w14:paraId="7C7FEE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noWrap w:val="0"/>
                  <w:vAlign w:val="center"/>
                </w:tcPr>
                <w:p w14:paraId="5DE9E661">
                  <w:pPr>
                    <w:spacing w:before="266"/>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108</w:t>
                  </w:r>
                </w:p>
              </w:tc>
              <w:tc>
                <w:tcPr>
                  <w:tcW w:w="1314" w:type="dxa"/>
                  <w:noWrap w:val="0"/>
                  <w:vAlign w:val="center"/>
                </w:tcPr>
                <w:p w14:paraId="6D7600D2">
                  <w:pPr>
                    <w:spacing w:before="32" w:line="227" w:lineRule="auto"/>
                    <w:ind w:left="189" w:right="1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2"/>
                      <w:sz w:val="24"/>
                      <w:szCs w:val="24"/>
                      <w:highlight w:val="none"/>
                      <w:lang w:eastAsia="en-US"/>
                    </w:rPr>
                    <w:t>RAID</w:t>
                  </w:r>
                  <w:r>
                    <w:rPr>
                      <w:rFonts w:hint="eastAsia" w:ascii="宋体" w:hAnsi="宋体" w:eastAsia="宋体" w:cs="宋体"/>
                      <w:color w:val="auto"/>
                      <w:spacing w:val="-5"/>
                      <w:sz w:val="24"/>
                      <w:szCs w:val="24"/>
                      <w:highlight w:val="none"/>
                      <w:lang w:eastAsia="en-US"/>
                    </w:rPr>
                    <w:t>卡性</w:t>
                  </w:r>
                  <w:r>
                    <w:rPr>
                      <w:rFonts w:hint="eastAsia" w:ascii="宋体" w:hAnsi="宋体" w:eastAsia="宋体" w:cs="宋体"/>
                      <w:color w:val="auto"/>
                      <w:spacing w:val="37"/>
                      <w:sz w:val="24"/>
                      <w:szCs w:val="24"/>
                      <w:highlight w:val="none"/>
                      <w:lang w:eastAsia="en-US"/>
                    </w:rPr>
                    <w:t>能</w:t>
                  </w:r>
                </w:p>
              </w:tc>
              <w:tc>
                <w:tcPr>
                  <w:tcW w:w="1200" w:type="dxa"/>
                  <w:noWrap w:val="0"/>
                  <w:vAlign w:val="center"/>
                </w:tcPr>
                <w:p w14:paraId="77C0A3E0">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卡缓存容量大小</w:t>
                  </w:r>
                </w:p>
              </w:tc>
              <w:tc>
                <w:tcPr>
                  <w:tcW w:w="4915" w:type="dxa"/>
                  <w:noWrap w:val="0"/>
                  <w:vAlign w:val="center"/>
                </w:tcPr>
                <w:p w14:paraId="1A9F89FC">
                  <w:pPr>
                    <w:spacing w:before="148" w:line="236" w:lineRule="auto"/>
                    <w:ind w:left="115"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若配备RAID卡且RAID卡有缓存容量，容量不少于1GB</w:t>
                  </w:r>
                </w:p>
              </w:tc>
            </w:tr>
            <w:tr w14:paraId="13034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719" w:type="dxa"/>
                  <w:noWrap w:val="0"/>
                  <w:vAlign w:val="center"/>
                </w:tcPr>
                <w:p w14:paraId="4564AD4C">
                  <w:pPr>
                    <w:spacing w:before="265"/>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109</w:t>
                  </w:r>
                </w:p>
              </w:tc>
              <w:tc>
                <w:tcPr>
                  <w:tcW w:w="1314" w:type="dxa"/>
                  <w:noWrap w:val="0"/>
                  <w:vAlign w:val="center"/>
                </w:tcPr>
                <w:p w14:paraId="4E371473">
                  <w:pPr>
                    <w:spacing w:before="59" w:line="184" w:lineRule="auto"/>
                    <w:ind w:left="113"/>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FCHBA</w:t>
                  </w:r>
                </w:p>
                <w:p w14:paraId="10E58C9E">
                  <w:pPr>
                    <w:spacing w:before="25" w:line="223" w:lineRule="auto"/>
                    <w:ind w:left="18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卡性</w:t>
                  </w:r>
                </w:p>
                <w:p w14:paraId="592419A7">
                  <w:pPr>
                    <w:spacing w:before="15" w:line="202" w:lineRule="auto"/>
                    <w:ind w:left="285"/>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能</w:t>
                  </w:r>
                </w:p>
              </w:tc>
              <w:tc>
                <w:tcPr>
                  <w:tcW w:w="1200" w:type="dxa"/>
                  <w:noWrap w:val="0"/>
                  <w:vAlign w:val="center"/>
                </w:tcPr>
                <w:p w14:paraId="0DA4F95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FC HBA 卡速率</w:t>
                  </w:r>
                </w:p>
              </w:tc>
              <w:tc>
                <w:tcPr>
                  <w:tcW w:w="4915" w:type="dxa"/>
                  <w:noWrap w:val="0"/>
                  <w:vAlign w:val="center"/>
                </w:tcPr>
                <w:p w14:paraId="59A40CCD">
                  <w:pPr>
                    <w:spacing w:before="146" w:line="241" w:lineRule="auto"/>
                    <w:ind w:left="113" w:right="10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若配备FC HBA卡，单端口最大的连</w:t>
                  </w:r>
                  <w:r>
                    <w:rPr>
                      <w:rFonts w:hint="eastAsia" w:ascii="宋体" w:hAnsi="宋体" w:eastAsia="宋体" w:cs="宋体"/>
                      <w:i/>
                      <w:iCs/>
                      <w:color w:val="auto"/>
                      <w:spacing w:val="4"/>
                      <w:sz w:val="24"/>
                      <w:szCs w:val="24"/>
                      <w:highlight w:val="none"/>
                      <w:u w:val="single"/>
                      <w:lang w:eastAsia="en-US"/>
                    </w:rPr>
                    <w:t>接速率不少于8</w:t>
                  </w:r>
                  <w:r>
                    <w:rPr>
                      <w:rFonts w:hint="eastAsia" w:ascii="宋体" w:hAnsi="宋体" w:eastAsia="宋体" w:cs="宋体"/>
                      <w:i/>
                      <w:iCs/>
                      <w:color w:val="auto"/>
                      <w:sz w:val="24"/>
                      <w:szCs w:val="24"/>
                      <w:highlight w:val="none"/>
                      <w:u w:val="single"/>
                      <w:lang w:eastAsia="en-US"/>
                    </w:rPr>
                    <w:t>Gb</w:t>
                  </w:r>
                  <w:r>
                    <w:rPr>
                      <w:rFonts w:hint="eastAsia" w:ascii="宋体" w:hAnsi="宋体" w:eastAsia="宋体" w:cs="宋体"/>
                      <w:i/>
                      <w:iCs/>
                      <w:color w:val="auto"/>
                      <w:spacing w:val="4"/>
                      <w:sz w:val="24"/>
                      <w:szCs w:val="24"/>
                      <w:highlight w:val="none"/>
                      <w:u w:val="single"/>
                      <w:lang w:eastAsia="en-US"/>
                    </w:rPr>
                    <w:t>/s</w:t>
                  </w:r>
                </w:p>
              </w:tc>
            </w:tr>
            <w:tr w14:paraId="60651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noWrap w:val="0"/>
                  <w:vAlign w:val="center"/>
                </w:tcPr>
                <w:p w14:paraId="46E24979">
                  <w:pPr>
                    <w:spacing w:before="14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110</w:t>
                  </w:r>
                </w:p>
              </w:tc>
              <w:tc>
                <w:tcPr>
                  <w:tcW w:w="1314" w:type="dxa"/>
                  <w:vMerge w:val="restart"/>
                  <w:tcBorders>
                    <w:bottom w:val="nil"/>
                  </w:tcBorders>
                  <w:noWrap w:val="0"/>
                  <w:vAlign w:val="center"/>
                </w:tcPr>
                <w:p w14:paraId="0D006F7A">
                  <w:pPr>
                    <w:spacing w:before="269" w:line="241" w:lineRule="auto"/>
                    <w:ind w:left="188" w:right="186" w:firstLine="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8"/>
                      <w:sz w:val="24"/>
                      <w:szCs w:val="24"/>
                      <w:highlight w:val="none"/>
                      <w:lang w:eastAsia="en-US"/>
                    </w:rPr>
                    <w:t>网络</w:t>
                  </w:r>
                  <w:r>
                    <w:rPr>
                      <w:rFonts w:hint="eastAsia" w:ascii="宋体" w:hAnsi="宋体" w:eastAsia="宋体" w:cs="宋体"/>
                      <w:color w:val="auto"/>
                      <w:spacing w:val="-4"/>
                      <w:sz w:val="24"/>
                      <w:szCs w:val="24"/>
                      <w:highlight w:val="none"/>
                      <w:lang w:eastAsia="en-US"/>
                    </w:rPr>
                    <w:t>性能</w:t>
                  </w:r>
                </w:p>
              </w:tc>
              <w:tc>
                <w:tcPr>
                  <w:tcW w:w="1200" w:type="dxa"/>
                  <w:noWrap w:val="0"/>
                  <w:vAlign w:val="center"/>
                </w:tcPr>
                <w:p w14:paraId="05BDEFD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独立网卡速率</w:t>
                  </w:r>
                </w:p>
              </w:tc>
              <w:tc>
                <w:tcPr>
                  <w:tcW w:w="4915" w:type="dxa"/>
                  <w:noWrap w:val="0"/>
                  <w:vAlign w:val="center"/>
                </w:tcPr>
                <w:p w14:paraId="67B0838A">
                  <w:pPr>
                    <w:spacing w:before="148"/>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≥10GE</w:t>
                  </w:r>
                </w:p>
              </w:tc>
            </w:tr>
            <w:tr w14:paraId="6A3686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noWrap w:val="0"/>
                  <w:vAlign w:val="center"/>
                </w:tcPr>
                <w:p w14:paraId="5A049DE9">
                  <w:pPr>
                    <w:spacing w:before="148"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111</w:t>
                  </w:r>
                </w:p>
              </w:tc>
              <w:tc>
                <w:tcPr>
                  <w:tcW w:w="1314" w:type="dxa"/>
                  <w:vMerge w:val="continue"/>
                  <w:tcBorders>
                    <w:top w:val="nil"/>
                  </w:tcBorders>
                  <w:noWrap w:val="0"/>
                  <w:vAlign w:val="center"/>
                </w:tcPr>
                <w:p w14:paraId="1459513C">
                  <w:pPr>
                    <w:widowControl/>
                    <w:jc w:val="center"/>
                    <w:rPr>
                      <w:rFonts w:hint="default" w:ascii="宋体" w:hAnsi="宋体" w:eastAsia="宋体" w:cs="宋体"/>
                      <w:color w:val="auto"/>
                      <w:sz w:val="24"/>
                      <w:szCs w:val="24"/>
                      <w:highlight w:val="none"/>
                    </w:rPr>
                  </w:pPr>
                </w:p>
              </w:tc>
              <w:tc>
                <w:tcPr>
                  <w:tcW w:w="1200" w:type="dxa"/>
                  <w:noWrap w:val="0"/>
                  <w:vAlign w:val="center"/>
                </w:tcPr>
                <w:p w14:paraId="6D1FA2C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板载网卡速率</w:t>
                  </w:r>
                </w:p>
              </w:tc>
              <w:tc>
                <w:tcPr>
                  <w:tcW w:w="4915" w:type="dxa"/>
                  <w:noWrap w:val="0"/>
                  <w:vAlign w:val="center"/>
                </w:tcPr>
                <w:p w14:paraId="2F3F5BC8">
                  <w:pPr>
                    <w:spacing w:before="146"/>
                    <w:ind w:left="13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7"/>
                      <w:sz w:val="24"/>
                      <w:szCs w:val="24"/>
                      <w:highlight w:val="none"/>
                      <w:u w:val="single"/>
                      <w:lang w:eastAsia="en-US"/>
                    </w:rPr>
                    <w:t>≥1GE</w:t>
                  </w:r>
                </w:p>
              </w:tc>
            </w:tr>
            <w:tr w14:paraId="11146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19" w:type="dxa"/>
                  <w:noWrap w:val="0"/>
                  <w:vAlign w:val="center"/>
                </w:tcPr>
                <w:p w14:paraId="5D918193">
                  <w:pPr>
                    <w:spacing w:before="149"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112</w:t>
                  </w:r>
                </w:p>
              </w:tc>
              <w:tc>
                <w:tcPr>
                  <w:tcW w:w="1314" w:type="dxa"/>
                  <w:noWrap w:val="0"/>
                  <w:vAlign w:val="center"/>
                </w:tcPr>
                <w:p w14:paraId="6B484527">
                  <w:pPr>
                    <w:spacing w:before="32" w:line="220" w:lineRule="auto"/>
                    <w:ind w:left="193" w:right="141" w:hanging="54"/>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电源</w:t>
                  </w:r>
                  <w:r>
                    <w:rPr>
                      <w:rFonts w:hint="eastAsia" w:ascii="宋体" w:hAnsi="宋体" w:eastAsia="宋体" w:cs="宋体"/>
                      <w:color w:val="auto"/>
                      <w:spacing w:val="-7"/>
                      <w:sz w:val="24"/>
                      <w:szCs w:val="24"/>
                      <w:highlight w:val="none"/>
                      <w:lang w:eastAsia="en-US"/>
                    </w:rPr>
                    <w:t>能耗</w:t>
                  </w:r>
                </w:p>
              </w:tc>
              <w:tc>
                <w:tcPr>
                  <w:tcW w:w="1200" w:type="dxa"/>
                  <w:noWrap w:val="0"/>
                  <w:vAlign w:val="center"/>
                </w:tcPr>
                <w:p w14:paraId="55E5A4E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电源能耗</w:t>
                  </w:r>
                </w:p>
              </w:tc>
              <w:tc>
                <w:tcPr>
                  <w:tcW w:w="4915" w:type="dxa"/>
                  <w:noWrap w:val="0"/>
                  <w:vAlign w:val="center"/>
                </w:tcPr>
                <w:p w14:paraId="5D76F433">
                  <w:pPr>
                    <w:spacing w:before="146" w:line="222"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符合GB/T 9813.3的有关规定</w:t>
                  </w:r>
                </w:p>
              </w:tc>
            </w:tr>
            <w:tr w14:paraId="4DA937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noWrap w:val="0"/>
                  <w:vAlign w:val="center"/>
                </w:tcPr>
                <w:p w14:paraId="48DE8794">
                  <w:pPr>
                    <w:spacing w:before="14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113</w:t>
                  </w:r>
                </w:p>
              </w:tc>
              <w:tc>
                <w:tcPr>
                  <w:tcW w:w="1314" w:type="dxa"/>
                  <w:vMerge w:val="restart"/>
                  <w:tcBorders>
                    <w:bottom w:val="nil"/>
                  </w:tcBorders>
                  <w:noWrap w:val="0"/>
                  <w:vAlign w:val="center"/>
                </w:tcPr>
                <w:p w14:paraId="40375F60">
                  <w:pPr>
                    <w:spacing w:before="59" w:line="223"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部件</w:t>
                  </w:r>
                </w:p>
                <w:p w14:paraId="10EB34EC">
                  <w:pPr>
                    <w:spacing w:before="15" w:line="222" w:lineRule="auto"/>
                    <w:ind w:left="19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兼容</w:t>
                  </w:r>
                </w:p>
                <w:p w14:paraId="215890FD">
                  <w:pPr>
                    <w:spacing w:before="16" w:line="222" w:lineRule="auto"/>
                    <w:ind w:left="18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性要</w:t>
                  </w:r>
                </w:p>
                <w:p w14:paraId="126D9ACE">
                  <w:pPr>
                    <w:spacing w:before="18" w:line="226" w:lineRule="auto"/>
                    <w:ind w:left="28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求</w:t>
                  </w:r>
                </w:p>
              </w:tc>
              <w:tc>
                <w:tcPr>
                  <w:tcW w:w="1200" w:type="dxa"/>
                  <w:noWrap w:val="0"/>
                  <w:vAlign w:val="center"/>
                </w:tcPr>
                <w:p w14:paraId="687F970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内存兼容性</w:t>
                  </w:r>
                </w:p>
              </w:tc>
              <w:tc>
                <w:tcPr>
                  <w:tcW w:w="4915" w:type="dxa"/>
                  <w:noWrap w:val="0"/>
                  <w:vAlign w:val="center"/>
                </w:tcPr>
                <w:p w14:paraId="39C60656">
                  <w:pPr>
                    <w:spacing w:before="32" w:line="220" w:lineRule="auto"/>
                    <w:ind w:left="115" w:right="2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适配3种及以上厂商的内存产品，</w:t>
                  </w:r>
                  <w:r>
                    <w:rPr>
                      <w:rFonts w:hint="eastAsia" w:ascii="宋体" w:hAnsi="宋体" w:eastAsia="宋体" w:cs="宋体"/>
                      <w:i/>
                      <w:iCs/>
                      <w:color w:val="auto"/>
                      <w:spacing w:val="-1"/>
                      <w:sz w:val="24"/>
                      <w:szCs w:val="24"/>
                      <w:highlight w:val="none"/>
                      <w:u w:val="single"/>
                      <w:lang w:eastAsia="en-US"/>
                    </w:rPr>
                    <w:t>且均不低于产品支持的内存规格</w:t>
                  </w:r>
                </w:p>
              </w:tc>
            </w:tr>
            <w:tr w14:paraId="5EB4A7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noWrap w:val="0"/>
                  <w:vAlign w:val="center"/>
                </w:tcPr>
                <w:p w14:paraId="49247F9B">
                  <w:pPr>
                    <w:spacing w:before="266"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114</w:t>
                  </w:r>
                </w:p>
              </w:tc>
              <w:tc>
                <w:tcPr>
                  <w:tcW w:w="1314" w:type="dxa"/>
                  <w:vMerge w:val="continue"/>
                  <w:tcBorders>
                    <w:top w:val="nil"/>
                    <w:bottom w:val="nil"/>
                  </w:tcBorders>
                  <w:noWrap w:val="0"/>
                  <w:vAlign w:val="center"/>
                </w:tcPr>
                <w:p w14:paraId="59A28406">
                  <w:pPr>
                    <w:widowControl/>
                    <w:jc w:val="center"/>
                    <w:rPr>
                      <w:rFonts w:hint="default" w:ascii="宋体" w:hAnsi="宋体" w:eastAsia="宋体" w:cs="宋体"/>
                      <w:color w:val="auto"/>
                      <w:sz w:val="24"/>
                      <w:szCs w:val="24"/>
                      <w:highlight w:val="none"/>
                    </w:rPr>
                  </w:pPr>
                </w:p>
              </w:tc>
              <w:tc>
                <w:tcPr>
                  <w:tcW w:w="1200" w:type="dxa"/>
                  <w:noWrap w:val="0"/>
                  <w:vAlign w:val="center"/>
                </w:tcPr>
                <w:p w14:paraId="2A2C5A2D">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固态存储兼容性</w:t>
                  </w:r>
                </w:p>
              </w:tc>
              <w:tc>
                <w:tcPr>
                  <w:tcW w:w="4915" w:type="dxa"/>
                  <w:noWrap w:val="0"/>
                  <w:vAlign w:val="center"/>
                </w:tcPr>
                <w:p w14:paraId="556A6B39">
                  <w:pPr>
                    <w:spacing w:before="32" w:line="227" w:lineRule="auto"/>
                    <w:ind w:left="112" w:right="168" w:firstLine="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适配3种或以上厂商的固态存储产</w:t>
                  </w:r>
                  <w:r>
                    <w:rPr>
                      <w:rFonts w:hint="eastAsia" w:ascii="宋体" w:hAnsi="宋体" w:eastAsia="宋体" w:cs="宋体"/>
                      <w:i/>
                      <w:iCs/>
                      <w:color w:val="auto"/>
                      <w:spacing w:val="-1"/>
                      <w:sz w:val="24"/>
                      <w:szCs w:val="24"/>
                      <w:highlight w:val="none"/>
                      <w:u w:val="single"/>
                      <w:lang w:eastAsia="en-US"/>
                    </w:rPr>
                    <w:t>品，且均不低于产品支持的固态存</w:t>
                  </w:r>
                  <w:r>
                    <w:rPr>
                      <w:rFonts w:hint="eastAsia" w:ascii="宋体" w:hAnsi="宋体" w:eastAsia="宋体" w:cs="宋体"/>
                      <w:i/>
                      <w:iCs/>
                      <w:color w:val="auto"/>
                      <w:spacing w:val="-2"/>
                      <w:sz w:val="24"/>
                      <w:szCs w:val="24"/>
                      <w:highlight w:val="none"/>
                      <w:u w:val="single"/>
                      <w:lang w:eastAsia="en-US"/>
                    </w:rPr>
                    <w:t>储设备规格</w:t>
                  </w:r>
                </w:p>
              </w:tc>
            </w:tr>
            <w:tr w14:paraId="452422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noWrap w:val="0"/>
                  <w:vAlign w:val="center"/>
                </w:tcPr>
                <w:p w14:paraId="11FCBB51">
                  <w:pPr>
                    <w:spacing w:before="148"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115</w:t>
                  </w:r>
                </w:p>
              </w:tc>
              <w:tc>
                <w:tcPr>
                  <w:tcW w:w="1314" w:type="dxa"/>
                  <w:vMerge w:val="continue"/>
                  <w:tcBorders>
                    <w:top w:val="nil"/>
                    <w:bottom w:val="nil"/>
                  </w:tcBorders>
                  <w:noWrap w:val="0"/>
                  <w:vAlign w:val="center"/>
                </w:tcPr>
                <w:p w14:paraId="47DDCAB3">
                  <w:pPr>
                    <w:widowControl/>
                    <w:jc w:val="center"/>
                    <w:rPr>
                      <w:rFonts w:hint="default" w:ascii="宋体" w:hAnsi="宋体" w:eastAsia="宋体" w:cs="宋体"/>
                      <w:color w:val="auto"/>
                      <w:sz w:val="24"/>
                      <w:szCs w:val="24"/>
                      <w:highlight w:val="none"/>
                    </w:rPr>
                  </w:pPr>
                </w:p>
              </w:tc>
              <w:tc>
                <w:tcPr>
                  <w:tcW w:w="1200" w:type="dxa"/>
                  <w:noWrap w:val="0"/>
                  <w:vAlign w:val="center"/>
                </w:tcPr>
                <w:p w14:paraId="7BDFF44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FC HBA 卡兼容性</w:t>
                  </w:r>
                </w:p>
              </w:tc>
              <w:tc>
                <w:tcPr>
                  <w:tcW w:w="4915" w:type="dxa"/>
                  <w:noWrap w:val="0"/>
                  <w:vAlign w:val="center"/>
                </w:tcPr>
                <w:p w14:paraId="1C896A79">
                  <w:pPr>
                    <w:spacing w:before="148" w:line="221" w:lineRule="auto"/>
                    <w:ind w:left="11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FC HBA应适配两种或以上厂商产品</w:t>
                  </w:r>
                </w:p>
              </w:tc>
            </w:tr>
            <w:tr w14:paraId="5D894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jc w:val="center"/>
              </w:trPr>
              <w:tc>
                <w:tcPr>
                  <w:tcW w:w="719" w:type="dxa"/>
                  <w:noWrap w:val="0"/>
                  <w:vAlign w:val="center"/>
                </w:tcPr>
                <w:p w14:paraId="3B76B9F4">
                  <w:pPr>
                    <w:spacing w:before="149"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116</w:t>
                  </w:r>
                </w:p>
              </w:tc>
              <w:tc>
                <w:tcPr>
                  <w:tcW w:w="1314" w:type="dxa"/>
                  <w:vMerge w:val="continue"/>
                  <w:tcBorders>
                    <w:top w:val="nil"/>
                    <w:bottom w:val="nil"/>
                  </w:tcBorders>
                  <w:noWrap w:val="0"/>
                  <w:vAlign w:val="center"/>
                </w:tcPr>
                <w:p w14:paraId="7DEC26EC">
                  <w:pPr>
                    <w:widowControl/>
                    <w:jc w:val="center"/>
                    <w:rPr>
                      <w:rFonts w:hint="default" w:ascii="宋体" w:hAnsi="宋体" w:eastAsia="宋体" w:cs="宋体"/>
                      <w:color w:val="auto"/>
                      <w:sz w:val="24"/>
                      <w:szCs w:val="24"/>
                      <w:highlight w:val="none"/>
                    </w:rPr>
                  </w:pPr>
                </w:p>
              </w:tc>
              <w:tc>
                <w:tcPr>
                  <w:tcW w:w="1200" w:type="dxa"/>
                  <w:noWrap w:val="0"/>
                  <w:vAlign w:val="center"/>
                </w:tcPr>
                <w:p w14:paraId="09B087F8">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RAID 卡兼容性</w:t>
                  </w:r>
                </w:p>
              </w:tc>
              <w:tc>
                <w:tcPr>
                  <w:tcW w:w="4915" w:type="dxa"/>
                  <w:noWrap w:val="0"/>
                  <w:vAlign w:val="center"/>
                </w:tcPr>
                <w:p w14:paraId="020C7786">
                  <w:pPr>
                    <w:spacing w:before="146" w:line="221" w:lineRule="auto"/>
                    <w:ind w:left="11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RAID卡应适配两种或以上厂商产品</w:t>
                  </w:r>
                </w:p>
              </w:tc>
            </w:tr>
            <w:tr w14:paraId="0A051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7" w:hRule="atLeast"/>
                <w:jc w:val="center"/>
              </w:trPr>
              <w:tc>
                <w:tcPr>
                  <w:tcW w:w="719" w:type="dxa"/>
                  <w:noWrap w:val="0"/>
                  <w:vAlign w:val="center"/>
                </w:tcPr>
                <w:p w14:paraId="2571A80A">
                  <w:pPr>
                    <w:spacing w:before="35" w:line="207"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117</w:t>
                  </w:r>
                </w:p>
              </w:tc>
              <w:tc>
                <w:tcPr>
                  <w:tcW w:w="1314" w:type="dxa"/>
                  <w:vMerge w:val="continue"/>
                  <w:tcBorders>
                    <w:top w:val="nil"/>
                  </w:tcBorders>
                  <w:noWrap w:val="0"/>
                  <w:vAlign w:val="center"/>
                </w:tcPr>
                <w:p w14:paraId="6E8947AA">
                  <w:pPr>
                    <w:widowControl/>
                    <w:jc w:val="center"/>
                    <w:rPr>
                      <w:rFonts w:hint="default" w:ascii="宋体" w:hAnsi="宋体" w:eastAsia="宋体" w:cs="宋体"/>
                      <w:color w:val="auto"/>
                      <w:sz w:val="24"/>
                      <w:szCs w:val="24"/>
                      <w:highlight w:val="none"/>
                    </w:rPr>
                  </w:pPr>
                </w:p>
              </w:tc>
              <w:tc>
                <w:tcPr>
                  <w:tcW w:w="1200" w:type="dxa"/>
                  <w:noWrap w:val="0"/>
                  <w:vAlign w:val="center"/>
                </w:tcPr>
                <w:p w14:paraId="3ADC3DE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网卡兼容性</w:t>
                  </w:r>
                </w:p>
              </w:tc>
              <w:tc>
                <w:tcPr>
                  <w:tcW w:w="4915" w:type="dxa"/>
                  <w:noWrap w:val="0"/>
                  <w:vAlign w:val="center"/>
                </w:tcPr>
                <w:p w14:paraId="7589903E">
                  <w:pPr>
                    <w:spacing w:before="35" w:line="207" w:lineRule="auto"/>
                    <w:ind w:left="12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网卡应适配两种或以上厂商产品</w:t>
                  </w:r>
                </w:p>
              </w:tc>
            </w:tr>
            <w:tr w14:paraId="3CC24E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noWrap w:val="0"/>
                  <w:vAlign w:val="center"/>
                </w:tcPr>
                <w:p w14:paraId="74EB1A21">
                  <w:pPr>
                    <w:spacing w:before="261"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118</w:t>
                  </w:r>
                </w:p>
              </w:tc>
              <w:tc>
                <w:tcPr>
                  <w:tcW w:w="1314" w:type="dxa"/>
                  <w:tcBorders>
                    <w:top w:val="nil"/>
                  </w:tcBorders>
                  <w:noWrap w:val="0"/>
                  <w:vAlign w:val="center"/>
                </w:tcPr>
                <w:p w14:paraId="7C307A78">
                  <w:pPr>
                    <w:widowControl/>
                    <w:jc w:val="center"/>
                    <w:rPr>
                      <w:rFonts w:hint="default" w:ascii="宋体" w:hAnsi="宋体" w:eastAsia="宋体" w:cs="宋体"/>
                      <w:color w:val="auto"/>
                      <w:sz w:val="24"/>
                      <w:szCs w:val="24"/>
                      <w:highlight w:val="none"/>
                    </w:rPr>
                  </w:pPr>
                </w:p>
              </w:tc>
              <w:tc>
                <w:tcPr>
                  <w:tcW w:w="1200" w:type="dxa"/>
                  <w:noWrap w:val="0"/>
                  <w:vAlign w:val="center"/>
                </w:tcPr>
                <w:p w14:paraId="4B163415">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功能卡兼容性</w:t>
                  </w:r>
                </w:p>
              </w:tc>
              <w:tc>
                <w:tcPr>
                  <w:tcW w:w="4915" w:type="dxa"/>
                  <w:noWrap w:val="0"/>
                  <w:vAlign w:val="center"/>
                </w:tcPr>
                <w:p w14:paraId="1EC87BEC">
                  <w:pPr>
                    <w:spacing w:before="29" w:line="228" w:lineRule="auto"/>
                    <w:ind w:left="120" w:right="50" w:firstLine="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0"/>
                      <w:sz w:val="24"/>
                      <w:szCs w:val="24"/>
                      <w:highlight w:val="none"/>
                      <w:u w:val="single"/>
                      <w:lang w:eastAsia="en-US"/>
                    </w:rPr>
                    <w:t>内置或适配符合PCIe的功能卡，如：</w:t>
                  </w:r>
                  <w:r>
                    <w:rPr>
                      <w:rFonts w:hint="eastAsia" w:ascii="宋体" w:hAnsi="宋体" w:eastAsia="宋体" w:cs="宋体"/>
                      <w:i/>
                      <w:iCs/>
                      <w:color w:val="auto"/>
                      <w:spacing w:val="-1"/>
                      <w:sz w:val="24"/>
                      <w:szCs w:val="24"/>
                      <w:highlight w:val="none"/>
                      <w:u w:val="single"/>
                      <w:lang w:eastAsia="en-US"/>
                    </w:rPr>
                    <w:t>网络功能卡、存储功能卡及图形显</w:t>
                  </w:r>
                  <w:r>
                    <w:rPr>
                      <w:rFonts w:hint="eastAsia" w:ascii="宋体" w:hAnsi="宋体" w:eastAsia="宋体" w:cs="宋体"/>
                      <w:i/>
                      <w:iCs/>
                      <w:color w:val="auto"/>
                      <w:spacing w:val="-4"/>
                      <w:sz w:val="24"/>
                      <w:szCs w:val="24"/>
                      <w:highlight w:val="none"/>
                      <w:u w:val="single"/>
                      <w:lang w:eastAsia="en-US"/>
                    </w:rPr>
                    <w:t>示功能卡</w:t>
                  </w:r>
                </w:p>
              </w:tc>
            </w:tr>
            <w:tr w14:paraId="6B98F0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71" w:hRule="atLeast"/>
                <w:jc w:val="center"/>
              </w:trPr>
              <w:tc>
                <w:tcPr>
                  <w:tcW w:w="719" w:type="dxa"/>
                  <w:noWrap w:val="0"/>
                  <w:vAlign w:val="center"/>
                </w:tcPr>
                <w:p w14:paraId="0C86936B">
                  <w:pPr>
                    <w:spacing w:before="5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119</w:t>
                  </w:r>
                </w:p>
              </w:tc>
              <w:tc>
                <w:tcPr>
                  <w:tcW w:w="1314" w:type="dxa"/>
                  <w:noWrap w:val="0"/>
                  <w:vAlign w:val="center"/>
                </w:tcPr>
                <w:p w14:paraId="404F52AE">
                  <w:pPr>
                    <w:spacing w:before="260" w:line="222"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外设</w:t>
                  </w:r>
                </w:p>
                <w:p w14:paraId="167E87C2">
                  <w:pPr>
                    <w:spacing w:before="17" w:line="222" w:lineRule="auto"/>
                    <w:ind w:left="19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兼容</w:t>
                  </w:r>
                </w:p>
                <w:p w14:paraId="7050B022">
                  <w:pPr>
                    <w:spacing w:before="16" w:line="223" w:lineRule="auto"/>
                    <w:ind w:left="27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性</w:t>
                  </w:r>
                </w:p>
              </w:tc>
              <w:tc>
                <w:tcPr>
                  <w:tcW w:w="1200" w:type="dxa"/>
                  <w:noWrap w:val="0"/>
                  <w:vAlign w:val="center"/>
                </w:tcPr>
                <w:p w14:paraId="3DDF1EA3">
                  <w:pPr>
                    <w:spacing w:before="59" w:line="241" w:lineRule="auto"/>
                    <w:ind w:right="12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外设兼容性</w:t>
                  </w:r>
                </w:p>
              </w:tc>
              <w:tc>
                <w:tcPr>
                  <w:tcW w:w="4915" w:type="dxa"/>
                  <w:noWrap w:val="0"/>
                  <w:vAlign w:val="center"/>
                </w:tcPr>
                <w:p w14:paraId="045D4CBE">
                  <w:pPr>
                    <w:spacing w:before="27" w:line="213" w:lineRule="auto"/>
                    <w:ind w:left="11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兼容多种主流生产商的外部设备，</w:t>
                  </w:r>
                </w:p>
                <w:p w14:paraId="5132B602">
                  <w:pPr>
                    <w:spacing w:before="24" w:line="231" w:lineRule="auto"/>
                    <w:ind w:left="112" w:right="4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4"/>
                      <w:sz w:val="24"/>
                      <w:szCs w:val="24"/>
                      <w:highlight w:val="none"/>
                      <w:u w:val="single"/>
                      <w:lang w:eastAsia="en-US"/>
                    </w:rPr>
                    <w:t>包括显示器、键盘、鼠标、闪存盘、</w:t>
                  </w:r>
                  <w:r>
                    <w:rPr>
                      <w:rFonts w:hint="eastAsia" w:ascii="宋体" w:hAnsi="宋体" w:eastAsia="宋体" w:cs="宋体"/>
                      <w:i/>
                      <w:iCs/>
                      <w:color w:val="auto"/>
                      <w:spacing w:val="-6"/>
                      <w:sz w:val="24"/>
                      <w:szCs w:val="24"/>
                      <w:highlight w:val="none"/>
                      <w:u w:val="single"/>
                      <w:lang w:eastAsia="en-US"/>
                    </w:rPr>
                    <w:t>移动硬盘、USB光驱及KVM等，要求</w:t>
                  </w:r>
                  <w:r>
                    <w:rPr>
                      <w:rFonts w:hint="eastAsia" w:ascii="宋体" w:hAnsi="宋体" w:eastAsia="宋体" w:cs="宋体"/>
                      <w:i/>
                      <w:iCs/>
                      <w:color w:val="auto"/>
                      <w:spacing w:val="-1"/>
                      <w:sz w:val="24"/>
                      <w:szCs w:val="24"/>
                      <w:highlight w:val="none"/>
                      <w:u w:val="single"/>
                      <w:lang w:eastAsia="en-US"/>
                    </w:rPr>
                    <w:t>使用不同厂商的外部设备时，系统均能正常识别和安装驱动</w:t>
                  </w:r>
                </w:p>
              </w:tc>
            </w:tr>
            <w:tr w14:paraId="63D93B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noWrap w:val="0"/>
                  <w:vAlign w:val="center"/>
                </w:tcPr>
                <w:p w14:paraId="05792CEC">
                  <w:pPr>
                    <w:spacing w:before="145"/>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120</w:t>
                  </w:r>
                </w:p>
              </w:tc>
              <w:tc>
                <w:tcPr>
                  <w:tcW w:w="1314" w:type="dxa"/>
                  <w:vMerge w:val="restart"/>
                  <w:tcBorders>
                    <w:bottom w:val="nil"/>
                  </w:tcBorders>
                  <w:noWrap w:val="0"/>
                  <w:vAlign w:val="center"/>
                </w:tcPr>
                <w:p w14:paraId="70ECDA29">
                  <w:pPr>
                    <w:spacing w:before="58" w:line="222"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软件</w:t>
                  </w:r>
                </w:p>
                <w:p w14:paraId="638192B6">
                  <w:pPr>
                    <w:spacing w:before="23" w:line="222" w:lineRule="auto"/>
                    <w:ind w:left="190"/>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兼容</w:t>
                  </w:r>
                </w:p>
                <w:p w14:paraId="1A016511">
                  <w:pPr>
                    <w:spacing w:before="23" w:line="223" w:lineRule="auto"/>
                    <w:ind w:left="27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性</w:t>
                  </w:r>
                </w:p>
              </w:tc>
              <w:tc>
                <w:tcPr>
                  <w:tcW w:w="1200" w:type="dxa"/>
                  <w:noWrap w:val="0"/>
                  <w:vAlign w:val="center"/>
                </w:tcPr>
                <w:p w14:paraId="7BE2FFC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数据库兼容</w:t>
                  </w:r>
                </w:p>
              </w:tc>
              <w:tc>
                <w:tcPr>
                  <w:tcW w:w="4915" w:type="dxa"/>
                  <w:noWrap w:val="0"/>
                  <w:vAlign w:val="center"/>
                </w:tcPr>
                <w:p w14:paraId="2ACB9B58">
                  <w:pPr>
                    <w:spacing w:before="145" w:line="221" w:lineRule="auto"/>
                    <w:ind w:left="11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兼容3个及以上厂商的数据库产品</w:t>
                  </w:r>
                </w:p>
              </w:tc>
            </w:tr>
            <w:tr w14:paraId="68FE00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2E23B2C7">
                  <w:pPr>
                    <w:spacing w:before="153"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121</w:t>
                  </w:r>
                </w:p>
              </w:tc>
              <w:tc>
                <w:tcPr>
                  <w:tcW w:w="1314" w:type="dxa"/>
                  <w:vMerge w:val="continue"/>
                  <w:tcBorders>
                    <w:top w:val="nil"/>
                    <w:bottom w:val="nil"/>
                  </w:tcBorders>
                  <w:noWrap w:val="0"/>
                  <w:vAlign w:val="center"/>
                </w:tcPr>
                <w:p w14:paraId="7FB7DEDF">
                  <w:pPr>
                    <w:widowControl/>
                    <w:jc w:val="center"/>
                    <w:rPr>
                      <w:rFonts w:hint="default" w:ascii="宋体" w:hAnsi="宋体" w:eastAsia="宋体" w:cs="宋体"/>
                      <w:color w:val="auto"/>
                      <w:sz w:val="24"/>
                      <w:szCs w:val="24"/>
                      <w:highlight w:val="none"/>
                    </w:rPr>
                  </w:pPr>
                </w:p>
              </w:tc>
              <w:tc>
                <w:tcPr>
                  <w:tcW w:w="1200" w:type="dxa"/>
                  <w:noWrap w:val="0"/>
                  <w:vAlign w:val="center"/>
                </w:tcPr>
                <w:p w14:paraId="3ADBE96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中间件兼容</w:t>
                  </w:r>
                </w:p>
              </w:tc>
              <w:tc>
                <w:tcPr>
                  <w:tcW w:w="4915" w:type="dxa"/>
                  <w:noWrap w:val="0"/>
                  <w:vAlign w:val="center"/>
                </w:tcPr>
                <w:p w14:paraId="36A6B2AB">
                  <w:pPr>
                    <w:spacing w:before="160" w:line="221" w:lineRule="auto"/>
                    <w:ind w:left="11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兼容3个及以上厂商的中间件产品</w:t>
                  </w:r>
                </w:p>
              </w:tc>
            </w:tr>
            <w:tr w14:paraId="2AC87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7CF0F182">
                  <w:pPr>
                    <w:spacing w:before="152"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122</w:t>
                  </w:r>
                </w:p>
              </w:tc>
              <w:tc>
                <w:tcPr>
                  <w:tcW w:w="1314" w:type="dxa"/>
                  <w:vMerge w:val="continue"/>
                  <w:tcBorders>
                    <w:top w:val="nil"/>
                    <w:bottom w:val="nil"/>
                  </w:tcBorders>
                  <w:noWrap w:val="0"/>
                  <w:vAlign w:val="center"/>
                </w:tcPr>
                <w:p w14:paraId="72B75B95">
                  <w:pPr>
                    <w:widowControl/>
                    <w:jc w:val="center"/>
                    <w:rPr>
                      <w:rFonts w:hint="default" w:ascii="宋体" w:hAnsi="宋体" w:eastAsia="宋体" w:cs="宋体"/>
                      <w:color w:val="auto"/>
                      <w:sz w:val="24"/>
                      <w:szCs w:val="24"/>
                      <w:highlight w:val="none"/>
                    </w:rPr>
                  </w:pPr>
                </w:p>
              </w:tc>
              <w:tc>
                <w:tcPr>
                  <w:tcW w:w="1200" w:type="dxa"/>
                  <w:noWrap w:val="0"/>
                  <w:vAlign w:val="center"/>
                </w:tcPr>
                <w:p w14:paraId="27F39F5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平台软件兼容</w:t>
                  </w:r>
                </w:p>
              </w:tc>
              <w:tc>
                <w:tcPr>
                  <w:tcW w:w="4915" w:type="dxa"/>
                  <w:noWrap w:val="0"/>
                  <w:vAlign w:val="center"/>
                </w:tcPr>
                <w:p w14:paraId="0ACC0F5C">
                  <w:pPr>
                    <w:spacing w:before="159" w:line="221" w:lineRule="auto"/>
                    <w:ind w:left="11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兼容3个及以上厂商的大数据平台</w:t>
                  </w:r>
                </w:p>
              </w:tc>
            </w:tr>
            <w:tr w14:paraId="6BB171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3F0A29C5">
                  <w:pPr>
                    <w:spacing w:before="152"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123</w:t>
                  </w:r>
                </w:p>
              </w:tc>
              <w:tc>
                <w:tcPr>
                  <w:tcW w:w="1314" w:type="dxa"/>
                  <w:vMerge w:val="continue"/>
                  <w:tcBorders>
                    <w:top w:val="nil"/>
                  </w:tcBorders>
                  <w:noWrap w:val="0"/>
                  <w:vAlign w:val="center"/>
                </w:tcPr>
                <w:p w14:paraId="2A02B212">
                  <w:pPr>
                    <w:widowControl/>
                    <w:jc w:val="center"/>
                    <w:rPr>
                      <w:rFonts w:hint="default" w:ascii="宋体" w:hAnsi="宋体" w:eastAsia="宋体" w:cs="宋体"/>
                      <w:color w:val="auto"/>
                      <w:sz w:val="24"/>
                      <w:szCs w:val="24"/>
                      <w:highlight w:val="none"/>
                    </w:rPr>
                  </w:pPr>
                </w:p>
              </w:tc>
              <w:tc>
                <w:tcPr>
                  <w:tcW w:w="1200" w:type="dxa"/>
                  <w:noWrap w:val="0"/>
                  <w:vAlign w:val="center"/>
                </w:tcPr>
                <w:p w14:paraId="34649315">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虚拟化软件兼容</w:t>
                  </w:r>
                </w:p>
              </w:tc>
              <w:tc>
                <w:tcPr>
                  <w:tcW w:w="4915" w:type="dxa"/>
                  <w:noWrap w:val="0"/>
                  <w:vAlign w:val="center"/>
                </w:tcPr>
                <w:p w14:paraId="20C49CFF">
                  <w:pPr>
                    <w:spacing w:before="159" w:line="221" w:lineRule="auto"/>
                    <w:ind w:left="11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兼容2款及以上虚拟化软件</w:t>
                  </w:r>
                </w:p>
              </w:tc>
            </w:tr>
            <w:tr w14:paraId="38E942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0A04CC01">
                  <w:pPr>
                    <w:spacing w:before="58" w:line="240"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124</w:t>
                  </w:r>
                </w:p>
              </w:tc>
              <w:tc>
                <w:tcPr>
                  <w:tcW w:w="1314" w:type="dxa"/>
                  <w:noWrap w:val="0"/>
                  <w:vAlign w:val="center"/>
                </w:tcPr>
                <w:p w14:paraId="125A6807">
                  <w:pPr>
                    <w:spacing w:before="38" w:line="222" w:lineRule="auto"/>
                    <w:ind w:left="18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存储</w:t>
                  </w:r>
                </w:p>
                <w:p w14:paraId="29BED452">
                  <w:pPr>
                    <w:spacing w:before="23" w:line="222" w:lineRule="auto"/>
                    <w:ind w:left="19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可靠</w:t>
                  </w:r>
                </w:p>
                <w:p w14:paraId="427CAC8A">
                  <w:pPr>
                    <w:spacing w:before="23" w:line="223" w:lineRule="auto"/>
                    <w:ind w:left="280" w:right="186" w:hanging="92"/>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性要</w:t>
                  </w:r>
                  <w:r>
                    <w:rPr>
                      <w:rFonts w:hint="eastAsia" w:ascii="宋体" w:hAnsi="宋体" w:eastAsia="宋体" w:cs="宋体"/>
                      <w:color w:val="auto"/>
                      <w:sz w:val="24"/>
                      <w:szCs w:val="24"/>
                      <w:highlight w:val="none"/>
                      <w:lang w:eastAsia="en-US"/>
                    </w:rPr>
                    <w:t>求</w:t>
                  </w:r>
                </w:p>
              </w:tc>
              <w:tc>
                <w:tcPr>
                  <w:tcW w:w="1200" w:type="dxa"/>
                  <w:noWrap w:val="0"/>
                  <w:vAlign w:val="center"/>
                </w:tcPr>
                <w:p w14:paraId="2F26B1F8">
                  <w:pPr>
                    <w:spacing w:before="58" w:line="258" w:lineRule="auto"/>
                    <w:ind w:right="213"/>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SATA SSD可靠性</w:t>
                  </w:r>
                </w:p>
              </w:tc>
              <w:tc>
                <w:tcPr>
                  <w:tcW w:w="4915" w:type="dxa"/>
                  <w:noWrap w:val="0"/>
                  <w:vAlign w:val="center"/>
                </w:tcPr>
                <w:p w14:paraId="3CA29E4F">
                  <w:pPr>
                    <w:spacing w:before="279" w:line="248" w:lineRule="auto"/>
                    <w:ind w:left="115" w:right="102"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5"/>
                      <w:sz w:val="24"/>
                      <w:szCs w:val="24"/>
                      <w:highlight w:val="none"/>
                      <w:u w:val="single"/>
                      <w:lang w:eastAsia="en-US"/>
                    </w:rPr>
                    <w:t>SSD的m1值（MTBF的不可接受值）</w:t>
                  </w:r>
                  <w:r>
                    <w:rPr>
                      <w:rFonts w:hint="eastAsia" w:ascii="宋体" w:hAnsi="宋体" w:eastAsia="宋体" w:cs="宋体"/>
                      <w:i/>
                      <w:iCs/>
                      <w:color w:val="auto"/>
                      <w:spacing w:val="-2"/>
                      <w:sz w:val="24"/>
                      <w:szCs w:val="24"/>
                      <w:highlight w:val="none"/>
                      <w:u w:val="single"/>
                      <w:lang w:eastAsia="en-US"/>
                    </w:rPr>
                    <w:t>不低于200000h</w:t>
                  </w:r>
                </w:p>
              </w:tc>
            </w:tr>
            <w:tr w14:paraId="3489D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5" w:hRule="atLeast"/>
                <w:jc w:val="center"/>
              </w:trPr>
              <w:tc>
                <w:tcPr>
                  <w:tcW w:w="719" w:type="dxa"/>
                  <w:noWrap w:val="0"/>
                  <w:vAlign w:val="center"/>
                </w:tcPr>
                <w:p w14:paraId="7F7E054A">
                  <w:pPr>
                    <w:spacing w:before="273"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125</w:t>
                  </w:r>
                </w:p>
              </w:tc>
              <w:tc>
                <w:tcPr>
                  <w:tcW w:w="1314" w:type="dxa"/>
                  <w:vMerge w:val="restart"/>
                  <w:tcBorders>
                    <w:bottom w:val="nil"/>
                  </w:tcBorders>
                  <w:noWrap w:val="0"/>
                  <w:vAlign w:val="center"/>
                </w:tcPr>
                <w:p w14:paraId="25232395">
                  <w:pPr>
                    <w:spacing w:before="58" w:line="224"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整机</w:t>
                  </w:r>
                </w:p>
                <w:p w14:paraId="764A7682">
                  <w:pPr>
                    <w:spacing w:before="20" w:line="222" w:lineRule="auto"/>
                    <w:ind w:left="19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5"/>
                      <w:sz w:val="24"/>
                      <w:szCs w:val="24"/>
                      <w:highlight w:val="none"/>
                      <w:lang w:eastAsia="en-US"/>
                    </w:rPr>
                    <w:t>可靠</w:t>
                  </w:r>
                </w:p>
                <w:p w14:paraId="38FAC7A2">
                  <w:pPr>
                    <w:spacing w:before="24" w:line="222" w:lineRule="auto"/>
                    <w:ind w:left="18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性要</w:t>
                  </w:r>
                </w:p>
                <w:p w14:paraId="3AA641E0">
                  <w:pPr>
                    <w:spacing w:before="23" w:line="226" w:lineRule="auto"/>
                    <w:ind w:left="28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求</w:t>
                  </w:r>
                </w:p>
              </w:tc>
              <w:tc>
                <w:tcPr>
                  <w:tcW w:w="1200" w:type="dxa"/>
                  <w:noWrap w:val="0"/>
                  <w:vAlign w:val="center"/>
                </w:tcPr>
                <w:p w14:paraId="0F6B92A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整机可靠性</w:t>
                  </w:r>
                </w:p>
              </w:tc>
              <w:tc>
                <w:tcPr>
                  <w:tcW w:w="4915" w:type="dxa"/>
                  <w:noWrap w:val="0"/>
                  <w:vAlign w:val="center"/>
                </w:tcPr>
                <w:p w14:paraId="1D74F572">
                  <w:pPr>
                    <w:spacing w:before="159" w:line="250" w:lineRule="auto"/>
                    <w:ind w:left="113" w:right="103" w:hanging="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m1值（MTBF的不可接受值）不得低于30000h</w:t>
                  </w:r>
                </w:p>
              </w:tc>
            </w:tr>
            <w:tr w14:paraId="0CBBF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4F16B9F5">
                  <w:pPr>
                    <w:spacing w:before="152"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126</w:t>
                  </w:r>
                </w:p>
              </w:tc>
              <w:tc>
                <w:tcPr>
                  <w:tcW w:w="1314" w:type="dxa"/>
                  <w:vMerge w:val="continue"/>
                  <w:tcBorders>
                    <w:top w:val="nil"/>
                    <w:bottom w:val="nil"/>
                  </w:tcBorders>
                  <w:noWrap w:val="0"/>
                  <w:vAlign w:val="center"/>
                </w:tcPr>
                <w:p w14:paraId="57A4AEBF">
                  <w:pPr>
                    <w:widowControl/>
                    <w:jc w:val="center"/>
                    <w:rPr>
                      <w:rFonts w:hint="default" w:ascii="宋体" w:hAnsi="宋体" w:eastAsia="宋体" w:cs="宋体"/>
                      <w:color w:val="auto"/>
                      <w:sz w:val="24"/>
                      <w:szCs w:val="24"/>
                      <w:highlight w:val="none"/>
                    </w:rPr>
                  </w:pPr>
                </w:p>
              </w:tc>
              <w:tc>
                <w:tcPr>
                  <w:tcW w:w="1200" w:type="dxa"/>
                  <w:noWrap w:val="0"/>
                  <w:vAlign w:val="center"/>
                </w:tcPr>
                <w:p w14:paraId="61A8661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风扇可靠性</w:t>
                  </w:r>
                </w:p>
              </w:tc>
              <w:tc>
                <w:tcPr>
                  <w:tcW w:w="4915" w:type="dxa"/>
                  <w:noWrap w:val="0"/>
                  <w:vAlign w:val="center"/>
                </w:tcPr>
                <w:p w14:paraId="5EEB0695">
                  <w:pPr>
                    <w:spacing w:before="158" w:line="222" w:lineRule="auto"/>
                    <w:ind w:left="11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风扇寿命应不低于40000h</w:t>
                  </w:r>
                </w:p>
              </w:tc>
            </w:tr>
            <w:tr w14:paraId="46C989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1C11BE47">
                  <w:pPr>
                    <w:spacing w:before="154"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127</w:t>
                  </w:r>
                </w:p>
              </w:tc>
              <w:tc>
                <w:tcPr>
                  <w:tcW w:w="1314" w:type="dxa"/>
                  <w:vMerge w:val="continue"/>
                  <w:tcBorders>
                    <w:top w:val="nil"/>
                  </w:tcBorders>
                  <w:noWrap w:val="0"/>
                  <w:vAlign w:val="center"/>
                </w:tcPr>
                <w:p w14:paraId="0ED16B13">
                  <w:pPr>
                    <w:widowControl/>
                    <w:jc w:val="center"/>
                    <w:rPr>
                      <w:rFonts w:hint="default" w:ascii="宋体" w:hAnsi="宋体" w:eastAsia="宋体" w:cs="宋体"/>
                      <w:color w:val="auto"/>
                      <w:sz w:val="24"/>
                      <w:szCs w:val="24"/>
                      <w:highlight w:val="none"/>
                    </w:rPr>
                  </w:pPr>
                </w:p>
              </w:tc>
              <w:tc>
                <w:tcPr>
                  <w:tcW w:w="1200" w:type="dxa"/>
                  <w:noWrap w:val="0"/>
                  <w:vAlign w:val="center"/>
                </w:tcPr>
                <w:p w14:paraId="520E33CC">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部件可靠性</w:t>
                  </w:r>
                </w:p>
              </w:tc>
              <w:tc>
                <w:tcPr>
                  <w:tcW w:w="4915" w:type="dxa"/>
                  <w:noWrap w:val="0"/>
                  <w:vAlign w:val="center"/>
                </w:tcPr>
                <w:p w14:paraId="2C827958">
                  <w:pPr>
                    <w:spacing w:before="42" w:line="222" w:lineRule="auto"/>
                    <w:ind w:left="114" w:right="103" w:firstLine="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支持硬盘、电源、风扇热插拔(内置</w:t>
                  </w:r>
                  <w:r>
                    <w:rPr>
                      <w:rFonts w:hint="eastAsia" w:ascii="宋体" w:hAnsi="宋体" w:eastAsia="宋体" w:cs="宋体"/>
                      <w:i/>
                      <w:iCs/>
                      <w:color w:val="auto"/>
                      <w:spacing w:val="-2"/>
                      <w:sz w:val="24"/>
                      <w:szCs w:val="24"/>
                      <w:highlight w:val="none"/>
                      <w:u w:val="single"/>
                      <w:lang w:eastAsia="en-US"/>
                    </w:rPr>
                    <w:t>风扇除外)</w:t>
                  </w:r>
                </w:p>
              </w:tc>
            </w:tr>
            <w:tr w14:paraId="477692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55423E5E">
                  <w:pPr>
                    <w:spacing w:before="5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128</w:t>
                  </w:r>
                </w:p>
              </w:tc>
              <w:tc>
                <w:tcPr>
                  <w:tcW w:w="1314" w:type="dxa"/>
                  <w:noWrap w:val="0"/>
                  <w:vAlign w:val="center"/>
                </w:tcPr>
                <w:p w14:paraId="7C8BA757">
                  <w:pPr>
                    <w:spacing w:before="41" w:line="246" w:lineRule="auto"/>
                    <w:ind w:left="188" w:right="141" w:hanging="4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包装</w:t>
                  </w:r>
                  <w:r>
                    <w:rPr>
                      <w:rFonts w:hint="eastAsia" w:ascii="宋体" w:hAnsi="宋体" w:eastAsia="宋体" w:cs="宋体"/>
                      <w:color w:val="auto"/>
                      <w:spacing w:val="-4"/>
                      <w:sz w:val="24"/>
                      <w:szCs w:val="24"/>
                      <w:highlight w:val="none"/>
                      <w:lang w:eastAsia="en-US"/>
                    </w:rPr>
                    <w:t>及运</w:t>
                  </w:r>
                </w:p>
                <w:p w14:paraId="1495D6F4">
                  <w:pPr>
                    <w:spacing w:line="222" w:lineRule="auto"/>
                    <w:ind w:left="280" w:right="186" w:hanging="93"/>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4"/>
                      <w:sz w:val="24"/>
                      <w:szCs w:val="24"/>
                      <w:highlight w:val="none"/>
                      <w:lang w:eastAsia="en-US"/>
                    </w:rPr>
                    <w:t>输要</w:t>
                  </w:r>
                  <w:r>
                    <w:rPr>
                      <w:rFonts w:hint="eastAsia" w:ascii="宋体" w:hAnsi="宋体" w:eastAsia="宋体" w:cs="宋体"/>
                      <w:color w:val="auto"/>
                      <w:sz w:val="24"/>
                      <w:szCs w:val="24"/>
                      <w:highlight w:val="none"/>
                      <w:lang w:eastAsia="en-US"/>
                    </w:rPr>
                    <w:t>求</w:t>
                  </w:r>
                </w:p>
              </w:tc>
              <w:tc>
                <w:tcPr>
                  <w:tcW w:w="1200" w:type="dxa"/>
                  <w:noWrap w:val="0"/>
                  <w:vAlign w:val="center"/>
                </w:tcPr>
                <w:p w14:paraId="6D81EB91">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标志、包</w:t>
                  </w:r>
                </w:p>
                <w:p w14:paraId="20870B4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装、运输和贮存</w:t>
                  </w:r>
                </w:p>
              </w:tc>
              <w:tc>
                <w:tcPr>
                  <w:tcW w:w="4915" w:type="dxa"/>
                  <w:noWrap w:val="0"/>
                  <w:vAlign w:val="center"/>
                </w:tcPr>
                <w:p w14:paraId="6686F608">
                  <w:pPr>
                    <w:spacing w:before="281" w:line="248"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符合</w:t>
                  </w:r>
                  <w:r>
                    <w:rPr>
                      <w:rFonts w:hint="eastAsia" w:ascii="宋体" w:hAnsi="宋体" w:eastAsia="宋体" w:cs="宋体"/>
                      <w:i/>
                      <w:iCs/>
                      <w:color w:val="auto"/>
                      <w:sz w:val="24"/>
                      <w:szCs w:val="24"/>
                      <w:highlight w:val="none"/>
                      <w:u w:val="single"/>
                      <w:lang w:eastAsia="en-US"/>
                    </w:rPr>
                    <w:t>GB</w:t>
                  </w:r>
                  <w:r>
                    <w:rPr>
                      <w:rFonts w:hint="eastAsia" w:ascii="宋体" w:hAnsi="宋体" w:eastAsia="宋体" w:cs="宋体"/>
                      <w:i/>
                      <w:iCs/>
                      <w:color w:val="auto"/>
                      <w:spacing w:val="1"/>
                      <w:sz w:val="24"/>
                      <w:szCs w:val="24"/>
                      <w:highlight w:val="none"/>
                      <w:u w:val="single"/>
                      <w:lang w:eastAsia="en-US"/>
                    </w:rPr>
                    <w:t>/T 9813.3和商品包装政府</w:t>
                  </w:r>
                  <w:r>
                    <w:rPr>
                      <w:rFonts w:hint="eastAsia" w:ascii="宋体" w:hAnsi="宋体" w:eastAsia="宋体" w:cs="宋体"/>
                      <w:i/>
                      <w:iCs/>
                      <w:color w:val="auto"/>
                      <w:spacing w:val="-1"/>
                      <w:sz w:val="24"/>
                      <w:szCs w:val="24"/>
                      <w:highlight w:val="none"/>
                      <w:u w:val="single"/>
                      <w:lang w:eastAsia="en-US"/>
                    </w:rPr>
                    <w:t>采购需求标准的相关规定</w:t>
                  </w:r>
                </w:p>
              </w:tc>
            </w:tr>
            <w:tr w14:paraId="5370B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44" w:hRule="atLeast"/>
                <w:jc w:val="center"/>
              </w:trPr>
              <w:tc>
                <w:tcPr>
                  <w:tcW w:w="719" w:type="dxa"/>
                  <w:noWrap w:val="0"/>
                  <w:vAlign w:val="center"/>
                </w:tcPr>
                <w:p w14:paraId="3864A01B">
                  <w:pPr>
                    <w:spacing w:before="59"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129</w:t>
                  </w:r>
                </w:p>
              </w:tc>
              <w:tc>
                <w:tcPr>
                  <w:tcW w:w="1314" w:type="dxa"/>
                  <w:vMerge w:val="restart"/>
                  <w:tcBorders>
                    <w:bottom w:val="nil"/>
                  </w:tcBorders>
                  <w:noWrap w:val="0"/>
                  <w:vAlign w:val="center"/>
                </w:tcPr>
                <w:p w14:paraId="7115CCFA">
                  <w:pPr>
                    <w:spacing w:before="59"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服务</w:t>
                  </w:r>
                  <w:r>
                    <w:rPr>
                      <w:rFonts w:hint="eastAsia" w:ascii="宋体" w:hAnsi="宋体" w:eastAsia="宋体" w:cs="宋体"/>
                      <w:color w:val="auto"/>
                      <w:spacing w:val="-8"/>
                      <w:sz w:val="24"/>
                      <w:szCs w:val="24"/>
                      <w:highlight w:val="none"/>
                      <w:lang w:eastAsia="en-US"/>
                    </w:rPr>
                    <w:t>响应</w:t>
                  </w:r>
                </w:p>
              </w:tc>
              <w:tc>
                <w:tcPr>
                  <w:tcW w:w="1200" w:type="dxa"/>
                  <w:noWrap w:val="0"/>
                  <w:vAlign w:val="center"/>
                </w:tcPr>
                <w:p w14:paraId="35BCB2E3">
                  <w:pPr>
                    <w:spacing w:before="59" w:line="221"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服务响应</w:t>
                  </w:r>
                </w:p>
              </w:tc>
              <w:tc>
                <w:tcPr>
                  <w:tcW w:w="4915" w:type="dxa"/>
                  <w:noWrap w:val="0"/>
                  <w:vAlign w:val="center"/>
                </w:tcPr>
                <w:p w14:paraId="5AED2B88">
                  <w:pPr>
                    <w:spacing w:before="42" w:line="243" w:lineRule="auto"/>
                    <w:ind w:left="112" w:right="103"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a) 提供电话、电子邮件、远程连接</w:t>
                  </w:r>
                  <w:r>
                    <w:rPr>
                      <w:rFonts w:hint="eastAsia" w:ascii="宋体" w:hAnsi="宋体" w:eastAsia="宋体" w:cs="宋体"/>
                      <w:i/>
                      <w:iCs/>
                      <w:color w:val="auto"/>
                      <w:spacing w:val="-1"/>
                      <w:sz w:val="24"/>
                      <w:szCs w:val="24"/>
                      <w:highlight w:val="none"/>
                      <w:u w:val="single"/>
                      <w:lang w:eastAsia="en-US"/>
                    </w:rPr>
                    <w:t>等多种形式服务；</w:t>
                  </w:r>
                </w:p>
                <w:p w14:paraId="7B5FAA5D">
                  <w:pPr>
                    <w:spacing w:before="4" w:line="245" w:lineRule="auto"/>
                    <w:ind w:left="113" w:right="103"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6"/>
                      <w:sz w:val="24"/>
                      <w:szCs w:val="24"/>
                      <w:highlight w:val="none"/>
                      <w:u w:val="single"/>
                      <w:lang w:eastAsia="en-US"/>
                    </w:rPr>
                    <w:t>b) 提供同城4h、异地12h技术响应服务，2个工作日解决问题，对于未</w:t>
                  </w:r>
                  <w:r>
                    <w:rPr>
                      <w:rFonts w:hint="eastAsia" w:ascii="宋体" w:hAnsi="宋体" w:eastAsia="宋体" w:cs="宋体"/>
                      <w:i/>
                      <w:iCs/>
                      <w:color w:val="auto"/>
                      <w:spacing w:val="-1"/>
                      <w:sz w:val="24"/>
                      <w:szCs w:val="24"/>
                      <w:highlight w:val="none"/>
                      <w:u w:val="single"/>
                      <w:lang w:eastAsia="en-US"/>
                    </w:rPr>
                    <w:t>能解决的问题和故障应提供可行的升级方案，并提供周转设备；</w:t>
                  </w:r>
                </w:p>
                <w:p w14:paraId="5A29ED5B">
                  <w:pPr>
                    <w:spacing w:before="6" w:line="244" w:lineRule="auto"/>
                    <w:ind w:left="112" w:right="5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c) 建立全国技术服务体系和服务</w:t>
                  </w:r>
                  <w:r>
                    <w:rPr>
                      <w:rFonts w:hint="eastAsia" w:ascii="宋体" w:hAnsi="宋体" w:eastAsia="宋体" w:cs="宋体"/>
                      <w:i/>
                      <w:iCs/>
                      <w:color w:val="auto"/>
                      <w:spacing w:val="-5"/>
                      <w:sz w:val="24"/>
                      <w:szCs w:val="24"/>
                      <w:highlight w:val="none"/>
                      <w:u w:val="single"/>
                      <w:lang w:eastAsia="en-US"/>
                    </w:rPr>
                    <w:t>团体，符合专业服务体系标准要求，</w:t>
                  </w:r>
                  <w:r>
                    <w:rPr>
                      <w:rFonts w:hint="eastAsia" w:ascii="宋体" w:hAnsi="宋体" w:eastAsia="宋体" w:cs="宋体"/>
                      <w:i/>
                      <w:iCs/>
                      <w:color w:val="auto"/>
                      <w:spacing w:val="-1"/>
                      <w:sz w:val="24"/>
                      <w:szCs w:val="24"/>
                      <w:highlight w:val="none"/>
                      <w:u w:val="single"/>
                      <w:lang w:eastAsia="en-US"/>
                    </w:rPr>
                    <w:t>提供原厂中文服务；</w:t>
                  </w:r>
                </w:p>
                <w:p w14:paraId="18379D6A">
                  <w:pPr>
                    <w:spacing w:before="5" w:line="222" w:lineRule="auto"/>
                    <w:ind w:left="112" w:right="10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d) 服务周期内提供产品的维修、换</w:t>
                  </w:r>
                  <w:r>
                    <w:rPr>
                      <w:rFonts w:hint="eastAsia" w:ascii="宋体" w:hAnsi="宋体" w:eastAsia="宋体" w:cs="宋体"/>
                      <w:i/>
                      <w:iCs/>
                      <w:color w:val="auto"/>
                      <w:spacing w:val="-1"/>
                      <w:sz w:val="24"/>
                      <w:szCs w:val="24"/>
                      <w:highlight w:val="none"/>
                      <w:u w:val="single"/>
                      <w:lang w:eastAsia="en-US"/>
                    </w:rPr>
                    <w:t>件和升级服务</w:t>
                  </w:r>
                </w:p>
              </w:tc>
            </w:tr>
            <w:tr w14:paraId="6302D0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27C0F6B6">
                  <w:pPr>
                    <w:spacing w:before="155"/>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130</w:t>
                  </w:r>
                </w:p>
              </w:tc>
              <w:tc>
                <w:tcPr>
                  <w:tcW w:w="1314" w:type="dxa"/>
                  <w:vMerge w:val="continue"/>
                  <w:tcBorders>
                    <w:top w:val="nil"/>
                  </w:tcBorders>
                  <w:noWrap w:val="0"/>
                  <w:vAlign w:val="center"/>
                </w:tcPr>
                <w:p w14:paraId="1688E99C">
                  <w:pPr>
                    <w:widowControl/>
                    <w:jc w:val="center"/>
                    <w:rPr>
                      <w:rFonts w:hint="default" w:ascii="宋体" w:hAnsi="宋体" w:eastAsia="宋体" w:cs="宋体"/>
                      <w:color w:val="auto"/>
                      <w:sz w:val="24"/>
                      <w:szCs w:val="24"/>
                      <w:highlight w:val="none"/>
                    </w:rPr>
                  </w:pPr>
                </w:p>
              </w:tc>
              <w:tc>
                <w:tcPr>
                  <w:tcW w:w="1200" w:type="dxa"/>
                  <w:noWrap w:val="0"/>
                  <w:vAlign w:val="center"/>
                </w:tcPr>
                <w:p w14:paraId="603BBC50">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培训服务</w:t>
                  </w:r>
                </w:p>
              </w:tc>
              <w:tc>
                <w:tcPr>
                  <w:tcW w:w="4915" w:type="dxa"/>
                  <w:noWrap w:val="0"/>
                  <w:vAlign w:val="center"/>
                </w:tcPr>
                <w:p w14:paraId="71705405">
                  <w:pPr>
                    <w:spacing w:before="42" w:line="222" w:lineRule="auto"/>
                    <w:ind w:left="113" w:right="19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供应商提供培训材料、产品手册、</w:t>
                  </w:r>
                  <w:r>
                    <w:rPr>
                      <w:rFonts w:hint="eastAsia" w:ascii="宋体" w:hAnsi="宋体" w:eastAsia="宋体" w:cs="宋体"/>
                      <w:i/>
                      <w:iCs/>
                      <w:color w:val="auto"/>
                      <w:spacing w:val="-1"/>
                      <w:sz w:val="24"/>
                      <w:szCs w:val="24"/>
                      <w:highlight w:val="none"/>
                      <w:u w:val="single"/>
                      <w:lang w:eastAsia="en-US"/>
                    </w:rPr>
                    <w:t>培训视频等培训相关内容</w:t>
                  </w:r>
                </w:p>
              </w:tc>
            </w:tr>
            <w:tr w14:paraId="14EDD7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7" w:hRule="atLeast"/>
                <w:jc w:val="center"/>
              </w:trPr>
              <w:tc>
                <w:tcPr>
                  <w:tcW w:w="719" w:type="dxa"/>
                  <w:noWrap w:val="0"/>
                  <w:vAlign w:val="center"/>
                </w:tcPr>
                <w:p w14:paraId="404B0C49">
                  <w:pPr>
                    <w:spacing w:before="58"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131</w:t>
                  </w:r>
                </w:p>
              </w:tc>
              <w:tc>
                <w:tcPr>
                  <w:tcW w:w="1314" w:type="dxa"/>
                  <w:noWrap w:val="0"/>
                  <w:vAlign w:val="center"/>
                </w:tcPr>
                <w:p w14:paraId="4CF29C95">
                  <w:pPr>
                    <w:spacing w:before="59" w:line="248" w:lineRule="auto"/>
                    <w:ind w:right="14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服务</w:t>
                  </w:r>
                  <w:r>
                    <w:rPr>
                      <w:rFonts w:hint="eastAsia" w:ascii="宋体" w:hAnsi="宋体" w:eastAsia="宋体" w:cs="宋体"/>
                      <w:color w:val="auto"/>
                      <w:spacing w:val="-4"/>
                      <w:sz w:val="24"/>
                      <w:szCs w:val="24"/>
                      <w:highlight w:val="none"/>
                      <w:lang w:eastAsia="en-US"/>
                    </w:rPr>
                    <w:t>周期</w:t>
                  </w:r>
                </w:p>
              </w:tc>
              <w:tc>
                <w:tcPr>
                  <w:tcW w:w="1200" w:type="dxa"/>
                  <w:noWrap w:val="0"/>
                  <w:vAlign w:val="center"/>
                </w:tcPr>
                <w:p w14:paraId="43E0F50E">
                  <w:pPr>
                    <w:spacing w:before="58" w:line="221"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服务周期</w:t>
                  </w:r>
                </w:p>
              </w:tc>
              <w:tc>
                <w:tcPr>
                  <w:tcW w:w="4915" w:type="dxa"/>
                  <w:noWrap w:val="0"/>
                  <w:vAlign w:val="center"/>
                </w:tcPr>
                <w:p w14:paraId="4B8D6CB9">
                  <w:pPr>
                    <w:spacing w:before="42" w:line="243" w:lineRule="auto"/>
                    <w:ind w:left="113" w:right="103"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a) 产品免费服务周期（含换件和维</w:t>
                  </w:r>
                  <w:r>
                    <w:rPr>
                      <w:rFonts w:hint="eastAsia" w:ascii="宋体" w:hAnsi="宋体" w:eastAsia="宋体" w:cs="宋体"/>
                      <w:i/>
                      <w:iCs/>
                      <w:color w:val="auto"/>
                      <w:spacing w:val="-3"/>
                      <w:sz w:val="24"/>
                      <w:szCs w:val="24"/>
                      <w:highlight w:val="none"/>
                      <w:u w:val="single"/>
                      <w:lang w:eastAsia="en-US"/>
                    </w:rPr>
                    <w:t>修）应不小于3年；</w:t>
                  </w:r>
                </w:p>
                <w:p w14:paraId="3CD76B97">
                  <w:pPr>
                    <w:spacing w:before="4" w:line="245" w:lineRule="auto"/>
                    <w:ind w:left="113" w:right="168" w:firstLine="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 设备停产后继续提供质量保障服务（含备品备件</w:t>
                  </w:r>
                  <w:r>
                    <w:rPr>
                      <w:rFonts w:hint="eastAsia" w:ascii="宋体" w:hAnsi="宋体" w:eastAsia="宋体" w:cs="宋体"/>
                      <w:i/>
                      <w:iCs/>
                      <w:color w:val="auto"/>
                      <w:spacing w:val="3"/>
                      <w:sz w:val="24"/>
                      <w:szCs w:val="24"/>
                      <w:highlight w:val="none"/>
                      <w:u w:val="single"/>
                      <w:lang w:eastAsia="en-US"/>
                    </w:rPr>
                    <w:t>），</w:t>
                  </w:r>
                  <w:r>
                    <w:rPr>
                      <w:rFonts w:hint="eastAsia" w:ascii="宋体" w:hAnsi="宋体" w:eastAsia="宋体" w:cs="宋体"/>
                      <w:i/>
                      <w:iCs/>
                      <w:color w:val="auto"/>
                      <w:spacing w:val="-1"/>
                      <w:sz w:val="24"/>
                      <w:szCs w:val="24"/>
                      <w:highlight w:val="none"/>
                      <w:u w:val="single"/>
                      <w:lang w:eastAsia="en-US"/>
                    </w:rPr>
                    <w:t>服务终止时间与最后一批设备交付时间间隔不</w:t>
                  </w:r>
                  <w:r>
                    <w:rPr>
                      <w:rFonts w:hint="eastAsia" w:ascii="宋体" w:hAnsi="宋体" w:eastAsia="宋体" w:cs="宋体"/>
                      <w:i/>
                      <w:iCs/>
                      <w:color w:val="auto"/>
                      <w:spacing w:val="-5"/>
                      <w:sz w:val="24"/>
                      <w:szCs w:val="24"/>
                      <w:highlight w:val="none"/>
                      <w:u w:val="single"/>
                      <w:lang w:eastAsia="en-US"/>
                    </w:rPr>
                    <w:t>低于6年；</w:t>
                  </w:r>
                </w:p>
                <w:p w14:paraId="76DCDF26">
                  <w:pPr>
                    <w:spacing w:before="6" w:line="243" w:lineRule="auto"/>
                    <w:ind w:left="118" w:right="103" w:hanging="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c) 产品停止服务时间应提前1年告</w:t>
                  </w:r>
                  <w:r>
                    <w:rPr>
                      <w:rFonts w:hint="eastAsia" w:ascii="宋体" w:hAnsi="宋体" w:eastAsia="宋体" w:cs="宋体"/>
                      <w:i/>
                      <w:iCs/>
                      <w:color w:val="auto"/>
                      <w:spacing w:val="-3"/>
                      <w:sz w:val="24"/>
                      <w:szCs w:val="24"/>
                      <w:highlight w:val="none"/>
                      <w:u w:val="single"/>
                      <w:lang w:eastAsia="en-US"/>
                    </w:rPr>
                    <w:t>知客户；</w:t>
                  </w:r>
                </w:p>
                <w:p w14:paraId="4AF98ED2">
                  <w:pPr>
                    <w:spacing w:before="5" w:line="200" w:lineRule="auto"/>
                    <w:ind w:left="113"/>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d) 产品发布日期需在随机文件中</w:t>
                  </w:r>
                  <w:r>
                    <w:rPr>
                      <w:rFonts w:hint="eastAsia" w:ascii="宋体" w:hAnsi="宋体" w:eastAsia="宋体" w:cs="宋体"/>
                      <w:i/>
                      <w:iCs/>
                      <w:color w:val="auto"/>
                      <w:spacing w:val="-8"/>
                      <w:sz w:val="24"/>
                      <w:szCs w:val="24"/>
                      <w:highlight w:val="none"/>
                      <w:u w:val="single"/>
                      <w:lang w:eastAsia="en-US"/>
                    </w:rPr>
                    <w:t>明确</w:t>
                  </w:r>
                </w:p>
              </w:tc>
            </w:tr>
            <w:tr w14:paraId="30668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4" w:hRule="atLeast"/>
                <w:jc w:val="center"/>
              </w:trPr>
              <w:tc>
                <w:tcPr>
                  <w:tcW w:w="719" w:type="dxa"/>
                  <w:noWrap w:val="0"/>
                  <w:vAlign w:val="center"/>
                </w:tcPr>
                <w:p w14:paraId="6C738249">
                  <w:pPr>
                    <w:spacing w:before="59"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132</w:t>
                  </w:r>
                </w:p>
              </w:tc>
              <w:tc>
                <w:tcPr>
                  <w:tcW w:w="1314" w:type="dxa"/>
                  <w:vMerge w:val="restart"/>
                  <w:tcBorders>
                    <w:bottom w:val="nil"/>
                  </w:tcBorders>
                  <w:noWrap w:val="0"/>
                  <w:vAlign w:val="center"/>
                </w:tcPr>
                <w:p w14:paraId="45C4EEDF">
                  <w:pPr>
                    <w:spacing w:before="59" w:line="247" w:lineRule="auto"/>
                    <w:ind w:left="186" w:right="141" w:hanging="47"/>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服务</w:t>
                  </w:r>
                  <w:r>
                    <w:rPr>
                      <w:rFonts w:hint="eastAsia" w:ascii="宋体" w:hAnsi="宋体" w:eastAsia="宋体" w:cs="宋体"/>
                      <w:color w:val="auto"/>
                      <w:spacing w:val="-3"/>
                      <w:sz w:val="24"/>
                      <w:szCs w:val="24"/>
                      <w:highlight w:val="none"/>
                      <w:lang w:eastAsia="en-US"/>
                    </w:rPr>
                    <w:t>工具要求</w:t>
                  </w:r>
                </w:p>
              </w:tc>
              <w:tc>
                <w:tcPr>
                  <w:tcW w:w="1200" w:type="dxa"/>
                  <w:noWrap w:val="0"/>
                  <w:vAlign w:val="center"/>
                </w:tcPr>
                <w:p w14:paraId="029A5756">
                  <w:pPr>
                    <w:spacing w:before="59"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工具要求</w:t>
                  </w:r>
                </w:p>
              </w:tc>
              <w:tc>
                <w:tcPr>
                  <w:tcW w:w="4915" w:type="dxa"/>
                  <w:noWrap w:val="0"/>
                  <w:vAlign w:val="center"/>
                </w:tcPr>
                <w:p w14:paraId="1E88327F">
                  <w:pPr>
                    <w:spacing w:before="37" w:line="235"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供应商提供设置服务器硬件、辅助操作系统安装等功能的辅助工具和管理软件。且随附软件应具有合法</w:t>
                  </w:r>
                  <w:r>
                    <w:rPr>
                      <w:rFonts w:hint="eastAsia" w:ascii="宋体" w:hAnsi="宋体" w:eastAsia="宋体" w:cs="宋体"/>
                      <w:i/>
                      <w:iCs/>
                      <w:color w:val="auto"/>
                      <w:spacing w:val="-2"/>
                      <w:sz w:val="24"/>
                      <w:szCs w:val="24"/>
                      <w:highlight w:val="none"/>
                      <w:u w:val="single"/>
                      <w:lang w:eastAsia="en-US"/>
                    </w:rPr>
                    <w:t>授权或版权</w:t>
                  </w:r>
                </w:p>
              </w:tc>
            </w:tr>
            <w:tr w14:paraId="56126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jc w:val="center"/>
              </w:trPr>
              <w:tc>
                <w:tcPr>
                  <w:tcW w:w="719" w:type="dxa"/>
                  <w:noWrap w:val="0"/>
                  <w:vAlign w:val="center"/>
                </w:tcPr>
                <w:p w14:paraId="47D2E5AA">
                  <w:pPr>
                    <w:spacing w:before="5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133</w:t>
                  </w:r>
                </w:p>
              </w:tc>
              <w:tc>
                <w:tcPr>
                  <w:tcW w:w="1314" w:type="dxa"/>
                  <w:vMerge w:val="continue"/>
                  <w:tcBorders>
                    <w:top w:val="nil"/>
                    <w:bottom w:val="nil"/>
                  </w:tcBorders>
                  <w:noWrap w:val="0"/>
                  <w:vAlign w:val="center"/>
                </w:tcPr>
                <w:p w14:paraId="5C54BCF5">
                  <w:pPr>
                    <w:widowControl/>
                    <w:jc w:val="center"/>
                    <w:rPr>
                      <w:rFonts w:hint="default" w:ascii="宋体" w:hAnsi="宋体" w:eastAsia="宋体" w:cs="宋体"/>
                      <w:color w:val="auto"/>
                      <w:sz w:val="24"/>
                      <w:szCs w:val="24"/>
                      <w:highlight w:val="none"/>
                    </w:rPr>
                  </w:pPr>
                </w:p>
              </w:tc>
              <w:tc>
                <w:tcPr>
                  <w:tcW w:w="1200" w:type="dxa"/>
                  <w:noWrap w:val="0"/>
                  <w:vAlign w:val="center"/>
                </w:tcPr>
                <w:p w14:paraId="608295FA">
                  <w:pPr>
                    <w:spacing w:before="59" w:line="222"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辅助工具</w:t>
                  </w:r>
                </w:p>
              </w:tc>
              <w:tc>
                <w:tcPr>
                  <w:tcW w:w="4915" w:type="dxa"/>
                  <w:noWrap w:val="0"/>
                  <w:vAlign w:val="center"/>
                </w:tcPr>
                <w:p w14:paraId="1B1BF80B">
                  <w:pPr>
                    <w:spacing w:before="41" w:line="222" w:lineRule="auto"/>
                    <w:ind w:left="11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3"/>
                      <w:sz w:val="24"/>
                      <w:szCs w:val="24"/>
                      <w:highlight w:val="none"/>
                      <w:u w:val="single"/>
                      <w:lang w:eastAsia="en-US"/>
                    </w:rPr>
                    <w:t>支持如下功能</w:t>
                  </w:r>
                </w:p>
                <w:p w14:paraId="42810C79">
                  <w:pPr>
                    <w:spacing w:before="23" w:line="213" w:lineRule="auto"/>
                    <w:ind w:left="11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a) 本地的数据备份和还原功能；</w:t>
                  </w:r>
                </w:p>
                <w:p w14:paraId="6EC8FC2F">
                  <w:pPr>
                    <w:spacing w:before="32" w:line="213" w:lineRule="auto"/>
                    <w:ind w:left="11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b) 网络的数据备份和还原功能；</w:t>
                  </w:r>
                </w:p>
                <w:p w14:paraId="5B648118">
                  <w:pPr>
                    <w:spacing w:before="32" w:line="243" w:lineRule="auto"/>
                    <w:ind w:left="119" w:right="259" w:hanging="6"/>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c) 服务器操作系统的自动安装功</w:t>
                  </w:r>
                  <w:r>
                    <w:rPr>
                      <w:rFonts w:hint="eastAsia" w:ascii="宋体" w:hAnsi="宋体" w:eastAsia="宋体" w:cs="宋体"/>
                      <w:i/>
                      <w:iCs/>
                      <w:color w:val="auto"/>
                      <w:spacing w:val="-7"/>
                      <w:sz w:val="24"/>
                      <w:szCs w:val="24"/>
                      <w:highlight w:val="none"/>
                      <w:u w:val="single"/>
                      <w:lang w:eastAsia="en-US"/>
                    </w:rPr>
                    <w:t>能；</w:t>
                  </w:r>
                </w:p>
                <w:p w14:paraId="6637BCC5">
                  <w:pPr>
                    <w:spacing w:before="5" w:line="222" w:lineRule="auto"/>
                    <w:ind w:left="113" w:right="25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d) 服务器所配硬件需要的驱动程</w:t>
                  </w:r>
                  <w:r>
                    <w:rPr>
                      <w:rFonts w:hint="eastAsia" w:ascii="宋体" w:hAnsi="宋体" w:eastAsia="宋体" w:cs="宋体"/>
                      <w:i/>
                      <w:iCs/>
                      <w:color w:val="auto"/>
                      <w:spacing w:val="-2"/>
                      <w:sz w:val="24"/>
                      <w:szCs w:val="24"/>
                      <w:highlight w:val="none"/>
                      <w:u w:val="single"/>
                      <w:lang w:eastAsia="en-US"/>
                    </w:rPr>
                    <w:t>序和系统补丁</w:t>
                  </w:r>
                </w:p>
              </w:tc>
            </w:tr>
            <w:tr w14:paraId="3DCFA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5" w:hRule="atLeast"/>
                <w:jc w:val="center"/>
              </w:trPr>
              <w:tc>
                <w:tcPr>
                  <w:tcW w:w="719" w:type="dxa"/>
                  <w:noWrap w:val="0"/>
                  <w:vAlign w:val="center"/>
                </w:tcPr>
                <w:p w14:paraId="686A2BF5">
                  <w:pPr>
                    <w:spacing w:before="59"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134</w:t>
                  </w:r>
                </w:p>
              </w:tc>
              <w:tc>
                <w:tcPr>
                  <w:tcW w:w="1314" w:type="dxa"/>
                  <w:vMerge w:val="continue"/>
                  <w:tcBorders>
                    <w:top w:val="nil"/>
                    <w:bottom w:val="nil"/>
                  </w:tcBorders>
                  <w:noWrap w:val="0"/>
                  <w:vAlign w:val="center"/>
                </w:tcPr>
                <w:p w14:paraId="5E486D8F">
                  <w:pPr>
                    <w:widowControl/>
                    <w:jc w:val="center"/>
                    <w:rPr>
                      <w:rFonts w:hint="default" w:ascii="宋体" w:hAnsi="宋体" w:eastAsia="宋体" w:cs="宋体"/>
                      <w:color w:val="auto"/>
                      <w:sz w:val="24"/>
                      <w:szCs w:val="24"/>
                      <w:highlight w:val="none"/>
                    </w:rPr>
                  </w:pPr>
                </w:p>
              </w:tc>
              <w:tc>
                <w:tcPr>
                  <w:tcW w:w="1200" w:type="dxa"/>
                  <w:noWrap w:val="0"/>
                  <w:vAlign w:val="center"/>
                </w:tcPr>
                <w:p w14:paraId="6EE7E4C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驱动安装升级指引</w:t>
                  </w:r>
                </w:p>
              </w:tc>
              <w:tc>
                <w:tcPr>
                  <w:tcW w:w="4915" w:type="dxa"/>
                  <w:noWrap w:val="0"/>
                  <w:vAlign w:val="center"/>
                </w:tcPr>
                <w:p w14:paraId="7625352B">
                  <w:pPr>
                    <w:spacing w:before="42" w:line="234"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供应商提供出厂安装的配件所需的驱动程序，形式包括但不限于驱动光盘、驱动下载链接等。其他配件</w:t>
                  </w:r>
                  <w:r>
                    <w:rPr>
                      <w:rFonts w:hint="eastAsia" w:ascii="宋体" w:hAnsi="宋体" w:eastAsia="宋体" w:cs="宋体"/>
                      <w:i/>
                      <w:iCs/>
                      <w:color w:val="auto"/>
                      <w:spacing w:val="-2"/>
                      <w:sz w:val="24"/>
                      <w:szCs w:val="24"/>
                      <w:highlight w:val="none"/>
                      <w:u w:val="single"/>
                      <w:lang w:eastAsia="en-US"/>
                    </w:rPr>
                    <w:t>应提供指引</w:t>
                  </w:r>
                </w:p>
              </w:tc>
            </w:tr>
            <w:tr w14:paraId="626269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jc w:val="center"/>
              </w:trPr>
              <w:tc>
                <w:tcPr>
                  <w:tcW w:w="719" w:type="dxa"/>
                  <w:noWrap w:val="0"/>
                  <w:vAlign w:val="center"/>
                </w:tcPr>
                <w:p w14:paraId="7BFCE643">
                  <w:pPr>
                    <w:spacing w:before="154"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135</w:t>
                  </w:r>
                </w:p>
              </w:tc>
              <w:tc>
                <w:tcPr>
                  <w:tcW w:w="1314" w:type="dxa"/>
                  <w:vMerge w:val="continue"/>
                  <w:tcBorders>
                    <w:top w:val="nil"/>
                    <w:bottom w:val="nil"/>
                  </w:tcBorders>
                  <w:noWrap w:val="0"/>
                  <w:vAlign w:val="center"/>
                </w:tcPr>
                <w:p w14:paraId="13893D77">
                  <w:pPr>
                    <w:widowControl/>
                    <w:jc w:val="center"/>
                    <w:rPr>
                      <w:rFonts w:hint="default" w:ascii="宋体" w:hAnsi="宋体" w:eastAsia="宋体" w:cs="宋体"/>
                      <w:color w:val="auto"/>
                      <w:sz w:val="24"/>
                      <w:szCs w:val="24"/>
                      <w:highlight w:val="none"/>
                    </w:rPr>
                  </w:pPr>
                </w:p>
              </w:tc>
              <w:tc>
                <w:tcPr>
                  <w:tcW w:w="1200" w:type="dxa"/>
                  <w:noWrap w:val="0"/>
                  <w:vAlign w:val="center"/>
                </w:tcPr>
                <w:p w14:paraId="6FE0D584">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随机附开盖工具</w:t>
                  </w:r>
                </w:p>
              </w:tc>
              <w:tc>
                <w:tcPr>
                  <w:tcW w:w="4915" w:type="dxa"/>
                  <w:noWrap w:val="0"/>
                  <w:vAlign w:val="center"/>
                </w:tcPr>
                <w:p w14:paraId="16B65D2C">
                  <w:pPr>
                    <w:spacing w:before="161" w:line="221" w:lineRule="auto"/>
                    <w:ind w:left="11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随服务器打包提供开机箱工具</w:t>
                  </w:r>
                </w:p>
              </w:tc>
            </w:tr>
            <w:tr w14:paraId="3C4EB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4" w:hRule="atLeast"/>
                <w:jc w:val="center"/>
              </w:trPr>
              <w:tc>
                <w:tcPr>
                  <w:tcW w:w="719" w:type="dxa"/>
                  <w:noWrap w:val="0"/>
                  <w:vAlign w:val="center"/>
                </w:tcPr>
                <w:p w14:paraId="5A210754">
                  <w:pPr>
                    <w:spacing w:before="58" w:line="242" w:lineRule="auto"/>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136</w:t>
                  </w:r>
                </w:p>
              </w:tc>
              <w:tc>
                <w:tcPr>
                  <w:tcW w:w="1314" w:type="dxa"/>
                  <w:vMerge w:val="continue"/>
                  <w:tcBorders>
                    <w:top w:val="nil"/>
                    <w:bottom w:val="nil"/>
                  </w:tcBorders>
                  <w:noWrap w:val="0"/>
                  <w:vAlign w:val="center"/>
                </w:tcPr>
                <w:p w14:paraId="1DF4CAF3">
                  <w:pPr>
                    <w:widowControl/>
                    <w:jc w:val="center"/>
                    <w:rPr>
                      <w:rFonts w:hint="default" w:ascii="宋体" w:hAnsi="宋体" w:eastAsia="宋体" w:cs="宋体"/>
                      <w:color w:val="auto"/>
                      <w:sz w:val="24"/>
                      <w:szCs w:val="24"/>
                      <w:highlight w:val="none"/>
                    </w:rPr>
                  </w:pPr>
                </w:p>
              </w:tc>
              <w:tc>
                <w:tcPr>
                  <w:tcW w:w="1200" w:type="dxa"/>
                  <w:noWrap w:val="0"/>
                  <w:vAlign w:val="center"/>
                </w:tcPr>
                <w:p w14:paraId="3364B9D7">
                  <w:pPr>
                    <w:spacing w:before="59" w:line="249"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代码迁移工具</w:t>
                  </w:r>
                </w:p>
              </w:tc>
              <w:tc>
                <w:tcPr>
                  <w:tcW w:w="4915" w:type="dxa"/>
                  <w:noWrap w:val="0"/>
                  <w:vAlign w:val="center"/>
                </w:tcPr>
                <w:p w14:paraId="2B8E22E8">
                  <w:pPr>
                    <w:spacing w:before="42" w:line="245"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供应商提供从其他CPU架构到当前服务器CPU架构的软件迁移工具产</w:t>
                  </w:r>
                  <w:r>
                    <w:rPr>
                      <w:rFonts w:hint="eastAsia" w:ascii="宋体" w:hAnsi="宋体" w:eastAsia="宋体" w:cs="宋体"/>
                      <w:i/>
                      <w:iCs/>
                      <w:color w:val="auto"/>
                      <w:spacing w:val="-1"/>
                      <w:sz w:val="24"/>
                      <w:szCs w:val="24"/>
                      <w:highlight w:val="none"/>
                      <w:u w:val="single"/>
                      <w:lang w:eastAsia="en-US"/>
                    </w:rPr>
                    <w:t>品，支持软件包迁移评估，对满足产品重构要求的软件包，能重构为</w:t>
                  </w:r>
                  <w:r>
                    <w:rPr>
                      <w:rFonts w:hint="eastAsia" w:ascii="宋体" w:hAnsi="宋体" w:eastAsia="宋体" w:cs="宋体"/>
                      <w:i/>
                      <w:iCs/>
                      <w:color w:val="auto"/>
                      <w:spacing w:val="-2"/>
                      <w:sz w:val="24"/>
                      <w:szCs w:val="24"/>
                      <w:highlight w:val="none"/>
                      <w:u w:val="single"/>
                      <w:lang w:eastAsia="en-US"/>
                    </w:rPr>
                    <w:t>当前服务器CPU架构的软件包。提</w:t>
                  </w:r>
                  <w:r>
                    <w:rPr>
                      <w:rFonts w:hint="eastAsia" w:ascii="宋体" w:hAnsi="宋体" w:eastAsia="宋体" w:cs="宋体"/>
                      <w:i/>
                      <w:iCs/>
                      <w:color w:val="auto"/>
                      <w:spacing w:val="-1"/>
                      <w:sz w:val="24"/>
                      <w:szCs w:val="24"/>
                      <w:highlight w:val="none"/>
                      <w:u w:val="single"/>
                      <w:lang w:eastAsia="en-US"/>
                    </w:rPr>
                    <w:t>供源码迁移功能，检查分析</w:t>
                  </w:r>
                </w:p>
                <w:p w14:paraId="1F27B825">
                  <w:pPr>
                    <w:spacing w:before="5" w:line="230"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C/C++/Fortran/Go/解释型语言/汇编等源码文件，基于产品功能给出</w:t>
                  </w:r>
                  <w:r>
                    <w:rPr>
                      <w:rFonts w:hint="eastAsia" w:ascii="宋体" w:hAnsi="宋体" w:eastAsia="宋体" w:cs="宋体"/>
                      <w:i/>
                      <w:iCs/>
                      <w:color w:val="auto"/>
                      <w:spacing w:val="-2"/>
                      <w:sz w:val="24"/>
                      <w:szCs w:val="24"/>
                      <w:highlight w:val="none"/>
                      <w:u w:val="single"/>
                      <w:lang w:eastAsia="en-US"/>
                    </w:rPr>
                    <w:t>迁移指导</w:t>
                  </w:r>
                </w:p>
              </w:tc>
            </w:tr>
            <w:tr w14:paraId="61B11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4" w:hRule="atLeast"/>
                <w:jc w:val="center"/>
              </w:trPr>
              <w:tc>
                <w:tcPr>
                  <w:tcW w:w="719" w:type="dxa"/>
                  <w:noWrap w:val="0"/>
                  <w:vAlign w:val="center"/>
                </w:tcPr>
                <w:p w14:paraId="52011EFF">
                  <w:pPr>
                    <w:spacing w:before="58"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137</w:t>
                  </w:r>
                </w:p>
              </w:tc>
              <w:tc>
                <w:tcPr>
                  <w:tcW w:w="1314" w:type="dxa"/>
                  <w:vMerge w:val="continue"/>
                  <w:tcBorders>
                    <w:top w:val="nil"/>
                    <w:bottom w:val="nil"/>
                  </w:tcBorders>
                  <w:noWrap w:val="0"/>
                  <w:vAlign w:val="center"/>
                </w:tcPr>
                <w:p w14:paraId="7807786C">
                  <w:pPr>
                    <w:widowControl/>
                    <w:jc w:val="center"/>
                    <w:rPr>
                      <w:rFonts w:hint="default" w:ascii="宋体" w:hAnsi="宋体" w:eastAsia="宋体" w:cs="宋体"/>
                      <w:color w:val="auto"/>
                      <w:sz w:val="24"/>
                      <w:szCs w:val="24"/>
                      <w:highlight w:val="none"/>
                    </w:rPr>
                  </w:pPr>
                </w:p>
              </w:tc>
              <w:tc>
                <w:tcPr>
                  <w:tcW w:w="1200" w:type="dxa"/>
                  <w:noWrap w:val="0"/>
                  <w:vAlign w:val="center"/>
                </w:tcPr>
                <w:p w14:paraId="4776EFDC">
                  <w:pPr>
                    <w:spacing w:before="59" w:line="249" w:lineRule="auto"/>
                    <w:ind w:right="214"/>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性能分析工具</w:t>
                  </w:r>
                </w:p>
              </w:tc>
              <w:tc>
                <w:tcPr>
                  <w:tcW w:w="4915" w:type="dxa"/>
                  <w:noWrap w:val="0"/>
                  <w:vAlign w:val="center"/>
                </w:tcPr>
                <w:p w14:paraId="1DE0D2A4">
                  <w:pPr>
                    <w:spacing w:before="41" w:line="238" w:lineRule="auto"/>
                    <w:ind w:left="111" w:right="41"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供应商提供支持当前服务器CPU架</w:t>
                  </w:r>
                  <w:r>
                    <w:rPr>
                      <w:rFonts w:hint="eastAsia" w:ascii="宋体" w:hAnsi="宋体" w:eastAsia="宋体" w:cs="宋体"/>
                      <w:i/>
                      <w:iCs/>
                      <w:color w:val="auto"/>
                      <w:spacing w:val="-1"/>
                      <w:sz w:val="24"/>
                      <w:szCs w:val="24"/>
                      <w:highlight w:val="none"/>
                      <w:u w:val="single"/>
                      <w:lang w:eastAsia="en-US"/>
                    </w:rPr>
                    <w:t>构的性能分析工具产品，支持系统性能分析、Java性能分析和系统诊</w:t>
                  </w:r>
                  <w:r>
                    <w:rPr>
                      <w:rFonts w:hint="eastAsia" w:ascii="宋体" w:hAnsi="宋体" w:eastAsia="宋体" w:cs="宋体"/>
                      <w:i/>
                      <w:iCs/>
                      <w:color w:val="auto"/>
                      <w:spacing w:val="-12"/>
                      <w:sz w:val="24"/>
                      <w:szCs w:val="24"/>
                      <w:highlight w:val="none"/>
                      <w:u w:val="single"/>
                      <w:lang w:eastAsia="en-US"/>
                    </w:rPr>
                    <w:t>断，可分析系统或应用在CPU、内存、</w:t>
                  </w:r>
                  <w:r>
                    <w:rPr>
                      <w:rFonts w:hint="eastAsia" w:ascii="宋体" w:hAnsi="宋体" w:eastAsia="宋体" w:cs="宋体"/>
                      <w:i/>
                      <w:iCs/>
                      <w:color w:val="auto"/>
                      <w:spacing w:val="-1"/>
                      <w:sz w:val="24"/>
                      <w:szCs w:val="24"/>
                      <w:highlight w:val="none"/>
                      <w:u w:val="single"/>
                      <w:lang w:eastAsia="en-US"/>
                    </w:rPr>
                    <w:t>IO、网络等方面的性能，并给出优</w:t>
                  </w:r>
                  <w:r>
                    <w:rPr>
                      <w:rFonts w:hint="eastAsia" w:ascii="宋体" w:hAnsi="宋体" w:eastAsia="宋体" w:cs="宋体"/>
                      <w:i/>
                      <w:iCs/>
                      <w:color w:val="auto"/>
                      <w:spacing w:val="-2"/>
                      <w:sz w:val="24"/>
                      <w:szCs w:val="24"/>
                      <w:highlight w:val="none"/>
                      <w:u w:val="single"/>
                      <w:lang w:eastAsia="en-US"/>
                    </w:rPr>
                    <w:t>化建议</w:t>
                  </w:r>
                </w:p>
              </w:tc>
            </w:tr>
            <w:tr w14:paraId="4D9B9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jc w:val="center"/>
              </w:trPr>
              <w:tc>
                <w:tcPr>
                  <w:tcW w:w="719" w:type="dxa"/>
                  <w:noWrap w:val="0"/>
                  <w:vAlign w:val="center"/>
                </w:tcPr>
                <w:p w14:paraId="007DD1C1">
                  <w:pPr>
                    <w:spacing w:before="265"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138</w:t>
                  </w:r>
                </w:p>
              </w:tc>
              <w:tc>
                <w:tcPr>
                  <w:tcW w:w="1314" w:type="dxa"/>
                  <w:vMerge w:val="continue"/>
                  <w:tcBorders>
                    <w:top w:val="nil"/>
                    <w:bottom w:val="nil"/>
                  </w:tcBorders>
                  <w:noWrap w:val="0"/>
                  <w:vAlign w:val="center"/>
                </w:tcPr>
                <w:p w14:paraId="36C4384E">
                  <w:pPr>
                    <w:widowControl/>
                    <w:jc w:val="center"/>
                    <w:rPr>
                      <w:rFonts w:hint="default" w:ascii="宋体" w:hAnsi="宋体" w:eastAsia="宋体" w:cs="宋体"/>
                      <w:color w:val="auto"/>
                      <w:sz w:val="24"/>
                      <w:szCs w:val="24"/>
                      <w:highlight w:val="none"/>
                    </w:rPr>
                  </w:pPr>
                </w:p>
              </w:tc>
              <w:tc>
                <w:tcPr>
                  <w:tcW w:w="1200" w:type="dxa"/>
                  <w:noWrap w:val="0"/>
                  <w:vAlign w:val="center"/>
                </w:tcPr>
                <w:p w14:paraId="753B645F">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跨架构平</w:t>
                  </w:r>
                </w:p>
                <w:p w14:paraId="50F38517">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台应用兼容</w:t>
                  </w:r>
                </w:p>
              </w:tc>
              <w:tc>
                <w:tcPr>
                  <w:tcW w:w="4915" w:type="dxa"/>
                  <w:noWrap w:val="0"/>
                  <w:vAlign w:val="center"/>
                </w:tcPr>
                <w:p w14:paraId="2E620919">
                  <w:pPr>
                    <w:spacing w:before="33" w:line="226" w:lineRule="auto"/>
                    <w:ind w:left="115" w:right="168" w:hanging="2"/>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跨CPU架构平台应用兼容工具，可</w:t>
                  </w:r>
                  <w:r>
                    <w:rPr>
                      <w:rFonts w:hint="eastAsia" w:ascii="宋体" w:hAnsi="宋体" w:eastAsia="宋体" w:cs="宋体"/>
                      <w:i/>
                      <w:iCs/>
                      <w:color w:val="auto"/>
                      <w:spacing w:val="-1"/>
                      <w:sz w:val="24"/>
                      <w:szCs w:val="24"/>
                      <w:highlight w:val="none"/>
                      <w:u w:val="single"/>
                      <w:lang w:eastAsia="en-US"/>
                    </w:rPr>
                    <w:t>兼容一种或者一种以上不同架构平</w:t>
                  </w:r>
                  <w:r>
                    <w:rPr>
                      <w:rFonts w:hint="eastAsia" w:ascii="宋体" w:hAnsi="宋体" w:eastAsia="宋体" w:cs="宋体"/>
                      <w:i/>
                      <w:iCs/>
                      <w:color w:val="auto"/>
                      <w:spacing w:val="-3"/>
                      <w:sz w:val="24"/>
                      <w:szCs w:val="24"/>
                      <w:highlight w:val="none"/>
                      <w:u w:val="single"/>
                      <w:lang w:eastAsia="en-US"/>
                    </w:rPr>
                    <w:t>台的应用</w:t>
                  </w:r>
                </w:p>
              </w:tc>
            </w:tr>
            <w:tr w14:paraId="591C49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noWrap w:val="0"/>
                  <w:vAlign w:val="center"/>
                </w:tcPr>
                <w:p w14:paraId="581FFE38">
                  <w:pPr>
                    <w:spacing w:before="265" w:line="237"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139</w:t>
                  </w:r>
                </w:p>
              </w:tc>
              <w:tc>
                <w:tcPr>
                  <w:tcW w:w="1314" w:type="dxa"/>
                  <w:vMerge w:val="continue"/>
                  <w:tcBorders>
                    <w:top w:val="nil"/>
                  </w:tcBorders>
                  <w:noWrap w:val="0"/>
                  <w:vAlign w:val="center"/>
                </w:tcPr>
                <w:p w14:paraId="21502773">
                  <w:pPr>
                    <w:widowControl/>
                    <w:jc w:val="center"/>
                    <w:rPr>
                      <w:rFonts w:hint="default" w:ascii="宋体" w:hAnsi="宋体" w:eastAsia="宋体" w:cs="宋体"/>
                      <w:color w:val="auto"/>
                      <w:sz w:val="24"/>
                      <w:szCs w:val="24"/>
                      <w:highlight w:val="none"/>
                    </w:rPr>
                  </w:pPr>
                </w:p>
              </w:tc>
              <w:tc>
                <w:tcPr>
                  <w:tcW w:w="1200" w:type="dxa"/>
                  <w:noWrap w:val="0"/>
                  <w:vAlign w:val="center"/>
                </w:tcPr>
                <w:p w14:paraId="1D2EF9F9">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管理软件</w:t>
                  </w:r>
                </w:p>
              </w:tc>
              <w:tc>
                <w:tcPr>
                  <w:tcW w:w="4915" w:type="dxa"/>
                  <w:noWrap w:val="0"/>
                  <w:vAlign w:val="center"/>
                </w:tcPr>
                <w:p w14:paraId="30B4DA75">
                  <w:pPr>
                    <w:spacing w:before="32" w:line="227" w:lineRule="auto"/>
                    <w:ind w:left="112" w:right="168" w:firstLine="5"/>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具备资源管理、系统管理、性能监控、健康监控、基于网络控制、报</w:t>
                  </w:r>
                  <w:r>
                    <w:rPr>
                      <w:rFonts w:hint="eastAsia" w:ascii="宋体" w:hAnsi="宋体" w:eastAsia="宋体" w:cs="宋体"/>
                      <w:i/>
                      <w:iCs/>
                      <w:color w:val="auto"/>
                      <w:spacing w:val="-2"/>
                      <w:sz w:val="24"/>
                      <w:szCs w:val="24"/>
                      <w:highlight w:val="none"/>
                      <w:u w:val="single"/>
                      <w:lang w:eastAsia="en-US"/>
                    </w:rPr>
                    <w:t>警设置功能</w:t>
                  </w:r>
                </w:p>
              </w:tc>
            </w:tr>
            <w:tr w14:paraId="589497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jc w:val="center"/>
              </w:trPr>
              <w:tc>
                <w:tcPr>
                  <w:tcW w:w="719" w:type="dxa"/>
                  <w:noWrap w:val="0"/>
                  <w:vAlign w:val="center"/>
                </w:tcPr>
                <w:p w14:paraId="037FE85E">
                  <w:pPr>
                    <w:widowControl/>
                    <w:spacing w:line="320" w:lineRule="auto"/>
                    <w:jc w:val="center"/>
                    <w:rPr>
                      <w:rFonts w:hint="default" w:ascii="宋体" w:hAnsi="宋体" w:eastAsia="宋体" w:cs="宋体"/>
                      <w:color w:val="auto"/>
                      <w:sz w:val="24"/>
                      <w:szCs w:val="24"/>
                      <w:highlight w:val="none"/>
                    </w:rPr>
                  </w:pPr>
                </w:p>
                <w:p w14:paraId="7F327CD8">
                  <w:pPr>
                    <w:spacing w:before="58"/>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140</w:t>
                  </w:r>
                </w:p>
              </w:tc>
              <w:tc>
                <w:tcPr>
                  <w:tcW w:w="1314" w:type="dxa"/>
                  <w:vMerge w:val="restart"/>
                  <w:tcBorders>
                    <w:bottom w:val="nil"/>
                  </w:tcBorders>
                  <w:noWrap w:val="0"/>
                  <w:vAlign w:val="center"/>
                </w:tcPr>
                <w:p w14:paraId="5FEACE4E">
                  <w:pPr>
                    <w:spacing w:before="59" w:line="247" w:lineRule="auto"/>
                    <w:ind w:left="187" w:right="141" w:hanging="48"/>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增值</w:t>
                  </w:r>
                  <w:r>
                    <w:rPr>
                      <w:rFonts w:hint="eastAsia" w:ascii="宋体" w:hAnsi="宋体" w:eastAsia="宋体" w:cs="宋体"/>
                      <w:color w:val="auto"/>
                      <w:spacing w:val="-4"/>
                      <w:sz w:val="24"/>
                      <w:szCs w:val="24"/>
                      <w:highlight w:val="none"/>
                      <w:lang w:eastAsia="en-US"/>
                    </w:rPr>
                    <w:t>服务</w:t>
                  </w:r>
                </w:p>
              </w:tc>
              <w:tc>
                <w:tcPr>
                  <w:tcW w:w="1200" w:type="dxa"/>
                  <w:noWrap w:val="0"/>
                  <w:vAlign w:val="center"/>
                </w:tcPr>
                <w:p w14:paraId="073AF563">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厂家升级产品软件与扩容服务</w:t>
                  </w:r>
                </w:p>
              </w:tc>
              <w:tc>
                <w:tcPr>
                  <w:tcW w:w="4915" w:type="dxa"/>
                  <w:noWrap w:val="0"/>
                  <w:vAlign w:val="center"/>
                </w:tcPr>
                <w:p w14:paraId="31BC5A85">
                  <w:pPr>
                    <w:spacing w:before="264"/>
                    <w:ind w:left="122" w:right="259" w:hanging="9"/>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供应商提供原厂级的部件/软件产</w:t>
                  </w:r>
                  <w:r>
                    <w:rPr>
                      <w:rFonts w:hint="eastAsia" w:ascii="宋体" w:hAnsi="宋体" w:eastAsia="宋体" w:cs="宋体"/>
                      <w:i/>
                      <w:iCs/>
                      <w:color w:val="auto"/>
                      <w:spacing w:val="-3"/>
                      <w:sz w:val="24"/>
                      <w:szCs w:val="24"/>
                      <w:highlight w:val="none"/>
                      <w:u w:val="single"/>
                      <w:lang w:eastAsia="en-US"/>
                    </w:rPr>
                    <w:t>品升级和扩容能力</w:t>
                  </w:r>
                </w:p>
              </w:tc>
            </w:tr>
            <w:tr w14:paraId="32AEF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6" w:hRule="atLeast"/>
                <w:jc w:val="center"/>
              </w:trPr>
              <w:tc>
                <w:tcPr>
                  <w:tcW w:w="719" w:type="dxa"/>
                  <w:noWrap w:val="0"/>
                  <w:vAlign w:val="center"/>
                </w:tcPr>
                <w:p w14:paraId="5918CE2F">
                  <w:pPr>
                    <w:spacing w:before="265"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141</w:t>
                  </w:r>
                </w:p>
              </w:tc>
              <w:tc>
                <w:tcPr>
                  <w:tcW w:w="1314" w:type="dxa"/>
                  <w:vMerge w:val="continue"/>
                  <w:tcBorders>
                    <w:top w:val="nil"/>
                    <w:bottom w:val="nil"/>
                  </w:tcBorders>
                  <w:noWrap w:val="0"/>
                  <w:vAlign w:val="center"/>
                </w:tcPr>
                <w:p w14:paraId="279F4723">
                  <w:pPr>
                    <w:widowControl/>
                    <w:jc w:val="center"/>
                    <w:rPr>
                      <w:rFonts w:hint="default" w:ascii="宋体" w:hAnsi="宋体" w:eastAsia="宋体" w:cs="宋体"/>
                      <w:color w:val="auto"/>
                      <w:sz w:val="24"/>
                      <w:szCs w:val="24"/>
                      <w:highlight w:val="none"/>
                    </w:rPr>
                  </w:pPr>
                </w:p>
              </w:tc>
              <w:tc>
                <w:tcPr>
                  <w:tcW w:w="1200" w:type="dxa"/>
                  <w:noWrap w:val="0"/>
                  <w:vAlign w:val="center"/>
                </w:tcPr>
                <w:p w14:paraId="1340B9DA">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服务保障升级</w:t>
                  </w:r>
                </w:p>
              </w:tc>
              <w:tc>
                <w:tcPr>
                  <w:tcW w:w="4915" w:type="dxa"/>
                  <w:noWrap w:val="0"/>
                  <w:vAlign w:val="center"/>
                </w:tcPr>
                <w:p w14:paraId="23F5560C">
                  <w:pPr>
                    <w:spacing w:before="32" w:line="227" w:lineRule="auto"/>
                    <w:ind w:left="112"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供应商有偿提供远程技术支持、软件授权服务、备件更换服务、现场</w:t>
                  </w:r>
                  <w:r>
                    <w:rPr>
                      <w:rFonts w:hint="eastAsia" w:ascii="宋体" w:hAnsi="宋体" w:eastAsia="宋体" w:cs="宋体"/>
                      <w:i/>
                      <w:iCs/>
                      <w:color w:val="auto"/>
                      <w:spacing w:val="-2"/>
                      <w:sz w:val="24"/>
                      <w:szCs w:val="24"/>
                      <w:highlight w:val="none"/>
                      <w:u w:val="single"/>
                      <w:lang w:eastAsia="en-US"/>
                    </w:rPr>
                    <w:t>支承服务</w:t>
                  </w:r>
                </w:p>
              </w:tc>
            </w:tr>
            <w:tr w14:paraId="2F405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19" w:type="dxa"/>
                  <w:noWrap w:val="0"/>
                  <w:vAlign w:val="center"/>
                </w:tcPr>
                <w:p w14:paraId="1655A838">
                  <w:pPr>
                    <w:spacing w:before="147" w:line="239" w:lineRule="exact"/>
                    <w:ind w:left="211"/>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142</w:t>
                  </w:r>
                </w:p>
              </w:tc>
              <w:tc>
                <w:tcPr>
                  <w:tcW w:w="1314" w:type="dxa"/>
                  <w:vMerge w:val="continue"/>
                  <w:tcBorders>
                    <w:top w:val="nil"/>
                    <w:bottom w:val="nil"/>
                  </w:tcBorders>
                  <w:noWrap w:val="0"/>
                  <w:vAlign w:val="center"/>
                </w:tcPr>
                <w:p w14:paraId="39A88B67">
                  <w:pPr>
                    <w:widowControl/>
                    <w:jc w:val="center"/>
                    <w:rPr>
                      <w:rFonts w:hint="default" w:ascii="宋体" w:hAnsi="宋体" w:eastAsia="宋体" w:cs="宋体"/>
                      <w:color w:val="auto"/>
                      <w:sz w:val="24"/>
                      <w:szCs w:val="24"/>
                      <w:highlight w:val="none"/>
                    </w:rPr>
                  </w:pPr>
                </w:p>
              </w:tc>
              <w:tc>
                <w:tcPr>
                  <w:tcW w:w="1200" w:type="dxa"/>
                  <w:noWrap w:val="0"/>
                  <w:vAlign w:val="center"/>
                </w:tcPr>
                <w:p w14:paraId="375CE192">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提供上门服务</w:t>
                  </w:r>
                </w:p>
              </w:tc>
              <w:tc>
                <w:tcPr>
                  <w:tcW w:w="4915" w:type="dxa"/>
                  <w:noWrap w:val="0"/>
                  <w:vAlign w:val="center"/>
                </w:tcPr>
                <w:p w14:paraId="7F996DA8">
                  <w:pPr>
                    <w:spacing w:before="31" w:line="221" w:lineRule="auto"/>
                    <w:ind w:left="147" w:right="348" w:hanging="34"/>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供应商具备提供上门服务的能力</w:t>
                  </w:r>
                  <w:r>
                    <w:rPr>
                      <w:rFonts w:hint="eastAsia" w:ascii="宋体" w:hAnsi="宋体" w:eastAsia="宋体" w:cs="宋体"/>
                      <w:i/>
                      <w:iCs/>
                      <w:color w:val="auto"/>
                      <w:spacing w:val="-9"/>
                      <w:sz w:val="24"/>
                      <w:szCs w:val="24"/>
                      <w:highlight w:val="none"/>
                      <w:u w:val="single"/>
                      <w:lang w:eastAsia="en-US"/>
                    </w:rPr>
                    <w:t>(可收费)</w:t>
                  </w:r>
                </w:p>
              </w:tc>
            </w:tr>
            <w:tr w14:paraId="2FC536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41" w:hRule="atLeast"/>
                <w:jc w:val="center"/>
              </w:trPr>
              <w:tc>
                <w:tcPr>
                  <w:tcW w:w="719" w:type="dxa"/>
                  <w:noWrap w:val="0"/>
                  <w:vAlign w:val="center"/>
                </w:tcPr>
                <w:p w14:paraId="0C512AF3">
                  <w:pPr>
                    <w:spacing w:before="59" w:line="237"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143</w:t>
                  </w:r>
                </w:p>
              </w:tc>
              <w:tc>
                <w:tcPr>
                  <w:tcW w:w="1314" w:type="dxa"/>
                  <w:vMerge w:val="continue"/>
                  <w:tcBorders>
                    <w:top w:val="nil"/>
                  </w:tcBorders>
                  <w:noWrap w:val="0"/>
                  <w:vAlign w:val="center"/>
                </w:tcPr>
                <w:p w14:paraId="5F6F4FDB">
                  <w:pPr>
                    <w:widowControl/>
                    <w:jc w:val="center"/>
                    <w:rPr>
                      <w:rFonts w:hint="default" w:ascii="宋体" w:hAnsi="宋体" w:eastAsia="宋体" w:cs="宋体"/>
                      <w:color w:val="auto"/>
                      <w:sz w:val="24"/>
                      <w:szCs w:val="24"/>
                      <w:highlight w:val="none"/>
                    </w:rPr>
                  </w:pPr>
                </w:p>
              </w:tc>
              <w:tc>
                <w:tcPr>
                  <w:tcW w:w="1200" w:type="dxa"/>
                  <w:noWrap w:val="0"/>
                  <w:vAlign w:val="center"/>
                </w:tcPr>
                <w:p w14:paraId="3794CD3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业务场景</w:t>
                  </w:r>
                </w:p>
                <w:p w14:paraId="164627F6">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性能优化</w:t>
                  </w:r>
                </w:p>
                <w:p w14:paraId="4D8FD9CE">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服务及整</w:t>
                  </w:r>
                </w:p>
                <w:p w14:paraId="64FF122B">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体架构升级服务</w:t>
                  </w:r>
                </w:p>
              </w:tc>
              <w:tc>
                <w:tcPr>
                  <w:tcW w:w="4915" w:type="dxa"/>
                  <w:noWrap w:val="0"/>
                  <w:vAlign w:val="center"/>
                </w:tcPr>
                <w:p w14:paraId="369F42CA">
                  <w:pPr>
                    <w:spacing w:before="58"/>
                    <w:ind w:right="168"/>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供应商提供针对特定业务场景性能优化服务及整体架构升级服务</w:t>
                  </w:r>
                </w:p>
              </w:tc>
            </w:tr>
            <w:tr w14:paraId="032E5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3" w:hRule="atLeast"/>
                <w:jc w:val="center"/>
              </w:trPr>
              <w:tc>
                <w:tcPr>
                  <w:tcW w:w="719" w:type="dxa"/>
                  <w:tcBorders>
                    <w:bottom w:val="single" w:color="000000" w:sz="2" w:space="0"/>
                  </w:tcBorders>
                  <w:noWrap w:val="0"/>
                  <w:vAlign w:val="center"/>
                </w:tcPr>
                <w:p w14:paraId="0D013F89">
                  <w:pPr>
                    <w:spacing w:before="58" w:line="239" w:lineRule="exact"/>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position w:val="1"/>
                      <w:sz w:val="24"/>
                      <w:szCs w:val="24"/>
                      <w:highlight w:val="none"/>
                      <w:lang w:eastAsia="en-US"/>
                    </w:rPr>
                    <w:t>144</w:t>
                  </w:r>
                </w:p>
              </w:tc>
              <w:tc>
                <w:tcPr>
                  <w:tcW w:w="1314" w:type="dxa"/>
                  <w:vMerge w:val="restart"/>
                  <w:tcBorders>
                    <w:bottom w:val="single" w:color="000000" w:sz="2" w:space="0"/>
                  </w:tcBorders>
                  <w:noWrap w:val="0"/>
                  <w:vAlign w:val="center"/>
                </w:tcPr>
                <w:p w14:paraId="66906581">
                  <w:pPr>
                    <w:widowControl/>
                    <w:spacing w:line="463" w:lineRule="auto"/>
                    <w:rPr>
                      <w:rFonts w:hint="default" w:ascii="宋体" w:hAnsi="宋体" w:eastAsia="宋体" w:cs="宋体"/>
                      <w:color w:val="auto"/>
                      <w:sz w:val="24"/>
                      <w:szCs w:val="24"/>
                      <w:highlight w:val="none"/>
                    </w:rPr>
                  </w:pPr>
                </w:p>
                <w:p w14:paraId="3A35E378">
                  <w:pPr>
                    <w:spacing w:before="58" w:line="223" w:lineRule="auto"/>
                    <w:ind w:left="139"/>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1"/>
                      <w:sz w:val="24"/>
                      <w:szCs w:val="24"/>
                      <w:highlight w:val="none"/>
                      <w:lang w:eastAsia="en-US"/>
                    </w:rPr>
                    <w:t>供应</w:t>
                  </w:r>
                </w:p>
                <w:p w14:paraId="13FC45BB">
                  <w:pPr>
                    <w:spacing w:before="22" w:line="222" w:lineRule="auto"/>
                    <w:ind w:left="186"/>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3"/>
                      <w:sz w:val="24"/>
                      <w:szCs w:val="24"/>
                      <w:highlight w:val="none"/>
                      <w:lang w:eastAsia="en-US"/>
                    </w:rPr>
                    <w:t>链质</w:t>
                  </w:r>
                </w:p>
                <w:p w14:paraId="44C4274E">
                  <w:pPr>
                    <w:spacing w:before="23" w:line="229" w:lineRule="auto"/>
                    <w:ind w:left="281"/>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量</w:t>
                  </w:r>
                </w:p>
              </w:tc>
              <w:tc>
                <w:tcPr>
                  <w:tcW w:w="1200" w:type="dxa"/>
                  <w:tcBorders>
                    <w:bottom w:val="single" w:color="000000" w:sz="2" w:space="0"/>
                  </w:tcBorders>
                  <w:noWrap w:val="0"/>
                  <w:vAlign w:val="center"/>
                </w:tcPr>
                <w:p w14:paraId="6A1F9E66">
                  <w:pPr>
                    <w:spacing w:before="58" w:line="221"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抗干扰性</w:t>
                  </w:r>
                </w:p>
              </w:tc>
              <w:tc>
                <w:tcPr>
                  <w:tcW w:w="4915" w:type="dxa"/>
                  <w:tcBorders>
                    <w:bottom w:val="single" w:color="000000" w:sz="2" w:space="0"/>
                  </w:tcBorders>
                  <w:noWrap w:val="0"/>
                  <w:vAlign w:val="center"/>
                </w:tcPr>
                <w:p w14:paraId="520487D4">
                  <w:pPr>
                    <w:spacing w:before="40" w:line="234" w:lineRule="auto"/>
                    <w:ind w:left="118" w:right="168" w:firstLine="7"/>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2"/>
                      <w:sz w:val="24"/>
                      <w:szCs w:val="24"/>
                      <w:highlight w:val="none"/>
                      <w:u w:val="single"/>
                      <w:lang w:eastAsia="en-US"/>
                    </w:rPr>
                    <w:t>当产品部件出现供应风险时，应通</w:t>
                  </w:r>
                  <w:r>
                    <w:rPr>
                      <w:rFonts w:hint="eastAsia" w:ascii="宋体" w:hAnsi="宋体" w:eastAsia="宋体" w:cs="宋体"/>
                      <w:i/>
                      <w:iCs/>
                      <w:color w:val="auto"/>
                      <w:spacing w:val="-1"/>
                      <w:sz w:val="24"/>
                      <w:szCs w:val="24"/>
                      <w:highlight w:val="none"/>
                      <w:u w:val="single"/>
                      <w:lang w:eastAsia="en-US"/>
                    </w:rPr>
                    <w:t>知客户并提供风险应对方案确保产品的服务保障，必要时应停止相关</w:t>
                  </w:r>
                  <w:r>
                    <w:rPr>
                      <w:rFonts w:hint="eastAsia" w:ascii="宋体" w:hAnsi="宋体" w:eastAsia="宋体" w:cs="宋体"/>
                      <w:i/>
                      <w:iCs/>
                      <w:color w:val="auto"/>
                      <w:spacing w:val="-2"/>
                      <w:sz w:val="24"/>
                      <w:szCs w:val="24"/>
                      <w:highlight w:val="none"/>
                      <w:u w:val="single"/>
                      <w:lang w:eastAsia="en-US"/>
                    </w:rPr>
                    <w:t>受影响产品的销售</w:t>
                  </w:r>
                </w:p>
              </w:tc>
            </w:tr>
            <w:tr w14:paraId="765DC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54" w:hRule="atLeast"/>
                <w:jc w:val="center"/>
              </w:trPr>
              <w:tc>
                <w:tcPr>
                  <w:tcW w:w="719" w:type="dxa"/>
                  <w:tcBorders>
                    <w:top w:val="single" w:color="000000" w:sz="2" w:space="0"/>
                    <w:bottom w:val="single" w:color="000000" w:sz="2" w:space="0"/>
                  </w:tcBorders>
                  <w:noWrap w:val="0"/>
                  <w:vAlign w:val="center"/>
                </w:tcPr>
                <w:p w14:paraId="1E005568">
                  <w:pPr>
                    <w:spacing w:before="274" w:line="242" w:lineRule="auto"/>
                    <w:jc w:val="center"/>
                    <w:rPr>
                      <w:rFonts w:hint="default" w:ascii="宋体" w:hAnsi="宋体" w:eastAsia="宋体" w:cs="宋体"/>
                      <w:color w:val="auto"/>
                      <w:sz w:val="24"/>
                      <w:szCs w:val="24"/>
                      <w:highlight w:val="none"/>
                      <w:lang w:eastAsia="en-US"/>
                    </w:rPr>
                  </w:pPr>
                  <w:r>
                    <w:rPr>
                      <w:rFonts w:hint="eastAsia" w:ascii="宋体" w:hAnsi="宋体" w:eastAsia="宋体" w:cs="宋体"/>
                      <w:color w:val="auto"/>
                      <w:spacing w:val="-6"/>
                      <w:sz w:val="24"/>
                      <w:szCs w:val="24"/>
                      <w:highlight w:val="none"/>
                      <w:lang w:eastAsia="en-US"/>
                    </w:rPr>
                    <w:t>145</w:t>
                  </w:r>
                </w:p>
              </w:tc>
              <w:tc>
                <w:tcPr>
                  <w:tcW w:w="1314" w:type="dxa"/>
                  <w:vMerge w:val="continue"/>
                  <w:tcBorders>
                    <w:top w:val="single" w:color="000000" w:sz="2" w:space="0"/>
                    <w:bottom w:val="single" w:color="000000" w:sz="2" w:space="0"/>
                  </w:tcBorders>
                  <w:noWrap w:val="0"/>
                  <w:vAlign w:val="center"/>
                </w:tcPr>
                <w:p w14:paraId="4108077C">
                  <w:pPr>
                    <w:widowControl/>
                    <w:jc w:val="center"/>
                    <w:rPr>
                      <w:rFonts w:hint="default" w:ascii="宋体" w:hAnsi="宋体" w:eastAsia="宋体" w:cs="宋体"/>
                      <w:color w:val="auto"/>
                      <w:sz w:val="24"/>
                      <w:szCs w:val="24"/>
                      <w:highlight w:val="none"/>
                    </w:rPr>
                  </w:pPr>
                </w:p>
              </w:tc>
              <w:tc>
                <w:tcPr>
                  <w:tcW w:w="1200" w:type="dxa"/>
                  <w:tcBorders>
                    <w:top w:val="single" w:color="000000" w:sz="2" w:space="0"/>
                    <w:bottom w:val="single" w:color="000000" w:sz="2" w:space="0"/>
                  </w:tcBorders>
                  <w:noWrap w:val="0"/>
                  <w:vAlign w:val="center"/>
                </w:tcPr>
                <w:p w14:paraId="7AEFB3E5">
                  <w:pPr>
                    <w:widowControl/>
                    <w:spacing w:line="248" w:lineRule="auto"/>
                    <w:jc w:val="center"/>
                    <w:rPr>
                      <w:rFonts w:hint="default" w:ascii="宋体" w:hAnsi="宋体" w:eastAsia="宋体" w:cs="宋体"/>
                      <w:color w:val="auto"/>
                      <w:spacing w:val="-2"/>
                      <w:sz w:val="24"/>
                      <w:szCs w:val="24"/>
                      <w:highlight w:val="none"/>
                      <w:lang w:eastAsia="en-US"/>
                    </w:rPr>
                  </w:pPr>
                  <w:r>
                    <w:rPr>
                      <w:rFonts w:hint="eastAsia" w:ascii="宋体" w:hAnsi="宋体" w:eastAsia="宋体" w:cs="宋体"/>
                      <w:color w:val="auto"/>
                      <w:spacing w:val="-2"/>
                      <w:sz w:val="24"/>
                      <w:szCs w:val="24"/>
                      <w:highlight w:val="none"/>
                      <w:lang w:eastAsia="en-US"/>
                    </w:rPr>
                    <w:t>供应能力证明</w:t>
                  </w:r>
                </w:p>
              </w:tc>
              <w:tc>
                <w:tcPr>
                  <w:tcW w:w="4915" w:type="dxa"/>
                  <w:tcBorders>
                    <w:top w:val="single" w:color="000000" w:sz="2" w:space="0"/>
                    <w:bottom w:val="single" w:color="000000" w:sz="2" w:space="0"/>
                  </w:tcBorders>
                  <w:noWrap w:val="0"/>
                  <w:vAlign w:val="center"/>
                </w:tcPr>
                <w:p w14:paraId="763E2C26">
                  <w:pPr>
                    <w:spacing w:before="40" w:line="232" w:lineRule="auto"/>
                    <w:ind w:left="111" w:right="168" w:firstLine="1"/>
                    <w:rPr>
                      <w:rFonts w:hint="default" w:ascii="宋体" w:hAnsi="宋体" w:eastAsia="宋体" w:cs="宋体"/>
                      <w:i/>
                      <w:iCs/>
                      <w:color w:val="auto"/>
                      <w:sz w:val="24"/>
                      <w:szCs w:val="24"/>
                      <w:highlight w:val="none"/>
                      <w:u w:val="single"/>
                      <w:lang w:eastAsia="en-US"/>
                    </w:rPr>
                  </w:pPr>
                  <w:r>
                    <w:rPr>
                      <w:rFonts w:hint="eastAsia" w:ascii="宋体" w:hAnsi="宋体" w:eastAsia="宋体" w:cs="宋体"/>
                      <w:i/>
                      <w:iCs/>
                      <w:color w:val="auto"/>
                      <w:spacing w:val="-1"/>
                      <w:sz w:val="24"/>
                      <w:szCs w:val="24"/>
                      <w:highlight w:val="none"/>
                      <w:u w:val="single"/>
                      <w:lang w:eastAsia="en-US"/>
                    </w:rPr>
                    <w:t>供应商提供供应链稳定承诺书，确保产品的部件在产品服务周期内稳</w:t>
                  </w:r>
                  <w:r>
                    <w:rPr>
                      <w:rFonts w:hint="eastAsia" w:ascii="宋体" w:hAnsi="宋体" w:eastAsia="宋体" w:cs="宋体"/>
                      <w:i/>
                      <w:iCs/>
                      <w:color w:val="auto"/>
                      <w:spacing w:val="-2"/>
                      <w:sz w:val="24"/>
                      <w:szCs w:val="24"/>
                      <w:highlight w:val="none"/>
                      <w:u w:val="single"/>
                      <w:lang w:eastAsia="en-US"/>
                    </w:rPr>
                    <w:t>定供货</w:t>
                  </w:r>
                </w:p>
              </w:tc>
            </w:tr>
          </w:tbl>
          <w:p w14:paraId="58241834">
            <w:pPr>
              <w:spacing w:line="440" w:lineRule="exact"/>
              <w:rPr>
                <w:rFonts w:hint="default" w:ascii="Times New Roman" w:hAnsi="Times New Roman" w:eastAsia="宋体" w:cs="Times New Roman"/>
                <w:color w:val="auto"/>
                <w:sz w:val="24"/>
                <w:szCs w:val="24"/>
                <w:highlight w:val="none"/>
                <w:lang w:val="en-US" w:eastAsia="zh-CN" w:bidi="ar-SA"/>
              </w:rPr>
            </w:pPr>
          </w:p>
        </w:tc>
      </w:tr>
      <w:tr w14:paraId="55AD3E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C584D25">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D4BDB68">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C68290A">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4.1</w:t>
            </w:r>
            <w:r>
              <w:rPr>
                <w:rFonts w:hint="eastAsia" w:ascii="Times New Roman" w:hAnsi="Times New Roman" w:eastAsia="宋体" w:cs="Times New Roman"/>
                <w:iCs/>
                <w:color w:val="auto"/>
                <w:sz w:val="24"/>
                <w:szCs w:val="24"/>
                <w:highlight w:val="none"/>
                <w:lang w:val="en-US" w:eastAsia="zh-CN" w:bidi="ar-SA"/>
              </w:rPr>
              <w:t>4</w:t>
            </w:r>
            <w:r>
              <w:rPr>
                <w:rFonts w:ascii="Times New Roman" w:hAnsi="Times New Roman" w:eastAsia="宋体" w:cs="Times New Roman"/>
                <w:iCs/>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5</w:t>
            </w:r>
            <w:r>
              <w:rPr>
                <w:rFonts w:ascii="Times New Roman" w:hAnsi="Times New Roman" w:eastAsia="宋体" w:cs="Times New Roman"/>
                <w:iCs/>
                <w:color w:val="auto"/>
                <w:sz w:val="24"/>
                <w:szCs w:val="24"/>
                <w:highlight w:val="none"/>
                <w:lang w:val="en-US" w:eastAsia="zh-CN" w:bidi="ar-SA"/>
              </w:rPr>
              <w:t xml:space="preserve"> </w:t>
            </w:r>
            <w:r>
              <w:rPr>
                <w:rFonts w:hint="eastAsia" w:ascii="Times New Roman" w:hAnsi="Times New Roman" w:eastAsia="宋体" w:cs="Times New Roman"/>
                <w:iCs/>
                <w:color w:val="auto"/>
                <w:sz w:val="24"/>
                <w:szCs w:val="24"/>
                <w:highlight w:val="none"/>
                <w:lang w:val="en-US" w:eastAsia="zh-CN" w:bidi="ar-SA"/>
              </w:rPr>
              <w:t>管理服务器、数据库服务器、应用服务器、接入服务器</w:t>
            </w:r>
          </w:p>
          <w:p w14:paraId="60A07214">
            <w:pPr>
              <w:spacing w:line="440" w:lineRule="exact"/>
              <w:rPr>
                <w:rFonts w:ascii="Times New Roman" w:hAnsi="Times New Roman" w:eastAsia="宋体" w:cs="Times New Roman"/>
                <w:i/>
                <w:color w:val="auto"/>
                <w:sz w:val="24"/>
                <w:szCs w:val="24"/>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同4.14.4</w:t>
            </w:r>
          </w:p>
        </w:tc>
      </w:tr>
      <w:tr w14:paraId="05579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1F009BD">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52BE89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924D67E">
            <w:pPr>
              <w:spacing w:line="440" w:lineRule="exact"/>
              <w:rPr>
                <w:rFonts w:hint="default" w:ascii="Times New Roman" w:hAnsi="Times New Roman" w:eastAsia="宋体" w:cs="Times New Roman"/>
                <w:iCs/>
                <w:color w:val="auto"/>
                <w:sz w:val="24"/>
                <w:szCs w:val="24"/>
                <w:highlight w:val="none"/>
                <w:lang w:val="en-US" w:eastAsia="zh-CN" w:bidi="ar-SA"/>
              </w:rPr>
            </w:pPr>
            <w:r>
              <w:rPr>
                <w:rFonts w:hint="default" w:ascii="Times New Roman" w:hAnsi="Times New Roman" w:eastAsia="宋体" w:cs="Times New Roman"/>
                <w:iCs/>
                <w:color w:val="auto"/>
                <w:sz w:val="24"/>
                <w:szCs w:val="24"/>
                <w:highlight w:val="none"/>
                <w:lang w:val="en-US" w:eastAsia="zh-CN" w:bidi="ar-SA"/>
              </w:rPr>
              <w:t>4.1</w:t>
            </w:r>
            <w:r>
              <w:rPr>
                <w:rFonts w:hint="eastAsia" w:ascii="Times New Roman" w:hAnsi="Times New Roman" w:eastAsia="宋体" w:cs="Times New Roman"/>
                <w:iCs/>
                <w:color w:val="auto"/>
                <w:sz w:val="24"/>
                <w:szCs w:val="24"/>
                <w:highlight w:val="none"/>
                <w:lang w:val="en-US" w:eastAsia="zh-CN" w:bidi="ar-SA"/>
              </w:rPr>
              <w:t>4</w:t>
            </w:r>
            <w:r>
              <w:rPr>
                <w:rFonts w:hint="default" w:ascii="Times New Roman" w:hAnsi="Times New Roman" w:eastAsia="宋体" w:cs="Times New Roman"/>
                <w:iCs/>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6</w:t>
            </w:r>
            <w:r>
              <w:rPr>
                <w:rFonts w:hint="default" w:ascii="Times New Roman" w:hAnsi="Times New Roman" w:eastAsia="宋体" w:cs="Times New Roman"/>
                <w:iCs/>
                <w:color w:val="auto"/>
                <w:sz w:val="24"/>
                <w:szCs w:val="24"/>
                <w:highlight w:val="none"/>
                <w:lang w:val="en-US" w:eastAsia="zh-CN" w:bidi="ar-SA"/>
              </w:rPr>
              <w:t xml:space="preserve"> 汇聚交换机</w:t>
            </w:r>
          </w:p>
          <w:p w14:paraId="6692ABD0">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1.交换容量≥2.56Tbps，包转发率≥1476Mpps</w:t>
            </w:r>
          </w:p>
          <w:p w14:paraId="753AB457">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2.支持</w:t>
            </w:r>
            <w:r>
              <w:rPr>
                <w:rFonts w:hint="eastAsia" w:ascii="Times New Roman" w:hAnsi="Times New Roman" w:eastAsia="宋体" w:cs="Times New Roman"/>
                <w:iCs/>
                <w:color w:val="auto"/>
                <w:sz w:val="24"/>
                <w:szCs w:val="24"/>
                <w:highlight w:val="none"/>
                <w:lang w:val="en-US" w:eastAsia="zh-CN" w:bidi="ar-SA"/>
              </w:rPr>
              <w:t>不少于</w:t>
            </w:r>
            <w:r>
              <w:rPr>
                <w:rFonts w:hint="default" w:ascii="Times New Roman" w:hAnsi="Times New Roman" w:eastAsia="宋体" w:cs="Times New Roman"/>
                <w:iCs/>
                <w:color w:val="auto"/>
                <w:sz w:val="24"/>
                <w:szCs w:val="24"/>
                <w:highlight w:val="none"/>
                <w:lang w:val="en-US" w:eastAsia="zh-CN" w:bidi="ar-SA"/>
              </w:rPr>
              <w:t>24个10/100/1000M Base-T以太网端口，16个10GE SFP+，8个25GE SFP28，2个40/100GE QSFP28</w:t>
            </w:r>
          </w:p>
          <w:p w14:paraId="3F361796">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3.采用国产自研芯片</w:t>
            </w:r>
          </w:p>
          <w:p w14:paraId="50CB65AF">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4.内存</w:t>
            </w:r>
            <w:r>
              <w:rPr>
                <w:rFonts w:hint="eastAsia" w:ascii="Times New Roman" w:hAnsi="Times New Roman" w:eastAsia="宋体" w:cs="Times New Roman"/>
                <w:iCs/>
                <w:color w:val="auto"/>
                <w:sz w:val="24"/>
                <w:szCs w:val="24"/>
                <w:highlight w:val="none"/>
                <w:lang w:val="en-US" w:eastAsia="zh-CN" w:bidi="ar-SA"/>
              </w:rPr>
              <w:t>不低于</w:t>
            </w:r>
            <w:r>
              <w:rPr>
                <w:rFonts w:hint="default" w:ascii="Times New Roman" w:hAnsi="Times New Roman" w:eastAsia="宋体" w:cs="Times New Roman"/>
                <w:iCs/>
                <w:color w:val="auto"/>
                <w:sz w:val="24"/>
                <w:szCs w:val="24"/>
                <w:highlight w:val="none"/>
                <w:lang w:val="en-US" w:eastAsia="zh-CN" w:bidi="ar-SA"/>
              </w:rPr>
              <w:t>4GB，保证系统可靠运行</w:t>
            </w:r>
          </w:p>
          <w:p w14:paraId="61F962D6">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5.支持静态路由、RIP v1/v2、OSPF、BGP、ISIS、RIPng、OSPFv3、ISISv6、BGP4+</w:t>
            </w:r>
          </w:p>
          <w:p w14:paraId="70D2B343">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6.支持MAC表项≥128K，支持ARP表项规格≥64K，支持IPv4 路由表≥128K，支持IPv6 路由表≥64K</w:t>
            </w:r>
          </w:p>
          <w:p w14:paraId="4ECBE551">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7.支持切片功能，支持SRv6 BE功能</w:t>
            </w:r>
          </w:p>
          <w:p w14:paraId="52FAE43B">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8.实配：千兆单模模块40km</w:t>
            </w:r>
            <w:r>
              <w:rPr>
                <w:rFonts w:hint="eastAsia" w:ascii="Times New Roman" w:hAnsi="Times New Roman" w:eastAsia="宋体" w:cs="Times New Roman"/>
                <w:iCs/>
                <w:color w:val="auto"/>
                <w:sz w:val="24"/>
                <w:szCs w:val="24"/>
                <w:highlight w:val="none"/>
                <w:lang w:val="en-US" w:eastAsia="zh-CN" w:bidi="ar-SA"/>
              </w:rPr>
              <w:t xml:space="preserve">  </w:t>
            </w:r>
            <w:r>
              <w:rPr>
                <w:rFonts w:hint="default" w:ascii="Times New Roman" w:hAnsi="Times New Roman" w:eastAsia="宋体" w:cs="Times New Roman"/>
                <w:iCs/>
                <w:color w:val="auto"/>
                <w:sz w:val="24"/>
                <w:szCs w:val="24"/>
                <w:highlight w:val="none"/>
                <w:lang w:val="en-US" w:eastAsia="zh-CN" w:bidi="ar-SA"/>
              </w:rPr>
              <w:t>24个，万兆多模模块300m</w:t>
            </w:r>
            <w:r>
              <w:rPr>
                <w:rFonts w:hint="eastAsia" w:ascii="Times New Roman" w:hAnsi="Times New Roman" w:eastAsia="宋体" w:cs="Times New Roman"/>
                <w:iCs/>
                <w:color w:val="auto"/>
                <w:sz w:val="24"/>
                <w:szCs w:val="24"/>
                <w:highlight w:val="none"/>
                <w:lang w:val="en-US" w:eastAsia="zh-CN" w:bidi="ar-SA"/>
              </w:rPr>
              <w:t xml:space="preserve">  </w:t>
            </w:r>
            <w:r>
              <w:rPr>
                <w:rFonts w:hint="default" w:ascii="Times New Roman" w:hAnsi="Times New Roman" w:eastAsia="宋体" w:cs="Times New Roman"/>
                <w:iCs/>
                <w:color w:val="auto"/>
                <w:sz w:val="24"/>
                <w:szCs w:val="24"/>
                <w:highlight w:val="none"/>
                <w:lang w:val="en-US" w:eastAsia="zh-CN" w:bidi="ar-SA"/>
              </w:rPr>
              <w:t>2个</w:t>
            </w:r>
          </w:p>
        </w:tc>
      </w:tr>
      <w:tr w14:paraId="2F9355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6A271CC">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04BC5242">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6339181">
            <w:pPr>
              <w:spacing w:line="440" w:lineRule="exact"/>
              <w:rPr>
                <w:rFonts w:hint="default" w:ascii="Times New Roman" w:hAnsi="Times New Roman" w:eastAsia="宋体" w:cs="Times New Roman"/>
                <w:iCs/>
                <w:color w:val="auto"/>
                <w:sz w:val="24"/>
                <w:szCs w:val="24"/>
                <w:highlight w:val="none"/>
                <w:lang w:val="en-US" w:eastAsia="zh-CN" w:bidi="ar-SA"/>
              </w:rPr>
            </w:pPr>
            <w:r>
              <w:rPr>
                <w:rFonts w:hint="default" w:ascii="Times New Roman" w:hAnsi="Times New Roman" w:eastAsia="宋体" w:cs="Times New Roman"/>
                <w:iCs/>
                <w:color w:val="auto"/>
                <w:sz w:val="24"/>
                <w:szCs w:val="24"/>
                <w:highlight w:val="none"/>
                <w:lang w:val="en-US" w:eastAsia="zh-CN" w:bidi="ar-SA"/>
              </w:rPr>
              <w:t>4.1</w:t>
            </w:r>
            <w:r>
              <w:rPr>
                <w:rFonts w:hint="eastAsia" w:ascii="Times New Roman" w:hAnsi="Times New Roman" w:eastAsia="宋体" w:cs="Times New Roman"/>
                <w:iCs/>
                <w:color w:val="auto"/>
                <w:sz w:val="24"/>
                <w:szCs w:val="24"/>
                <w:highlight w:val="none"/>
                <w:lang w:val="en-US" w:eastAsia="zh-CN" w:bidi="ar-SA"/>
              </w:rPr>
              <w:t>4</w:t>
            </w:r>
            <w:r>
              <w:rPr>
                <w:rFonts w:hint="default" w:ascii="Times New Roman" w:hAnsi="Times New Roman" w:eastAsia="宋体" w:cs="Times New Roman"/>
                <w:iCs/>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7</w:t>
            </w:r>
            <w:r>
              <w:rPr>
                <w:rFonts w:hint="default" w:ascii="Times New Roman" w:hAnsi="Times New Roman" w:eastAsia="宋体" w:cs="Times New Roman"/>
                <w:iCs/>
                <w:color w:val="auto"/>
                <w:sz w:val="24"/>
                <w:szCs w:val="24"/>
                <w:highlight w:val="none"/>
                <w:lang w:val="en-US" w:eastAsia="zh-CN" w:bidi="ar-SA"/>
              </w:rPr>
              <w:t xml:space="preserve"> 管理交换机</w:t>
            </w:r>
          </w:p>
          <w:p w14:paraId="5DB8E174">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1.交换容量≥672 Gbps，包转发率≥207Mpps</w:t>
            </w:r>
          </w:p>
          <w:p w14:paraId="5F17B479">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2.支持</w:t>
            </w:r>
            <w:r>
              <w:rPr>
                <w:rFonts w:hint="eastAsia" w:ascii="Times New Roman" w:hAnsi="Times New Roman" w:eastAsia="宋体" w:cs="Times New Roman"/>
                <w:iCs/>
                <w:color w:val="auto"/>
                <w:sz w:val="24"/>
                <w:szCs w:val="24"/>
                <w:highlight w:val="none"/>
                <w:lang w:val="en-US" w:eastAsia="zh-CN" w:bidi="ar-SA"/>
              </w:rPr>
              <w:t>不少于</w:t>
            </w:r>
            <w:r>
              <w:rPr>
                <w:rFonts w:hint="default" w:ascii="Times New Roman" w:hAnsi="Times New Roman" w:eastAsia="宋体" w:cs="Times New Roman"/>
                <w:iCs/>
                <w:color w:val="auto"/>
                <w:sz w:val="24"/>
                <w:szCs w:val="24"/>
                <w:highlight w:val="none"/>
                <w:lang w:val="en-US" w:eastAsia="zh-CN" w:bidi="ar-SA"/>
              </w:rPr>
              <w:t xml:space="preserve">48个10/100/1000BASE-T以太网端口,4个万兆SFP+,2个12GE专用堆叠口 </w:t>
            </w:r>
          </w:p>
          <w:p w14:paraId="5CB83594">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3.采用国产自研芯片</w:t>
            </w:r>
          </w:p>
          <w:p w14:paraId="0F128ACC">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4.内存</w:t>
            </w:r>
            <w:r>
              <w:rPr>
                <w:rFonts w:hint="eastAsia" w:ascii="Times New Roman" w:hAnsi="Times New Roman" w:eastAsia="宋体" w:cs="Times New Roman"/>
                <w:iCs/>
                <w:color w:val="auto"/>
                <w:sz w:val="24"/>
                <w:szCs w:val="24"/>
                <w:highlight w:val="none"/>
                <w:lang w:val="en-US" w:eastAsia="zh-CN" w:bidi="ar-SA"/>
              </w:rPr>
              <w:t>不低于</w:t>
            </w:r>
            <w:r>
              <w:rPr>
                <w:rFonts w:hint="default" w:ascii="Times New Roman" w:hAnsi="Times New Roman" w:eastAsia="宋体" w:cs="Times New Roman"/>
                <w:iCs/>
                <w:color w:val="auto"/>
                <w:sz w:val="24"/>
                <w:szCs w:val="24"/>
                <w:highlight w:val="none"/>
                <w:lang w:val="en-US" w:eastAsia="zh-CN" w:bidi="ar-SA"/>
              </w:rPr>
              <w:t>2GB，保证系统可靠运行</w:t>
            </w:r>
          </w:p>
          <w:p w14:paraId="06C851F8">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5.设备支持复位按钮和清配置按钮</w:t>
            </w:r>
          </w:p>
          <w:p w14:paraId="73D0C466">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6.支持静态路由、RIP、OSPF、RIPng、OSPFv3</w:t>
            </w:r>
          </w:p>
          <w:p w14:paraId="19AB4915">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7.支持WRR、DRR、SP、WRR＋SP、DRR+SP 队列调度算法</w:t>
            </w:r>
          </w:p>
          <w:p w14:paraId="68ADDB5D">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8.实配：万兆多模光模块不低于2个</w:t>
            </w:r>
          </w:p>
        </w:tc>
      </w:tr>
      <w:tr w14:paraId="087BB6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3987EF0">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D2FBEDB">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307BDCF">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4.14.8 云数据库一体机</w:t>
            </w:r>
          </w:p>
          <w:p w14:paraId="338DB672">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主处理器：A节点：至少2颗国产化处理器，单颗不低于32核64线程，主频不低于2.5GHz，三级缓存32MB，单颗 TDP 115W；B节点：至少2颗国产化，单颗不低于32核64线程，主频不低于2.5GHz，三级缓存32MB，单颗 TDP 115W；</w:t>
            </w:r>
          </w:p>
          <w:p w14:paraId="57260ED5">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内存：A节点:配置128GB DDR4内存;B节点:配置128GB DDR4内存</w:t>
            </w:r>
          </w:p>
          <w:p w14:paraId="56FB6AC2">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RAID卡：A节点:支持RAID0/1/10/JDOB;B节点:支持RAID0/1/10/JDOB</w:t>
            </w:r>
          </w:p>
          <w:p w14:paraId="0005E0AE">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网口：A节点:4个GE电口，1000Mbps;B节点:4个GE电口，1000Mbps</w:t>
            </w:r>
          </w:p>
          <w:p w14:paraId="50D4FFA1">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性能要求：</w:t>
            </w:r>
          </w:p>
          <w:p w14:paraId="66B76E8A">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单套支持不低于25亿条数据量的存储和分析；支持集群扩容，集群可支持PB级数据量的存储；</w:t>
            </w:r>
          </w:p>
          <w:p w14:paraId="2D90D5D6">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总量25亿数据，日增量1500万，1个月内进行精确查询，模糊查询平均响应时间≤1秒；</w:t>
            </w:r>
          </w:p>
          <w:p w14:paraId="0A37A471">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总量25亿数据，日增量1500万，1天内在无车牌过滤条件下做全量数据的频繁轨迹出现分析，平均响应时间≤3秒；7天内在指定车牌过滤条件下，平均响应时间≤5秒；</w:t>
            </w:r>
          </w:p>
          <w:p w14:paraId="7E9B64E5">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总量25亿数据，日增量1500万，1天内在无车牌过滤条件下做1500万数据与1500万数据进行全量碰撞分析，平均响应时间小于5秒；</w:t>
            </w:r>
          </w:p>
          <w:p w14:paraId="4B3EED63">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采用分布式架构，充分调度各主机的CPU、内存、网络、磁盘能力，支持横向扩展；</w:t>
            </w:r>
          </w:p>
          <w:p w14:paraId="42E170C8">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支持行式、列式、行列混成等多种存储模式，可根据不同应用场景为上层应用提供接口使用；</w:t>
            </w:r>
          </w:p>
          <w:p w14:paraId="592EBB97">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普通查询，支持不低于100个并发。</w:t>
            </w:r>
          </w:p>
        </w:tc>
      </w:tr>
      <w:tr w14:paraId="2D34B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9BD3471">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43F979B0">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F5AA005">
            <w:pPr>
              <w:spacing w:line="440" w:lineRule="exac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4.14.9 云存储节点2 </w:t>
            </w:r>
          </w:p>
          <w:p w14:paraId="70BA62C3">
            <w:pPr>
              <w:spacing w:line="440" w:lineRule="exact"/>
              <w:rPr>
                <w:rFonts w:hint="default" w:ascii="宋体" w:hAnsi="宋体" w:eastAsia="宋体" w:cs="Times New Roman"/>
                <w:color w:val="auto"/>
                <w:sz w:val="21"/>
                <w:szCs w:val="21"/>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宋体" w:hAnsi="宋体" w:eastAsia="宋体" w:cs="Times New Roman"/>
                <w:color w:val="auto"/>
                <w:sz w:val="21"/>
                <w:szCs w:val="21"/>
                <w:highlight w:val="none"/>
                <w:lang w:val="en-US" w:eastAsia="zh-CN" w:bidi="ar-SA"/>
              </w:rPr>
              <w:t>参数要求：</w:t>
            </w:r>
          </w:p>
          <w:tbl>
            <w:tblPr>
              <w:tblStyle w:val="31"/>
              <w:tblW w:w="724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2146"/>
              <w:gridCol w:w="5095"/>
            </w:tblGrid>
            <w:tr w14:paraId="59C9F6E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center"/>
                </w:tcPr>
                <w:p w14:paraId="27BD88B5">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bCs/>
                      <w:color w:val="auto"/>
                      <w:szCs w:val="21"/>
                      <w:highlight w:val="none"/>
                    </w:rPr>
                    <w:t>指标项</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51697F7E">
                  <w:pPr>
                    <w:autoSpaceDE w:val="0"/>
                    <w:autoSpaceDN w:val="0"/>
                    <w:adjustRightInd w:val="0"/>
                    <w:spacing w:line="360" w:lineRule="auto"/>
                    <w:jc w:val="center"/>
                    <w:rPr>
                      <w:rFonts w:hint="default" w:ascii="宋体" w:hAnsi="宋体" w:eastAsia="宋体" w:cs="Times New Roman"/>
                      <w:color w:val="auto"/>
                      <w:kern w:val="0"/>
                      <w:szCs w:val="21"/>
                      <w:highlight w:val="none"/>
                    </w:rPr>
                  </w:pPr>
                  <w:r>
                    <w:rPr>
                      <w:rFonts w:hint="eastAsia" w:ascii="宋体" w:hAnsi="宋体" w:eastAsia="宋体" w:cs="Times New Roman"/>
                      <w:bCs/>
                      <w:color w:val="auto"/>
                      <w:szCs w:val="21"/>
                      <w:highlight w:val="none"/>
                    </w:rPr>
                    <w:t>技术参数</w:t>
                  </w:r>
                </w:p>
              </w:tc>
            </w:tr>
            <w:tr w14:paraId="2553256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center"/>
                </w:tcPr>
                <w:p w14:paraId="134E72D2">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szCs w:val="21"/>
                      <w:highlight w:val="none"/>
                    </w:rPr>
                    <w:t>兼容性</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7BE9CBBF">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szCs w:val="21"/>
                      <w:highlight w:val="none"/>
                    </w:rPr>
                    <w:t>设备须与交通局现有存量云存储集群同X86架构、完全兼容，纳入原有云存储池统一管理、统一使用。扩容期间所有在线业务须无中断、无停机，无需迁移原有业务数据。</w:t>
                  </w:r>
                </w:p>
              </w:tc>
            </w:tr>
            <w:tr w14:paraId="5DA6C2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5F04E247">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主处理器</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523B615A">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≥1颗国产高性能处理器，核心≥8、线程≥16，主频≥2.8GHZ，三级缓存≥64MB，TDP≥120W</w:t>
                  </w:r>
                </w:p>
              </w:tc>
            </w:tr>
            <w:tr w14:paraId="36B533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0E0E0843">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操作系统</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385F4787">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eastAsia="zh-CN"/>
                    </w:rPr>
                    <w:t>支持</w:t>
                  </w:r>
                  <w:r>
                    <w:rPr>
                      <w:rFonts w:hint="eastAsia" w:ascii="宋体" w:hAnsi="宋体" w:eastAsia="宋体" w:cs="Times New Roman"/>
                      <w:color w:val="auto"/>
                      <w:kern w:val="0"/>
                      <w:szCs w:val="21"/>
                      <w:highlight w:val="none"/>
                    </w:rPr>
                    <w:t>嵌入式</w:t>
                  </w:r>
                  <w:r>
                    <w:rPr>
                      <w:rFonts w:hint="default" w:ascii="宋体" w:hAnsi="宋体" w:eastAsia="宋体" w:cs="Times New Roman"/>
                      <w:color w:val="auto"/>
                      <w:kern w:val="0"/>
                      <w:szCs w:val="21"/>
                      <w:highlight w:val="none"/>
                    </w:rPr>
                    <w:t>LINUX</w:t>
                  </w:r>
                  <w:r>
                    <w:rPr>
                      <w:rFonts w:hint="eastAsia" w:ascii="宋体" w:hAnsi="宋体" w:eastAsia="宋体" w:cs="Times New Roman"/>
                      <w:color w:val="auto"/>
                      <w:kern w:val="0"/>
                      <w:szCs w:val="21"/>
                      <w:highlight w:val="none"/>
                    </w:rPr>
                    <w:t>系统</w:t>
                  </w:r>
                </w:p>
              </w:tc>
            </w:tr>
            <w:tr w14:paraId="516F41A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1E023FBE">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操作界面</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1EBC244A">
                  <w:pPr>
                    <w:autoSpaceDE w:val="0"/>
                    <w:autoSpaceDN w:val="0"/>
                    <w:adjustRightInd w:val="0"/>
                    <w:spacing w:line="360" w:lineRule="auto"/>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WEB</w:t>
                  </w:r>
                </w:p>
              </w:tc>
            </w:tr>
            <w:tr w14:paraId="45763BA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3B9C444D">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控制器</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523D59D3">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双控制器</w:t>
                  </w:r>
                </w:p>
              </w:tc>
            </w:tr>
            <w:tr w14:paraId="3311BE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46B5E652">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高速缓存</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473E6C48">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标配</w:t>
                  </w:r>
                  <w:r>
                    <w:rPr>
                      <w:rFonts w:hint="default" w:ascii="宋体" w:hAnsi="宋体" w:eastAsia="宋体" w:cs="Times New Roman"/>
                      <w:color w:val="auto"/>
                      <w:kern w:val="0"/>
                      <w:szCs w:val="21"/>
                      <w:highlight w:val="none"/>
                    </w:rPr>
                    <w:t>16G</w:t>
                  </w:r>
                  <w:r>
                    <w:rPr>
                      <w:rFonts w:hint="eastAsia" w:ascii="宋体" w:hAnsi="宋体" w:eastAsia="宋体" w:cs="Times New Roman"/>
                      <w:color w:val="auto"/>
                      <w:kern w:val="0"/>
                      <w:szCs w:val="21"/>
                      <w:highlight w:val="none"/>
                    </w:rPr>
                    <w:t>，可扩展至</w:t>
                  </w:r>
                  <w:r>
                    <w:rPr>
                      <w:rFonts w:hint="default" w:ascii="宋体" w:hAnsi="宋体" w:eastAsia="宋体" w:cs="Times New Roman"/>
                      <w:color w:val="auto"/>
                      <w:kern w:val="0"/>
                      <w:szCs w:val="21"/>
                      <w:highlight w:val="none"/>
                    </w:rPr>
                    <w:t>32G</w:t>
                  </w:r>
                </w:p>
              </w:tc>
            </w:tr>
            <w:tr w14:paraId="72D2F0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523509B7">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电源冗余</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2D7D5B4C">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1+1冗余电源</w:t>
                  </w:r>
                </w:p>
              </w:tc>
            </w:tr>
            <w:tr w14:paraId="79BD77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49804A15">
                  <w:pPr>
                    <w:autoSpaceDE w:val="0"/>
                    <w:autoSpaceDN w:val="0"/>
                    <w:adjustRightInd w:val="0"/>
                    <w:spacing w:line="360" w:lineRule="auto"/>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SAS</w:t>
                  </w:r>
                  <w:r>
                    <w:rPr>
                      <w:rFonts w:hint="eastAsia" w:ascii="宋体" w:hAnsi="宋体" w:eastAsia="宋体" w:cs="Times New Roman"/>
                      <w:color w:val="auto"/>
                      <w:kern w:val="0"/>
                      <w:szCs w:val="21"/>
                      <w:highlight w:val="none"/>
                    </w:rPr>
                    <w:t>接口</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629F7602">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Hans"/>
                    </w:rPr>
                    <w:t>不少于</w:t>
                  </w:r>
                  <w:r>
                    <w:rPr>
                      <w:rFonts w:hint="default"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个</w:t>
                  </w:r>
                  <w:r>
                    <w:rPr>
                      <w:rFonts w:hint="default" w:ascii="宋体" w:hAnsi="宋体" w:eastAsia="宋体" w:cs="Times New Roman"/>
                      <w:color w:val="auto"/>
                      <w:kern w:val="0"/>
                      <w:szCs w:val="21"/>
                      <w:highlight w:val="none"/>
                    </w:rPr>
                    <w:t>SAS</w:t>
                  </w:r>
                  <w:r>
                    <w:rPr>
                      <w:rFonts w:hint="eastAsia" w:ascii="宋体" w:hAnsi="宋体" w:eastAsia="宋体" w:cs="Times New Roman"/>
                      <w:color w:val="auto"/>
                      <w:kern w:val="0"/>
                      <w:szCs w:val="21"/>
                      <w:highlight w:val="none"/>
                    </w:rPr>
                    <w:t>接口</w:t>
                  </w:r>
                </w:p>
              </w:tc>
            </w:tr>
            <w:tr w14:paraId="1CDB0D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605F5648">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网络接口</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0ADF49AD">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Hans"/>
                    </w:rPr>
                    <w:t>不少于</w:t>
                  </w:r>
                  <w:r>
                    <w:rPr>
                      <w:rFonts w:hint="eastAsia" w:ascii="宋体" w:hAnsi="宋体" w:eastAsia="宋体" w:cs="Times New Roman"/>
                      <w:color w:val="auto"/>
                      <w:kern w:val="0"/>
                      <w:szCs w:val="21"/>
                      <w:highlight w:val="none"/>
                    </w:rPr>
                    <w:t>4个千兆数据电口，2个万兆数据光口</w:t>
                  </w:r>
                </w:p>
              </w:tc>
            </w:tr>
            <w:tr w14:paraId="773D3D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4CB7C42C">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网络接口扩展</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03A3963D">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支持扩展</w:t>
                  </w:r>
                  <w:r>
                    <w:rPr>
                      <w:rFonts w:hint="eastAsia" w:ascii="宋体" w:hAnsi="宋体" w:eastAsia="宋体" w:cs="Times New Roman"/>
                      <w:color w:val="auto"/>
                      <w:kern w:val="0"/>
                      <w:szCs w:val="21"/>
                      <w:highlight w:val="none"/>
                      <w:lang w:val="en-US" w:eastAsia="zh-Hans"/>
                    </w:rPr>
                    <w:t>不少于</w:t>
                  </w:r>
                  <w:r>
                    <w:rPr>
                      <w:rFonts w:hint="default" w:ascii="宋体" w:hAnsi="宋体" w:eastAsia="宋体" w:cs="Times New Roman"/>
                      <w:color w:val="auto"/>
                      <w:kern w:val="0"/>
                      <w:szCs w:val="21"/>
                      <w:highlight w:val="none"/>
                    </w:rPr>
                    <w:t>4</w:t>
                  </w:r>
                  <w:r>
                    <w:rPr>
                      <w:rFonts w:hint="eastAsia" w:ascii="宋体" w:hAnsi="宋体" w:eastAsia="宋体" w:cs="Times New Roman"/>
                      <w:color w:val="auto"/>
                      <w:kern w:val="0"/>
                      <w:szCs w:val="21"/>
                      <w:highlight w:val="none"/>
                    </w:rPr>
                    <w:t>个万兆光口</w:t>
                  </w:r>
                </w:p>
              </w:tc>
            </w:tr>
            <w:tr w14:paraId="639342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7D14FBDB">
                  <w:pPr>
                    <w:autoSpaceDE w:val="0"/>
                    <w:autoSpaceDN w:val="0"/>
                    <w:adjustRightInd w:val="0"/>
                    <w:spacing w:line="360" w:lineRule="auto"/>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eSATA</w:t>
                  </w:r>
                  <w:r>
                    <w:rPr>
                      <w:rFonts w:hint="eastAsia" w:ascii="宋体" w:hAnsi="宋体" w:eastAsia="宋体" w:cs="Times New Roman"/>
                      <w:color w:val="auto"/>
                      <w:kern w:val="0"/>
                      <w:szCs w:val="21"/>
                      <w:highlight w:val="none"/>
                    </w:rPr>
                    <w:t>接口</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57DE3094">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Hans"/>
                    </w:rPr>
                    <w:t>不少于</w:t>
                  </w:r>
                  <w:r>
                    <w:rPr>
                      <w:rFonts w:hint="default" w:ascii="宋体" w:hAnsi="宋体" w:eastAsia="宋体" w:cs="Times New Roman"/>
                      <w:color w:val="auto"/>
                      <w:kern w:val="0"/>
                      <w:szCs w:val="21"/>
                      <w:highlight w:val="none"/>
                    </w:rPr>
                    <w:t>2</w:t>
                  </w:r>
                  <w:r>
                    <w:rPr>
                      <w:rFonts w:hint="eastAsia" w:ascii="宋体" w:hAnsi="宋体" w:eastAsia="宋体" w:cs="Times New Roman"/>
                      <w:color w:val="auto"/>
                      <w:kern w:val="0"/>
                      <w:szCs w:val="21"/>
                      <w:highlight w:val="none"/>
                    </w:rPr>
                    <w:t>个</w:t>
                  </w:r>
                </w:p>
              </w:tc>
            </w:tr>
            <w:tr w14:paraId="32AB4C4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0FF32AE6">
                  <w:pPr>
                    <w:autoSpaceDE w:val="0"/>
                    <w:autoSpaceDN w:val="0"/>
                    <w:adjustRightInd w:val="0"/>
                    <w:spacing w:line="360" w:lineRule="auto"/>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RS-232</w:t>
                  </w:r>
                  <w:r>
                    <w:rPr>
                      <w:rFonts w:hint="eastAsia" w:ascii="宋体" w:hAnsi="宋体" w:eastAsia="宋体" w:cs="Times New Roman"/>
                      <w:color w:val="auto"/>
                      <w:kern w:val="0"/>
                      <w:szCs w:val="21"/>
                      <w:highlight w:val="none"/>
                    </w:rPr>
                    <w:t>接口</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006F9A9F">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Hans"/>
                    </w:rPr>
                    <w:t>不少于</w:t>
                  </w:r>
                  <w:r>
                    <w:rPr>
                      <w:rFonts w:hint="default" w:ascii="宋体" w:hAnsi="宋体" w:eastAsia="宋体" w:cs="Times New Roman"/>
                      <w:color w:val="auto"/>
                      <w:kern w:val="0"/>
                      <w:szCs w:val="21"/>
                      <w:highlight w:val="none"/>
                    </w:rPr>
                    <w:t>2</w:t>
                  </w:r>
                  <w:r>
                    <w:rPr>
                      <w:rFonts w:hint="eastAsia" w:ascii="宋体" w:hAnsi="宋体" w:eastAsia="宋体" w:cs="Times New Roman"/>
                      <w:color w:val="auto"/>
                      <w:kern w:val="0"/>
                      <w:szCs w:val="21"/>
                      <w:highlight w:val="none"/>
                    </w:rPr>
                    <w:t>个</w:t>
                  </w:r>
                </w:p>
              </w:tc>
            </w:tr>
            <w:tr w14:paraId="5824932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32D04233">
                  <w:pPr>
                    <w:autoSpaceDE w:val="0"/>
                    <w:autoSpaceDN w:val="0"/>
                    <w:adjustRightInd w:val="0"/>
                    <w:spacing w:line="360" w:lineRule="auto"/>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RS-485</w:t>
                  </w:r>
                  <w:r>
                    <w:rPr>
                      <w:rFonts w:hint="eastAsia" w:ascii="宋体" w:hAnsi="宋体" w:eastAsia="宋体" w:cs="Times New Roman"/>
                      <w:color w:val="auto"/>
                      <w:kern w:val="0"/>
                      <w:szCs w:val="21"/>
                      <w:highlight w:val="none"/>
                    </w:rPr>
                    <w:t>接口</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4B760793">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Hans"/>
                    </w:rPr>
                    <w:t>不少于</w:t>
                  </w:r>
                  <w:r>
                    <w:rPr>
                      <w:rFonts w:hint="default" w:ascii="宋体" w:hAnsi="宋体" w:eastAsia="宋体" w:cs="Times New Roman"/>
                      <w:color w:val="auto"/>
                      <w:kern w:val="0"/>
                      <w:szCs w:val="21"/>
                      <w:highlight w:val="none"/>
                    </w:rPr>
                    <w:t>2</w:t>
                  </w:r>
                  <w:r>
                    <w:rPr>
                      <w:rFonts w:hint="eastAsia" w:ascii="宋体" w:hAnsi="宋体" w:eastAsia="宋体" w:cs="Times New Roman"/>
                      <w:color w:val="auto"/>
                      <w:kern w:val="0"/>
                      <w:szCs w:val="21"/>
                      <w:highlight w:val="none"/>
                    </w:rPr>
                    <w:t>个</w:t>
                  </w:r>
                </w:p>
              </w:tc>
            </w:tr>
            <w:tr w14:paraId="4CA4344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49B5CFEE">
                  <w:pPr>
                    <w:autoSpaceDE w:val="0"/>
                    <w:autoSpaceDN w:val="0"/>
                    <w:adjustRightInd w:val="0"/>
                    <w:spacing w:line="360" w:lineRule="auto"/>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USB</w:t>
                  </w:r>
                  <w:r>
                    <w:rPr>
                      <w:rFonts w:hint="eastAsia" w:ascii="宋体" w:hAnsi="宋体" w:eastAsia="宋体" w:cs="Times New Roman"/>
                      <w:color w:val="auto"/>
                      <w:kern w:val="0"/>
                      <w:szCs w:val="21"/>
                      <w:highlight w:val="none"/>
                    </w:rPr>
                    <w:t>接口</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2E25D867">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lang w:val="en-US" w:eastAsia="zh-Hans"/>
                    </w:rPr>
                    <w:t>不少于</w:t>
                  </w:r>
                  <w:r>
                    <w:rPr>
                      <w:rFonts w:hint="default" w:ascii="宋体" w:hAnsi="宋体" w:eastAsia="宋体" w:cs="Times New Roman"/>
                      <w:color w:val="auto"/>
                      <w:kern w:val="0"/>
                      <w:szCs w:val="21"/>
                      <w:highlight w:val="none"/>
                    </w:rPr>
                    <w:t>2</w:t>
                  </w:r>
                  <w:r>
                    <w:rPr>
                      <w:rFonts w:hint="eastAsia" w:ascii="宋体" w:hAnsi="宋体" w:eastAsia="宋体" w:cs="Times New Roman"/>
                      <w:color w:val="auto"/>
                      <w:kern w:val="0"/>
                      <w:szCs w:val="21"/>
                      <w:highlight w:val="none"/>
                    </w:rPr>
                    <w:t>个USB3.0接口</w:t>
                  </w:r>
                </w:p>
              </w:tc>
            </w:tr>
            <w:tr w14:paraId="743759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2277E444">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硬盘个数</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57B1720C">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不低于</w:t>
                  </w:r>
                  <w:r>
                    <w:rPr>
                      <w:rFonts w:hint="default" w:ascii="宋体" w:hAnsi="宋体" w:eastAsia="宋体" w:cs="Times New Roman"/>
                      <w:color w:val="auto"/>
                      <w:kern w:val="0"/>
                      <w:szCs w:val="21"/>
                      <w:highlight w:val="none"/>
                    </w:rPr>
                    <w:t>48</w:t>
                  </w:r>
                  <w:r>
                    <w:rPr>
                      <w:rFonts w:hint="eastAsia" w:ascii="宋体" w:hAnsi="宋体" w:eastAsia="宋体" w:cs="Times New Roman"/>
                      <w:color w:val="auto"/>
                      <w:kern w:val="0"/>
                      <w:szCs w:val="21"/>
                      <w:highlight w:val="none"/>
                    </w:rPr>
                    <w:t>块</w:t>
                  </w:r>
                  <w:r>
                    <w:rPr>
                      <w:rFonts w:hint="default" w:ascii="宋体" w:hAnsi="宋体" w:eastAsia="宋体" w:cs="Times New Roman"/>
                      <w:color w:val="auto"/>
                      <w:kern w:val="0"/>
                      <w:szCs w:val="21"/>
                      <w:highlight w:val="none"/>
                    </w:rPr>
                    <w:t>8</w:t>
                  </w:r>
                  <w:r>
                    <w:rPr>
                      <w:rFonts w:hint="eastAsia" w:ascii="宋体" w:hAnsi="宋体" w:eastAsia="宋体" w:cs="Times New Roman"/>
                      <w:color w:val="auto"/>
                      <w:kern w:val="0"/>
                      <w:szCs w:val="21"/>
                      <w:highlight w:val="none"/>
                    </w:rPr>
                    <w:t>T企业级硬盘</w:t>
                  </w:r>
                </w:p>
              </w:tc>
            </w:tr>
            <w:tr w14:paraId="58D2B2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0C30F984">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硬盘兼容性</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4DB814C1">
                  <w:pPr>
                    <w:autoSpaceDE w:val="0"/>
                    <w:autoSpaceDN w:val="0"/>
                    <w:adjustRightInd w:val="0"/>
                    <w:spacing w:line="360" w:lineRule="auto"/>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1T</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2T</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3T</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4T</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5T</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6T</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8T</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10T</w:t>
                  </w:r>
                  <w:r>
                    <w:rPr>
                      <w:rFonts w:hint="eastAsia" w:ascii="宋体" w:hAnsi="宋体" w:eastAsia="宋体" w:cs="Times New Roman"/>
                      <w:color w:val="auto"/>
                      <w:kern w:val="0"/>
                      <w:szCs w:val="21"/>
                      <w:highlight w:val="none"/>
                    </w:rPr>
                    <w:t>支持</w:t>
                  </w:r>
                  <w:r>
                    <w:rPr>
                      <w:rFonts w:hint="default" w:ascii="宋体" w:hAnsi="宋体" w:eastAsia="宋体" w:cs="Times New Roman"/>
                      <w:color w:val="auto"/>
                      <w:kern w:val="0"/>
                      <w:szCs w:val="21"/>
                      <w:highlight w:val="none"/>
                    </w:rPr>
                    <w:t>SAS</w:t>
                  </w:r>
                  <w:r>
                    <w:rPr>
                      <w:rFonts w:hint="eastAsia" w:ascii="宋体" w:hAnsi="宋体" w:eastAsia="宋体" w:cs="Times New Roman"/>
                      <w:color w:val="auto"/>
                      <w:kern w:val="0"/>
                      <w:szCs w:val="21"/>
                      <w:highlight w:val="none"/>
                    </w:rPr>
                    <w:t>盘混插</w:t>
                  </w:r>
                  <w:r>
                    <w:rPr>
                      <w:rFonts w:hint="default" w:ascii="宋体" w:hAnsi="宋体"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支持</w:t>
                  </w:r>
                  <w:r>
                    <w:rPr>
                      <w:rFonts w:hint="default" w:ascii="宋体" w:hAnsi="宋体" w:eastAsia="宋体" w:cs="Times New Roman"/>
                      <w:color w:val="auto"/>
                      <w:kern w:val="0"/>
                      <w:szCs w:val="21"/>
                      <w:highlight w:val="none"/>
                    </w:rPr>
                    <w:t>SSD</w:t>
                  </w:r>
                  <w:r>
                    <w:rPr>
                      <w:rFonts w:hint="eastAsia" w:ascii="宋体" w:hAnsi="宋体" w:eastAsia="宋体" w:cs="Times New Roman"/>
                      <w:color w:val="auto"/>
                      <w:kern w:val="0"/>
                      <w:szCs w:val="21"/>
                      <w:highlight w:val="none"/>
                    </w:rPr>
                    <w:t>硬盘</w:t>
                  </w:r>
                  <w:r>
                    <w:rPr>
                      <w:rFonts w:hint="default" w:ascii="宋体" w:hAnsi="宋体"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支持</w:t>
                  </w:r>
                  <w:r>
                    <w:rPr>
                      <w:rFonts w:hint="default" w:ascii="宋体" w:hAnsi="宋体" w:eastAsia="宋体" w:cs="Times New Roman"/>
                      <w:color w:val="auto"/>
                      <w:kern w:val="0"/>
                      <w:szCs w:val="21"/>
                      <w:highlight w:val="none"/>
                    </w:rPr>
                    <w:t>2.5</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3.5</w:t>
                  </w:r>
                  <w:r>
                    <w:rPr>
                      <w:rFonts w:hint="eastAsia" w:ascii="宋体" w:hAnsi="宋体" w:eastAsia="宋体" w:cs="Times New Roman"/>
                      <w:color w:val="auto"/>
                      <w:kern w:val="0"/>
                      <w:szCs w:val="21"/>
                      <w:highlight w:val="none"/>
                    </w:rPr>
                    <w:t>英寸硬盘</w:t>
                  </w:r>
                  <w:r>
                    <w:rPr>
                      <w:rFonts w:hint="default" w:ascii="宋体" w:hAnsi="宋体" w:eastAsia="宋体" w:cs="Times New Roman"/>
                      <w:color w:val="auto"/>
                      <w:kern w:val="0"/>
                      <w:szCs w:val="21"/>
                      <w:highlight w:val="none"/>
                    </w:rPr>
                    <w:t xml:space="preserve"> </w:t>
                  </w:r>
                  <w:r>
                    <w:rPr>
                      <w:rFonts w:hint="eastAsia" w:ascii="宋体" w:hAnsi="宋体" w:eastAsia="宋体" w:cs="Times New Roman"/>
                      <w:color w:val="auto"/>
                      <w:kern w:val="0"/>
                      <w:szCs w:val="21"/>
                      <w:highlight w:val="none"/>
                    </w:rPr>
                    <w:t>不支持</w:t>
                  </w:r>
                  <w:r>
                    <w:rPr>
                      <w:rFonts w:hint="default" w:ascii="宋体" w:hAnsi="宋体" w:eastAsia="宋体" w:cs="Times New Roman"/>
                      <w:color w:val="auto"/>
                      <w:kern w:val="0"/>
                      <w:szCs w:val="21"/>
                      <w:highlight w:val="none"/>
                    </w:rPr>
                    <w:t>SATA</w:t>
                  </w:r>
                  <w:r>
                    <w:rPr>
                      <w:rFonts w:hint="eastAsia" w:ascii="宋体" w:hAnsi="宋体" w:eastAsia="宋体" w:cs="Times New Roman"/>
                      <w:color w:val="auto"/>
                      <w:kern w:val="0"/>
                      <w:szCs w:val="21"/>
                      <w:highlight w:val="none"/>
                    </w:rPr>
                    <w:t>盘</w:t>
                  </w:r>
                </w:p>
              </w:tc>
            </w:tr>
            <w:tr w14:paraId="409A120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48138EDB">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硬盘安装</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3729F195">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独立硬盘支架</w:t>
                  </w:r>
                </w:p>
              </w:tc>
            </w:tr>
            <w:tr w14:paraId="042A3C6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48C45DE8">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硬盘热插拔</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00F3A110">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支持硬盘热插拔、在线更换</w:t>
                  </w:r>
                </w:p>
              </w:tc>
            </w:tr>
            <w:tr w14:paraId="2693A2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1E6CF43E">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硬盘使用模式</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14175B2B">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单盘，</w:t>
                  </w:r>
                  <w:r>
                    <w:rPr>
                      <w:rFonts w:hint="default" w:ascii="宋体" w:hAnsi="宋体" w:eastAsia="宋体" w:cs="Times New Roman"/>
                      <w:color w:val="auto"/>
                      <w:kern w:val="0"/>
                      <w:szCs w:val="21"/>
                      <w:highlight w:val="none"/>
                    </w:rPr>
                    <w:t>RAID0</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1</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5</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6</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JBOD</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Hot-Spare</w:t>
                  </w:r>
                  <w:r>
                    <w:rPr>
                      <w:rFonts w:hint="eastAsia" w:ascii="宋体" w:hAnsi="宋体" w:eastAsia="宋体" w:cs="Times New Roman"/>
                      <w:color w:val="auto"/>
                      <w:kern w:val="0"/>
                      <w:szCs w:val="21"/>
                      <w:highlight w:val="none"/>
                    </w:rPr>
                    <w:t>（热备）、</w:t>
                  </w:r>
                  <w:r>
                    <w:rPr>
                      <w:rFonts w:hint="default" w:ascii="宋体" w:hAnsi="宋体" w:eastAsia="宋体" w:cs="Times New Roman"/>
                      <w:color w:val="auto"/>
                      <w:kern w:val="0"/>
                      <w:szCs w:val="21"/>
                      <w:highlight w:val="none"/>
                    </w:rPr>
                    <w:t>SRAID</w:t>
                  </w:r>
                </w:p>
              </w:tc>
            </w:tr>
            <w:tr w14:paraId="552BEBB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48894100">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硬盘管理</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551BA711">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非工作盘休眠，利于散热和降低功耗，延长硬盘寿命</w:t>
                  </w:r>
                </w:p>
              </w:tc>
            </w:tr>
            <w:tr w14:paraId="7693CF5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2C5C46F9">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硬盘处理</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6AF8D81C">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支持磁盘坏道映射，延长硬盘使用寿命</w:t>
                  </w:r>
                </w:p>
              </w:tc>
            </w:tr>
            <w:tr w14:paraId="107B063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2F760DB5">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硬盘状态检测</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4FCBC4D3">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支持硬盘使用前预检、使用中周期性巡检</w:t>
                  </w:r>
                </w:p>
              </w:tc>
            </w:tr>
            <w:tr w14:paraId="38C590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7EBB7C21">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供电方式</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0031985C">
                  <w:pPr>
                    <w:autoSpaceDE w:val="0"/>
                    <w:autoSpaceDN w:val="0"/>
                    <w:adjustRightInd w:val="0"/>
                    <w:spacing w:line="360" w:lineRule="auto"/>
                    <w:rPr>
                      <w:rFonts w:hint="default" w:ascii="宋体" w:hAnsi="宋体" w:eastAsia="宋体" w:cs="Times New Roman"/>
                      <w:color w:val="auto"/>
                      <w:kern w:val="0"/>
                      <w:szCs w:val="21"/>
                      <w:highlight w:val="none"/>
                    </w:rPr>
                  </w:pPr>
                  <w:r>
                    <w:rPr>
                      <w:rFonts w:hint="default" w:ascii="宋体" w:hAnsi="宋体" w:eastAsia="宋体" w:cs="Times New Roman"/>
                      <w:color w:val="auto"/>
                      <w:kern w:val="0"/>
                      <w:szCs w:val="21"/>
                      <w:highlight w:val="none"/>
                    </w:rPr>
                    <w:t>100V~240V</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47~63Hz</w:t>
                  </w:r>
                  <w:r>
                    <w:rPr>
                      <w:rFonts w:hint="eastAsia" w:ascii="宋体" w:hAnsi="宋体" w:eastAsia="宋体" w:cs="Times New Roman"/>
                      <w:color w:val="auto"/>
                      <w:kern w:val="0"/>
                      <w:szCs w:val="21"/>
                      <w:highlight w:val="none"/>
                    </w:rPr>
                    <w:t>，</w:t>
                  </w:r>
                  <w:r>
                    <w:rPr>
                      <w:rFonts w:hint="default" w:ascii="宋体" w:hAnsi="宋体" w:eastAsia="宋体" w:cs="Times New Roman"/>
                      <w:color w:val="auto"/>
                      <w:kern w:val="0"/>
                      <w:szCs w:val="21"/>
                      <w:highlight w:val="none"/>
                    </w:rPr>
                    <w:t>12A-6A</w:t>
                  </w:r>
                  <w:r>
                    <w:rPr>
                      <w:rFonts w:hint="eastAsia" w:ascii="宋体" w:hAnsi="宋体" w:eastAsia="宋体" w:cs="Times New Roman"/>
                      <w:color w:val="auto"/>
                      <w:kern w:val="0"/>
                      <w:szCs w:val="21"/>
                      <w:highlight w:val="none"/>
                    </w:rPr>
                    <w:t>，支持热插拔</w:t>
                  </w:r>
                </w:p>
              </w:tc>
            </w:tr>
            <w:tr w14:paraId="00B134A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top"/>
                </w:tcPr>
                <w:p w14:paraId="79CB8ECD">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风扇</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6F846827">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支持热插拔，冗余双滚珠轴承风扇，</w:t>
                  </w:r>
                  <w:r>
                    <w:rPr>
                      <w:rFonts w:hint="default" w:ascii="宋体" w:hAnsi="宋体" w:eastAsia="宋体" w:cs="Times New Roman"/>
                      <w:color w:val="auto"/>
                      <w:kern w:val="0"/>
                      <w:szCs w:val="21"/>
                      <w:highlight w:val="none"/>
                    </w:rPr>
                    <w:t>MTBF&gt;10</w:t>
                  </w:r>
                  <w:r>
                    <w:rPr>
                      <w:rFonts w:hint="eastAsia" w:ascii="宋体" w:hAnsi="宋体" w:eastAsia="宋体" w:cs="Times New Roman"/>
                      <w:color w:val="auto"/>
                      <w:kern w:val="0"/>
                      <w:szCs w:val="21"/>
                      <w:highlight w:val="none"/>
                    </w:rPr>
                    <w:t>万小时</w:t>
                  </w:r>
                </w:p>
              </w:tc>
            </w:tr>
            <w:tr w14:paraId="3421415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2146" w:type="dxa"/>
                  <w:tcBorders>
                    <w:top w:val="single" w:color="auto" w:sz="2" w:space="0"/>
                    <w:left w:val="single" w:color="auto" w:sz="2" w:space="0"/>
                    <w:bottom w:val="single" w:color="auto" w:sz="2" w:space="0"/>
                    <w:right w:val="single" w:color="auto" w:sz="2" w:space="0"/>
                  </w:tcBorders>
                  <w:noWrap w:val="0"/>
                  <w:vAlign w:val="center"/>
                </w:tcPr>
                <w:p w14:paraId="7C35FA74">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color w:val="auto"/>
                      <w:szCs w:val="21"/>
                      <w:highlight w:val="none"/>
                    </w:rPr>
                    <w:t>辅材</w:t>
                  </w:r>
                </w:p>
              </w:tc>
              <w:tc>
                <w:tcPr>
                  <w:tcW w:w="5095" w:type="dxa"/>
                  <w:tcBorders>
                    <w:top w:val="single" w:color="auto" w:sz="2" w:space="0"/>
                    <w:left w:val="single" w:color="auto" w:sz="2" w:space="0"/>
                    <w:bottom w:val="single" w:color="auto" w:sz="2" w:space="0"/>
                    <w:right w:val="single" w:color="auto" w:sz="2" w:space="0"/>
                  </w:tcBorders>
                  <w:noWrap w:val="0"/>
                  <w:vAlign w:val="top"/>
                </w:tcPr>
                <w:p w14:paraId="10BBB6DB">
                  <w:pPr>
                    <w:autoSpaceDE w:val="0"/>
                    <w:autoSpaceDN w:val="0"/>
                    <w:adjustRightInd w:val="0"/>
                    <w:spacing w:line="360" w:lineRule="auto"/>
                    <w:rPr>
                      <w:rFonts w:hint="default" w:ascii="宋体" w:hAnsi="宋体" w:eastAsia="宋体" w:cs="Times New Roman"/>
                      <w:color w:val="auto"/>
                      <w:kern w:val="0"/>
                      <w:szCs w:val="21"/>
                      <w:highlight w:val="none"/>
                    </w:rPr>
                  </w:pPr>
                  <w:r>
                    <w:rPr>
                      <w:rFonts w:hint="eastAsia" w:ascii="宋体" w:hAnsi="宋体" w:eastAsia="宋体" w:cs="Times New Roman"/>
                      <w:snapToGrid w:val="0"/>
                      <w:color w:val="auto"/>
                      <w:spacing w:val="2"/>
                      <w:szCs w:val="21"/>
                      <w:highlight w:val="none"/>
                    </w:rPr>
                    <w:t>含安装所需的网线，光跳线等辅材</w:t>
                  </w:r>
                </w:p>
              </w:tc>
            </w:tr>
          </w:tbl>
          <w:p w14:paraId="30955369">
            <w:pPr>
              <w:spacing w:line="440" w:lineRule="exact"/>
              <w:rPr>
                <w:rFonts w:hint="default" w:ascii="书宋-简" w:hAnsi="书宋-简" w:eastAsia="书宋-简" w:cs="书宋-简"/>
                <w:i w:val="0"/>
                <w:iCs w:val="0"/>
                <w:color w:val="auto"/>
                <w:kern w:val="0"/>
                <w:sz w:val="18"/>
                <w:szCs w:val="18"/>
                <w:highlight w:val="none"/>
                <w:u w:val="none"/>
                <w:lang w:val="en-US" w:eastAsia="zh-CN" w:bidi="ar"/>
              </w:rPr>
            </w:pPr>
          </w:p>
        </w:tc>
      </w:tr>
      <w:tr w14:paraId="50EAA2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A69C12A">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1989560">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4793D76">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4.14.10 视频算法识别</w:t>
            </w:r>
          </w:p>
          <w:p w14:paraId="3F6B4AFE">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包含了渣土车、工程车开盖运输、工程车抛洒滴漏等算法</w:t>
            </w:r>
            <w:r>
              <w:rPr>
                <w:rFonts w:hint="default" w:ascii="Times New Roman" w:hAnsi="Times New Roman" w:eastAsia="宋体" w:cs="Times New Roman"/>
                <w:iCs/>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识别准确率不低于</w:t>
            </w:r>
            <w:r>
              <w:rPr>
                <w:rFonts w:hint="default" w:ascii="Times New Roman" w:hAnsi="Times New Roman" w:eastAsia="宋体" w:cs="Times New Roman"/>
                <w:iCs/>
                <w:color w:val="auto"/>
                <w:sz w:val="24"/>
                <w:szCs w:val="24"/>
                <w:highlight w:val="none"/>
                <w:lang w:val="en-US" w:eastAsia="zh-Hans" w:bidi="ar-SA"/>
              </w:rPr>
              <w:t>80%</w:t>
            </w:r>
            <w:r>
              <w:rPr>
                <w:rFonts w:hint="eastAsia" w:ascii="Times New Roman" w:hAnsi="Times New Roman" w:eastAsia="宋体" w:cs="Times New Roman"/>
                <w:iCs/>
                <w:color w:val="auto"/>
                <w:sz w:val="24"/>
                <w:szCs w:val="24"/>
                <w:highlight w:val="none"/>
                <w:lang w:val="en-US" w:eastAsia="zh-CN" w:bidi="ar-SA"/>
              </w:rPr>
              <w:t>。</w:t>
            </w:r>
          </w:p>
          <w:p w14:paraId="2C493C86">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1）工程车开盖运输：划定区域，检测经过工程车开盖状态，当工程车有载物且开盖时，给出告警；</w:t>
            </w:r>
          </w:p>
          <w:p w14:paraId="4DED19FB">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2）工程车抛洒滴漏：划定道路区域，检测是否有工程渣土车抛洒滴漏泥沙、渣土等污染物的行为，若有则上报抛洒预警、抛洒前背景、嫌疑车辆信息进行预警</w:t>
            </w:r>
            <w:r>
              <w:rPr>
                <w:rFonts w:hint="default" w:ascii="Times New Roman" w:hAnsi="Times New Roman" w:eastAsia="宋体" w:cs="Times New Roman"/>
                <w:iCs/>
                <w:color w:val="auto"/>
                <w:sz w:val="24"/>
                <w:szCs w:val="24"/>
                <w:highlight w:val="none"/>
                <w:lang w:val="en-US" w:eastAsia="zh-CN" w:bidi="ar-SA"/>
              </w:rPr>
              <w:t>。</w:t>
            </w:r>
          </w:p>
        </w:tc>
      </w:tr>
      <w:tr w14:paraId="6A09D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1C32C3D2">
            <w:pPr>
              <w:widowControl/>
              <w:spacing w:line="440" w:lineRule="exact"/>
              <w:jc w:val="lef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4.14.10</w:t>
            </w:r>
          </w:p>
        </w:tc>
        <w:tc>
          <w:tcPr>
            <w:tcW w:w="360" w:type="dxa"/>
            <w:vMerge w:val="continue"/>
            <w:noWrap w:val="0"/>
            <w:vAlign w:val="center"/>
          </w:tcPr>
          <w:p w14:paraId="25296B22">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B748DD0">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4.14.11事件检测智能服务器</w:t>
            </w:r>
          </w:p>
          <w:p w14:paraId="4F9103B6">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至少2颗国产化处理器，单颗</w:t>
            </w:r>
            <w:r>
              <w:rPr>
                <w:rFonts w:hint="eastAsia" w:ascii="Times New Roman" w:hAnsi="Times New Roman" w:cs="Times New Roman"/>
                <w:iCs/>
                <w:color w:val="auto"/>
                <w:sz w:val="24"/>
                <w:szCs w:val="24"/>
                <w:highlight w:val="none"/>
                <w:lang w:val="en-US" w:eastAsia="zh-CN" w:bidi="ar-SA"/>
              </w:rPr>
              <w:t>不低于</w:t>
            </w:r>
            <w:r>
              <w:rPr>
                <w:rFonts w:hint="eastAsia" w:ascii="Times New Roman" w:hAnsi="Times New Roman" w:eastAsia="宋体" w:cs="Times New Roman"/>
                <w:iCs/>
                <w:color w:val="auto"/>
                <w:sz w:val="24"/>
                <w:szCs w:val="24"/>
                <w:highlight w:val="none"/>
                <w:lang w:val="en-US" w:eastAsia="zh-CN" w:bidi="ar-SA"/>
              </w:rPr>
              <w:t>24核48线程，主频</w:t>
            </w:r>
            <w:r>
              <w:rPr>
                <w:rFonts w:hint="eastAsia" w:ascii="Times New Roman" w:hAnsi="Times New Roman" w:cs="Times New Roman"/>
                <w:iCs/>
                <w:color w:val="auto"/>
                <w:sz w:val="24"/>
                <w:szCs w:val="24"/>
                <w:highlight w:val="none"/>
                <w:lang w:val="en-US" w:eastAsia="zh-CN" w:bidi="ar-SA"/>
              </w:rPr>
              <w:t>不低于</w:t>
            </w:r>
            <w:r>
              <w:rPr>
                <w:rFonts w:hint="eastAsia" w:ascii="Times New Roman" w:hAnsi="Times New Roman" w:eastAsia="宋体" w:cs="Times New Roman"/>
                <w:iCs/>
                <w:color w:val="auto"/>
                <w:sz w:val="24"/>
                <w:szCs w:val="24"/>
                <w:highlight w:val="none"/>
                <w:lang w:val="en-US" w:eastAsia="zh-CN" w:bidi="ar-SA"/>
              </w:rPr>
              <w:t>2.5GHZ,共享64MB三级缓存，TDP 210W；4根32GB DDR4内存条，最大槽位数16个槽位；硬盘不低于1块2.5英寸480GB SSD硬盘，2块4T 3.5寸硬盘；</w:t>
            </w:r>
            <w:r>
              <w:rPr>
                <w:rFonts w:hint="default" w:ascii="Times New Roman" w:hAnsi="Times New Roman" w:eastAsia="宋体" w:cs="Times New Roman"/>
                <w:iCs/>
                <w:color w:val="auto"/>
                <w:sz w:val="24"/>
                <w:szCs w:val="24"/>
                <w:highlight w:val="none"/>
                <w:lang w:val="en-US" w:eastAsia="zh-CN" w:bidi="ar-SA"/>
              </w:rPr>
              <w:t>1+1冗余电源</w:t>
            </w:r>
            <w:r>
              <w:rPr>
                <w:rFonts w:hint="eastAsia" w:ascii="Times New Roman" w:hAnsi="Times New Roman" w:eastAsia="宋体" w:cs="Times New Roman"/>
                <w:iCs/>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带4G缓存RAID卡</w:t>
            </w:r>
            <w:r>
              <w:rPr>
                <w:rFonts w:hint="eastAsia" w:ascii="Times New Roman" w:hAnsi="Times New Roman" w:eastAsia="宋体" w:cs="Times New Roman"/>
                <w:iCs/>
                <w:color w:val="auto"/>
                <w:sz w:val="24"/>
                <w:szCs w:val="24"/>
                <w:highlight w:val="none"/>
                <w:lang w:val="en-US" w:eastAsia="zh-CN" w:bidi="ar-SA"/>
              </w:rPr>
              <w:t>、不低于4*板载千兆网口</w:t>
            </w:r>
            <w:r>
              <w:rPr>
                <w:rFonts w:hint="default" w:ascii="Times New Roman" w:hAnsi="Times New Roman" w:eastAsia="宋体" w:cs="Times New Roman"/>
                <w:iCs/>
                <w:color w:val="auto"/>
                <w:sz w:val="24"/>
                <w:szCs w:val="24"/>
                <w:highlight w:val="none"/>
                <w:lang w:val="en-US" w:eastAsia="zh-CN" w:bidi="ar-SA"/>
              </w:rPr>
              <w:t>；PCIe 5.0</w:t>
            </w:r>
            <w:r>
              <w:rPr>
                <w:rFonts w:hint="eastAsia" w:ascii="Times New Roman" w:hAnsi="Times New Roman" w:eastAsia="宋体" w:cs="Times New Roman"/>
                <w:iCs/>
                <w:color w:val="auto"/>
                <w:sz w:val="24"/>
                <w:szCs w:val="24"/>
                <w:highlight w:val="none"/>
                <w:lang w:val="en-US" w:eastAsia="zh-CN" w:bidi="ar-SA"/>
              </w:rPr>
              <w:t>以上接口不少于5个；</w:t>
            </w:r>
            <w:r>
              <w:rPr>
                <w:rFonts w:hint="default" w:ascii="Times New Roman" w:hAnsi="Times New Roman" w:eastAsia="宋体" w:cs="Times New Roman"/>
                <w:iCs/>
                <w:color w:val="auto"/>
                <w:sz w:val="24"/>
                <w:szCs w:val="24"/>
                <w:highlight w:val="none"/>
                <w:lang w:val="en-US" w:eastAsia="zh-CN" w:bidi="ar-SA"/>
              </w:rPr>
              <w:t>1个VGA</w:t>
            </w:r>
            <w:r>
              <w:rPr>
                <w:rFonts w:hint="eastAsia" w:ascii="Times New Roman" w:hAnsi="Times New Roman" w:eastAsia="宋体" w:cs="Times New Roman"/>
                <w:iCs/>
                <w:color w:val="auto"/>
                <w:sz w:val="24"/>
                <w:szCs w:val="24"/>
                <w:highlight w:val="none"/>
                <w:lang w:val="en-US" w:eastAsia="zh-CN" w:bidi="ar-SA"/>
              </w:rPr>
              <w:t>或HDMI</w:t>
            </w:r>
            <w:r>
              <w:rPr>
                <w:rFonts w:hint="default" w:ascii="Times New Roman" w:hAnsi="Times New Roman" w:eastAsia="宋体" w:cs="Times New Roman"/>
                <w:iCs/>
                <w:color w:val="auto"/>
                <w:sz w:val="24"/>
                <w:szCs w:val="24"/>
                <w:highlight w:val="none"/>
                <w:lang w:val="en-US" w:eastAsia="zh-CN" w:bidi="ar-SA"/>
              </w:rPr>
              <w:t>接口</w:t>
            </w:r>
            <w:r>
              <w:rPr>
                <w:rFonts w:hint="eastAsia" w:ascii="Times New Roman" w:hAnsi="Times New Roman" w:eastAsia="宋体" w:cs="Times New Roman"/>
                <w:iCs/>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4个USB接口</w:t>
            </w:r>
            <w:r>
              <w:rPr>
                <w:rFonts w:hint="eastAsia" w:ascii="Times New Roman" w:hAnsi="Times New Roman" w:eastAsia="宋体" w:cs="Times New Roman"/>
                <w:iCs/>
                <w:color w:val="auto"/>
                <w:sz w:val="24"/>
                <w:szCs w:val="24"/>
                <w:highlight w:val="none"/>
                <w:lang w:val="en-US" w:eastAsia="zh-CN" w:bidi="ar-SA"/>
              </w:rPr>
              <w:t>；电源功率不低于</w:t>
            </w:r>
            <w:r>
              <w:rPr>
                <w:rFonts w:hint="default" w:ascii="Times New Roman" w:hAnsi="Times New Roman" w:eastAsia="宋体" w:cs="Times New Roman"/>
                <w:iCs/>
                <w:color w:val="auto"/>
                <w:sz w:val="24"/>
                <w:szCs w:val="24"/>
                <w:highlight w:val="none"/>
                <w:lang w:val="en-US" w:eastAsia="zh-CN" w:bidi="ar-SA"/>
              </w:rPr>
              <w:t>800W，CRPS白金级能效</w:t>
            </w:r>
            <w:r>
              <w:rPr>
                <w:rFonts w:hint="eastAsia" w:ascii="Times New Roman" w:hAnsi="Times New Roman" w:eastAsia="宋体" w:cs="Times New Roman"/>
                <w:iCs/>
                <w:color w:val="auto"/>
                <w:sz w:val="24"/>
                <w:szCs w:val="24"/>
                <w:highlight w:val="none"/>
                <w:lang w:val="en-US" w:eastAsia="zh-CN" w:bidi="ar-SA"/>
              </w:rPr>
              <w:t>电源、</w:t>
            </w:r>
            <w:r>
              <w:rPr>
                <w:rFonts w:hint="default" w:ascii="Times New Roman" w:hAnsi="Times New Roman" w:eastAsia="宋体" w:cs="Times New Roman"/>
                <w:iCs/>
                <w:color w:val="auto"/>
                <w:sz w:val="24"/>
                <w:szCs w:val="24"/>
                <w:highlight w:val="none"/>
                <w:lang w:val="en-US" w:eastAsia="zh-CN" w:bidi="ar-SA"/>
              </w:rPr>
              <w:t>满负荷小于660W；支持远程关机和重新启动功能</w:t>
            </w:r>
            <w:r>
              <w:rPr>
                <w:rFonts w:hint="eastAsia" w:ascii="Times New Roman" w:hAnsi="Times New Roman" w:eastAsia="宋体" w:cs="Times New Roman"/>
                <w:iCs/>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工作温度工作时5℃～45℃(41℉～113℉)；工作湿度：20% RH(25°C)～93% RH(45°C)。</w:t>
            </w:r>
            <w:r>
              <w:rPr>
                <w:rFonts w:hint="eastAsia" w:ascii="Times New Roman" w:hAnsi="Times New Roman" w:eastAsia="宋体" w:cs="Times New Roman"/>
                <w:iCs/>
                <w:color w:val="auto"/>
                <w:sz w:val="24"/>
                <w:szCs w:val="24"/>
                <w:highlight w:val="none"/>
                <w:lang w:val="en-US" w:eastAsia="zh-CN" w:bidi="ar-SA"/>
              </w:rPr>
              <w:t>采用国产化操作系统，至少含5张智能分析E卡(100 TOPS（峰值算力）,INT8,分析卡内存LPDDR4X 24GB 分析卡功耗72W）可接入至少40路不低于800万像素视频实时分析</w:t>
            </w:r>
            <w:r>
              <w:rPr>
                <w:rFonts w:hint="default" w:ascii="Times New Roman" w:hAnsi="Times New Roman" w:eastAsia="宋体" w:cs="Times New Roman"/>
                <w:iCs/>
                <w:color w:val="auto"/>
                <w:sz w:val="24"/>
                <w:szCs w:val="24"/>
                <w:highlight w:val="none"/>
                <w:lang w:val="en-US" w:eastAsia="zh-CN" w:bidi="ar-SA"/>
              </w:rPr>
              <w:t>。</w:t>
            </w:r>
          </w:p>
        </w:tc>
      </w:tr>
      <w:tr w14:paraId="47C732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CC3CC21">
            <w:pPr>
              <w:widowControl/>
              <w:spacing w:line="440" w:lineRule="exact"/>
              <w:jc w:val="left"/>
              <w:rPr>
                <w:rFonts w:hint="eastAsia" w:ascii="Times New Roman" w:hAnsi="Times New Roman" w:eastAsia="宋体" w:cs="Times New Roman"/>
                <w:color w:val="auto"/>
                <w:sz w:val="24"/>
                <w:highlight w:val="none"/>
                <w:lang w:val="en-US" w:eastAsia="zh-CN"/>
              </w:rPr>
            </w:pPr>
          </w:p>
        </w:tc>
        <w:tc>
          <w:tcPr>
            <w:tcW w:w="360" w:type="dxa"/>
            <w:vMerge w:val="continue"/>
            <w:noWrap w:val="0"/>
            <w:vAlign w:val="center"/>
          </w:tcPr>
          <w:p w14:paraId="116975B2">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380E61E">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4.14.12 视图智能引擎算法服务基础授权</w:t>
            </w:r>
          </w:p>
          <w:p w14:paraId="6F7F388F">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支持算法仓对算法的统一管理，支持算法包的上传、删除、启/停用操作，详细信息展示等。支持算力资源的灵活管理，包括：CPU、内存、各类解析、计算卡等。支持人脸、车辆、人机非混合结构化、事件等智能任务的灵活调度，对应用侧提供统一调用接口。支持多个服务集群管理及运行监控，根据节点压力动态调节各节点负担，保证系统均衡稳定。支持服务注册信息、配置信息的统一收集及管理，提供统一运维门户及自动化运维模块。支持特征数据的分布式存储及存储服务的集群管理。支持对算力的授权使能管理。支持边端设备分析后的结构化属性数据和半结构化特征数据，和中心协同，达到云边端数据复用。支持碎片化空闲算力的整合管理，释放的空闲算力资源，提高闲时硬件资源利用率。支持不同网络间算力分时复用。支持任务优先级抢占。</w:t>
            </w:r>
          </w:p>
        </w:tc>
      </w:tr>
      <w:tr w14:paraId="0C8E7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25AD21F">
            <w:pPr>
              <w:widowControl/>
              <w:spacing w:line="440" w:lineRule="exact"/>
              <w:jc w:val="left"/>
              <w:rPr>
                <w:rFonts w:hint="eastAsia" w:ascii="Times New Roman" w:hAnsi="Times New Roman" w:eastAsia="宋体" w:cs="Times New Roman"/>
                <w:color w:val="auto"/>
                <w:sz w:val="24"/>
                <w:highlight w:val="none"/>
                <w:lang w:val="en-US" w:eastAsia="zh-CN"/>
              </w:rPr>
            </w:pPr>
          </w:p>
        </w:tc>
        <w:tc>
          <w:tcPr>
            <w:tcW w:w="360" w:type="dxa"/>
            <w:vMerge w:val="continue"/>
            <w:noWrap w:val="0"/>
            <w:vAlign w:val="center"/>
          </w:tcPr>
          <w:p w14:paraId="0D877EF2">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7C469C6E">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4.14.13 AI智能分析服务器</w:t>
            </w:r>
          </w:p>
          <w:p w14:paraId="2C2A5104">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至少2颗国产CPU，单CPU不低于24核，主频不低于2.5GHz；标配8张智能分析算力卡，单卡纯硬件算力：不低于50 TFLOPS（FP16峰值算力）、不低于100 TOPS（INT8峰值算力）；内存不低于4*32GB DDR4；硬盘不低于480GB SSD、2*4T SATA 7200RPM 3.5英寸标准盘；</w:t>
            </w:r>
            <w:r>
              <w:rPr>
                <w:rFonts w:hint="default" w:ascii="Times New Roman" w:hAnsi="Times New Roman" w:eastAsia="宋体" w:cs="Times New Roman"/>
                <w:iCs/>
                <w:color w:val="auto"/>
                <w:sz w:val="24"/>
                <w:szCs w:val="24"/>
                <w:highlight w:val="none"/>
                <w:lang w:val="en-US" w:eastAsia="zh-CN" w:bidi="ar-SA"/>
              </w:rPr>
              <w:t>1+1冗余电源</w:t>
            </w:r>
            <w:r>
              <w:rPr>
                <w:rFonts w:hint="eastAsia" w:ascii="Times New Roman" w:hAnsi="Times New Roman" w:eastAsia="宋体" w:cs="Times New Roman"/>
                <w:iCs/>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带4G缓存RAID卡</w:t>
            </w:r>
            <w:r>
              <w:rPr>
                <w:rFonts w:hint="eastAsia" w:ascii="Times New Roman" w:hAnsi="Times New Roman" w:eastAsia="宋体" w:cs="Times New Roman"/>
                <w:iCs/>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PCIe 5.0</w:t>
            </w:r>
            <w:r>
              <w:rPr>
                <w:rFonts w:hint="eastAsia" w:ascii="Times New Roman" w:hAnsi="Times New Roman" w:eastAsia="宋体" w:cs="Times New Roman"/>
                <w:iCs/>
                <w:color w:val="auto"/>
                <w:sz w:val="24"/>
                <w:szCs w:val="24"/>
                <w:highlight w:val="none"/>
                <w:lang w:val="en-US" w:eastAsia="zh-CN" w:bidi="ar-SA"/>
              </w:rPr>
              <w:t>以上接口不少于5个；</w:t>
            </w:r>
            <w:r>
              <w:rPr>
                <w:rFonts w:hint="default" w:ascii="Times New Roman" w:hAnsi="Times New Roman" w:eastAsia="宋体" w:cs="Times New Roman"/>
                <w:iCs/>
                <w:color w:val="auto"/>
                <w:sz w:val="24"/>
                <w:szCs w:val="24"/>
                <w:highlight w:val="none"/>
                <w:lang w:val="en-US" w:eastAsia="zh-CN" w:bidi="ar-SA"/>
              </w:rPr>
              <w:t>1个VGA</w:t>
            </w:r>
            <w:r>
              <w:rPr>
                <w:rFonts w:hint="eastAsia" w:ascii="Times New Roman" w:hAnsi="Times New Roman" w:eastAsia="宋体" w:cs="Times New Roman"/>
                <w:iCs/>
                <w:color w:val="auto"/>
                <w:sz w:val="24"/>
                <w:szCs w:val="24"/>
                <w:highlight w:val="none"/>
                <w:lang w:val="en-US" w:eastAsia="zh-CN" w:bidi="ar-SA"/>
              </w:rPr>
              <w:t>或HDMI</w:t>
            </w:r>
            <w:r>
              <w:rPr>
                <w:rFonts w:hint="default" w:ascii="Times New Roman" w:hAnsi="Times New Roman" w:eastAsia="宋体" w:cs="Times New Roman"/>
                <w:iCs/>
                <w:color w:val="auto"/>
                <w:sz w:val="24"/>
                <w:szCs w:val="24"/>
                <w:highlight w:val="none"/>
                <w:lang w:val="en-US" w:eastAsia="zh-CN" w:bidi="ar-SA"/>
              </w:rPr>
              <w:t>接口</w:t>
            </w:r>
            <w:r>
              <w:rPr>
                <w:rFonts w:hint="eastAsia" w:ascii="Times New Roman" w:hAnsi="Times New Roman" w:eastAsia="宋体" w:cs="Times New Roman"/>
                <w:iCs/>
                <w:color w:val="auto"/>
                <w:sz w:val="24"/>
                <w:szCs w:val="24"/>
                <w:highlight w:val="none"/>
                <w:lang w:val="en-US" w:eastAsia="zh-CN" w:bidi="ar-SA"/>
              </w:rPr>
              <w:t>、</w:t>
            </w:r>
            <w:r>
              <w:rPr>
                <w:rFonts w:hint="default" w:ascii="Times New Roman" w:hAnsi="Times New Roman" w:eastAsia="宋体" w:cs="Times New Roman"/>
                <w:iCs/>
                <w:color w:val="auto"/>
                <w:sz w:val="24"/>
                <w:szCs w:val="24"/>
                <w:highlight w:val="none"/>
                <w:lang w:val="en-US" w:eastAsia="zh-CN" w:bidi="ar-SA"/>
              </w:rPr>
              <w:t>4个USB接口</w:t>
            </w:r>
            <w:r>
              <w:rPr>
                <w:rFonts w:hint="eastAsia" w:ascii="Times New Roman" w:hAnsi="Times New Roman" w:eastAsia="宋体" w:cs="Times New Roman"/>
                <w:iCs/>
                <w:color w:val="auto"/>
                <w:sz w:val="24"/>
                <w:szCs w:val="24"/>
                <w:highlight w:val="none"/>
                <w:lang w:val="en-US" w:eastAsia="zh-CN" w:bidi="ar-SA"/>
              </w:rPr>
              <w:t>；采用国产化操作系统，不低于4*板载千兆网口；电源不低于2*2000W；</w:t>
            </w:r>
            <w:r>
              <w:rPr>
                <w:rFonts w:hint="default" w:ascii="Times New Roman" w:hAnsi="Times New Roman" w:eastAsia="宋体" w:cs="Times New Roman"/>
                <w:iCs/>
                <w:color w:val="auto"/>
                <w:sz w:val="24"/>
                <w:szCs w:val="24"/>
                <w:highlight w:val="none"/>
                <w:lang w:val="en-US" w:eastAsia="zh-CN" w:bidi="ar-SA"/>
              </w:rPr>
              <w:t>支持远程关机和重新启动功能</w:t>
            </w:r>
            <w:r>
              <w:rPr>
                <w:rFonts w:hint="eastAsia" w:ascii="Times New Roman" w:hAnsi="Times New Roman" w:eastAsia="宋体" w:cs="Times New Roman"/>
                <w:iCs/>
                <w:color w:val="auto"/>
                <w:sz w:val="24"/>
                <w:szCs w:val="24"/>
                <w:highlight w:val="none"/>
                <w:lang w:val="en-US" w:eastAsia="zh-CN" w:bidi="ar-SA"/>
              </w:rPr>
              <w:t>。</w:t>
            </w:r>
          </w:p>
          <w:p w14:paraId="54B9A54E">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功能要求</w:t>
            </w:r>
          </w:p>
          <w:p w14:paraId="6E72DE5D">
            <w:pPr>
              <w:numPr>
                <w:ilvl w:val="0"/>
                <w:numId w:val="0"/>
              </w:num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iCs/>
                <w:color w:val="auto"/>
                <w:sz w:val="24"/>
                <w:szCs w:val="24"/>
                <w:highlight w:val="none"/>
                <w:lang w:val="en-US" w:eastAsia="zh-CN" w:bidi="ar-SA"/>
              </w:rPr>
              <w:t>违法行为智能审核：支持与公安交通集成指挥平台实现对接，直接嵌入平台运行。AI分析交通违法图片，满足交管非现场执法智能化预审、预警及审核业务需求。</w:t>
            </w:r>
          </w:p>
          <w:p w14:paraId="5A36D468">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支持交通违法行为智能识别与取证图片合规分析，自动区分证据充分性，标记无效违法数据。</w:t>
            </w:r>
          </w:p>
          <w:p w14:paraId="0E1C0578">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具备多场景自适应能力，可适配不同道路类型、交通管控、光照、天气等复杂通行环境。支持自定义各类无效取证场景过滤规则，可灵活配置规则启用状态。</w:t>
            </w:r>
          </w:p>
          <w:p w14:paraId="57CFFBBF">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数据处理性能：单台设备每分钟数据处理量不少于50条；号牌识别准确率不低于98%，通用交通违法无效场景识别正确率不低于95%。</w:t>
            </w:r>
          </w:p>
          <w:p w14:paraId="3470017A">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支持客车、货车、摩托车等常规车型及出租车、危化品运输车、救护车、消防车、警用车、工程救险车等特种车辆精准识别。</w:t>
            </w:r>
          </w:p>
          <w:p w14:paraId="0DE6082A">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iCs/>
                <w:color w:val="auto"/>
                <w:sz w:val="24"/>
                <w:szCs w:val="24"/>
                <w:highlight w:val="none"/>
                <w:lang w:val="en-US" w:eastAsia="zh-CN" w:bidi="ar-SA"/>
              </w:rPr>
              <w:t>交通事件检测：</w:t>
            </w:r>
          </w:p>
          <w:p w14:paraId="5E0C0FBE">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通过获取前端实时视频进行交通相关事件检测分析，要求支持交通事件大模型分析、小模型分析和二次研判功能，主要包括停车、拥堵、行人、低速、事故等事件类型，并能分析工程车、危化品车等车辆类型，事件分析准确率不低于90%。支持包括但不限于 RTSP、GB28181 等主流视频协议，可同时接入不少于20路不同协议的视频流。同时须提供标准化的 API 接口，支持与第三方系统进行数据交互与功能集成。</w:t>
            </w:r>
          </w:p>
        </w:tc>
      </w:tr>
      <w:tr w14:paraId="12E3B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0717FBD0">
            <w:pPr>
              <w:widowControl/>
              <w:spacing w:line="440" w:lineRule="exact"/>
              <w:jc w:val="left"/>
              <w:rPr>
                <w:rFonts w:hint="eastAsia" w:ascii="Times New Roman" w:hAnsi="Times New Roman" w:eastAsia="宋体" w:cs="Times New Roman"/>
                <w:color w:val="auto"/>
                <w:sz w:val="24"/>
                <w:highlight w:val="none"/>
                <w:lang w:val="en-US" w:eastAsia="zh-CN"/>
              </w:rPr>
            </w:pPr>
          </w:p>
        </w:tc>
        <w:tc>
          <w:tcPr>
            <w:tcW w:w="360" w:type="dxa"/>
            <w:vMerge w:val="continue"/>
            <w:noWrap w:val="0"/>
            <w:vAlign w:val="center"/>
          </w:tcPr>
          <w:p w14:paraId="658D608C">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0432A67">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4.14.13 应用服务节点</w:t>
            </w:r>
          </w:p>
          <w:p w14:paraId="2854D31B">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配置不低于：两颗国产处理器，单颗 16 核 32 线程，主频 2.5GHz，单颗三级缓存 32MB，单颗 TDP 190W；操作系统：国产操作系统；控制器：单控制器；高速缓存：128GB DDR5；电源冗余：1+1冗余电源；RAID控制器：带4G缓存RAID卡；网络接口：8个千兆数据电口；VGA接口：1个；USB接口：4个USB接口；硬盘个数：标配：2块 3.5英寸 SATA 4TB 企业级机械硬盘2块 2.5英寸 SATA 960GB 读写混合型SSD；供电方式：800W，CRPS白金级能效；功耗：满负荷小于660W；工作温度：工作时5℃～45℃(41℉～113℉)；工作湿度：20% RH(25°C)～93% RH(45°C)。</w:t>
            </w:r>
          </w:p>
        </w:tc>
      </w:tr>
      <w:tr w14:paraId="4008AB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2268C57">
            <w:pPr>
              <w:widowControl/>
              <w:spacing w:line="440" w:lineRule="exact"/>
              <w:jc w:val="left"/>
              <w:rPr>
                <w:rFonts w:hint="default"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4.14.14</w:t>
            </w:r>
          </w:p>
        </w:tc>
        <w:tc>
          <w:tcPr>
            <w:tcW w:w="360" w:type="dxa"/>
            <w:vMerge w:val="continue"/>
            <w:noWrap w:val="0"/>
            <w:vAlign w:val="center"/>
          </w:tcPr>
          <w:p w14:paraId="7B4054F7">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82F4918">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4.14.14 大数据存储节点</w:t>
            </w:r>
          </w:p>
          <w:p w14:paraId="113ED716">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参数要求：</w:t>
            </w:r>
          </w:p>
          <w:p w14:paraId="77108B5E">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主处理器：A节点：至少2颗国产化处理器，单颗不低于32核64线程，主频不低于2.5GHz，三级缓存32MB，单颗 TDP 115W；B节点：至少2颗国产化，单颗不低于32核64线程，主频不低于2.5GHz，三级缓存32MB，单颗 TDP 115W；</w:t>
            </w:r>
          </w:p>
          <w:p w14:paraId="3F7999F1">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内存：A节点:配置128GB DDR4内存;B节点:配置128GB DDR4内存</w:t>
            </w:r>
          </w:p>
          <w:p w14:paraId="68BCEF0F">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RAID卡：A节点:支持RAID0/1/10/JDOB;B节点:支持RAID0/1/10/JDOB</w:t>
            </w:r>
          </w:p>
          <w:p w14:paraId="7EF24124">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网口：A节点:4个GE电口，1000Mbps;B节点:4个GE电口，1000Mbps</w:t>
            </w:r>
          </w:p>
          <w:p w14:paraId="3B27C17D">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接口：</w:t>
            </w:r>
          </w:p>
          <w:p w14:paraId="7A3D0D3B">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A节点:前面板提供 2 个 USB 3.0 端口、1 个 DB15 VGA 端口,后面板提供 2 个 USB 3.0 端口、1 个 DB15 VGA 端口,1 个RJ45 串口、1 个 RJ45 系统管理端口;</w:t>
            </w:r>
          </w:p>
          <w:p w14:paraId="77EF2073">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B节点:前面板提供 2 个 USB 3.0 端口、1 个 DB15 VGA 端口,后面板提供 2 个 USB 3.0 端口、1 个 DB15 VGA 端口,1 个RJ45 串口、1 个 RJ45 系统管理端口</w:t>
            </w:r>
          </w:p>
          <w:p w14:paraId="7CD485CB">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性能要求：</w:t>
            </w:r>
          </w:p>
          <w:p w14:paraId="5E554C3C">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单套支持不低于25亿条数据量的存储和分析；支持集群扩容，集群可支持PB级数据量的存储；</w:t>
            </w:r>
          </w:p>
          <w:p w14:paraId="7E87A795">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总量25亿数据，日增量1500万，1个月内进行精确查询，模糊查询平均响应时间≤1秒；</w:t>
            </w:r>
          </w:p>
          <w:p w14:paraId="0683423E">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总量25亿数据，日增量1500万，1天内在无车牌过滤条件下做全量数据的频繁轨迹出现分析，平均响应时间≤3秒；7天内在指定车牌过滤条件下，平均响应时间≤5秒；</w:t>
            </w:r>
          </w:p>
          <w:p w14:paraId="6D7B30BE">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总量25亿数据，日增量1500万，1天内在无车牌过滤条件下做1500万数据与1500万数据进行全量碰撞分析，平均响应时间小于5秒；</w:t>
            </w:r>
          </w:p>
          <w:p w14:paraId="6B8C3817">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采用分布式架构，充分调度各主机的CPU、内存、网络、磁盘能力，支持横向扩展；</w:t>
            </w:r>
          </w:p>
          <w:p w14:paraId="20008105">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支持行式、列式、行列混成等多种存储模。</w:t>
            </w:r>
          </w:p>
        </w:tc>
      </w:tr>
      <w:tr w14:paraId="5975F5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65546FAD">
            <w:pPr>
              <w:widowControl/>
              <w:spacing w:line="440" w:lineRule="exact"/>
              <w:jc w:val="left"/>
              <w:rPr>
                <w:rFonts w:hint="eastAsia" w:ascii="Times New Roman" w:hAnsi="Times New Roman" w:eastAsia="宋体" w:cs="Times New Roman"/>
                <w:color w:val="auto"/>
                <w:sz w:val="24"/>
                <w:highlight w:val="none"/>
                <w:lang w:val="en-US" w:eastAsia="zh-CN"/>
              </w:rPr>
            </w:pPr>
          </w:p>
        </w:tc>
        <w:tc>
          <w:tcPr>
            <w:tcW w:w="360" w:type="dxa"/>
            <w:vMerge w:val="continue"/>
            <w:noWrap w:val="0"/>
            <w:vAlign w:val="center"/>
          </w:tcPr>
          <w:p w14:paraId="13DD6231">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512FF33A">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4.14.15 高性能GPU分析节点</w:t>
            </w:r>
          </w:p>
          <w:p w14:paraId="55E3BFDB">
            <w:pPr>
              <w:spacing w:line="440" w:lineRule="exact"/>
              <w:rPr>
                <w:rFonts w:hint="default"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至少2颗国产化处理器，单颗 24 核 48 线程，主频2.5GHZ,共享 64MB 三级缓存，TDP 210W；内存不低于4*32GB DDR4；硬盘不低于2块2.5英寸480GB SSD硬盘，4块4T 3.5寸硬盘；采用国产化操作系统，至少含4张智能分析卡(100 TOPS（峰值算力）,INT8,分析卡内存LPDDR4X 24GB 分析卡功耗72W）,至少含2张智能对比卡（140 TOPS（峰值算力）,INT8,分析卡内存64G， 分析卡功耗70W）支持车辆结构化属性智能分析、以图搜图数据检索、车辆布控等。</w:t>
            </w:r>
          </w:p>
        </w:tc>
      </w:tr>
      <w:tr w14:paraId="2C9188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BF7E521">
            <w:pPr>
              <w:widowControl/>
              <w:spacing w:line="440" w:lineRule="exact"/>
              <w:jc w:val="left"/>
              <w:rPr>
                <w:rFonts w:hint="eastAsia" w:ascii="Times New Roman" w:hAnsi="Times New Roman" w:eastAsia="宋体" w:cs="Times New Roman"/>
                <w:color w:val="auto"/>
                <w:sz w:val="24"/>
                <w:highlight w:val="none"/>
                <w:lang w:val="en-US" w:eastAsia="zh-CN"/>
              </w:rPr>
            </w:pPr>
          </w:p>
        </w:tc>
        <w:tc>
          <w:tcPr>
            <w:tcW w:w="360" w:type="dxa"/>
            <w:vMerge w:val="continue"/>
            <w:noWrap w:val="0"/>
            <w:vAlign w:val="center"/>
          </w:tcPr>
          <w:p w14:paraId="6DE18C53">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280CF145">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4.14.16 视频准入设备</w:t>
            </w:r>
          </w:p>
          <w:p w14:paraId="1A850978">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1、标准2U设备，配置6千兆电口，4个千兆光口，2个万兆光口，另有一个扩展槽位，冗余电源,2TB 硬盘,最大支持10000点以下终端认证或3500个泛终端安全防护。</w:t>
            </w:r>
          </w:p>
          <w:p w14:paraId="7A515F97">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2、支持策略路由、端口镜像、透明网桥、802.1X、Portal、DHCP准入、MAB、WebAuth等多种准入控制方式。</w:t>
            </w:r>
          </w:p>
          <w:p w14:paraId="4B34C57B">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3、支持802.1x有线无线网络环境下基于用户、角色、设备类型、设备分组、设备标签等属性动态下发VLAN、ACL。</w:t>
            </w:r>
          </w:p>
          <w:p w14:paraId="6055E807">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4、支持802.1X方式下的双因子认证，至少支持动态验证码、短信验证码的双因子认证。</w:t>
            </w:r>
          </w:p>
          <w:p w14:paraId="7E197C9A">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5、设备支持将收到的镜像流量做过滤并将镜像流量复制一份输出给其他流量监测类设备。</w:t>
            </w:r>
          </w:p>
          <w:p w14:paraId="2F0BA38C">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6、支持用户、设备、接入交换机、接入端口之间的1对1，1对多的混合绑定，支持手动及自动绑定，支持配置自动绑定数量限制。</w:t>
            </w:r>
          </w:p>
          <w:p w14:paraId="77C9EBCA">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7、支持无线/有线、IP地址/交换机端口级的接入控制，使用用户名密码、Ukey、主机唯一标识、扫描二维码、短信认证、访客码等认证方式，适应复杂网络环境下的接入控制。</w:t>
            </w:r>
          </w:p>
          <w:p w14:paraId="240AFBF7">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CN" w:bidi="ar-SA"/>
              </w:rPr>
              <w:t>8、支持手动或自动学习IP/MAC绑定关系，通过配置策略可对网络内设备随意变更IP地址的行为或随意使用其他设备IP地址的行为进行快速发现和有效阻断。</w:t>
            </w:r>
          </w:p>
          <w:p w14:paraId="6D852C5A">
            <w:pPr>
              <w:spacing w:line="440" w:lineRule="exact"/>
              <w:rPr>
                <w:rFonts w:hint="eastAsia" w:ascii="Times New Roman" w:hAnsi="Times New Roman" w:eastAsia="宋体" w:cs="Times New Roman"/>
                <w:i/>
                <w:iCs w:val="0"/>
                <w:color w:val="auto"/>
                <w:sz w:val="24"/>
                <w:szCs w:val="24"/>
                <w:highlight w:val="none"/>
                <w:u w:val="single"/>
                <w:lang w:val="en-US" w:eastAsia="zh-CN" w:bidi="ar-SA"/>
              </w:rPr>
            </w:pPr>
            <w:r>
              <w:rPr>
                <w:rFonts w:hint="eastAsia" w:ascii="Times New Roman" w:hAnsi="Times New Roman" w:eastAsia="宋体" w:cs="Times New Roman"/>
                <w:i/>
                <w:iCs w:val="0"/>
                <w:color w:val="auto"/>
                <w:sz w:val="24"/>
                <w:szCs w:val="24"/>
                <w:highlight w:val="none"/>
                <w:u w:val="single"/>
                <w:lang w:val="en-US" w:eastAsia="zh-CN" w:bidi="ar-SA"/>
              </w:rPr>
              <w:t>9、设备应支持对具有唯一性标识的设备（支持GA/T 1400 协议、GB/T 28181 协议、GB 35114协议）进行认证。</w:t>
            </w:r>
          </w:p>
          <w:p w14:paraId="24E53BB8">
            <w:pPr>
              <w:spacing w:line="440" w:lineRule="exact"/>
              <w:rPr>
                <w:rFonts w:hint="eastAsia" w:ascii="Times New Roman" w:hAnsi="Times New Roman" w:eastAsia="宋体" w:cs="Times New Roman"/>
                <w:i/>
                <w:iCs w:val="0"/>
                <w:color w:val="auto"/>
                <w:sz w:val="24"/>
                <w:szCs w:val="24"/>
                <w:highlight w:val="none"/>
                <w:u w:val="single"/>
                <w:lang w:val="en-US" w:eastAsia="zh-CN" w:bidi="ar-SA"/>
              </w:rPr>
            </w:pPr>
            <w:r>
              <w:rPr>
                <w:rFonts w:hint="eastAsia" w:ascii="Times New Roman" w:hAnsi="Times New Roman" w:eastAsia="宋体" w:cs="Times New Roman"/>
                <w:i/>
                <w:iCs w:val="0"/>
                <w:color w:val="auto"/>
                <w:sz w:val="24"/>
                <w:szCs w:val="24"/>
                <w:highlight w:val="none"/>
                <w:u w:val="single"/>
                <w:lang w:val="en-US" w:eastAsia="zh-CN" w:bidi="ar-SA"/>
              </w:rPr>
              <w:t>10、应通过GB/T 28181-2016 公共安全视频监控联网系统信息传输、交换、控制技术要求测试</w:t>
            </w:r>
            <w:bookmarkStart w:id="284" w:name="_GoBack"/>
            <w:bookmarkEnd w:id="284"/>
            <w:r>
              <w:rPr>
                <w:rFonts w:hint="eastAsia" w:ascii="Times New Roman" w:hAnsi="Times New Roman" w:eastAsia="宋体" w:cs="Times New Roman"/>
                <w:i/>
                <w:iCs w:val="0"/>
                <w:color w:val="auto"/>
                <w:sz w:val="24"/>
                <w:szCs w:val="24"/>
                <w:highlight w:val="none"/>
                <w:u w:val="single"/>
                <w:lang w:val="en-US" w:eastAsia="zh-CN" w:bidi="ar-SA"/>
              </w:rPr>
              <w:t>。</w:t>
            </w:r>
          </w:p>
          <w:p w14:paraId="1B1BA651">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w:t>
            </w:r>
            <w:r>
              <w:rPr>
                <w:rFonts w:hint="eastAsia" w:ascii="Times New Roman" w:hAnsi="Times New Roman" w:eastAsia="宋体" w:cs="Times New Roman"/>
                <w:b/>
                <w:bCs/>
                <w:iCs/>
                <w:color w:val="auto"/>
                <w:sz w:val="24"/>
                <w:szCs w:val="24"/>
                <w:highlight w:val="none"/>
                <w:lang w:val="en-US" w:eastAsia="zh-CN" w:bidi="ar-SA"/>
              </w:rPr>
              <w:t>11、支持Smurf入侵、LAND攻击、winnuke攻击等网络攻击行为发现和告警。</w:t>
            </w:r>
            <w:r>
              <w:rPr>
                <w:rFonts w:hint="eastAsia" w:ascii="Times New Roman" w:hAnsi="Times New Roman" w:eastAsia="宋体" w:cs="Times New Roman"/>
                <w:b/>
                <w:bCs/>
                <w:color w:val="auto"/>
                <w:sz w:val="24"/>
                <w:szCs w:val="24"/>
                <w:highlight w:val="none"/>
                <w:lang w:val="en-US" w:eastAsia="zh-CN" w:bidi="ar-SA"/>
              </w:rPr>
              <w:t>（投标时须在响应文件中提供第三方检测机构出具的合格检验报告或功能截图等相关证明材料）</w:t>
            </w:r>
          </w:p>
        </w:tc>
      </w:tr>
      <w:tr w14:paraId="330323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56E770A0">
            <w:pPr>
              <w:widowControl/>
              <w:spacing w:line="440" w:lineRule="exact"/>
              <w:jc w:val="left"/>
              <w:rPr>
                <w:rFonts w:hint="eastAsia" w:ascii="Times New Roman" w:hAnsi="Times New Roman" w:eastAsia="宋体" w:cs="Times New Roman"/>
                <w:color w:val="auto"/>
                <w:sz w:val="24"/>
                <w:highlight w:val="none"/>
                <w:lang w:val="en-US" w:eastAsia="zh-CN"/>
              </w:rPr>
            </w:pPr>
          </w:p>
        </w:tc>
        <w:tc>
          <w:tcPr>
            <w:tcW w:w="360" w:type="dxa"/>
            <w:vMerge w:val="continue"/>
            <w:noWrap w:val="0"/>
            <w:vAlign w:val="center"/>
          </w:tcPr>
          <w:p w14:paraId="3C7A69F2">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6A016D8">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4.14.17 虚拟化节点（扩容）</w:t>
            </w:r>
          </w:p>
          <w:p w14:paraId="1657A2E5">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1、虚拟化平台软件、分布式存储软件必须具有国产软件自主知识产权，具有自主研发能力，保障后续产品的连续性；</w:t>
            </w:r>
          </w:p>
          <w:p w14:paraId="1BBE56B7">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2、通过X86/ARM服务器节点构建，同一节点内实现计算存储融合，不需要外置SAN存储，存储系统为分布式Server SAN架构，可配置副本或EC（纠删码），满足不同可靠性要求的业务场景。</w:t>
            </w:r>
          </w:p>
          <w:p w14:paraId="19BDD420">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3、支持在统一管理界面中监控和管理计算、存储、交换机、虚拟化平台；支持一键式或定期自动输出系统健康巡检报告，包括CPU、内存、HDD、SSD、RAID卡等硬件状态，虚拟化平台，存储软件，超融合管理软件等部件的健康状态，便于主动识别潜在的风险。</w:t>
            </w:r>
          </w:p>
          <w:p w14:paraId="33499D63">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4、支持在统一管理界面上一键式日志收集功能，在需要定位问题时能够快速收集需要的所有日志信息，包括硬件，虚拟化平台，存储软件、管理软件。包括节点的进程监控、页面操作日志、身份认证管理、安装日志、资源管理、操作系统日志。</w:t>
            </w:r>
          </w:p>
          <w:p w14:paraId="6912FBF1">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5、支持在统一界面上扩容节点，在界面可将待扩容节点自动发现，完成相应的系统配置，包括：IP地址、主机名、网关、存储池等参数，校验后进行系统扩容操作，将待扩容节点加入系统集群中</w:t>
            </w:r>
          </w:p>
          <w:p w14:paraId="1BC1CC19">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6、支持在统一界面上进行超融合组件升级，在界面上可以通过系统升级功能完成虚拟化、分布式存储等组件的升级</w:t>
            </w:r>
          </w:p>
          <w:p w14:paraId="4F64745C">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7、支持展示环境中节点信息，包括：设备名称、健康状态、在线状态、角色、设备型号、IP地址、机柜、机箱、槽位。能够查看节点监控信息，包括CPU使用率、内存存用率、网络流入流出速率。</w:t>
            </w:r>
          </w:p>
          <w:p w14:paraId="1B58E640">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8、支持2节点起配，支持多种仲裁方式。包括第三方仲裁和静态仲裁，由用户根据需要灵活选择。</w:t>
            </w:r>
          </w:p>
          <w:p w14:paraId="0B65F95D">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9、支持两节点下的在线平滑扩容，步长为1个节点，无需停机；支持两节点全闪存场景下的数据重删和压缩。</w:t>
            </w:r>
          </w:p>
          <w:p w14:paraId="694F7858">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10、支持用户自定义性能图表并指定对象，对CPU利用率、内存利用率、带宽、IOPS、时延、磁盘利用率、存储池利用率等进行统计。</w:t>
            </w:r>
          </w:p>
          <w:p w14:paraId="35CA8674">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11、支持虚拟机的CPU 、内存QoS设置，满足不同应用的性能需求。</w:t>
            </w:r>
          </w:p>
          <w:p w14:paraId="66263570">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12、支持创建精简配置卷，系统应该根据精简配置卷的实际使用情况动态分配空间，提供存储资源利用率。</w:t>
            </w:r>
          </w:p>
          <w:p w14:paraId="200EAC09">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13、支持卷的IOPS、带宽的上限设置，可设置卷的总IOPS和带宽，也可以设置每单位容量的IOPS与带宽，用户可指定Qos策略的运行周期为单次、每天、每周或始终执行。</w:t>
            </w:r>
          </w:p>
          <w:p w14:paraId="3A8D5E63">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14、支持虚拟交换机，通过对接受和发送的流量进行整形保证网络质量，至少支持安全组、平均带宽、峰值带宽、突发大小、优先级、DHCP隔离、广播抑制、TCP校验和的设置</w:t>
            </w:r>
          </w:p>
          <w:p w14:paraId="1C2880CC">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15、提供VPC管理，为虚拟机发放提供一个独占并且完全隔离的网络，基于VPC提供子网和安全组能力</w:t>
            </w:r>
          </w:p>
          <w:p w14:paraId="684707DC">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16、支持虚拟机HA，允许配置集群内HA预留的主机数量，以保证在虚拟机故障时有足够的资源进行切换，支持配置存储故障后是HA虚拟机还是不处理</w:t>
            </w:r>
          </w:p>
          <w:p w14:paraId="381A88C3">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17、支持磁盘亚健康管理功能：支持定期检测磁盘SMART信息，判断磁盘亚健康情况(硬盘扇区重映射数超过门限、读错误率统计超标、慢盘)，并在磁盘损坏前进行隔离并告警。</w:t>
            </w:r>
          </w:p>
          <w:p w14:paraId="56AB7BAF">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18、支持网络亚健康管理功能：支持针对存储节点的网络出现丢包、错包、延时大、速率不匹配等故障现象可提供故障告警并自动尝试修复；</w:t>
            </w:r>
          </w:p>
          <w:p w14:paraId="37573C4D">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19、支持存储节点亚健康功能：如果存储节点在由硬件或者软件故障导致处理速度慢于其他节点时，系统可以自动检测对应的节点，发出告警并提供处理方案。</w:t>
            </w:r>
          </w:p>
          <w:p w14:paraId="74D40F2B">
            <w:pPr>
              <w:spacing w:line="440" w:lineRule="exact"/>
              <w:rPr>
                <w:rFonts w:hint="eastAsia" w:ascii="Times New Roman" w:hAnsi="Times New Roman" w:eastAsia="宋体" w:cs="Times New Roman"/>
                <w:b w:val="0"/>
                <w:bCs w:val="0"/>
                <w:iCs/>
                <w:color w:val="auto"/>
                <w:sz w:val="24"/>
                <w:szCs w:val="24"/>
                <w:highlight w:val="none"/>
                <w:lang w:val="en-US" w:eastAsia="zh-Hans" w:bidi="ar-SA"/>
              </w:rPr>
            </w:pPr>
            <w:r>
              <w:rPr>
                <w:rFonts w:hint="eastAsia" w:ascii="宋体" w:hAnsi="宋体" w:eastAsia="宋体" w:cs="宋体"/>
                <w:b/>
                <w:bCs/>
                <w:color w:val="auto"/>
                <w:sz w:val="24"/>
                <w:szCs w:val="24"/>
                <w:highlight w:val="none"/>
                <w:lang w:val="en-US" w:eastAsia="zh-CN" w:bidi="ar-SA"/>
              </w:rPr>
              <w:t>▲</w:t>
            </w:r>
            <w:r>
              <w:rPr>
                <w:rFonts w:hint="eastAsia" w:ascii="Times New Roman" w:hAnsi="Times New Roman" w:eastAsia="宋体" w:cs="Times New Roman"/>
                <w:b/>
                <w:bCs/>
                <w:iCs/>
                <w:color w:val="auto"/>
                <w:sz w:val="24"/>
                <w:szCs w:val="24"/>
                <w:highlight w:val="none"/>
                <w:lang w:val="en-US" w:eastAsia="zh-CN" w:bidi="ar-SA"/>
              </w:rPr>
              <w:t>20、支持容错功能，2块硬盘拨出自动告警，5分钟内互换槽位插入，系统不重构数据。</w:t>
            </w:r>
            <w:r>
              <w:rPr>
                <w:rFonts w:hint="eastAsia" w:ascii="Times New Roman" w:hAnsi="Times New Roman" w:eastAsia="宋体" w:cs="Times New Roman"/>
                <w:b/>
                <w:bCs/>
                <w:color w:val="auto"/>
                <w:sz w:val="24"/>
                <w:szCs w:val="24"/>
                <w:highlight w:val="none"/>
                <w:lang w:val="en-US" w:eastAsia="zh-CN" w:bidi="ar-SA"/>
              </w:rPr>
              <w:t>（投标时须在响应文件中提供第三方检测机构出具的合格检验报告或功能截图等相关证明材料</w:t>
            </w:r>
            <w:r>
              <w:rPr>
                <w:rFonts w:hint="eastAsia" w:ascii="Times New Roman" w:hAnsi="Times New Roman" w:eastAsia="宋体" w:cs="Times New Roman"/>
                <w:b w:val="0"/>
                <w:bCs w:val="0"/>
                <w:color w:val="auto"/>
                <w:sz w:val="24"/>
                <w:szCs w:val="24"/>
                <w:highlight w:val="none"/>
                <w:lang w:val="en-US" w:eastAsia="zh-CN" w:bidi="ar-SA"/>
              </w:rPr>
              <w:t>）</w:t>
            </w:r>
          </w:p>
          <w:p w14:paraId="1C07A73E">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2</w:t>
            </w:r>
            <w:r>
              <w:rPr>
                <w:rFonts w:hint="eastAsia" w:ascii="Times New Roman" w:hAnsi="Times New Roman" w:eastAsia="宋体" w:cs="Times New Roman"/>
                <w:iCs/>
                <w:color w:val="auto"/>
                <w:sz w:val="24"/>
                <w:szCs w:val="24"/>
                <w:highlight w:val="none"/>
                <w:lang w:val="en-US" w:eastAsia="zh-CN" w:bidi="ar-SA"/>
              </w:rPr>
              <w:t>1</w:t>
            </w:r>
            <w:r>
              <w:rPr>
                <w:rFonts w:hint="eastAsia" w:ascii="Times New Roman" w:hAnsi="Times New Roman" w:eastAsia="宋体" w:cs="Times New Roman"/>
                <w:iCs/>
                <w:color w:val="auto"/>
                <w:sz w:val="24"/>
                <w:szCs w:val="24"/>
                <w:highlight w:val="none"/>
                <w:lang w:val="en-US" w:eastAsia="zh-Hans" w:bidi="ar-SA"/>
              </w:rPr>
              <w:t>、超融合管理系统能够实现存储DIF校验和恢复数据块能力。</w:t>
            </w:r>
          </w:p>
          <w:p w14:paraId="43F93CED">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2</w:t>
            </w:r>
            <w:r>
              <w:rPr>
                <w:rFonts w:hint="eastAsia" w:ascii="Times New Roman" w:hAnsi="Times New Roman" w:eastAsia="宋体" w:cs="Times New Roman"/>
                <w:iCs/>
                <w:color w:val="auto"/>
                <w:sz w:val="24"/>
                <w:szCs w:val="24"/>
                <w:highlight w:val="none"/>
                <w:lang w:val="en-US" w:eastAsia="zh-CN" w:bidi="ar-SA"/>
              </w:rPr>
              <w:t>2</w:t>
            </w:r>
            <w:r>
              <w:rPr>
                <w:rFonts w:hint="eastAsia" w:ascii="Times New Roman" w:hAnsi="Times New Roman" w:eastAsia="宋体" w:cs="Times New Roman"/>
                <w:iCs/>
                <w:color w:val="auto"/>
                <w:sz w:val="24"/>
                <w:szCs w:val="24"/>
                <w:highlight w:val="none"/>
                <w:lang w:val="en-US" w:eastAsia="zh-Hans" w:bidi="ar-SA"/>
              </w:rPr>
              <w:t>、CPU：至少2颗</w:t>
            </w:r>
            <w:r>
              <w:rPr>
                <w:rFonts w:hint="eastAsia" w:ascii="Times New Roman" w:hAnsi="Times New Roman" w:eastAsia="宋体" w:cs="Times New Roman"/>
                <w:iCs/>
                <w:color w:val="auto"/>
                <w:sz w:val="24"/>
                <w:szCs w:val="24"/>
                <w:highlight w:val="none"/>
                <w:lang w:val="en-US" w:eastAsia="zh-CN" w:bidi="ar-SA"/>
              </w:rPr>
              <w:t>国产处理器</w:t>
            </w:r>
            <w:r>
              <w:rPr>
                <w:rFonts w:hint="eastAsia" w:ascii="Times New Roman" w:hAnsi="Times New Roman" w:eastAsia="宋体" w:cs="Times New Roman"/>
                <w:iCs/>
                <w:color w:val="auto"/>
                <w:sz w:val="24"/>
                <w:szCs w:val="24"/>
                <w:highlight w:val="none"/>
                <w:lang w:val="en-US" w:eastAsia="zh-Hans" w:bidi="ar-SA"/>
              </w:rPr>
              <w:t>，单颗处理器核数≥32，单颗处理器主频≥2.6GHz</w:t>
            </w:r>
          </w:p>
          <w:p w14:paraId="31763CEC">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内存：</w:t>
            </w:r>
            <w:r>
              <w:rPr>
                <w:rFonts w:hint="eastAsia" w:ascii="Times New Roman" w:hAnsi="Times New Roman" w:eastAsia="宋体" w:cs="Times New Roman"/>
                <w:iCs/>
                <w:color w:val="auto"/>
                <w:sz w:val="24"/>
                <w:szCs w:val="24"/>
                <w:highlight w:val="none"/>
                <w:u w:val="none"/>
                <w:lang w:val="en-US" w:eastAsia="zh-Hans" w:bidi="ar-SA"/>
              </w:rPr>
              <w:t>容量不少于512GB</w:t>
            </w:r>
          </w:p>
          <w:p w14:paraId="3EBAABF2">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Hans" w:bidi="ar-SA"/>
              </w:rPr>
              <w:t>系统盘：≥2*960GSSD</w:t>
            </w:r>
          </w:p>
          <w:p w14:paraId="399B4D6B">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Hans" w:bidi="ar-SA"/>
              </w:rPr>
              <w:t>主存：≥8*4TB SATA HDD</w:t>
            </w:r>
          </w:p>
          <w:p w14:paraId="4B552FDE">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Hans" w:bidi="ar-SA"/>
              </w:rPr>
              <w:t>缓存盘：≥1*1.6T NVME SSD</w:t>
            </w:r>
          </w:p>
          <w:p w14:paraId="3BECCFB1">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Hans" w:bidi="ar-SA"/>
              </w:rPr>
              <w:t>网口：4*GE、4*10GE</w:t>
            </w:r>
          </w:p>
          <w:p w14:paraId="2D7AE4B1">
            <w:pPr>
              <w:spacing w:line="440" w:lineRule="exact"/>
              <w:rPr>
                <w:rFonts w:hint="eastAsia" w:ascii="Times New Roman" w:hAnsi="Times New Roman" w:eastAsia="宋体" w:cs="Times New Roman"/>
                <w:iCs/>
                <w:color w:val="auto"/>
                <w:sz w:val="24"/>
                <w:szCs w:val="24"/>
                <w:highlight w:val="none"/>
                <w:u w:val="none"/>
                <w:lang w:val="en-US" w:eastAsia="zh-Hans" w:bidi="ar-SA"/>
              </w:rPr>
            </w:pPr>
            <w:r>
              <w:rPr>
                <w:rFonts w:hint="eastAsia" w:ascii="Times New Roman" w:hAnsi="Times New Roman" w:eastAsia="宋体" w:cs="Times New Roman"/>
                <w:iCs/>
                <w:color w:val="auto"/>
                <w:sz w:val="24"/>
                <w:szCs w:val="24"/>
                <w:highlight w:val="none"/>
                <w:u w:val="none"/>
                <w:lang w:val="en-US" w:eastAsia="zh-CN" w:bidi="ar-SA"/>
              </w:rPr>
              <w:t>◆23、</w:t>
            </w:r>
            <w:r>
              <w:rPr>
                <w:rFonts w:hint="eastAsia" w:ascii="Times New Roman" w:hAnsi="Times New Roman" w:eastAsia="宋体" w:cs="Times New Roman"/>
                <w:iCs/>
                <w:color w:val="auto"/>
                <w:sz w:val="24"/>
                <w:szCs w:val="24"/>
                <w:highlight w:val="none"/>
                <w:u w:val="none"/>
                <w:lang w:val="en-US" w:eastAsia="zh-Hans" w:bidi="ar-SA"/>
              </w:rPr>
              <w:t>含对应的超融合基础架构、计算、存储、池化授权；</w:t>
            </w:r>
          </w:p>
          <w:p w14:paraId="679790B5">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u w:val="none"/>
                <w:lang w:val="en-US" w:eastAsia="zh-Hans" w:bidi="ar-SA"/>
              </w:rPr>
              <w:t>含</w:t>
            </w:r>
            <w:r>
              <w:rPr>
                <w:rFonts w:hint="eastAsia" w:ascii="Times New Roman" w:hAnsi="Times New Roman" w:eastAsia="宋体" w:cs="Times New Roman"/>
                <w:iCs/>
                <w:color w:val="auto"/>
                <w:sz w:val="24"/>
                <w:szCs w:val="24"/>
                <w:highlight w:val="none"/>
                <w:u w:val="none"/>
                <w:lang w:val="en-US" w:eastAsia="zh-CN" w:bidi="ar-SA"/>
              </w:rPr>
              <w:t>5</w:t>
            </w:r>
            <w:r>
              <w:rPr>
                <w:rFonts w:hint="eastAsia" w:ascii="Times New Roman" w:hAnsi="Times New Roman" w:eastAsia="宋体" w:cs="Times New Roman"/>
                <w:iCs/>
                <w:color w:val="auto"/>
                <w:sz w:val="24"/>
                <w:szCs w:val="24"/>
                <w:highlight w:val="none"/>
                <w:u w:val="none"/>
                <w:lang w:val="en-US" w:eastAsia="zh-Hans" w:bidi="ar-SA"/>
              </w:rPr>
              <w:t>年维保及介质保留服务</w:t>
            </w:r>
            <w:r>
              <w:rPr>
                <w:rFonts w:hint="eastAsia" w:ascii="Times New Roman" w:hAnsi="Times New Roman" w:eastAsia="宋体" w:cs="Times New Roman"/>
                <w:iCs/>
                <w:color w:val="auto"/>
                <w:sz w:val="24"/>
                <w:szCs w:val="24"/>
                <w:highlight w:val="none"/>
                <w:u w:val="none"/>
                <w:lang w:val="en-US" w:eastAsia="zh-CN" w:bidi="ar-SA"/>
              </w:rPr>
              <w:t>。</w:t>
            </w:r>
          </w:p>
        </w:tc>
      </w:tr>
      <w:tr w14:paraId="1AE12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A9E248C">
            <w:pPr>
              <w:widowControl/>
              <w:spacing w:line="440" w:lineRule="exact"/>
              <w:jc w:val="left"/>
              <w:rPr>
                <w:rFonts w:hint="eastAsia" w:ascii="Times New Roman" w:hAnsi="Times New Roman" w:eastAsia="宋体" w:cs="Times New Roman"/>
                <w:color w:val="auto"/>
                <w:sz w:val="24"/>
                <w:highlight w:val="none"/>
                <w:lang w:val="en-US" w:eastAsia="zh-CN"/>
              </w:rPr>
            </w:pPr>
          </w:p>
        </w:tc>
        <w:tc>
          <w:tcPr>
            <w:tcW w:w="360" w:type="dxa"/>
            <w:vMerge w:val="continue"/>
            <w:noWrap w:val="0"/>
            <w:vAlign w:val="center"/>
          </w:tcPr>
          <w:p w14:paraId="4451DC4B">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377254E">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4.14.18 全息监管平台（扩容）</w:t>
            </w:r>
          </w:p>
          <w:p w14:paraId="3B666E16">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本次项目将</w:t>
            </w:r>
            <w:r>
              <w:rPr>
                <w:rFonts w:hint="eastAsia" w:ascii="Times New Roman" w:hAnsi="Times New Roman" w:eastAsia="宋体" w:cs="Times New Roman"/>
                <w:iCs/>
                <w:color w:val="auto"/>
                <w:sz w:val="24"/>
                <w:szCs w:val="24"/>
                <w:highlight w:val="none"/>
                <w:lang w:val="en-US" w:eastAsia="zh-CN" w:bidi="ar-SA"/>
              </w:rPr>
              <w:t>西二</w:t>
            </w:r>
            <w:r>
              <w:rPr>
                <w:rFonts w:hint="eastAsia" w:ascii="Times New Roman" w:hAnsi="Times New Roman" w:eastAsia="宋体" w:cs="Times New Roman"/>
                <w:iCs/>
                <w:color w:val="auto"/>
                <w:sz w:val="24"/>
                <w:szCs w:val="24"/>
                <w:highlight w:val="none"/>
                <w:lang w:val="en-US" w:eastAsia="zh-Hans" w:bidi="ar-SA"/>
              </w:rPr>
              <w:t>环快速路纳入到</w:t>
            </w:r>
            <w:r>
              <w:rPr>
                <w:rFonts w:hint="eastAsia" w:ascii="Times New Roman" w:hAnsi="Times New Roman" w:eastAsia="宋体" w:cs="Times New Roman"/>
                <w:iCs/>
                <w:color w:val="auto"/>
                <w:sz w:val="24"/>
                <w:szCs w:val="24"/>
                <w:highlight w:val="none"/>
                <w:lang w:val="en-US" w:eastAsia="zh-CN" w:bidi="ar-SA"/>
              </w:rPr>
              <w:t>张家港市交管大队</w:t>
            </w:r>
            <w:r>
              <w:rPr>
                <w:rFonts w:hint="eastAsia" w:ascii="Times New Roman" w:hAnsi="Times New Roman" w:eastAsia="宋体" w:cs="Times New Roman"/>
                <w:iCs/>
                <w:color w:val="auto"/>
                <w:sz w:val="24"/>
                <w:szCs w:val="24"/>
                <w:highlight w:val="none"/>
                <w:lang w:val="en-US" w:eastAsia="zh-Hans" w:bidi="ar-SA"/>
              </w:rPr>
              <w:t>全息</w:t>
            </w:r>
            <w:r>
              <w:rPr>
                <w:rFonts w:hint="eastAsia" w:ascii="Times New Roman" w:hAnsi="Times New Roman" w:eastAsia="宋体" w:cs="Times New Roman"/>
                <w:iCs/>
                <w:color w:val="auto"/>
                <w:sz w:val="24"/>
                <w:szCs w:val="24"/>
                <w:highlight w:val="none"/>
                <w:lang w:val="en-US" w:eastAsia="zh-CN" w:bidi="ar-SA"/>
              </w:rPr>
              <w:t>监管</w:t>
            </w:r>
            <w:r>
              <w:rPr>
                <w:rFonts w:hint="eastAsia" w:ascii="Times New Roman" w:hAnsi="Times New Roman" w:eastAsia="宋体" w:cs="Times New Roman"/>
                <w:iCs/>
                <w:color w:val="auto"/>
                <w:sz w:val="24"/>
                <w:szCs w:val="24"/>
                <w:highlight w:val="none"/>
                <w:lang w:val="en-US" w:eastAsia="zh-Hans" w:bidi="ar-SA"/>
              </w:rPr>
              <w:t>平台管理范围内，考虑到快速路和地面道路的三维空间属性关系，以及进一步对微观车辆运行实时追踪的精细化管控，将对现有全息</w:t>
            </w:r>
            <w:r>
              <w:rPr>
                <w:rFonts w:hint="eastAsia" w:ascii="Times New Roman" w:hAnsi="Times New Roman" w:eastAsia="宋体" w:cs="Times New Roman"/>
                <w:iCs/>
                <w:color w:val="auto"/>
                <w:sz w:val="24"/>
                <w:szCs w:val="24"/>
                <w:highlight w:val="none"/>
                <w:lang w:val="en-US" w:eastAsia="zh-CN" w:bidi="ar-SA"/>
              </w:rPr>
              <w:t>监管</w:t>
            </w:r>
            <w:r>
              <w:rPr>
                <w:rFonts w:hint="eastAsia" w:ascii="Times New Roman" w:hAnsi="Times New Roman" w:eastAsia="宋体" w:cs="Times New Roman"/>
                <w:iCs/>
                <w:color w:val="auto"/>
                <w:sz w:val="24"/>
                <w:szCs w:val="24"/>
                <w:highlight w:val="none"/>
                <w:lang w:val="en-US" w:eastAsia="zh-Hans" w:bidi="ar-SA"/>
              </w:rPr>
              <w:t>平台的三维地图以及部分业务功能根据快速路的特点进行升级，同时，对</w:t>
            </w:r>
            <w:r>
              <w:rPr>
                <w:rFonts w:hint="eastAsia" w:ascii="Times New Roman" w:hAnsi="Times New Roman" w:eastAsia="宋体" w:cs="Times New Roman"/>
                <w:iCs/>
                <w:color w:val="auto"/>
                <w:sz w:val="24"/>
                <w:szCs w:val="24"/>
                <w:highlight w:val="none"/>
                <w:lang w:val="en-US" w:eastAsia="zh-CN" w:bidi="ar-SA"/>
              </w:rPr>
              <w:t>西二</w:t>
            </w:r>
            <w:r>
              <w:rPr>
                <w:rFonts w:hint="eastAsia" w:ascii="Times New Roman" w:hAnsi="Times New Roman" w:eastAsia="宋体" w:cs="Times New Roman"/>
                <w:iCs/>
                <w:color w:val="auto"/>
                <w:sz w:val="24"/>
                <w:szCs w:val="24"/>
                <w:highlight w:val="none"/>
                <w:lang w:val="en-US" w:eastAsia="zh-Hans" w:bidi="ar-SA"/>
              </w:rPr>
              <w:t>环新建道路段进行高精测绘，满足业务使用需求，具体功能要求如下：</w:t>
            </w:r>
          </w:p>
          <w:p w14:paraId="3541E474">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1、全域监测升级</w:t>
            </w:r>
          </w:p>
          <w:p w14:paraId="633C2478">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数字孪生展示</w:t>
            </w:r>
          </w:p>
          <w:p w14:paraId="76D3F9BE">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根据本项目特点，对快速路结构、交通、环境等多主体和要素实时呈现，实时、直观、真实感强烈。采用地图引擎界面及高精度地图、车辆及其行车轨迹等进行孪生展示。可360度视角对道路主体（路面、车流、路侧等）、设备设施、车流、车辆等关键目标1：1实时孪生再现。</w:t>
            </w:r>
          </w:p>
          <w:p w14:paraId="0D962EE5">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轨迹视频同步</w:t>
            </w:r>
          </w:p>
          <w:p w14:paraId="53A70C90">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将根据实时数据仿真之后的车辆轨迹叠加在高精度地图上，并叠加实时视频流数据，通过定位融合、角度统一、时间同步等数据处理方式，确保地图仿真轨迹视角与视频实时画面的观察角度、时序一致，高质量还原路段实时交通态势。</w:t>
            </w:r>
          </w:p>
          <w:p w14:paraId="26B416BC">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实时交通指标</w:t>
            </w:r>
          </w:p>
          <w:p w14:paraId="1235AE3C">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通过数字化三维地图和统计图表，展示快速路各路段的流量、平均车速、饱和度、延误等指标的分布。通过指标列表排名、地图高亮等方式标记数值突出路段，提醒用户监管重点。可在地图选中的具体路段查询该路段上述指标数值、趋势，并结合实时视频、仿真轨迹等信息辅助用户决策。</w:t>
            </w:r>
          </w:p>
          <w:p w14:paraId="56FB8D4F">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2、联动控制升级</w:t>
            </w:r>
          </w:p>
          <w:p w14:paraId="3CE7D5F3">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对接快速路诱导屏，当拥堵、停车、逆行、行人闯入、低速行驶、超速行驶等事件发生后，根据事件发生位置自动关联附近诱导屏，根据事件类型、事件详情自动向上述诱导屏立即推送事件信息；对接车驾管数据，将快速路上的涉嫌违法但未达到处罚标准的行为在事件发生之后以短信方式推送到驾驶人员以作警示。 </w:t>
            </w:r>
          </w:p>
          <w:p w14:paraId="6DF6F043">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3、事件中心升级</w:t>
            </w:r>
          </w:p>
          <w:p w14:paraId="5AF40CB3">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实时事件预警</w:t>
            </w:r>
          </w:p>
          <w:p w14:paraId="19A528A8">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 xml:space="preserve">基于设备感知能力自动预警拥堵、停车、逆行、行人闯入等事件，并提供时间、地点、文字详情、图片视频等详细信息，最终由用户对事件进行 “正确”、“错误”、“重复预警”标记。 </w:t>
            </w:r>
          </w:p>
          <w:p w14:paraId="79A618BE">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事件查询分析</w:t>
            </w:r>
          </w:p>
          <w:p w14:paraId="3FC092B2">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图表展示快速路所有交通事件的流水和时变趋势，提供地点、事件类型、日期、事件标记等特征值组合筛选查询，支持事件详情查看、流水表单导出等功能。</w:t>
            </w:r>
          </w:p>
          <w:p w14:paraId="000C71A9">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4、数据中心升级</w:t>
            </w:r>
          </w:p>
          <w:p w14:paraId="70FFE7AC">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通行流量研判</w:t>
            </w:r>
          </w:p>
          <w:p w14:paraId="76955F1F">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图表展示快速路所有路段、匝道流量流水和时变趋势，提供路段（匝道）、日期、统计时段、统计间隔等特征值组合筛选查询，支持不同路段（匝道）对比、不同日期对比、流水表单导出等功能。</w:t>
            </w:r>
          </w:p>
          <w:p w14:paraId="7303A6AA">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指标数据查询</w:t>
            </w:r>
          </w:p>
          <w:p w14:paraId="4557BFF1">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列表展示快速路所有路段、匝道饱和度、平均延误、事件预警频次等指标数据流水，提供路段（匝道）、日期、统计时段等特征值组合筛选查询，支持不同路段（匝道）对比、不同日期对比、流水表单导出等功能。</w:t>
            </w:r>
          </w:p>
          <w:p w14:paraId="584330EC">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原始数据查询</w:t>
            </w:r>
          </w:p>
          <w:p w14:paraId="56D80E2E">
            <w:pPr>
              <w:spacing w:line="440" w:lineRule="exact"/>
              <w:rPr>
                <w:rFonts w:hint="eastAsia" w:ascii="宋体" w:hAnsi="宋体" w:eastAsia="宋体" w:cs="Times New Roman"/>
                <w:color w:val="auto"/>
                <w:kern w:val="2"/>
                <w:sz w:val="21"/>
                <w:szCs w:val="21"/>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列表展示快速路所有感知设备流量、速度、占有率等原始历史数据流水，提供设备、日期、车道等特征值组合筛选查询，支持不同设备对比、不同日期对比、流水表单导出等功能</w:t>
            </w:r>
            <w:r>
              <w:rPr>
                <w:rFonts w:hint="eastAsia" w:ascii="宋体" w:hAnsi="宋体" w:eastAsia="宋体" w:cs="Times New Roman"/>
                <w:color w:val="auto"/>
                <w:kern w:val="2"/>
                <w:sz w:val="21"/>
                <w:szCs w:val="21"/>
                <w:highlight w:val="none"/>
                <w:lang w:val="en-US" w:eastAsia="zh-Hans" w:bidi="ar-SA"/>
              </w:rPr>
              <w:t>。</w:t>
            </w:r>
          </w:p>
          <w:p w14:paraId="668315D6">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5、设备管理升级</w:t>
            </w:r>
          </w:p>
          <w:p w14:paraId="71D5370E">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实时工况监测</w:t>
            </w:r>
          </w:p>
          <w:p w14:paraId="14B63D90">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基于数字化三维地图动态监测</w:t>
            </w:r>
            <w:r>
              <w:rPr>
                <w:rFonts w:hint="eastAsia" w:ascii="宋体" w:hAnsi="宋体" w:eastAsia="宋体" w:cs="Times New Roman"/>
                <w:color w:val="auto"/>
                <w:kern w:val="2"/>
                <w:sz w:val="21"/>
                <w:szCs w:val="21"/>
                <w:highlight w:val="none"/>
                <w:lang w:val="en-US" w:eastAsia="zh-CN" w:bidi="ar-SA"/>
              </w:rPr>
              <w:t>西二环快速</w:t>
            </w:r>
            <w:r>
              <w:rPr>
                <w:rFonts w:hint="eastAsia" w:ascii="宋体" w:hAnsi="宋体" w:eastAsia="宋体" w:cs="Times New Roman"/>
                <w:color w:val="auto"/>
                <w:kern w:val="2"/>
                <w:sz w:val="21"/>
                <w:szCs w:val="21"/>
                <w:highlight w:val="none"/>
                <w:lang w:val="en-US" w:eastAsia="zh-Hans" w:bidi="ar-SA"/>
              </w:rPr>
              <w:t>路</w:t>
            </w:r>
            <w:r>
              <w:rPr>
                <w:rFonts w:hint="eastAsia" w:ascii="Times New Roman" w:hAnsi="Times New Roman" w:eastAsia="宋体" w:cs="Times New Roman"/>
                <w:iCs/>
                <w:color w:val="auto"/>
                <w:sz w:val="24"/>
                <w:szCs w:val="24"/>
                <w:highlight w:val="none"/>
                <w:lang w:val="en-US" w:eastAsia="zh-Hans" w:bidi="ar-SA"/>
              </w:rPr>
              <w:t>接入设备的运行工作状态，方便快速识别故障设备。同时通过图表展示各工况占比分布、故障流水、高频故障设备排名、设备推送数据趋势等的信息，为设备的维护提供决策支持。</w:t>
            </w:r>
          </w:p>
          <w:p w14:paraId="37EA016E">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智能设备管理</w:t>
            </w:r>
          </w:p>
          <w:p w14:paraId="0F6BBDB7">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列表展示</w:t>
            </w:r>
            <w:r>
              <w:rPr>
                <w:rFonts w:hint="eastAsia" w:ascii="Times New Roman" w:hAnsi="Times New Roman" w:eastAsia="宋体" w:cs="Times New Roman"/>
                <w:iCs/>
                <w:color w:val="auto"/>
                <w:sz w:val="24"/>
                <w:szCs w:val="24"/>
                <w:highlight w:val="none"/>
                <w:lang w:val="en-US" w:eastAsia="zh-CN" w:bidi="ar-SA"/>
              </w:rPr>
              <w:t>西二环快速</w:t>
            </w:r>
            <w:r>
              <w:rPr>
                <w:rFonts w:hint="eastAsia" w:ascii="Times New Roman" w:hAnsi="Times New Roman" w:eastAsia="宋体" w:cs="Times New Roman"/>
                <w:iCs/>
                <w:color w:val="auto"/>
                <w:sz w:val="24"/>
                <w:szCs w:val="24"/>
                <w:highlight w:val="none"/>
                <w:lang w:val="en-US" w:eastAsia="zh-Hans" w:bidi="ar-SA"/>
              </w:rPr>
              <w:t>路智能设备参数配置，并提供筛选查询、增删改、批量导入导出等功能。筛选查询支持路段名称、设备状态、设备名称等字段组合筛选，感知设备的基础信息可按照指定模板批量导入。</w:t>
            </w:r>
          </w:p>
          <w:p w14:paraId="48C8D032">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故障设备管理</w:t>
            </w:r>
          </w:p>
          <w:p w14:paraId="40B83767">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展示故障感知设备的故障信息、地图位置和实时监控，并提供故障设备筛选查询、批量导出等功能。支持设备“维护中”状态的一键标注功能。</w:t>
            </w:r>
          </w:p>
          <w:p w14:paraId="00A82BBD">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6、三维地图采集与建模扩容</w:t>
            </w:r>
          </w:p>
          <w:p w14:paraId="39825E51">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高精度地图要求</w:t>
            </w:r>
          </w:p>
          <w:p w14:paraId="34EC2D54">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A、地图精度</w:t>
            </w:r>
          </w:p>
          <w:p w14:paraId="35B25B64">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高精度地图绝对精度按1:2000地形图精度要求执行，三维模型相对精度RMSE不大于20cm；单体化三维模型相对精度RMSE不大于30cm。</w:t>
            </w:r>
          </w:p>
          <w:p w14:paraId="0732B01B">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高精度地图要素</w:t>
            </w:r>
          </w:p>
          <w:p w14:paraId="538CF8B1">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基于开源卫星影像图、高精度车道级shp数据、矢量底图tif图以及倾斜摄影OSGB等数据，辅以视频画面，完成对三维场景道路模型要素、业务要素模型的构建与管理。</w:t>
            </w:r>
          </w:p>
          <w:p w14:paraId="10FD34E4">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为方便后期维护，</w:t>
            </w:r>
            <w:r>
              <w:rPr>
                <w:rFonts w:hint="eastAsia" w:ascii="Times New Roman" w:hAnsi="Times New Roman" w:eastAsia="宋体" w:cs="Times New Roman"/>
                <w:iCs/>
                <w:color w:val="auto"/>
                <w:sz w:val="24"/>
                <w:szCs w:val="24"/>
                <w:highlight w:val="none"/>
                <w:lang w:val="en-US" w:eastAsia="zh-Hans" w:bidi="ar-SA"/>
              </w:rPr>
              <w:t>支持用户对简易道路、交通标志、支撑结构、设备设施、隧道、交通工具、周边环境、停车位等模型要素进行参数化编辑。可完成的操作包括但不限于新增、二次编辑、移动、旋转、替换、聚焦、贴地、复制、锁定、显隐、删除等，并支持“点绘制”、“线绘制”、“面绘制”、“笔刷”、“线吸附”、“一键框选”等快捷操作。</w:t>
            </w:r>
          </w:p>
          <w:p w14:paraId="5DB3209F">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同时，用户可自主快速搭建各类仿真事件的三维孪生场景，如车辆碰撞事件、各类施工事件等。支持多人在线协同编辑，满足不同角色在同一时间编辑同一工程中的协作，大大提升编辑效率。</w:t>
            </w:r>
          </w:p>
          <w:p w14:paraId="2D363B43">
            <w:pPr>
              <w:spacing w:line="440" w:lineRule="exact"/>
              <w:rPr>
                <w:rFonts w:hint="default"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三维道路场景建模清单：</w:t>
            </w:r>
          </w:p>
          <w:tbl>
            <w:tblPr>
              <w:tblStyle w:val="31"/>
              <w:tblW w:w="703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36"/>
              <w:gridCol w:w="436"/>
              <w:gridCol w:w="1517"/>
              <w:gridCol w:w="4649"/>
            </w:tblGrid>
            <w:tr w14:paraId="13BFC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B0E72">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模块</w:t>
                  </w:r>
                </w:p>
              </w:tc>
              <w:tc>
                <w:tcPr>
                  <w:tcW w:w="1953" w:type="dxa"/>
                  <w:gridSpan w:val="2"/>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9CD2CA">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子模块</w:t>
                  </w:r>
                </w:p>
              </w:tc>
              <w:tc>
                <w:tcPr>
                  <w:tcW w:w="46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75F34CD">
                  <w:pPr>
                    <w:keepNext w:val="0"/>
                    <w:keepLines w:val="0"/>
                    <w:widowControl/>
                    <w:suppressLineNumbers w:val="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元素</w:t>
                  </w:r>
                </w:p>
              </w:tc>
            </w:tr>
            <w:tr w14:paraId="77514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dxa"/>
                  <w:vMerge w:val="restart"/>
                  <w:tcBorders>
                    <w:top w:val="single" w:color="000000" w:sz="4" w:space="0"/>
                    <w:left w:val="single" w:color="000000" w:sz="4" w:space="0"/>
                    <w:bottom w:val="single" w:color="000000" w:sz="4" w:space="0"/>
                    <w:right w:val="single" w:color="000000" w:sz="4" w:space="0"/>
                  </w:tcBorders>
                  <w:noWrap w:val="0"/>
                  <w:vAlign w:val="center"/>
                </w:tcPr>
                <w:p w14:paraId="26110D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模型编辑</w:t>
                  </w:r>
                  <w:r>
                    <w:rPr>
                      <w:rFonts w:hint="eastAsia" w:ascii="宋体" w:hAnsi="宋体" w:eastAsia="宋体" w:cs="宋体"/>
                      <w:i w:val="0"/>
                      <w:iCs w:val="0"/>
                      <w:color w:val="auto"/>
                      <w:kern w:val="0"/>
                      <w:sz w:val="22"/>
                      <w:szCs w:val="22"/>
                      <w:highlight w:val="none"/>
                      <w:u w:val="none"/>
                      <w:lang w:val="en-US" w:eastAsia="zh-CN" w:bidi="ar"/>
                    </w:rPr>
                    <w:br w:type="textWrapping"/>
                  </w:r>
                </w:p>
              </w:tc>
              <w:tc>
                <w:tcPr>
                  <w:tcW w:w="436" w:type="dxa"/>
                  <w:vMerge w:val="restart"/>
                  <w:tcBorders>
                    <w:top w:val="single" w:color="000000" w:sz="4" w:space="0"/>
                    <w:left w:val="single" w:color="000000" w:sz="4" w:space="0"/>
                    <w:bottom w:val="single" w:color="000000" w:sz="4" w:space="0"/>
                    <w:right w:val="single" w:color="000000" w:sz="4" w:space="0"/>
                  </w:tcBorders>
                  <w:noWrap w:val="0"/>
                  <w:vAlign w:val="center"/>
                </w:tcPr>
                <w:p w14:paraId="0DFF26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交通标线</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299E407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线性</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5B629AB3">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斑马线、停车线、白实线、黄实线、虚线、减速标志线等。</w:t>
                  </w:r>
                </w:p>
              </w:tc>
            </w:tr>
            <w:tr w14:paraId="504ED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3EDE24">
                  <w:pPr>
                    <w:jc w:val="center"/>
                    <w:rPr>
                      <w:rFonts w:hint="eastAsia" w:ascii="宋体" w:hAnsi="宋体" w:eastAsia="宋体" w:cs="宋体"/>
                      <w:i w:val="0"/>
                      <w:iCs w:val="0"/>
                      <w:color w:val="auto"/>
                      <w:sz w:val="22"/>
                      <w:szCs w:val="22"/>
                      <w:highlight w:val="none"/>
                      <w:u w:val="none"/>
                    </w:rPr>
                  </w:pPr>
                </w:p>
              </w:tc>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978099">
                  <w:pPr>
                    <w:jc w:val="center"/>
                    <w:rPr>
                      <w:rFonts w:hint="eastAsia" w:ascii="宋体" w:hAnsi="宋体" w:eastAsia="宋体" w:cs="宋体"/>
                      <w:i w:val="0"/>
                      <w:iCs w:val="0"/>
                      <w:color w:val="auto"/>
                      <w:sz w:val="22"/>
                      <w:szCs w:val="22"/>
                      <w:highlight w:val="none"/>
                      <w:u w:val="none"/>
                    </w:rPr>
                  </w:pP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5FD014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导向</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02BF59A7">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左转、直行、右转、直右、掉头、让行、禁止掉头、符号、停车位、面铺装等。</w:t>
                  </w:r>
                </w:p>
              </w:tc>
            </w:tr>
            <w:tr w14:paraId="6786B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573618">
                  <w:pPr>
                    <w:jc w:val="center"/>
                    <w:rPr>
                      <w:rFonts w:hint="eastAsia" w:ascii="宋体" w:hAnsi="宋体" w:eastAsia="宋体" w:cs="宋体"/>
                      <w:i w:val="0"/>
                      <w:iCs w:val="0"/>
                      <w:color w:val="auto"/>
                      <w:sz w:val="22"/>
                      <w:szCs w:val="22"/>
                      <w:highlight w:val="none"/>
                      <w:u w:val="none"/>
                    </w:rPr>
                  </w:pPr>
                </w:p>
              </w:tc>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5E7109">
                  <w:pPr>
                    <w:jc w:val="center"/>
                    <w:rPr>
                      <w:rFonts w:hint="eastAsia" w:ascii="宋体" w:hAnsi="宋体" w:eastAsia="宋体" w:cs="宋体"/>
                      <w:i w:val="0"/>
                      <w:iCs w:val="0"/>
                      <w:color w:val="auto"/>
                      <w:sz w:val="22"/>
                      <w:szCs w:val="22"/>
                      <w:highlight w:val="none"/>
                      <w:u w:val="none"/>
                    </w:rPr>
                  </w:pP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72FC878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文字</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5B8ECDA6">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公交专用道、机动车道、非机动车道、合乘专用道等。支持自定义文字内容。</w:t>
                  </w:r>
                </w:p>
              </w:tc>
            </w:tr>
            <w:tr w14:paraId="11236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5CC99F">
                  <w:pPr>
                    <w:jc w:val="center"/>
                    <w:rPr>
                      <w:rFonts w:hint="eastAsia" w:ascii="宋体" w:hAnsi="宋体" w:eastAsia="宋体" w:cs="宋体"/>
                      <w:i w:val="0"/>
                      <w:iCs w:val="0"/>
                      <w:color w:val="auto"/>
                      <w:sz w:val="22"/>
                      <w:szCs w:val="22"/>
                      <w:highlight w:val="none"/>
                      <w:u w:val="none"/>
                    </w:rPr>
                  </w:pPr>
                </w:p>
              </w:tc>
              <w:tc>
                <w:tcPr>
                  <w:tcW w:w="436" w:type="dxa"/>
                  <w:vMerge w:val="restart"/>
                  <w:tcBorders>
                    <w:top w:val="single" w:color="000000" w:sz="4" w:space="0"/>
                    <w:left w:val="single" w:color="000000" w:sz="4" w:space="0"/>
                    <w:bottom w:val="single" w:color="000000" w:sz="4" w:space="0"/>
                    <w:right w:val="single" w:color="000000" w:sz="4" w:space="0"/>
                  </w:tcBorders>
                  <w:noWrap w:val="0"/>
                  <w:vAlign w:val="center"/>
                </w:tcPr>
                <w:p w14:paraId="7040E6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不带电</w:t>
                  </w:r>
                  <w:r>
                    <w:rPr>
                      <w:rFonts w:hint="eastAsia" w:ascii="宋体" w:hAnsi="宋体" w:eastAsia="宋体" w:cs="宋体"/>
                      <w:i w:val="0"/>
                      <w:iCs w:val="0"/>
                      <w:color w:val="auto"/>
                      <w:kern w:val="0"/>
                      <w:sz w:val="22"/>
                      <w:szCs w:val="22"/>
                      <w:highlight w:val="none"/>
                      <w:u w:val="none"/>
                      <w:lang w:val="en-US" w:eastAsia="zh-CN" w:bidi="ar"/>
                    </w:rPr>
                    <w:br w:type="textWrapping"/>
                  </w:r>
                  <w:r>
                    <w:rPr>
                      <w:rFonts w:hint="eastAsia" w:ascii="宋体" w:hAnsi="宋体" w:eastAsia="宋体" w:cs="宋体"/>
                      <w:i w:val="0"/>
                      <w:iCs w:val="0"/>
                      <w:color w:val="auto"/>
                      <w:kern w:val="0"/>
                      <w:sz w:val="22"/>
                      <w:szCs w:val="22"/>
                      <w:highlight w:val="none"/>
                      <w:u w:val="none"/>
                      <w:lang w:val="en-US" w:eastAsia="zh-CN" w:bidi="ar"/>
                    </w:rPr>
                    <w:t>设施</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1E4B5F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交通标志</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097735E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禁令、指示、警告、指路、旅游、告示、辅助；支持编辑标志、标牌内容。</w:t>
                  </w:r>
                </w:p>
              </w:tc>
            </w:tr>
            <w:tr w14:paraId="4C9ED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AB242A">
                  <w:pPr>
                    <w:jc w:val="center"/>
                    <w:rPr>
                      <w:rFonts w:hint="eastAsia" w:ascii="宋体" w:hAnsi="宋体" w:eastAsia="宋体" w:cs="宋体"/>
                      <w:i w:val="0"/>
                      <w:iCs w:val="0"/>
                      <w:color w:val="auto"/>
                      <w:sz w:val="22"/>
                      <w:szCs w:val="22"/>
                      <w:highlight w:val="none"/>
                      <w:u w:val="none"/>
                    </w:rPr>
                  </w:pPr>
                </w:p>
              </w:tc>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B206DA">
                  <w:pPr>
                    <w:jc w:val="center"/>
                    <w:rPr>
                      <w:rFonts w:hint="eastAsia" w:ascii="宋体" w:hAnsi="宋体" w:eastAsia="宋体" w:cs="宋体"/>
                      <w:i w:val="0"/>
                      <w:iCs w:val="0"/>
                      <w:color w:val="auto"/>
                      <w:sz w:val="22"/>
                      <w:szCs w:val="22"/>
                      <w:highlight w:val="none"/>
                      <w:u w:val="none"/>
                    </w:rPr>
                  </w:pP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14D9DD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支撑结构</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05E3DA0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立柱式、悬臂式、门架式、路灯杆、组合式。</w:t>
                  </w:r>
                </w:p>
              </w:tc>
            </w:tr>
            <w:tr w14:paraId="4AE14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C22477">
                  <w:pPr>
                    <w:jc w:val="center"/>
                    <w:rPr>
                      <w:rFonts w:hint="eastAsia" w:ascii="宋体" w:hAnsi="宋体" w:eastAsia="宋体" w:cs="宋体"/>
                      <w:i w:val="0"/>
                      <w:iCs w:val="0"/>
                      <w:color w:val="auto"/>
                      <w:sz w:val="22"/>
                      <w:szCs w:val="22"/>
                      <w:highlight w:val="none"/>
                      <w:u w:val="none"/>
                    </w:rPr>
                  </w:pPr>
                </w:p>
              </w:tc>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427FB1">
                  <w:pPr>
                    <w:jc w:val="center"/>
                    <w:rPr>
                      <w:rFonts w:hint="eastAsia" w:ascii="宋体" w:hAnsi="宋体" w:eastAsia="宋体" w:cs="宋体"/>
                      <w:i w:val="0"/>
                      <w:iCs w:val="0"/>
                      <w:color w:val="auto"/>
                      <w:sz w:val="22"/>
                      <w:szCs w:val="22"/>
                      <w:highlight w:val="none"/>
                      <w:u w:val="none"/>
                    </w:rPr>
                  </w:pP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457A196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防护结构</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63C88778">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护栏、交通岛、警示桩、隔离柱、附属类。</w:t>
                  </w:r>
                </w:p>
              </w:tc>
            </w:tr>
            <w:tr w14:paraId="649AE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B10655">
                  <w:pPr>
                    <w:jc w:val="center"/>
                    <w:rPr>
                      <w:rFonts w:hint="eastAsia" w:ascii="宋体" w:hAnsi="宋体" w:eastAsia="宋体" w:cs="宋体"/>
                      <w:i w:val="0"/>
                      <w:iCs w:val="0"/>
                      <w:color w:val="auto"/>
                      <w:sz w:val="22"/>
                      <w:szCs w:val="22"/>
                      <w:highlight w:val="none"/>
                      <w:u w:val="none"/>
                    </w:rPr>
                  </w:pPr>
                </w:p>
              </w:tc>
              <w:tc>
                <w:tcPr>
                  <w:tcW w:w="436" w:type="dxa"/>
                  <w:vMerge w:val="restart"/>
                  <w:tcBorders>
                    <w:top w:val="single" w:color="000000" w:sz="4" w:space="0"/>
                    <w:left w:val="single" w:color="000000" w:sz="4" w:space="0"/>
                    <w:bottom w:val="single" w:color="000000" w:sz="4" w:space="0"/>
                    <w:right w:val="single" w:color="000000" w:sz="4" w:space="0"/>
                  </w:tcBorders>
                  <w:noWrap w:val="0"/>
                  <w:vAlign w:val="center"/>
                </w:tcPr>
                <w:p w14:paraId="265E4BC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带电设备</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0E627AA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传感器</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2B89E27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电警、卡口、枪机、球机、雷达等。</w:t>
                  </w:r>
                </w:p>
              </w:tc>
            </w:tr>
            <w:tr w14:paraId="6E35E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8A2DBC">
                  <w:pPr>
                    <w:jc w:val="center"/>
                    <w:rPr>
                      <w:rFonts w:hint="eastAsia" w:ascii="宋体" w:hAnsi="宋体" w:eastAsia="宋体" w:cs="宋体"/>
                      <w:i w:val="0"/>
                      <w:iCs w:val="0"/>
                      <w:color w:val="auto"/>
                      <w:sz w:val="22"/>
                      <w:szCs w:val="22"/>
                      <w:highlight w:val="none"/>
                      <w:u w:val="none"/>
                    </w:rPr>
                  </w:pPr>
                </w:p>
              </w:tc>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8684A0">
                  <w:pPr>
                    <w:jc w:val="center"/>
                    <w:rPr>
                      <w:rFonts w:hint="eastAsia" w:ascii="宋体" w:hAnsi="宋体" w:eastAsia="宋体" w:cs="宋体"/>
                      <w:i w:val="0"/>
                      <w:iCs w:val="0"/>
                      <w:color w:val="auto"/>
                      <w:sz w:val="22"/>
                      <w:szCs w:val="22"/>
                      <w:highlight w:val="none"/>
                      <w:u w:val="none"/>
                    </w:rPr>
                  </w:pP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2F19AB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控制类</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5B65E68D">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信号灯、信号机箱、倒计时牌、诱导屏、车道指示灯、道钉等。</w:t>
                  </w:r>
                </w:p>
              </w:tc>
            </w:tr>
            <w:tr w14:paraId="7E1AC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626974">
                  <w:pPr>
                    <w:jc w:val="center"/>
                    <w:rPr>
                      <w:rFonts w:hint="eastAsia" w:ascii="宋体" w:hAnsi="宋体" w:eastAsia="宋体" w:cs="宋体"/>
                      <w:i w:val="0"/>
                      <w:iCs w:val="0"/>
                      <w:color w:val="auto"/>
                      <w:sz w:val="22"/>
                      <w:szCs w:val="22"/>
                      <w:highlight w:val="none"/>
                      <w:u w:val="none"/>
                    </w:rPr>
                  </w:pPr>
                </w:p>
              </w:tc>
              <w:tc>
                <w:tcPr>
                  <w:tcW w:w="436" w:type="dxa"/>
                  <w:vMerge w:val="restart"/>
                  <w:tcBorders>
                    <w:top w:val="single" w:color="000000" w:sz="4" w:space="0"/>
                    <w:left w:val="single" w:color="000000" w:sz="4" w:space="0"/>
                    <w:bottom w:val="single" w:color="000000" w:sz="4" w:space="0"/>
                    <w:right w:val="single" w:color="000000" w:sz="4" w:space="0"/>
                  </w:tcBorders>
                  <w:noWrap w:val="0"/>
                  <w:vAlign w:val="center"/>
                </w:tcPr>
                <w:p w14:paraId="336C1D6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环境</w:t>
                  </w: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1DDB84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建筑</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2996416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住宅、商业、公共、交通、工业、古建。</w:t>
                  </w:r>
                </w:p>
              </w:tc>
            </w:tr>
            <w:tr w14:paraId="43FE9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C2AEB7">
                  <w:pPr>
                    <w:jc w:val="center"/>
                    <w:rPr>
                      <w:rFonts w:hint="eastAsia" w:ascii="宋体" w:hAnsi="宋体" w:eastAsia="宋体" w:cs="宋体"/>
                      <w:i w:val="0"/>
                      <w:iCs w:val="0"/>
                      <w:color w:val="auto"/>
                      <w:sz w:val="22"/>
                      <w:szCs w:val="22"/>
                      <w:highlight w:val="none"/>
                      <w:u w:val="none"/>
                    </w:rPr>
                  </w:pPr>
                </w:p>
              </w:tc>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889EDA">
                  <w:pPr>
                    <w:jc w:val="center"/>
                    <w:rPr>
                      <w:rFonts w:hint="eastAsia" w:ascii="宋体" w:hAnsi="宋体" w:eastAsia="宋体" w:cs="宋体"/>
                      <w:i w:val="0"/>
                      <w:iCs w:val="0"/>
                      <w:color w:val="auto"/>
                      <w:sz w:val="22"/>
                      <w:szCs w:val="22"/>
                      <w:highlight w:val="none"/>
                      <w:u w:val="none"/>
                    </w:rPr>
                  </w:pP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54A2A89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绿化</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613EB912">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数木、山石、花草、其它。</w:t>
                  </w:r>
                </w:p>
              </w:tc>
            </w:tr>
            <w:tr w14:paraId="359ED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9DF35B">
                  <w:pPr>
                    <w:jc w:val="center"/>
                    <w:rPr>
                      <w:rFonts w:hint="eastAsia" w:ascii="宋体" w:hAnsi="宋体" w:eastAsia="宋体" w:cs="宋体"/>
                      <w:i w:val="0"/>
                      <w:iCs w:val="0"/>
                      <w:color w:val="auto"/>
                      <w:sz w:val="22"/>
                      <w:szCs w:val="22"/>
                      <w:highlight w:val="none"/>
                      <w:u w:val="none"/>
                    </w:rPr>
                  </w:pPr>
                </w:p>
              </w:tc>
              <w:tc>
                <w:tcPr>
                  <w:tcW w:w="43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60DFE1">
                  <w:pPr>
                    <w:jc w:val="center"/>
                    <w:rPr>
                      <w:rFonts w:hint="eastAsia" w:ascii="宋体" w:hAnsi="宋体" w:eastAsia="宋体" w:cs="宋体"/>
                      <w:i w:val="0"/>
                      <w:iCs w:val="0"/>
                      <w:color w:val="auto"/>
                      <w:sz w:val="22"/>
                      <w:szCs w:val="22"/>
                      <w:highlight w:val="none"/>
                      <w:u w:val="none"/>
                    </w:rPr>
                  </w:pPr>
                </w:p>
              </w:tc>
              <w:tc>
                <w:tcPr>
                  <w:tcW w:w="1517" w:type="dxa"/>
                  <w:tcBorders>
                    <w:top w:val="single" w:color="000000" w:sz="4" w:space="0"/>
                    <w:left w:val="single" w:color="000000" w:sz="4" w:space="0"/>
                    <w:bottom w:val="single" w:color="000000" w:sz="4" w:space="0"/>
                    <w:right w:val="single" w:color="000000" w:sz="4" w:space="0"/>
                  </w:tcBorders>
                  <w:noWrap w:val="0"/>
                  <w:vAlign w:val="center"/>
                </w:tcPr>
                <w:p w14:paraId="238CC87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交通工具</w:t>
                  </w:r>
                </w:p>
              </w:tc>
              <w:tc>
                <w:tcPr>
                  <w:tcW w:w="4649" w:type="dxa"/>
                  <w:tcBorders>
                    <w:top w:val="single" w:color="000000" w:sz="4" w:space="0"/>
                    <w:left w:val="single" w:color="000000" w:sz="4" w:space="0"/>
                    <w:bottom w:val="single" w:color="000000" w:sz="4" w:space="0"/>
                    <w:right w:val="single" w:color="000000" w:sz="4" w:space="0"/>
                  </w:tcBorders>
                  <w:noWrap w:val="0"/>
                  <w:vAlign w:val="center"/>
                </w:tcPr>
                <w:p w14:paraId="29121A50">
                  <w:pPr>
                    <w:keepNext w:val="0"/>
                    <w:keepLines w:val="0"/>
                    <w:widowControl/>
                    <w:suppressLineNumbers w:val="0"/>
                    <w:jc w:val="left"/>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包含 家用、客运、货运、电动车。</w:t>
                  </w:r>
                </w:p>
              </w:tc>
            </w:tr>
          </w:tbl>
          <w:p w14:paraId="307FD800">
            <w:pPr>
              <w:spacing w:line="440" w:lineRule="exact"/>
              <w:rPr>
                <w:rFonts w:hint="eastAsia"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数据质量要求</w:t>
            </w:r>
          </w:p>
          <w:p w14:paraId="1E540A82">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A、数据采集</w:t>
            </w:r>
          </w:p>
          <w:p w14:paraId="21383420">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Hans" w:bidi="ar-SA"/>
              </w:rPr>
              <w:t>要求</w:t>
            </w:r>
            <w:r>
              <w:rPr>
                <w:rFonts w:hint="eastAsia" w:ascii="Times New Roman" w:hAnsi="Times New Roman" w:eastAsia="宋体" w:cs="Times New Roman"/>
                <w:iCs/>
                <w:color w:val="auto"/>
                <w:sz w:val="24"/>
                <w:szCs w:val="24"/>
                <w:highlight w:val="none"/>
                <w:lang w:val="en-US" w:eastAsia="zh-CN" w:bidi="ar-SA"/>
              </w:rPr>
              <w:t>数据采集</w:t>
            </w:r>
            <w:r>
              <w:rPr>
                <w:rFonts w:hint="eastAsia" w:ascii="Times New Roman" w:hAnsi="Times New Roman" w:eastAsia="宋体" w:cs="Times New Roman"/>
                <w:iCs/>
                <w:color w:val="auto"/>
                <w:sz w:val="24"/>
                <w:szCs w:val="24"/>
                <w:highlight w:val="none"/>
                <w:lang w:val="en-US" w:eastAsia="zh-Hans" w:bidi="ar-SA"/>
              </w:rPr>
              <w:t>必须</w:t>
            </w:r>
            <w:r>
              <w:rPr>
                <w:rFonts w:hint="eastAsia" w:ascii="Times New Roman" w:hAnsi="Times New Roman" w:eastAsia="宋体" w:cs="Times New Roman"/>
                <w:iCs/>
                <w:color w:val="auto"/>
                <w:sz w:val="24"/>
                <w:szCs w:val="24"/>
                <w:highlight w:val="none"/>
                <w:lang w:val="en-US" w:eastAsia="zh-CN" w:bidi="ar-SA"/>
              </w:rPr>
              <w:t>由多个传感器同时进行，进行数据的联合标定与时间同步，</w:t>
            </w:r>
            <w:r>
              <w:rPr>
                <w:rFonts w:hint="eastAsia" w:ascii="Times New Roman" w:hAnsi="Times New Roman" w:eastAsia="宋体" w:cs="Times New Roman"/>
                <w:iCs/>
                <w:color w:val="auto"/>
                <w:sz w:val="24"/>
                <w:szCs w:val="24"/>
                <w:highlight w:val="none"/>
                <w:lang w:val="en-US" w:eastAsia="zh-Hans" w:bidi="ar-SA"/>
              </w:rPr>
              <w:t>且要</w:t>
            </w:r>
            <w:r>
              <w:rPr>
                <w:rFonts w:hint="eastAsia" w:ascii="Times New Roman" w:hAnsi="Times New Roman" w:eastAsia="宋体" w:cs="Times New Roman"/>
                <w:iCs/>
                <w:color w:val="auto"/>
                <w:sz w:val="24"/>
                <w:szCs w:val="24"/>
                <w:highlight w:val="none"/>
                <w:lang w:val="en-US" w:eastAsia="zh-CN" w:bidi="ar-SA"/>
              </w:rPr>
              <w:t>解决多传感器融合误差问题，</w:t>
            </w:r>
            <w:r>
              <w:rPr>
                <w:rFonts w:hint="eastAsia" w:ascii="Times New Roman" w:hAnsi="Times New Roman" w:eastAsia="宋体" w:cs="Times New Roman"/>
                <w:iCs/>
                <w:color w:val="auto"/>
                <w:sz w:val="24"/>
                <w:szCs w:val="24"/>
                <w:highlight w:val="none"/>
                <w:lang w:val="en-US" w:eastAsia="zh-Hans" w:bidi="ar-SA"/>
              </w:rPr>
              <w:t>避免出现</w:t>
            </w:r>
            <w:r>
              <w:rPr>
                <w:rFonts w:hint="eastAsia" w:ascii="Times New Roman" w:hAnsi="Times New Roman" w:eastAsia="宋体" w:cs="Times New Roman"/>
                <w:iCs/>
                <w:color w:val="auto"/>
                <w:sz w:val="24"/>
                <w:szCs w:val="24"/>
                <w:highlight w:val="none"/>
                <w:lang w:val="en-US" w:eastAsia="zh-CN" w:bidi="ar-SA"/>
              </w:rPr>
              <w:t>数据的同步与融合问题。</w:t>
            </w:r>
          </w:p>
          <w:p w14:paraId="0618C9F9">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B、数据预处理</w:t>
            </w:r>
          </w:p>
          <w:p w14:paraId="23CDDC96">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采集回来的高精度数据，必须进行定位融合与数据信息预处理：</w:t>
            </w:r>
          </w:p>
          <w:p w14:paraId="2ADC3C78">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时间同步：把点云、图像与GPS轨迹进行时间同步，消除误差。</w:t>
            </w:r>
          </w:p>
          <w:p w14:paraId="6F1CC0C2">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点云拼接融合：把相邻扫描的点云数据拼接在一起，利用算法进行数据的融合处理，消除时间误差与位置误差。</w:t>
            </w:r>
          </w:p>
          <w:p w14:paraId="62EF79EE">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点云二维处理：将点云中关注的道路信息点进行提取，形成可作为加工依据的底图影像。</w:t>
            </w:r>
          </w:p>
          <w:p w14:paraId="6FA44DB5">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自动化提取点云中的道路标线信息，并进行矢量化处理（矢量化处理效果快速路&gt;90%，普通道路&gt;70%）；</w:t>
            </w:r>
          </w:p>
          <w:p w14:paraId="486CE573">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提取点云中标志牌、红绿灯等信息，提取其中高度以及形状信息；</w:t>
            </w:r>
          </w:p>
          <w:p w14:paraId="541574B9">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提取图片中标示牌、红绿灯等交通信息并进行自动分类；</w:t>
            </w:r>
          </w:p>
          <w:p w14:paraId="270CB662">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地图编绘</w:t>
            </w:r>
          </w:p>
          <w:p w14:paraId="38D31792">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A、</w:t>
            </w:r>
            <w:r>
              <w:rPr>
                <w:rFonts w:hint="eastAsia" w:ascii="Times New Roman" w:hAnsi="Times New Roman" w:eastAsia="宋体" w:cs="Times New Roman"/>
                <w:iCs/>
                <w:color w:val="auto"/>
                <w:sz w:val="24"/>
                <w:szCs w:val="24"/>
                <w:highlight w:val="none"/>
                <w:lang w:val="en-US" w:eastAsia="zh-Hans" w:bidi="ar-SA"/>
              </w:rPr>
              <w:t>道路数据加工</w:t>
            </w:r>
          </w:p>
          <w:p w14:paraId="1E1CE09F">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在现有高精度地图生产平台基础上进行高精度道路数据加工，加工过程自动化处理与人工处理相结合：</w:t>
            </w:r>
          </w:p>
          <w:p w14:paraId="4043C0AF">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原始数据以及预处理数据导入；</w:t>
            </w:r>
          </w:p>
          <w:p w14:paraId="1ED1024E">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自动提取结果上进行道路线补绘；</w:t>
            </w:r>
          </w:p>
          <w:p w14:paraId="54F90CCD">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补绘结束，工具自动生成路口以及虚拟车道线；</w:t>
            </w:r>
          </w:p>
          <w:p w14:paraId="0A461224">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属性处理以及属性关系自动化建立；</w:t>
            </w:r>
          </w:p>
          <w:p w14:paraId="1DAFBEAB">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加工数据质量、精度检查，修改错误数据；</w:t>
            </w:r>
          </w:p>
          <w:p w14:paraId="15D0871B">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B、</w:t>
            </w:r>
            <w:r>
              <w:rPr>
                <w:rFonts w:hint="eastAsia" w:ascii="Times New Roman" w:hAnsi="Times New Roman" w:eastAsia="宋体" w:cs="Times New Roman"/>
                <w:iCs/>
                <w:color w:val="auto"/>
                <w:sz w:val="24"/>
                <w:szCs w:val="24"/>
                <w:highlight w:val="none"/>
                <w:lang w:val="en-US" w:eastAsia="zh-Hans" w:bidi="ar-SA"/>
              </w:rPr>
              <w:t>交通标线加工：</w:t>
            </w:r>
          </w:p>
          <w:p w14:paraId="1341F8BF">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导入提取的标线信息；</w:t>
            </w:r>
          </w:p>
          <w:p w14:paraId="6EE56A45">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在自动提取的结果基础上进行补绘；</w:t>
            </w:r>
          </w:p>
          <w:p w14:paraId="7F99E97D">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绑定车道信息；</w:t>
            </w:r>
          </w:p>
          <w:p w14:paraId="2885EB13">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C、</w:t>
            </w:r>
            <w:r>
              <w:rPr>
                <w:rFonts w:hint="eastAsia" w:ascii="Times New Roman" w:hAnsi="Times New Roman" w:eastAsia="宋体" w:cs="Times New Roman"/>
                <w:iCs/>
                <w:color w:val="auto"/>
                <w:sz w:val="24"/>
                <w:szCs w:val="24"/>
                <w:highlight w:val="none"/>
                <w:lang w:val="en-US" w:eastAsia="zh-Hans" w:bidi="ar-SA"/>
              </w:rPr>
              <w:t>道路附属设施加工：</w:t>
            </w:r>
          </w:p>
          <w:p w14:paraId="03028152">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自动提取信息导入高精度地图中；</w:t>
            </w:r>
          </w:p>
          <w:p w14:paraId="4627DCD5">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在道路数据基础上，利用图片和点云提取信息进行交通灯、标志牌等数据加工；</w:t>
            </w:r>
          </w:p>
          <w:p w14:paraId="1D2DB2ED">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对此类信息进行车道绑定。</w:t>
            </w:r>
          </w:p>
          <w:p w14:paraId="3E4FE6FB">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D、</w:t>
            </w:r>
            <w:r>
              <w:rPr>
                <w:rFonts w:hint="eastAsia" w:ascii="Times New Roman" w:hAnsi="Times New Roman" w:eastAsia="宋体" w:cs="Times New Roman"/>
                <w:iCs/>
                <w:color w:val="auto"/>
                <w:sz w:val="24"/>
                <w:szCs w:val="24"/>
                <w:highlight w:val="none"/>
                <w:lang w:val="en-US" w:eastAsia="zh-Hans" w:bidi="ar-SA"/>
              </w:rPr>
              <w:t>数据导出</w:t>
            </w:r>
          </w:p>
          <w:p w14:paraId="636A9AF0">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根据要求的数据格式进行数据导出。支持shapefile、mid/mif、OpenDriveFormat1.5格式数据导出。</w:t>
            </w:r>
          </w:p>
          <w:p w14:paraId="1D62354D">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CN" w:bidi="ar-SA"/>
              </w:rPr>
              <w:t>E、</w:t>
            </w:r>
            <w:r>
              <w:rPr>
                <w:rFonts w:hint="eastAsia" w:ascii="Times New Roman" w:hAnsi="Times New Roman" w:eastAsia="宋体" w:cs="Times New Roman"/>
                <w:iCs/>
                <w:color w:val="auto"/>
                <w:sz w:val="24"/>
                <w:szCs w:val="24"/>
                <w:highlight w:val="none"/>
                <w:lang w:val="en-US" w:eastAsia="zh-Hans" w:bidi="ar-SA"/>
              </w:rPr>
              <w:t>数据质量检查</w:t>
            </w:r>
          </w:p>
          <w:p w14:paraId="7965D66C">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高精度数据质量检查执行严格的“两检一审”制度，分三个阶段：</w:t>
            </w:r>
          </w:p>
          <w:p w14:paraId="587DC8B7">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加工人员自检；</w:t>
            </w:r>
          </w:p>
          <w:p w14:paraId="4E4997E4">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加工库综合检查；</w:t>
            </w:r>
          </w:p>
          <w:p w14:paraId="712F4310">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数据导出后合成数据综合检查。</w:t>
            </w:r>
          </w:p>
          <w:p w14:paraId="0E698029">
            <w:pPr>
              <w:spacing w:line="440" w:lineRule="exact"/>
              <w:rPr>
                <w:rFonts w:hint="eastAsia" w:ascii="Times New Roman" w:hAnsi="Times New Roman" w:eastAsia="宋体" w:cs="Times New Roman"/>
                <w:iCs/>
                <w:color w:val="auto"/>
                <w:sz w:val="24"/>
                <w:szCs w:val="24"/>
                <w:highlight w:val="none"/>
                <w:lang w:val="en-US" w:eastAsia="zh-Hans" w:bidi="ar-SA"/>
              </w:rPr>
            </w:pPr>
            <w:r>
              <w:rPr>
                <w:rFonts w:hint="eastAsia" w:ascii="Times New Roman" w:hAnsi="Times New Roman" w:eastAsia="宋体" w:cs="Times New Roman"/>
                <w:iCs/>
                <w:color w:val="auto"/>
                <w:sz w:val="24"/>
                <w:szCs w:val="24"/>
                <w:highlight w:val="none"/>
                <w:lang w:val="en-US" w:eastAsia="zh-Hans" w:bidi="ar-SA"/>
              </w:rPr>
              <w:t>每阶段都应规定相应的检查项，可以工具检查为主，辅以人工验证。</w:t>
            </w:r>
          </w:p>
          <w:p w14:paraId="6B19A487">
            <w:pPr>
              <w:spacing w:line="440" w:lineRule="exact"/>
              <w:rPr>
                <w:rFonts w:hint="eastAsia" w:ascii="Times New Roman" w:hAnsi="Times New Roman" w:eastAsia="宋体" w:cs="Times New Roman"/>
                <w:iCs/>
                <w:color w:val="auto"/>
                <w:sz w:val="24"/>
                <w:szCs w:val="24"/>
                <w:highlight w:val="none"/>
                <w:lang w:val="en-US" w:eastAsia="zh-Hans"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iCs/>
                <w:color w:val="auto"/>
                <w:sz w:val="24"/>
                <w:szCs w:val="24"/>
                <w:highlight w:val="none"/>
                <w:lang w:val="en-US" w:eastAsia="zh-Hans" w:bidi="ar-SA"/>
              </w:rPr>
              <w:t>三维地图处理与渲染</w:t>
            </w:r>
          </w:p>
          <w:p w14:paraId="453F33E2">
            <w:pPr>
              <w:spacing w:line="440" w:lineRule="exact"/>
              <w:rPr>
                <w:rFonts w:hint="eastAsia" w:ascii="Times New Roman" w:hAnsi="Times New Roman" w:eastAsia="宋体" w:cs="Times New Roman"/>
                <w:iCs/>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Hans" w:bidi="ar-SA"/>
              </w:rPr>
              <w:t>基于三维地图渲染引擎，将快速路路段、匝道、雷视一体机、视频监控、交通卡口、诱导屏、标志标线等要素转化为三维模型，快速、逼真展示于Web端2D、2.5D、3D地图场景中。</w:t>
            </w:r>
          </w:p>
          <w:p w14:paraId="1EB08EA9">
            <w:pPr>
              <w:spacing w:line="440" w:lineRule="exact"/>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iCs/>
                <w:color w:val="auto"/>
                <w:sz w:val="24"/>
                <w:szCs w:val="24"/>
                <w:highlight w:val="none"/>
                <w:lang w:val="en-US" w:eastAsia="zh-CN" w:bidi="ar-SA"/>
              </w:rPr>
              <w:t xml:space="preserve">4.14.19 </w:t>
            </w:r>
            <w:r>
              <w:rPr>
                <w:rFonts w:hint="eastAsia" w:ascii="Times New Roman" w:hAnsi="Times New Roman" w:eastAsia="宋体" w:cs="Times New Roman"/>
                <w:color w:val="auto"/>
                <w:sz w:val="24"/>
                <w:szCs w:val="24"/>
                <w:highlight w:val="none"/>
                <w:lang w:val="en-US" w:eastAsia="zh-CN" w:bidi="ar-SA"/>
              </w:rPr>
              <w:t>图形工作站参数要求</w:t>
            </w:r>
          </w:p>
          <w:tbl>
            <w:tblPr>
              <w:tblStyle w:val="294"/>
              <w:tblpPr w:leftFromText="180" w:rightFromText="180" w:vertAnchor="text" w:horzAnchor="page" w:tblpX="20" w:tblpY="466"/>
              <w:tblOverlap w:val="never"/>
              <w:tblW w:w="639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0"/>
              <w:gridCol w:w="737"/>
              <w:gridCol w:w="885"/>
              <w:gridCol w:w="958"/>
              <w:gridCol w:w="3214"/>
            </w:tblGrid>
            <w:tr w14:paraId="3DDA63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5AD295B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spacing w:val="-10"/>
                      <w:sz w:val="24"/>
                      <w:szCs w:val="24"/>
                      <w:highlight w:val="none"/>
                      <w:u w:val="none"/>
                      <w:lang w:val="en-US" w:eastAsia="zh-CN" w:bidi="ar-SA"/>
                    </w:rPr>
                    <w:t>序号</w:t>
                  </w:r>
                </w:p>
              </w:tc>
              <w:tc>
                <w:tcPr>
                  <w:tcW w:w="737" w:type="dxa"/>
                  <w:vAlign w:val="center"/>
                </w:tcPr>
                <w:p w14:paraId="28E98D2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spacing w:val="-6"/>
                      <w:sz w:val="24"/>
                      <w:szCs w:val="24"/>
                      <w:highlight w:val="none"/>
                      <w:u w:val="none"/>
                      <w:lang w:val="en-US" w:eastAsia="zh-CN" w:bidi="ar-SA"/>
                    </w:rPr>
                    <w:t>指标</w:t>
                  </w:r>
                  <w:r>
                    <w:rPr>
                      <w:rFonts w:hint="eastAsia" w:ascii="宋体" w:hAnsi="宋体" w:eastAsia="宋体" w:cs="宋体"/>
                      <w:b/>
                      <w:i w:val="0"/>
                      <w:iCs w:val="0"/>
                      <w:color w:val="auto"/>
                      <w:spacing w:val="-5"/>
                      <w:w w:val="95"/>
                      <w:sz w:val="24"/>
                      <w:szCs w:val="24"/>
                      <w:highlight w:val="none"/>
                      <w:u w:val="none"/>
                      <w:lang w:val="en-US" w:eastAsia="zh-CN" w:bidi="ar-SA"/>
                    </w:rPr>
                    <w:t>分类</w:t>
                  </w:r>
                </w:p>
              </w:tc>
              <w:tc>
                <w:tcPr>
                  <w:tcW w:w="885" w:type="dxa"/>
                  <w:vAlign w:val="center"/>
                </w:tcPr>
                <w:p w14:paraId="2FABFD7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spacing w:val="-6"/>
                      <w:sz w:val="24"/>
                      <w:szCs w:val="24"/>
                      <w:highlight w:val="none"/>
                      <w:u w:val="none"/>
                      <w:lang w:val="en-US" w:eastAsia="zh-CN" w:bidi="ar-SA"/>
                    </w:rPr>
                    <w:t>一级</w:t>
                  </w:r>
                  <w:r>
                    <w:rPr>
                      <w:rFonts w:hint="eastAsia" w:ascii="宋体" w:hAnsi="宋体" w:eastAsia="宋体" w:cs="宋体"/>
                      <w:b/>
                      <w:i w:val="0"/>
                      <w:iCs w:val="0"/>
                      <w:color w:val="auto"/>
                      <w:w w:val="95"/>
                      <w:sz w:val="24"/>
                      <w:szCs w:val="24"/>
                      <w:highlight w:val="none"/>
                      <w:u w:val="none"/>
                      <w:lang w:val="en-US" w:eastAsia="zh-CN" w:bidi="ar-SA"/>
                    </w:rPr>
                    <w:t>指标</w:t>
                  </w:r>
                </w:p>
              </w:tc>
              <w:tc>
                <w:tcPr>
                  <w:tcW w:w="958" w:type="dxa"/>
                  <w:vAlign w:val="center"/>
                </w:tcPr>
                <w:p w14:paraId="59F7D04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spacing w:val="-6"/>
                      <w:sz w:val="24"/>
                      <w:szCs w:val="24"/>
                      <w:highlight w:val="none"/>
                      <w:u w:val="none"/>
                      <w:lang w:val="en-US" w:eastAsia="zh-CN" w:bidi="ar-SA"/>
                    </w:rPr>
                    <w:t>二级</w:t>
                  </w:r>
                  <w:r>
                    <w:rPr>
                      <w:rFonts w:hint="eastAsia" w:ascii="宋体" w:hAnsi="宋体" w:eastAsia="宋体" w:cs="宋体"/>
                      <w:b/>
                      <w:i w:val="0"/>
                      <w:iCs w:val="0"/>
                      <w:color w:val="auto"/>
                      <w:w w:val="95"/>
                      <w:sz w:val="24"/>
                      <w:szCs w:val="24"/>
                      <w:highlight w:val="none"/>
                      <w:u w:val="none"/>
                      <w:lang w:val="en-US" w:eastAsia="zh-CN" w:bidi="ar-SA"/>
                    </w:rPr>
                    <w:t>指标</w:t>
                  </w:r>
                </w:p>
              </w:tc>
              <w:tc>
                <w:tcPr>
                  <w:tcW w:w="3214" w:type="dxa"/>
                  <w:vAlign w:val="center"/>
                </w:tcPr>
                <w:p w14:paraId="3ED53C8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b/>
                      <w:i w:val="0"/>
                      <w:iCs w:val="0"/>
                      <w:color w:val="auto"/>
                      <w:sz w:val="24"/>
                      <w:szCs w:val="24"/>
                      <w:highlight w:val="none"/>
                      <w:u w:val="none"/>
                      <w:lang w:val="en-US" w:eastAsia="zh-CN" w:bidi="ar-SA"/>
                    </w:rPr>
                  </w:pPr>
                  <w:r>
                    <w:rPr>
                      <w:rFonts w:hint="eastAsia" w:ascii="宋体" w:hAnsi="宋体" w:eastAsia="宋体" w:cs="宋体"/>
                      <w:b/>
                      <w:i w:val="0"/>
                      <w:iCs w:val="0"/>
                      <w:color w:val="auto"/>
                      <w:w w:val="95"/>
                      <w:sz w:val="24"/>
                      <w:szCs w:val="24"/>
                      <w:highlight w:val="none"/>
                      <w:u w:val="none"/>
                      <w:lang w:val="en-US" w:eastAsia="zh-CN" w:bidi="ar-SA"/>
                    </w:rPr>
                    <w:t>指标要</w:t>
                  </w:r>
                  <w:r>
                    <w:rPr>
                      <w:rFonts w:hint="eastAsia" w:ascii="宋体" w:hAnsi="宋体" w:eastAsia="宋体" w:cs="宋体"/>
                      <w:b/>
                      <w:i w:val="0"/>
                      <w:iCs w:val="0"/>
                      <w:color w:val="auto"/>
                      <w:spacing w:val="-10"/>
                      <w:w w:val="95"/>
                      <w:sz w:val="24"/>
                      <w:szCs w:val="24"/>
                      <w:highlight w:val="none"/>
                      <w:u w:val="none"/>
                      <w:lang w:val="en-US" w:eastAsia="zh-CN" w:bidi="ar-SA"/>
                    </w:rPr>
                    <w:t>求</w:t>
                  </w:r>
                </w:p>
              </w:tc>
            </w:tr>
            <w:tr w14:paraId="1936DE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145DA7C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1</w:t>
                  </w:r>
                </w:p>
              </w:tc>
              <w:tc>
                <w:tcPr>
                  <w:tcW w:w="737" w:type="dxa"/>
                  <w:vAlign w:val="center"/>
                </w:tcPr>
                <w:p w14:paraId="119F217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Align w:val="center"/>
                </w:tcPr>
                <w:p w14:paraId="5E9063F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CPU</w:t>
                  </w:r>
                </w:p>
                <w:p w14:paraId="55471F4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0D78AB8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CPU</w:t>
                  </w:r>
                  <w:r>
                    <w:rPr>
                      <w:rFonts w:hint="eastAsia" w:ascii="宋体" w:hAnsi="宋体" w:eastAsia="宋体" w:cs="宋体"/>
                      <w:i w:val="0"/>
                      <w:iCs w:val="0"/>
                      <w:color w:val="auto"/>
                      <w:spacing w:val="-23"/>
                      <w:sz w:val="24"/>
                      <w:szCs w:val="24"/>
                      <w:highlight w:val="none"/>
                      <w:u w:val="none"/>
                      <w:lang w:val="en-US" w:eastAsia="zh-CN" w:bidi="ar-SA"/>
                    </w:rPr>
                    <w:t>信</w:t>
                  </w:r>
                  <w:r>
                    <w:rPr>
                      <w:rFonts w:hint="eastAsia" w:ascii="宋体" w:hAnsi="宋体" w:eastAsia="宋体" w:cs="宋体"/>
                      <w:i w:val="0"/>
                      <w:iCs w:val="0"/>
                      <w:color w:val="auto"/>
                      <w:spacing w:val="-10"/>
                      <w:sz w:val="24"/>
                      <w:szCs w:val="24"/>
                      <w:highlight w:val="none"/>
                      <w:u w:val="none"/>
                      <w:lang w:val="en-US" w:eastAsia="zh-CN" w:bidi="ar-SA"/>
                    </w:rPr>
                    <w:t>息</w:t>
                  </w:r>
                </w:p>
              </w:tc>
              <w:tc>
                <w:tcPr>
                  <w:tcW w:w="3214" w:type="dxa"/>
                  <w:vAlign w:val="center"/>
                </w:tcPr>
                <w:p w14:paraId="000FFCD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CPU不低于10核心、不低于20线程，主频不低于3.7GHz，内存不低于32G、最高速率不低于4800MHz、单通道不低于64位</w:t>
                  </w:r>
                </w:p>
              </w:tc>
            </w:tr>
            <w:tr w14:paraId="3BA95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5E84E1C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2</w:t>
                  </w:r>
                </w:p>
              </w:tc>
              <w:tc>
                <w:tcPr>
                  <w:tcW w:w="737" w:type="dxa"/>
                  <w:vAlign w:val="center"/>
                </w:tcPr>
                <w:p w14:paraId="0E35B79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7179F3E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内存</w:t>
                  </w:r>
                  <w:r>
                    <w:rPr>
                      <w:rFonts w:hint="eastAsia" w:ascii="宋体" w:hAnsi="宋体" w:eastAsia="宋体" w:cs="宋体"/>
                      <w:i w:val="0"/>
                      <w:iCs w:val="0"/>
                      <w:color w:val="auto"/>
                      <w:spacing w:val="-6"/>
                      <w:sz w:val="24"/>
                      <w:szCs w:val="24"/>
                      <w:highlight w:val="none"/>
                      <w:u w:val="none"/>
                      <w:lang w:val="en-US" w:eastAsia="zh-CN" w:bidi="ar-SA"/>
                    </w:rPr>
                    <w:t>规格</w:t>
                  </w:r>
                </w:p>
              </w:tc>
              <w:tc>
                <w:tcPr>
                  <w:tcW w:w="958" w:type="dxa"/>
                  <w:vAlign w:val="center"/>
                </w:tcPr>
                <w:p w14:paraId="48B3737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内存配置容量</w:t>
                  </w:r>
                </w:p>
              </w:tc>
              <w:tc>
                <w:tcPr>
                  <w:tcW w:w="3214" w:type="dxa"/>
                  <w:vAlign w:val="center"/>
                </w:tcPr>
                <w:p w14:paraId="01218EA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≥32GB</w:t>
                  </w:r>
                </w:p>
              </w:tc>
            </w:tr>
            <w:tr w14:paraId="11ADC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E973C0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3</w:t>
                  </w:r>
                </w:p>
              </w:tc>
              <w:tc>
                <w:tcPr>
                  <w:tcW w:w="737" w:type="dxa"/>
                  <w:vAlign w:val="center"/>
                </w:tcPr>
                <w:p w14:paraId="7D9F2F3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40BB3768">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B48565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内存类</w:t>
                  </w:r>
                  <w:r>
                    <w:rPr>
                      <w:rFonts w:hint="eastAsia" w:ascii="宋体" w:hAnsi="宋体" w:eastAsia="宋体" w:cs="宋体"/>
                      <w:i w:val="0"/>
                      <w:iCs w:val="0"/>
                      <w:color w:val="auto"/>
                      <w:spacing w:val="-10"/>
                      <w:sz w:val="24"/>
                      <w:szCs w:val="24"/>
                      <w:highlight w:val="none"/>
                      <w:u w:val="none"/>
                      <w:lang w:val="en-US" w:eastAsia="zh-CN" w:bidi="ar-SA"/>
                    </w:rPr>
                    <w:t>型</w:t>
                  </w:r>
                </w:p>
              </w:tc>
              <w:tc>
                <w:tcPr>
                  <w:tcW w:w="3214" w:type="dxa"/>
                  <w:vAlign w:val="center"/>
                </w:tcPr>
                <w:p w14:paraId="1CEE5C3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6"/>
                      <w:sz w:val="24"/>
                      <w:szCs w:val="24"/>
                      <w:highlight w:val="none"/>
                      <w:u w:val="single"/>
                      <w:lang w:val="en-US" w:eastAsia="zh-CN" w:bidi="ar-SA"/>
                    </w:rPr>
                    <w:t>支持</w:t>
                  </w:r>
                  <w:r>
                    <w:rPr>
                      <w:rFonts w:hint="eastAsia" w:ascii="宋体" w:hAnsi="宋体" w:eastAsia="宋体" w:cs="宋体"/>
                      <w:i/>
                      <w:iCs/>
                      <w:color w:val="auto"/>
                      <w:sz w:val="24"/>
                      <w:szCs w:val="24"/>
                      <w:highlight w:val="none"/>
                      <w:u w:val="single"/>
                      <w:lang w:val="en-US" w:eastAsia="zh-CN" w:bidi="ar-SA"/>
                    </w:rPr>
                    <w:t>DDR4/LPDDR4/LPDDR4X</w:t>
                  </w:r>
                  <w:r>
                    <w:rPr>
                      <w:rFonts w:hint="eastAsia" w:ascii="宋体" w:hAnsi="宋体" w:eastAsia="宋体" w:cs="宋体"/>
                      <w:i/>
                      <w:iCs/>
                      <w:color w:val="auto"/>
                      <w:spacing w:val="-9"/>
                      <w:sz w:val="24"/>
                      <w:szCs w:val="24"/>
                      <w:highlight w:val="none"/>
                      <w:u w:val="single"/>
                      <w:lang w:val="en-US" w:eastAsia="zh-CN" w:bidi="ar-SA"/>
                    </w:rPr>
                    <w:t xml:space="preserve"> 及以上内</w:t>
                  </w:r>
                  <w:r>
                    <w:rPr>
                      <w:rFonts w:hint="eastAsia" w:ascii="宋体" w:hAnsi="宋体" w:eastAsia="宋体" w:cs="宋体"/>
                      <w:i/>
                      <w:iCs/>
                      <w:color w:val="auto"/>
                      <w:spacing w:val="-4"/>
                      <w:sz w:val="24"/>
                      <w:szCs w:val="24"/>
                      <w:highlight w:val="none"/>
                      <w:u w:val="single"/>
                      <w:lang w:val="en-US" w:eastAsia="zh-CN" w:bidi="ar-SA"/>
                    </w:rPr>
                    <w:t>存类型</w:t>
                  </w:r>
                </w:p>
              </w:tc>
            </w:tr>
            <w:tr w14:paraId="5AA5F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1063D6B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4</w:t>
                  </w:r>
                </w:p>
              </w:tc>
              <w:tc>
                <w:tcPr>
                  <w:tcW w:w="737" w:type="dxa"/>
                  <w:vAlign w:val="center"/>
                </w:tcPr>
                <w:p w14:paraId="5ABD965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3904A311">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ED2305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内存条</w:t>
                  </w:r>
                  <w:r>
                    <w:rPr>
                      <w:rFonts w:hint="eastAsia" w:ascii="宋体" w:hAnsi="宋体" w:eastAsia="宋体" w:cs="宋体"/>
                      <w:i w:val="0"/>
                      <w:iCs w:val="0"/>
                      <w:color w:val="auto"/>
                      <w:spacing w:val="-3"/>
                      <w:sz w:val="24"/>
                      <w:szCs w:val="24"/>
                      <w:highlight w:val="none"/>
                      <w:u w:val="none"/>
                      <w:lang w:val="en-US" w:eastAsia="zh-CN" w:bidi="ar-SA"/>
                    </w:rPr>
                    <w:t>配置数量</w:t>
                  </w:r>
                </w:p>
                <w:p w14:paraId="7A1532D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（板载内存不涉</w:t>
                  </w:r>
                </w:p>
                <w:p w14:paraId="046A65B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及</w:t>
                  </w:r>
                  <w:r>
                    <w:rPr>
                      <w:rFonts w:hint="eastAsia" w:ascii="宋体" w:hAnsi="宋体" w:eastAsia="宋体" w:cs="宋体"/>
                      <w:i w:val="0"/>
                      <w:iCs w:val="0"/>
                      <w:color w:val="auto"/>
                      <w:spacing w:val="-10"/>
                      <w:sz w:val="24"/>
                      <w:szCs w:val="24"/>
                      <w:highlight w:val="none"/>
                      <w:u w:val="none"/>
                      <w:lang w:val="en-US" w:eastAsia="zh-CN" w:bidi="ar-SA"/>
                    </w:rPr>
                    <w:t>）</w:t>
                  </w:r>
                </w:p>
              </w:tc>
              <w:tc>
                <w:tcPr>
                  <w:tcW w:w="3214" w:type="dxa"/>
                  <w:vAlign w:val="center"/>
                </w:tcPr>
                <w:p w14:paraId="3DED69B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≥2</w:t>
                  </w:r>
                </w:p>
              </w:tc>
            </w:tr>
            <w:tr w14:paraId="70195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00" w:type="dxa"/>
                  <w:vAlign w:val="center"/>
                </w:tcPr>
                <w:p w14:paraId="3C68733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5</w:t>
                  </w:r>
                </w:p>
              </w:tc>
              <w:tc>
                <w:tcPr>
                  <w:tcW w:w="737" w:type="dxa"/>
                  <w:vAlign w:val="center"/>
                </w:tcPr>
                <w:p w14:paraId="0F20F0F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63502DA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主板</w:t>
                  </w: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46732EC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主板集成模块</w:t>
                  </w:r>
                </w:p>
              </w:tc>
              <w:tc>
                <w:tcPr>
                  <w:tcW w:w="3214" w:type="dxa"/>
                  <w:vAlign w:val="center"/>
                </w:tcPr>
                <w:p w14:paraId="31948EB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集成资源扩展模块、计算处理模块、音</w:t>
                  </w:r>
                  <w:r>
                    <w:rPr>
                      <w:rFonts w:hint="eastAsia" w:ascii="宋体" w:hAnsi="宋体" w:eastAsia="宋体" w:cs="宋体"/>
                      <w:i/>
                      <w:iCs/>
                      <w:color w:val="auto"/>
                      <w:spacing w:val="-11"/>
                      <w:sz w:val="24"/>
                      <w:szCs w:val="24"/>
                      <w:highlight w:val="none"/>
                      <w:u w:val="single"/>
                      <w:lang w:val="en-US" w:eastAsia="zh-CN" w:bidi="ar-SA"/>
                    </w:rPr>
                    <w:t>频扩展模块等，主板的互联拓扑可通过</w:t>
                  </w:r>
                  <w:r>
                    <w:rPr>
                      <w:rFonts w:hint="eastAsia" w:ascii="宋体" w:hAnsi="宋体" w:eastAsia="宋体" w:cs="宋体"/>
                      <w:i/>
                      <w:iCs/>
                      <w:color w:val="auto"/>
                      <w:spacing w:val="-2"/>
                      <w:sz w:val="24"/>
                      <w:szCs w:val="24"/>
                      <w:highlight w:val="none"/>
                      <w:u w:val="single"/>
                      <w:lang w:val="en-US" w:eastAsia="zh-CN" w:bidi="ar-SA"/>
                    </w:rPr>
                    <w:t>处理器或交换电路实现</w:t>
                  </w:r>
                </w:p>
              </w:tc>
            </w:tr>
            <w:tr w14:paraId="54EA2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7BC75CC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6</w:t>
                  </w:r>
                </w:p>
              </w:tc>
              <w:tc>
                <w:tcPr>
                  <w:tcW w:w="737" w:type="dxa"/>
                  <w:vAlign w:val="center"/>
                </w:tcPr>
                <w:p w14:paraId="4B60565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6D62E7A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C3F8E4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主板支</w:t>
                  </w:r>
                  <w:r>
                    <w:rPr>
                      <w:rFonts w:hint="eastAsia" w:ascii="宋体" w:hAnsi="宋体" w:eastAsia="宋体" w:cs="宋体"/>
                      <w:i w:val="0"/>
                      <w:iCs w:val="0"/>
                      <w:color w:val="auto"/>
                      <w:spacing w:val="-8"/>
                      <w:sz w:val="24"/>
                      <w:szCs w:val="24"/>
                      <w:highlight w:val="none"/>
                      <w:u w:val="none"/>
                      <w:lang w:val="en-US" w:eastAsia="zh-CN" w:bidi="ar-SA"/>
                    </w:rPr>
                    <w:t xml:space="preserve">持的 </w:t>
                  </w:r>
                  <w:r>
                    <w:rPr>
                      <w:rFonts w:hint="eastAsia" w:ascii="宋体" w:hAnsi="宋体" w:eastAsia="宋体" w:cs="宋体"/>
                      <w:i w:val="0"/>
                      <w:iCs w:val="0"/>
                      <w:color w:val="auto"/>
                      <w:sz w:val="24"/>
                      <w:szCs w:val="24"/>
                      <w:highlight w:val="none"/>
                      <w:u w:val="none"/>
                      <w:lang w:val="en-US" w:eastAsia="zh-CN" w:bidi="ar-SA"/>
                    </w:rPr>
                    <w:t>CPU</w:t>
                  </w:r>
                  <w:r>
                    <w:rPr>
                      <w:rFonts w:hint="eastAsia" w:ascii="宋体" w:hAnsi="宋体" w:eastAsia="宋体" w:cs="宋体"/>
                      <w:i w:val="0"/>
                      <w:iCs w:val="0"/>
                      <w:color w:val="auto"/>
                      <w:spacing w:val="-4"/>
                      <w:sz w:val="24"/>
                      <w:szCs w:val="24"/>
                      <w:highlight w:val="none"/>
                      <w:u w:val="none"/>
                      <w:lang w:val="en-US" w:eastAsia="zh-CN" w:bidi="ar-SA"/>
                    </w:rPr>
                    <w:t>和内存情</w:t>
                  </w:r>
                  <w:r>
                    <w:rPr>
                      <w:rFonts w:hint="eastAsia" w:ascii="宋体" w:hAnsi="宋体" w:eastAsia="宋体" w:cs="宋体"/>
                      <w:i w:val="0"/>
                      <w:iCs w:val="0"/>
                      <w:color w:val="auto"/>
                      <w:spacing w:val="-10"/>
                      <w:sz w:val="24"/>
                      <w:szCs w:val="24"/>
                      <w:highlight w:val="none"/>
                      <w:u w:val="none"/>
                      <w:lang w:val="en-US" w:eastAsia="zh-CN" w:bidi="ar-SA"/>
                    </w:rPr>
                    <w:t>况</w:t>
                  </w:r>
                </w:p>
              </w:tc>
              <w:tc>
                <w:tcPr>
                  <w:tcW w:w="3214" w:type="dxa"/>
                  <w:vAlign w:val="center"/>
                </w:tcPr>
                <w:p w14:paraId="1D20633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1388A33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iCs/>
                      <w:color w:val="auto"/>
                      <w:spacing w:val="-6"/>
                      <w:sz w:val="24"/>
                      <w:szCs w:val="24"/>
                      <w:highlight w:val="none"/>
                      <w:u w:val="single"/>
                      <w:lang w:val="en-US" w:eastAsia="zh-CN" w:bidi="ar-SA"/>
                    </w:rPr>
                    <w:t>CPU</w:t>
                  </w:r>
                  <w:r>
                    <w:rPr>
                      <w:rFonts w:hint="eastAsia" w:ascii="宋体" w:hAnsi="宋体" w:eastAsia="宋体" w:cs="宋体"/>
                      <w:i/>
                      <w:iCs/>
                      <w:color w:val="auto"/>
                      <w:spacing w:val="-6"/>
                      <w:sz w:val="24"/>
                      <w:szCs w:val="24"/>
                      <w:highlight w:val="none"/>
                      <w:u w:val="single"/>
                      <w:lang w:val="en-US" w:eastAsia="zh-CN" w:bidi="ar-SA"/>
                    </w:rPr>
                    <w:t>不少于1颗10核心、不低于20线程，主频不低于3.7GHz，内存不低于32G</w:t>
                  </w:r>
                </w:p>
              </w:tc>
            </w:tr>
            <w:tr w14:paraId="3A6DD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0" w:hRule="atLeast"/>
              </w:trPr>
              <w:tc>
                <w:tcPr>
                  <w:tcW w:w="600" w:type="dxa"/>
                  <w:vAlign w:val="center"/>
                </w:tcPr>
                <w:p w14:paraId="46F7DBC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7</w:t>
                  </w:r>
                </w:p>
              </w:tc>
              <w:tc>
                <w:tcPr>
                  <w:tcW w:w="737" w:type="dxa"/>
                  <w:vAlign w:val="center"/>
                </w:tcPr>
                <w:p w14:paraId="402EFAE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7D3D2BA0">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172392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主板内置 </w:t>
                  </w:r>
                  <w:r>
                    <w:rPr>
                      <w:rFonts w:hint="eastAsia" w:ascii="宋体" w:hAnsi="宋体" w:eastAsia="宋体" w:cs="宋体"/>
                      <w:i w:val="0"/>
                      <w:iCs w:val="0"/>
                      <w:color w:val="auto"/>
                      <w:sz w:val="24"/>
                      <w:szCs w:val="24"/>
                      <w:highlight w:val="none"/>
                      <w:u w:val="none"/>
                      <w:lang w:val="en-US" w:eastAsia="zh-CN" w:bidi="ar-SA"/>
                    </w:rPr>
                    <w:t>PCIe</w:t>
                  </w:r>
                  <w:r>
                    <w:rPr>
                      <w:rFonts w:hint="eastAsia" w:ascii="宋体" w:hAnsi="宋体" w:eastAsia="宋体" w:cs="宋体"/>
                      <w:i w:val="0"/>
                      <w:iCs w:val="0"/>
                      <w:color w:val="auto"/>
                      <w:spacing w:val="-20"/>
                      <w:sz w:val="24"/>
                      <w:szCs w:val="24"/>
                      <w:highlight w:val="none"/>
                      <w:u w:val="none"/>
                      <w:lang w:val="en-US" w:eastAsia="zh-CN" w:bidi="ar-SA"/>
                    </w:rPr>
                    <w:t xml:space="preserve"> 插</w:t>
                  </w:r>
                  <w:r>
                    <w:rPr>
                      <w:rFonts w:hint="eastAsia" w:ascii="宋体" w:hAnsi="宋体" w:eastAsia="宋体" w:cs="宋体"/>
                      <w:i w:val="0"/>
                      <w:iCs w:val="0"/>
                      <w:color w:val="auto"/>
                      <w:spacing w:val="-4"/>
                      <w:sz w:val="24"/>
                      <w:szCs w:val="24"/>
                      <w:highlight w:val="none"/>
                      <w:u w:val="none"/>
                      <w:lang w:val="en-US" w:eastAsia="zh-CN" w:bidi="ar-SA"/>
                    </w:rPr>
                    <w:t>槽数量</w:t>
                  </w:r>
                </w:p>
              </w:tc>
              <w:tc>
                <w:tcPr>
                  <w:tcW w:w="3214" w:type="dxa"/>
                  <w:vAlign w:val="center"/>
                </w:tcPr>
                <w:p w14:paraId="45ED146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支持数量</w:t>
                  </w:r>
                  <w:r>
                    <w:rPr>
                      <w:rFonts w:hint="eastAsia" w:ascii="宋体" w:hAnsi="宋体" w:eastAsia="宋体" w:cs="宋体"/>
                      <w:i/>
                      <w:iCs/>
                      <w:color w:val="auto"/>
                      <w:spacing w:val="-5"/>
                      <w:sz w:val="24"/>
                      <w:szCs w:val="24"/>
                      <w:highlight w:val="none"/>
                      <w:u w:val="single"/>
                      <w:lang w:val="en-US" w:eastAsia="zh-CN" w:bidi="ar-SA"/>
                    </w:rPr>
                    <w:t>≥3</w:t>
                  </w:r>
                </w:p>
                <w:p w14:paraId="5F89A5A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其中至少包括一个</w:t>
                  </w:r>
                  <w:r>
                    <w:rPr>
                      <w:rFonts w:hint="eastAsia" w:ascii="宋体" w:hAnsi="宋体" w:eastAsia="宋体" w:cs="宋体"/>
                      <w:i/>
                      <w:iCs/>
                      <w:color w:val="auto"/>
                      <w:sz w:val="24"/>
                      <w:szCs w:val="24"/>
                      <w:highlight w:val="none"/>
                      <w:u w:val="single"/>
                      <w:lang w:val="en-US" w:eastAsia="zh-CN" w:bidi="ar-SA"/>
                    </w:rPr>
                    <w:t>PCIex16</w:t>
                  </w:r>
                  <w:r>
                    <w:rPr>
                      <w:rFonts w:hint="eastAsia" w:ascii="宋体" w:hAnsi="宋体" w:eastAsia="宋体" w:cs="宋体"/>
                      <w:i/>
                      <w:iCs/>
                      <w:color w:val="auto"/>
                      <w:spacing w:val="-11"/>
                      <w:sz w:val="24"/>
                      <w:szCs w:val="24"/>
                      <w:highlight w:val="none"/>
                      <w:u w:val="single"/>
                      <w:lang w:val="en-US" w:eastAsia="zh-CN" w:bidi="ar-SA"/>
                    </w:rPr>
                    <w:t xml:space="preserve"> 和一个</w:t>
                  </w:r>
                  <w:r>
                    <w:rPr>
                      <w:rFonts w:hint="eastAsia" w:ascii="宋体" w:hAnsi="宋体" w:eastAsia="宋体" w:cs="宋体"/>
                      <w:i/>
                      <w:iCs/>
                      <w:color w:val="auto"/>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PCIex8</w:t>
                  </w:r>
                </w:p>
              </w:tc>
            </w:tr>
            <w:tr w14:paraId="7D86E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600" w:type="dxa"/>
                  <w:vAlign w:val="center"/>
                </w:tcPr>
                <w:p w14:paraId="04990FD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8</w:t>
                  </w:r>
                </w:p>
              </w:tc>
              <w:tc>
                <w:tcPr>
                  <w:tcW w:w="737" w:type="dxa"/>
                  <w:vAlign w:val="center"/>
                </w:tcPr>
                <w:p w14:paraId="65DB06D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4C6B03F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2424EC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特殊孔位及接口</w:t>
                  </w:r>
                </w:p>
              </w:tc>
              <w:tc>
                <w:tcPr>
                  <w:tcW w:w="3214" w:type="dxa"/>
                  <w:vAlign w:val="center"/>
                </w:tcPr>
                <w:p w14:paraId="5F641CE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a）</w:t>
                  </w:r>
                  <w:r>
                    <w:rPr>
                      <w:rFonts w:hint="eastAsia" w:ascii="宋体" w:hAnsi="宋体" w:eastAsia="宋体" w:cs="宋体"/>
                      <w:i/>
                      <w:iCs/>
                      <w:color w:val="auto"/>
                      <w:spacing w:val="-10"/>
                      <w:sz w:val="24"/>
                      <w:szCs w:val="24"/>
                      <w:highlight w:val="none"/>
                      <w:u w:val="single"/>
                      <w:lang w:val="en-US" w:eastAsia="zh-CN" w:bidi="ar-SA"/>
                    </w:rPr>
                    <w:t xml:space="preserve">在计算机主板预留满足 </w:t>
                  </w:r>
                  <w:r>
                    <w:rPr>
                      <w:rFonts w:hint="eastAsia" w:ascii="宋体" w:hAnsi="宋体" w:eastAsia="宋体" w:cs="宋体"/>
                      <w:i/>
                      <w:iCs/>
                      <w:color w:val="auto"/>
                      <w:spacing w:val="-6"/>
                      <w:sz w:val="24"/>
                      <w:szCs w:val="24"/>
                      <w:highlight w:val="none"/>
                      <w:u w:val="single"/>
                      <w:lang w:val="en-US" w:eastAsia="zh-CN" w:bidi="ar-SA"/>
                    </w:rPr>
                    <w:t>USB3.0</w:t>
                  </w:r>
                  <w:r>
                    <w:rPr>
                      <w:rFonts w:hint="eastAsia" w:ascii="宋体" w:hAnsi="宋体" w:eastAsia="宋体" w:cs="宋体"/>
                      <w:i/>
                      <w:iCs/>
                      <w:color w:val="auto"/>
                      <w:spacing w:val="-18"/>
                      <w:sz w:val="24"/>
                      <w:szCs w:val="24"/>
                      <w:highlight w:val="none"/>
                      <w:u w:val="single"/>
                      <w:lang w:val="en-US" w:eastAsia="zh-CN" w:bidi="ar-SA"/>
                    </w:rPr>
                    <w:t xml:space="preserve"> 数据</w:t>
                  </w:r>
                  <w:r>
                    <w:rPr>
                      <w:rFonts w:hint="eastAsia" w:ascii="宋体" w:hAnsi="宋体" w:eastAsia="宋体" w:cs="宋体"/>
                      <w:i/>
                      <w:iCs/>
                      <w:color w:val="auto"/>
                      <w:spacing w:val="-4"/>
                      <w:sz w:val="24"/>
                      <w:szCs w:val="24"/>
                      <w:highlight w:val="none"/>
                      <w:u w:val="single"/>
                      <w:lang w:val="en-US" w:eastAsia="zh-CN" w:bidi="ar-SA"/>
                    </w:rPr>
                    <w:t xml:space="preserve">传输规范的接口，工作电压 </w:t>
                  </w:r>
                  <w:r>
                    <w:rPr>
                      <w:rFonts w:hint="eastAsia" w:ascii="宋体" w:hAnsi="宋体" w:eastAsia="宋体" w:cs="宋体"/>
                      <w:i/>
                      <w:iCs/>
                      <w:color w:val="auto"/>
                      <w:sz w:val="24"/>
                      <w:szCs w:val="24"/>
                      <w:highlight w:val="none"/>
                      <w:u w:val="single"/>
                      <w:lang w:val="en-US" w:eastAsia="zh-CN" w:bidi="ar-SA"/>
                    </w:rPr>
                    <w:t>5V，最大</w:t>
                  </w:r>
                  <w:r>
                    <w:rPr>
                      <w:rFonts w:hint="eastAsia" w:ascii="宋体" w:hAnsi="宋体" w:eastAsia="宋体" w:cs="宋体"/>
                      <w:i/>
                      <w:iCs/>
                      <w:color w:val="auto"/>
                      <w:spacing w:val="-6"/>
                      <w:sz w:val="24"/>
                      <w:szCs w:val="24"/>
                      <w:highlight w:val="none"/>
                      <w:u w:val="single"/>
                      <w:lang w:val="en-US" w:eastAsia="zh-CN" w:bidi="ar-SA"/>
                    </w:rPr>
                    <w:t xml:space="preserve">过电流应不小于 </w:t>
                  </w:r>
                  <w:r>
                    <w:rPr>
                      <w:rFonts w:hint="eastAsia" w:ascii="宋体" w:hAnsi="宋体" w:eastAsia="宋体" w:cs="宋体"/>
                      <w:i/>
                      <w:iCs/>
                      <w:color w:val="auto"/>
                      <w:sz w:val="24"/>
                      <w:szCs w:val="24"/>
                      <w:highlight w:val="none"/>
                      <w:u w:val="single"/>
                      <w:lang w:val="en-US" w:eastAsia="zh-CN" w:bidi="ar-SA"/>
                    </w:rPr>
                    <w:t>3A；</w:t>
                  </w:r>
                </w:p>
                <w:p w14:paraId="6E7399C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b</w:t>
                  </w:r>
                  <w:r>
                    <w:rPr>
                      <w:rFonts w:hint="eastAsia" w:ascii="宋体" w:hAnsi="宋体" w:eastAsia="宋体" w:cs="宋体"/>
                      <w:i/>
                      <w:iCs/>
                      <w:color w:val="auto"/>
                      <w:spacing w:val="-2"/>
                      <w:sz w:val="24"/>
                      <w:szCs w:val="24"/>
                      <w:highlight w:val="none"/>
                      <w:u w:val="single"/>
                      <w:lang w:val="en-US" w:eastAsia="zh-CN" w:bidi="ar-SA"/>
                    </w:rPr>
                    <w:t>) 预留多功能导入装置板卡安装孔</w:t>
                  </w:r>
                </w:p>
                <w:p w14:paraId="005DFB0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位，采用内置方式与主机一体化集成，</w:t>
                  </w:r>
                  <w:r>
                    <w:rPr>
                      <w:rFonts w:hint="eastAsia" w:ascii="宋体" w:hAnsi="宋体" w:eastAsia="宋体" w:cs="宋体"/>
                      <w:i/>
                      <w:iCs/>
                      <w:color w:val="auto"/>
                      <w:spacing w:val="-8"/>
                      <w:sz w:val="24"/>
                      <w:szCs w:val="24"/>
                      <w:highlight w:val="none"/>
                      <w:u w:val="single"/>
                      <w:lang w:val="en-US" w:eastAsia="zh-CN" w:bidi="ar-SA"/>
                    </w:rPr>
                    <w:t xml:space="preserve">容量不小于 </w:t>
                  </w:r>
                  <w:r>
                    <w:rPr>
                      <w:rFonts w:hint="eastAsia" w:ascii="宋体" w:hAnsi="宋体" w:eastAsia="宋体" w:cs="宋体"/>
                      <w:i/>
                      <w:iCs/>
                      <w:color w:val="auto"/>
                      <w:sz w:val="24"/>
                      <w:szCs w:val="24"/>
                      <w:highlight w:val="none"/>
                      <w:u w:val="single"/>
                      <w:lang w:val="en-US" w:eastAsia="zh-CN" w:bidi="ar-SA"/>
                    </w:rPr>
                    <w:t>145mm×125mm×16.5mm</w:t>
                  </w:r>
                </w:p>
                <w:p w14:paraId="35A9E75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（长×宽×高</w:t>
                  </w:r>
                  <w:r>
                    <w:rPr>
                      <w:rFonts w:hint="eastAsia" w:ascii="宋体" w:hAnsi="宋体" w:eastAsia="宋体" w:cs="宋体"/>
                      <w:i/>
                      <w:iCs/>
                      <w:color w:val="auto"/>
                      <w:spacing w:val="-10"/>
                      <w:sz w:val="24"/>
                      <w:szCs w:val="24"/>
                      <w:highlight w:val="none"/>
                      <w:u w:val="single"/>
                      <w:lang w:val="en-US" w:eastAsia="zh-CN" w:bidi="ar-SA"/>
                    </w:rPr>
                    <w:t>）</w:t>
                  </w:r>
                </w:p>
              </w:tc>
            </w:tr>
            <w:tr w14:paraId="53E7B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70C758B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9</w:t>
                  </w:r>
                </w:p>
              </w:tc>
              <w:tc>
                <w:tcPr>
                  <w:tcW w:w="737" w:type="dxa"/>
                  <w:vAlign w:val="center"/>
                </w:tcPr>
                <w:p w14:paraId="08C594D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4E8B3AFF">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042306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主板其他内置接</w:t>
                  </w:r>
                  <w:r>
                    <w:rPr>
                      <w:rFonts w:hint="eastAsia" w:ascii="宋体" w:hAnsi="宋体" w:eastAsia="宋体" w:cs="宋体"/>
                      <w:i w:val="0"/>
                      <w:iCs w:val="0"/>
                      <w:color w:val="auto"/>
                      <w:spacing w:val="-10"/>
                      <w:sz w:val="24"/>
                      <w:szCs w:val="24"/>
                      <w:highlight w:val="none"/>
                      <w:u w:val="none"/>
                      <w:lang w:val="en-US" w:eastAsia="zh-CN" w:bidi="ar-SA"/>
                    </w:rPr>
                    <w:t>口</w:t>
                  </w:r>
                </w:p>
              </w:tc>
              <w:tc>
                <w:tcPr>
                  <w:tcW w:w="3214" w:type="dxa"/>
                  <w:vAlign w:val="center"/>
                </w:tcPr>
                <w:p w14:paraId="210EAB8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不少于2个SATA3.0 或M.2以上接口、不少于4个USB3.0以上接口</w:t>
                  </w:r>
                </w:p>
              </w:tc>
            </w:tr>
            <w:tr w14:paraId="6A85B3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trPr>
              <w:tc>
                <w:tcPr>
                  <w:tcW w:w="600" w:type="dxa"/>
                  <w:vAlign w:val="center"/>
                </w:tcPr>
                <w:p w14:paraId="2DF38A7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w:t>
                  </w:r>
                </w:p>
              </w:tc>
              <w:tc>
                <w:tcPr>
                  <w:tcW w:w="737" w:type="dxa"/>
                  <w:vAlign w:val="center"/>
                </w:tcPr>
                <w:p w14:paraId="07F02C8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3CA72F51">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864A3C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单内存插槽最大可支持容量（板载内存不涉</w:t>
                  </w:r>
                  <w:r>
                    <w:rPr>
                      <w:rFonts w:hint="eastAsia" w:ascii="宋体" w:hAnsi="宋体" w:eastAsia="宋体" w:cs="宋体"/>
                      <w:i w:val="0"/>
                      <w:iCs w:val="0"/>
                      <w:color w:val="auto"/>
                      <w:spacing w:val="-6"/>
                      <w:sz w:val="24"/>
                      <w:szCs w:val="24"/>
                      <w:highlight w:val="none"/>
                      <w:u w:val="none"/>
                      <w:lang w:val="en-US" w:eastAsia="zh-CN" w:bidi="ar-SA"/>
                    </w:rPr>
                    <w:t>及）</w:t>
                  </w:r>
                </w:p>
              </w:tc>
              <w:tc>
                <w:tcPr>
                  <w:tcW w:w="3214" w:type="dxa"/>
                  <w:vAlign w:val="center"/>
                </w:tcPr>
                <w:p w14:paraId="3B6AFDB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≥32GB</w:t>
                  </w:r>
                </w:p>
              </w:tc>
            </w:tr>
            <w:tr w14:paraId="0C5FA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0" w:hRule="atLeast"/>
              </w:trPr>
              <w:tc>
                <w:tcPr>
                  <w:tcW w:w="600" w:type="dxa"/>
                  <w:vAlign w:val="center"/>
                </w:tcPr>
                <w:p w14:paraId="2A0096F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bookmarkStart w:id="173" w:name="_bookmark1"/>
                  <w:bookmarkEnd w:id="173"/>
                  <w:bookmarkStart w:id="174" w:name="_bookmark0"/>
                  <w:bookmarkEnd w:id="174"/>
                  <w:r>
                    <w:rPr>
                      <w:rFonts w:hint="eastAsia" w:ascii="宋体" w:hAnsi="宋体" w:eastAsia="宋体" w:cs="宋体"/>
                      <w:i w:val="0"/>
                      <w:iCs w:val="0"/>
                      <w:color w:val="auto"/>
                      <w:spacing w:val="-5"/>
                      <w:sz w:val="24"/>
                      <w:szCs w:val="24"/>
                      <w:highlight w:val="none"/>
                      <w:u w:val="none"/>
                      <w:lang w:val="en-US" w:eastAsia="zh-CN" w:bidi="ar-SA"/>
                    </w:rPr>
                    <w:t>11</w:t>
                  </w:r>
                </w:p>
              </w:tc>
              <w:tc>
                <w:tcPr>
                  <w:tcW w:w="737" w:type="dxa"/>
                  <w:vAlign w:val="center"/>
                </w:tcPr>
                <w:p w14:paraId="2C7C112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Align w:val="center"/>
                </w:tcPr>
                <w:p w14:paraId="1DE02A8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*主板</w:t>
                  </w: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451FD50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内存插槽满配时提供的最高内存总</w:t>
                  </w:r>
                  <w:r>
                    <w:rPr>
                      <w:rFonts w:hint="eastAsia" w:ascii="宋体" w:hAnsi="宋体" w:eastAsia="宋体" w:cs="宋体"/>
                      <w:i w:val="0"/>
                      <w:iCs w:val="0"/>
                      <w:color w:val="auto"/>
                      <w:spacing w:val="-6"/>
                      <w:sz w:val="24"/>
                      <w:szCs w:val="24"/>
                      <w:highlight w:val="none"/>
                      <w:u w:val="none"/>
                      <w:lang w:val="en-US" w:eastAsia="zh-CN" w:bidi="ar-SA"/>
                    </w:rPr>
                    <w:t>容量</w:t>
                  </w:r>
                </w:p>
              </w:tc>
              <w:tc>
                <w:tcPr>
                  <w:tcW w:w="3214" w:type="dxa"/>
                  <w:vAlign w:val="center"/>
                </w:tcPr>
                <w:p w14:paraId="5A70A73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≥256GB</w:t>
                  </w:r>
                </w:p>
              </w:tc>
            </w:tr>
            <w:tr w14:paraId="779902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52CB685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w:t>
                  </w:r>
                </w:p>
              </w:tc>
              <w:tc>
                <w:tcPr>
                  <w:tcW w:w="737" w:type="dxa"/>
                  <w:vAlign w:val="center"/>
                </w:tcPr>
                <w:p w14:paraId="227095D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63DF37F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存储</w:t>
                  </w:r>
                  <w:r>
                    <w:rPr>
                      <w:rFonts w:hint="eastAsia" w:ascii="宋体" w:hAnsi="宋体" w:eastAsia="宋体" w:cs="宋体"/>
                      <w:i w:val="0"/>
                      <w:iCs w:val="0"/>
                      <w:color w:val="auto"/>
                      <w:spacing w:val="-6"/>
                      <w:sz w:val="24"/>
                      <w:szCs w:val="24"/>
                      <w:highlight w:val="none"/>
                      <w:u w:val="none"/>
                      <w:lang w:val="en-US" w:eastAsia="zh-CN" w:bidi="ar-SA"/>
                    </w:rPr>
                    <w:t>设备</w:t>
                  </w: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65437C8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固态盘</w:t>
                  </w:r>
                  <w:r>
                    <w:rPr>
                      <w:rFonts w:hint="eastAsia" w:ascii="宋体" w:hAnsi="宋体" w:eastAsia="宋体" w:cs="宋体"/>
                      <w:i w:val="0"/>
                      <w:iCs w:val="0"/>
                      <w:color w:val="auto"/>
                      <w:spacing w:val="-6"/>
                      <w:sz w:val="24"/>
                      <w:szCs w:val="24"/>
                      <w:highlight w:val="none"/>
                      <w:u w:val="none"/>
                      <w:lang w:val="en-US" w:eastAsia="zh-CN" w:bidi="ar-SA"/>
                    </w:rPr>
                    <w:t>数量</w:t>
                  </w:r>
                </w:p>
              </w:tc>
              <w:tc>
                <w:tcPr>
                  <w:tcW w:w="3214" w:type="dxa"/>
                  <w:vAlign w:val="center"/>
                </w:tcPr>
                <w:p w14:paraId="49A495B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≥1</w:t>
                  </w:r>
                  <w:r>
                    <w:rPr>
                      <w:rFonts w:hint="eastAsia" w:ascii="宋体" w:hAnsi="宋体" w:eastAsia="宋体" w:cs="宋体"/>
                      <w:i/>
                      <w:iCs/>
                      <w:color w:val="auto"/>
                      <w:spacing w:val="-28"/>
                      <w:sz w:val="24"/>
                      <w:szCs w:val="24"/>
                      <w:highlight w:val="none"/>
                      <w:u w:val="single"/>
                      <w:lang w:val="en-US" w:eastAsia="zh-CN" w:bidi="ar-SA"/>
                    </w:rPr>
                    <w:t xml:space="preserve"> 个</w:t>
                  </w:r>
                </w:p>
              </w:tc>
            </w:tr>
            <w:tr w14:paraId="2E2566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32D9F01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w:t>
                  </w:r>
                </w:p>
              </w:tc>
              <w:tc>
                <w:tcPr>
                  <w:tcW w:w="737" w:type="dxa"/>
                  <w:vAlign w:val="center"/>
                </w:tcPr>
                <w:p w14:paraId="25A0178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597DD08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8945FB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固态存储容量</w:t>
                  </w:r>
                </w:p>
              </w:tc>
              <w:tc>
                <w:tcPr>
                  <w:tcW w:w="3214" w:type="dxa"/>
                  <w:vAlign w:val="center"/>
                </w:tcPr>
                <w:p w14:paraId="37E6B25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135F277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≥512GB</w:t>
                  </w:r>
                </w:p>
              </w:tc>
            </w:tr>
            <w:tr w14:paraId="3DF4F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27CD262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w:t>
                  </w:r>
                </w:p>
              </w:tc>
              <w:tc>
                <w:tcPr>
                  <w:tcW w:w="737" w:type="dxa"/>
                  <w:vAlign w:val="center"/>
                </w:tcPr>
                <w:p w14:paraId="5586EC3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F35E6A1">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19E36B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机械硬盘数量</w:t>
                  </w:r>
                </w:p>
              </w:tc>
              <w:tc>
                <w:tcPr>
                  <w:tcW w:w="3214" w:type="dxa"/>
                  <w:vAlign w:val="center"/>
                </w:tcPr>
                <w:p w14:paraId="51A17AD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≥1</w:t>
                  </w:r>
                  <w:r>
                    <w:rPr>
                      <w:rFonts w:hint="eastAsia" w:ascii="宋体" w:hAnsi="宋体" w:eastAsia="宋体" w:cs="宋体"/>
                      <w:i/>
                      <w:iCs/>
                      <w:color w:val="auto"/>
                      <w:spacing w:val="-28"/>
                      <w:sz w:val="24"/>
                      <w:szCs w:val="24"/>
                      <w:highlight w:val="none"/>
                      <w:u w:val="single"/>
                      <w:lang w:val="en-US" w:eastAsia="zh-CN" w:bidi="ar-SA"/>
                    </w:rPr>
                    <w:t xml:space="preserve"> 个</w:t>
                  </w:r>
                </w:p>
              </w:tc>
            </w:tr>
            <w:tr w14:paraId="3B246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4527538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w:t>
                  </w:r>
                </w:p>
              </w:tc>
              <w:tc>
                <w:tcPr>
                  <w:tcW w:w="737" w:type="dxa"/>
                  <w:vAlign w:val="center"/>
                </w:tcPr>
                <w:p w14:paraId="5C15EEE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7ECF1484">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FB2069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机械硬</w:t>
                  </w:r>
                  <w:r>
                    <w:rPr>
                      <w:rFonts w:hint="eastAsia" w:ascii="宋体" w:hAnsi="宋体" w:eastAsia="宋体" w:cs="宋体"/>
                      <w:i w:val="0"/>
                      <w:iCs w:val="0"/>
                      <w:color w:val="auto"/>
                      <w:spacing w:val="-3"/>
                      <w:sz w:val="24"/>
                      <w:szCs w:val="24"/>
                      <w:highlight w:val="none"/>
                      <w:u w:val="none"/>
                      <w:lang w:val="en-US" w:eastAsia="zh-CN" w:bidi="ar-SA"/>
                    </w:rPr>
                    <w:t>盘总容量</w:t>
                  </w:r>
                </w:p>
              </w:tc>
              <w:tc>
                <w:tcPr>
                  <w:tcW w:w="3214" w:type="dxa"/>
                  <w:vAlign w:val="center"/>
                </w:tcPr>
                <w:p w14:paraId="10B75CB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3A98274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≥1TB</w:t>
                  </w:r>
                </w:p>
              </w:tc>
            </w:tr>
            <w:tr w14:paraId="4DF28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240757C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w:t>
                  </w:r>
                </w:p>
              </w:tc>
              <w:tc>
                <w:tcPr>
                  <w:tcW w:w="737" w:type="dxa"/>
                  <w:vAlign w:val="center"/>
                </w:tcPr>
                <w:p w14:paraId="4599E1E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6B84E7B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31808A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机械硬盘转速</w:t>
                  </w:r>
                </w:p>
              </w:tc>
              <w:tc>
                <w:tcPr>
                  <w:tcW w:w="3214" w:type="dxa"/>
                  <w:vAlign w:val="center"/>
                </w:tcPr>
                <w:p w14:paraId="4F84519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≥7200rpm</w:t>
                  </w:r>
                </w:p>
              </w:tc>
            </w:tr>
            <w:tr w14:paraId="4819EE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4EFD997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w:t>
                  </w:r>
                </w:p>
              </w:tc>
              <w:tc>
                <w:tcPr>
                  <w:tcW w:w="737" w:type="dxa"/>
                  <w:vAlign w:val="center"/>
                </w:tcPr>
                <w:p w14:paraId="00998F4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7ED13EA7">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65EC98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机械硬盘</w:t>
                  </w:r>
                  <w:r>
                    <w:rPr>
                      <w:rFonts w:hint="eastAsia" w:ascii="宋体" w:hAnsi="宋体" w:eastAsia="宋体" w:cs="宋体"/>
                      <w:i w:val="0"/>
                      <w:iCs w:val="0"/>
                      <w:color w:val="auto"/>
                      <w:spacing w:val="-3"/>
                      <w:sz w:val="24"/>
                      <w:szCs w:val="24"/>
                      <w:highlight w:val="none"/>
                      <w:u w:val="none"/>
                      <w:lang w:val="en-US" w:eastAsia="zh-CN" w:bidi="ar-SA"/>
                    </w:rPr>
                    <w:t>接口协议</w:t>
                  </w:r>
                </w:p>
              </w:tc>
              <w:tc>
                <w:tcPr>
                  <w:tcW w:w="3214" w:type="dxa"/>
                  <w:vAlign w:val="center"/>
                </w:tcPr>
                <w:p w14:paraId="0AA38FF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6"/>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SATA3.0</w:t>
                  </w:r>
                  <w:r>
                    <w:rPr>
                      <w:rFonts w:hint="eastAsia" w:ascii="宋体" w:hAnsi="宋体" w:eastAsia="宋体" w:cs="宋体"/>
                      <w:i/>
                      <w:iCs/>
                      <w:color w:val="auto"/>
                      <w:spacing w:val="-17"/>
                      <w:sz w:val="24"/>
                      <w:szCs w:val="24"/>
                      <w:highlight w:val="none"/>
                      <w:u w:val="single"/>
                      <w:lang w:val="en-US" w:eastAsia="zh-CN" w:bidi="ar-SA"/>
                    </w:rPr>
                    <w:t xml:space="preserve"> 及以上或 </w:t>
                  </w:r>
                  <w:r>
                    <w:rPr>
                      <w:rFonts w:hint="eastAsia" w:ascii="宋体" w:hAnsi="宋体" w:eastAsia="宋体" w:cs="宋体"/>
                      <w:i/>
                      <w:iCs/>
                      <w:color w:val="auto"/>
                      <w:spacing w:val="-2"/>
                      <w:sz w:val="24"/>
                      <w:szCs w:val="24"/>
                      <w:highlight w:val="none"/>
                      <w:u w:val="single"/>
                      <w:lang w:val="en-US" w:eastAsia="zh-CN" w:bidi="ar-SA"/>
                    </w:rPr>
                    <w:t>SAS3.0</w:t>
                  </w:r>
                  <w:r>
                    <w:rPr>
                      <w:rFonts w:hint="eastAsia" w:ascii="宋体" w:hAnsi="宋体" w:eastAsia="宋体" w:cs="宋体"/>
                      <w:i/>
                      <w:iCs/>
                      <w:color w:val="auto"/>
                      <w:spacing w:val="-14"/>
                      <w:sz w:val="24"/>
                      <w:szCs w:val="24"/>
                      <w:highlight w:val="none"/>
                      <w:u w:val="single"/>
                      <w:lang w:val="en-US" w:eastAsia="zh-CN" w:bidi="ar-SA"/>
                    </w:rPr>
                    <w:t xml:space="preserve"> 及以上</w:t>
                  </w:r>
                  <w:r>
                    <w:rPr>
                      <w:rFonts w:hint="eastAsia" w:ascii="宋体" w:hAnsi="宋体" w:eastAsia="宋体" w:cs="宋体"/>
                      <w:i/>
                      <w:iCs/>
                      <w:color w:val="auto"/>
                      <w:spacing w:val="-6"/>
                      <w:sz w:val="24"/>
                      <w:szCs w:val="24"/>
                      <w:highlight w:val="none"/>
                      <w:u w:val="single"/>
                      <w:lang w:val="en-US" w:eastAsia="zh-CN" w:bidi="ar-SA"/>
                    </w:rPr>
                    <w:t>接口</w:t>
                  </w:r>
                </w:p>
              </w:tc>
            </w:tr>
            <w:tr w14:paraId="4B547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571162F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w:t>
                  </w:r>
                </w:p>
              </w:tc>
              <w:tc>
                <w:tcPr>
                  <w:tcW w:w="737" w:type="dxa"/>
                  <w:vAlign w:val="center"/>
                </w:tcPr>
                <w:p w14:paraId="34E63E5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172296F">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CDD78E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机械硬盘</w:t>
                  </w:r>
                  <w:r>
                    <w:rPr>
                      <w:rFonts w:hint="eastAsia" w:ascii="宋体" w:hAnsi="宋体" w:eastAsia="宋体" w:cs="宋体"/>
                      <w:i w:val="0"/>
                      <w:iCs w:val="0"/>
                      <w:color w:val="auto"/>
                      <w:spacing w:val="-6"/>
                      <w:sz w:val="24"/>
                      <w:szCs w:val="24"/>
                      <w:highlight w:val="none"/>
                      <w:u w:val="none"/>
                      <w:lang w:val="en-US" w:eastAsia="zh-CN" w:bidi="ar-SA"/>
                    </w:rPr>
                    <w:t>形态</w:t>
                  </w:r>
                </w:p>
              </w:tc>
              <w:tc>
                <w:tcPr>
                  <w:tcW w:w="3214" w:type="dxa"/>
                  <w:vAlign w:val="center"/>
                </w:tcPr>
                <w:p w14:paraId="7364365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2.5</w:t>
                  </w:r>
                  <w:r>
                    <w:rPr>
                      <w:rFonts w:hint="eastAsia" w:ascii="宋体" w:hAnsi="宋体" w:eastAsia="宋体" w:cs="宋体"/>
                      <w:i/>
                      <w:iCs/>
                      <w:color w:val="auto"/>
                      <w:spacing w:val="-19"/>
                      <w:sz w:val="24"/>
                      <w:szCs w:val="24"/>
                      <w:highlight w:val="none"/>
                      <w:u w:val="single"/>
                      <w:lang w:val="en-US" w:eastAsia="zh-CN" w:bidi="ar-SA"/>
                    </w:rPr>
                    <w:t xml:space="preserve"> 英寸或 </w:t>
                  </w:r>
                  <w:r>
                    <w:rPr>
                      <w:rFonts w:hint="eastAsia" w:ascii="宋体" w:hAnsi="宋体" w:eastAsia="宋体" w:cs="宋体"/>
                      <w:i/>
                      <w:iCs/>
                      <w:color w:val="auto"/>
                      <w:spacing w:val="-2"/>
                      <w:sz w:val="24"/>
                      <w:szCs w:val="24"/>
                      <w:highlight w:val="none"/>
                      <w:u w:val="single"/>
                      <w:lang w:val="en-US" w:eastAsia="zh-CN" w:bidi="ar-SA"/>
                    </w:rPr>
                    <w:t>3.5</w:t>
                  </w:r>
                  <w:r>
                    <w:rPr>
                      <w:rFonts w:hint="eastAsia" w:ascii="宋体" w:hAnsi="宋体" w:eastAsia="宋体" w:cs="宋体"/>
                      <w:i/>
                      <w:iCs/>
                      <w:color w:val="auto"/>
                      <w:spacing w:val="-14"/>
                      <w:sz w:val="24"/>
                      <w:szCs w:val="24"/>
                      <w:highlight w:val="none"/>
                      <w:u w:val="single"/>
                      <w:lang w:val="en-US" w:eastAsia="zh-CN" w:bidi="ar-SA"/>
                    </w:rPr>
                    <w:t xml:space="preserve"> 英寸等</w:t>
                  </w:r>
                </w:p>
              </w:tc>
            </w:tr>
            <w:tr w14:paraId="34C88E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3221501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19</w:t>
                  </w:r>
                </w:p>
              </w:tc>
              <w:tc>
                <w:tcPr>
                  <w:tcW w:w="737" w:type="dxa"/>
                  <w:vAlign w:val="center"/>
                </w:tcPr>
                <w:p w14:paraId="61E439E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4246A11">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5AD911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固态存储</w:t>
                  </w:r>
                  <w:r>
                    <w:rPr>
                      <w:rFonts w:hint="eastAsia" w:ascii="宋体" w:hAnsi="宋体" w:eastAsia="宋体" w:cs="宋体"/>
                      <w:i w:val="0"/>
                      <w:iCs w:val="0"/>
                      <w:color w:val="auto"/>
                      <w:spacing w:val="-3"/>
                      <w:sz w:val="24"/>
                      <w:szCs w:val="24"/>
                      <w:highlight w:val="none"/>
                      <w:u w:val="none"/>
                      <w:lang w:val="en-US" w:eastAsia="zh-CN" w:bidi="ar-SA"/>
                    </w:rPr>
                    <w:t>接口协议</w:t>
                  </w:r>
                </w:p>
              </w:tc>
              <w:tc>
                <w:tcPr>
                  <w:tcW w:w="3214" w:type="dxa"/>
                  <w:vAlign w:val="center"/>
                </w:tcPr>
                <w:p w14:paraId="6CC780F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UFS/SATA/PCIe/NVMe/M.2</w:t>
                  </w:r>
                  <w:r>
                    <w:rPr>
                      <w:rFonts w:hint="eastAsia" w:ascii="宋体" w:hAnsi="宋体" w:eastAsia="宋体" w:cs="宋体"/>
                      <w:i/>
                      <w:iCs/>
                      <w:color w:val="auto"/>
                      <w:spacing w:val="-9"/>
                      <w:sz w:val="24"/>
                      <w:szCs w:val="24"/>
                      <w:highlight w:val="none"/>
                      <w:u w:val="single"/>
                      <w:lang w:val="en-US" w:eastAsia="zh-CN" w:bidi="ar-SA"/>
                    </w:rPr>
                    <w:t xml:space="preserve"> 等类型接口</w:t>
                  </w:r>
                  <w:r>
                    <w:rPr>
                      <w:rFonts w:hint="eastAsia" w:ascii="宋体" w:hAnsi="宋体" w:eastAsia="宋体" w:cs="宋体"/>
                      <w:i/>
                      <w:iCs/>
                      <w:color w:val="auto"/>
                      <w:spacing w:val="-6"/>
                      <w:sz w:val="24"/>
                      <w:szCs w:val="24"/>
                      <w:highlight w:val="none"/>
                      <w:u w:val="single"/>
                      <w:lang w:val="en-US" w:eastAsia="zh-CN" w:bidi="ar-SA"/>
                    </w:rPr>
                    <w:t>协议</w:t>
                  </w:r>
                </w:p>
              </w:tc>
            </w:tr>
            <w:tr w14:paraId="42760E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2626147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20</w:t>
                  </w:r>
                </w:p>
              </w:tc>
              <w:tc>
                <w:tcPr>
                  <w:tcW w:w="737" w:type="dxa"/>
                  <w:vAlign w:val="center"/>
                </w:tcPr>
                <w:p w14:paraId="40E78A4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6CE1278">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AAB727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固态存储形态</w:t>
                  </w:r>
                </w:p>
              </w:tc>
              <w:tc>
                <w:tcPr>
                  <w:tcW w:w="3214" w:type="dxa"/>
                  <w:vAlign w:val="center"/>
                </w:tcPr>
                <w:p w14:paraId="70480CC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采用插卡或板载等形态，插卡形态宜符</w:t>
                  </w:r>
                  <w:r>
                    <w:rPr>
                      <w:rFonts w:hint="eastAsia" w:ascii="宋体" w:hAnsi="宋体" w:eastAsia="宋体" w:cs="宋体"/>
                      <w:i/>
                      <w:iCs/>
                      <w:color w:val="auto"/>
                      <w:spacing w:val="26"/>
                      <w:sz w:val="24"/>
                      <w:szCs w:val="24"/>
                      <w:highlight w:val="none"/>
                      <w:u w:val="single"/>
                      <w:lang w:val="en-US" w:eastAsia="zh-CN" w:bidi="ar-SA"/>
                    </w:rPr>
                    <w:t>合</w:t>
                  </w:r>
                  <w:r>
                    <w:rPr>
                      <w:rFonts w:hint="eastAsia" w:ascii="宋体" w:hAnsi="宋体" w:eastAsia="宋体" w:cs="宋体"/>
                      <w:i/>
                      <w:iCs/>
                      <w:color w:val="auto"/>
                      <w:sz w:val="24"/>
                      <w:szCs w:val="24"/>
                      <w:highlight w:val="none"/>
                      <w:u w:val="single"/>
                      <w:lang w:val="en-US" w:eastAsia="zh-CN" w:bidi="ar-SA"/>
                    </w:rPr>
                    <w:t>M.2</w:t>
                  </w:r>
                  <w:r>
                    <w:rPr>
                      <w:rFonts w:hint="eastAsia" w:ascii="宋体" w:hAnsi="宋体" w:eastAsia="宋体" w:cs="宋体"/>
                      <w:i/>
                      <w:iCs/>
                      <w:color w:val="auto"/>
                      <w:spacing w:val="-17"/>
                      <w:sz w:val="24"/>
                      <w:szCs w:val="24"/>
                      <w:highlight w:val="none"/>
                      <w:u w:val="single"/>
                      <w:lang w:val="en-US" w:eastAsia="zh-CN" w:bidi="ar-SA"/>
                    </w:rPr>
                    <w:t xml:space="preserve"> 或</w:t>
                  </w:r>
                  <w:r>
                    <w:rPr>
                      <w:rFonts w:hint="eastAsia" w:ascii="宋体" w:hAnsi="宋体" w:eastAsia="宋体" w:cs="宋体"/>
                      <w:i/>
                      <w:iCs/>
                      <w:color w:val="auto"/>
                      <w:sz w:val="24"/>
                      <w:szCs w:val="24"/>
                      <w:highlight w:val="none"/>
                      <w:u w:val="single"/>
                      <w:lang w:val="en-US" w:eastAsia="zh-CN" w:bidi="ar-SA"/>
                    </w:rPr>
                    <w:t>mSATA</w:t>
                  </w:r>
                  <w:r>
                    <w:rPr>
                      <w:rFonts w:hint="eastAsia" w:ascii="宋体" w:hAnsi="宋体" w:eastAsia="宋体" w:cs="宋体"/>
                      <w:i/>
                      <w:iCs/>
                      <w:color w:val="auto"/>
                      <w:spacing w:val="-9"/>
                      <w:sz w:val="24"/>
                      <w:szCs w:val="24"/>
                      <w:highlight w:val="none"/>
                      <w:u w:val="single"/>
                      <w:lang w:val="en-US" w:eastAsia="zh-CN" w:bidi="ar-SA"/>
                    </w:rPr>
                    <w:t xml:space="preserve"> 等标准尺寸和接口定义</w:t>
                  </w:r>
                </w:p>
              </w:tc>
            </w:tr>
            <w:tr w14:paraId="0743B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681DA95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21</w:t>
                  </w:r>
                </w:p>
              </w:tc>
              <w:tc>
                <w:tcPr>
                  <w:tcW w:w="737" w:type="dxa"/>
                  <w:vAlign w:val="center"/>
                </w:tcPr>
                <w:p w14:paraId="46A0B83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3ED027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75AD03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存储设备</w:t>
                  </w:r>
                  <w:r>
                    <w:rPr>
                      <w:rFonts w:hint="eastAsia" w:ascii="宋体" w:hAnsi="宋体" w:eastAsia="宋体" w:cs="宋体"/>
                      <w:i w:val="0"/>
                      <w:iCs w:val="0"/>
                      <w:color w:val="auto"/>
                      <w:spacing w:val="-3"/>
                      <w:sz w:val="24"/>
                      <w:szCs w:val="24"/>
                      <w:highlight w:val="none"/>
                      <w:u w:val="none"/>
                      <w:lang w:val="en-US" w:eastAsia="zh-CN" w:bidi="ar-SA"/>
                    </w:rPr>
                    <w:t>扩展盘位</w:t>
                  </w:r>
                </w:p>
              </w:tc>
              <w:tc>
                <w:tcPr>
                  <w:tcW w:w="3214" w:type="dxa"/>
                  <w:vAlign w:val="center"/>
                </w:tcPr>
                <w:p w14:paraId="425248F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default"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w:t>
                  </w:r>
                </w:p>
              </w:tc>
            </w:tr>
            <w:tr w14:paraId="31533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7" w:hRule="atLeast"/>
              </w:trPr>
              <w:tc>
                <w:tcPr>
                  <w:tcW w:w="600" w:type="dxa"/>
                  <w:vAlign w:val="center"/>
                </w:tcPr>
                <w:p w14:paraId="7E4191F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22</w:t>
                  </w:r>
                </w:p>
              </w:tc>
              <w:tc>
                <w:tcPr>
                  <w:tcW w:w="737" w:type="dxa"/>
                  <w:vAlign w:val="center"/>
                </w:tcPr>
                <w:p w14:paraId="13972F0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B1291C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746616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存储设备其他参数要求</w:t>
                  </w:r>
                </w:p>
              </w:tc>
              <w:tc>
                <w:tcPr>
                  <w:tcW w:w="3214" w:type="dxa"/>
                  <w:vAlign w:val="center"/>
                </w:tcPr>
                <w:p w14:paraId="01BB78D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a）</w:t>
                  </w:r>
                  <w:r>
                    <w:rPr>
                      <w:rFonts w:hint="eastAsia" w:ascii="宋体" w:hAnsi="宋体" w:eastAsia="宋体" w:cs="宋体"/>
                      <w:i/>
                      <w:iCs/>
                      <w:color w:val="auto"/>
                      <w:spacing w:val="-13"/>
                      <w:sz w:val="24"/>
                      <w:szCs w:val="24"/>
                      <w:highlight w:val="none"/>
                      <w:u w:val="single"/>
                      <w:lang w:val="en-US" w:eastAsia="zh-CN" w:bidi="ar-SA"/>
                    </w:rPr>
                    <w:t xml:space="preserve">固态盘应符合 </w:t>
                  </w:r>
                  <w:r>
                    <w:rPr>
                      <w:rFonts w:hint="eastAsia" w:ascii="宋体" w:hAnsi="宋体" w:eastAsia="宋体" w:cs="宋体"/>
                      <w:i/>
                      <w:iCs/>
                      <w:color w:val="auto"/>
                      <w:spacing w:val="-6"/>
                      <w:sz w:val="24"/>
                      <w:szCs w:val="24"/>
                      <w:highlight w:val="none"/>
                      <w:u w:val="single"/>
                      <w:lang w:val="en-US" w:eastAsia="zh-CN" w:bidi="ar-SA"/>
                    </w:rPr>
                    <w:t>SJ/T</w:t>
                  </w:r>
                  <w:r>
                    <w:rPr>
                      <w:rFonts w:hint="eastAsia" w:ascii="宋体" w:hAnsi="宋体" w:eastAsia="宋体" w:cs="宋体"/>
                      <w:i/>
                      <w:iCs/>
                      <w:color w:val="auto"/>
                      <w:spacing w:val="-43"/>
                      <w:sz w:val="24"/>
                      <w:szCs w:val="24"/>
                      <w:highlight w:val="none"/>
                      <w:u w:val="single"/>
                      <w:lang w:val="en-US" w:eastAsia="zh-CN" w:bidi="ar-SA"/>
                    </w:rPr>
                    <w:t xml:space="preserve"> </w:t>
                  </w:r>
                  <w:r>
                    <w:rPr>
                      <w:rFonts w:hint="eastAsia" w:ascii="宋体" w:hAnsi="宋体" w:eastAsia="宋体" w:cs="宋体"/>
                      <w:i/>
                      <w:iCs/>
                      <w:color w:val="auto"/>
                      <w:spacing w:val="-6"/>
                      <w:sz w:val="24"/>
                      <w:szCs w:val="24"/>
                      <w:highlight w:val="none"/>
                      <w:u w:val="single"/>
                      <w:lang w:val="en-US" w:eastAsia="zh-CN" w:bidi="ar-SA"/>
                    </w:rPr>
                    <w:t>11654</w:t>
                  </w:r>
                  <w:r>
                    <w:rPr>
                      <w:rFonts w:hint="eastAsia" w:ascii="宋体" w:hAnsi="宋体" w:eastAsia="宋体" w:cs="宋体"/>
                      <w:i/>
                      <w:iCs/>
                      <w:color w:val="auto"/>
                      <w:spacing w:val="-16"/>
                      <w:sz w:val="24"/>
                      <w:szCs w:val="24"/>
                      <w:highlight w:val="none"/>
                      <w:u w:val="single"/>
                      <w:lang w:val="en-US" w:eastAsia="zh-CN" w:bidi="ar-SA"/>
                    </w:rPr>
                    <w:t xml:space="preserve"> 相关规定；</w:t>
                  </w:r>
                  <w:r>
                    <w:rPr>
                      <w:rFonts w:hint="eastAsia" w:ascii="宋体" w:hAnsi="宋体" w:eastAsia="宋体" w:cs="宋体"/>
                      <w:i/>
                      <w:iCs/>
                      <w:color w:val="auto"/>
                      <w:spacing w:val="-6"/>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b）</w:t>
                  </w:r>
                  <w:r>
                    <w:rPr>
                      <w:rFonts w:hint="eastAsia" w:ascii="宋体" w:hAnsi="宋体" w:eastAsia="宋体" w:cs="宋体"/>
                      <w:i/>
                      <w:iCs/>
                      <w:color w:val="auto"/>
                      <w:spacing w:val="-4"/>
                      <w:sz w:val="24"/>
                      <w:szCs w:val="24"/>
                      <w:highlight w:val="none"/>
                      <w:u w:val="single"/>
                      <w:lang w:val="en-US" w:eastAsia="zh-CN" w:bidi="ar-SA"/>
                    </w:rPr>
                    <w:t xml:space="preserve">机械硬盘准备时间应不大于 </w:t>
                  </w:r>
                  <w:r>
                    <w:rPr>
                      <w:rFonts w:hint="eastAsia" w:ascii="宋体" w:hAnsi="宋体" w:eastAsia="宋体" w:cs="宋体"/>
                      <w:i/>
                      <w:iCs/>
                      <w:color w:val="auto"/>
                      <w:sz w:val="24"/>
                      <w:szCs w:val="24"/>
                      <w:highlight w:val="none"/>
                      <w:u w:val="single"/>
                      <w:lang w:val="en-US" w:eastAsia="zh-CN" w:bidi="ar-SA"/>
                    </w:rPr>
                    <w:t>30s；</w:t>
                  </w:r>
                  <w:r>
                    <w:rPr>
                      <w:rFonts w:hint="eastAsia" w:ascii="宋体" w:hAnsi="宋体" w:eastAsia="宋体" w:cs="宋体"/>
                      <w:i/>
                      <w:iCs/>
                      <w:color w:val="auto"/>
                      <w:spacing w:val="-4"/>
                      <w:sz w:val="24"/>
                      <w:szCs w:val="24"/>
                      <w:highlight w:val="none"/>
                      <w:u w:val="single"/>
                      <w:lang w:val="en-US" w:eastAsia="zh-CN" w:bidi="ar-SA"/>
                    </w:rPr>
                    <w:t xml:space="preserve">侧面固定螺丝孔数量可为 </w:t>
                  </w:r>
                  <w:r>
                    <w:rPr>
                      <w:rFonts w:hint="eastAsia" w:ascii="宋体" w:hAnsi="宋体" w:eastAsia="宋体" w:cs="宋体"/>
                      <w:i/>
                      <w:iCs/>
                      <w:color w:val="auto"/>
                      <w:sz w:val="24"/>
                      <w:szCs w:val="24"/>
                      <w:highlight w:val="none"/>
                      <w:u w:val="single"/>
                      <w:lang w:val="en-US" w:eastAsia="zh-CN" w:bidi="ar-SA"/>
                    </w:rPr>
                    <w:t>4</w:t>
                  </w:r>
                  <w:r>
                    <w:rPr>
                      <w:rFonts w:hint="eastAsia" w:ascii="宋体" w:hAnsi="宋体" w:eastAsia="宋体" w:cs="宋体"/>
                      <w:i/>
                      <w:iCs/>
                      <w:color w:val="auto"/>
                      <w:spacing w:val="-24"/>
                      <w:sz w:val="24"/>
                      <w:szCs w:val="24"/>
                      <w:highlight w:val="none"/>
                      <w:u w:val="single"/>
                      <w:lang w:val="en-US" w:eastAsia="zh-CN" w:bidi="ar-SA"/>
                    </w:rPr>
                    <w:t xml:space="preserve"> 孔或 </w:t>
                  </w:r>
                  <w:r>
                    <w:rPr>
                      <w:rFonts w:hint="eastAsia" w:ascii="宋体" w:hAnsi="宋体" w:eastAsia="宋体" w:cs="宋体"/>
                      <w:i/>
                      <w:iCs/>
                      <w:color w:val="auto"/>
                      <w:sz w:val="24"/>
                      <w:szCs w:val="24"/>
                      <w:highlight w:val="none"/>
                      <w:u w:val="single"/>
                      <w:lang w:val="en-US" w:eastAsia="zh-CN" w:bidi="ar-SA"/>
                    </w:rPr>
                    <w:t>6</w:t>
                  </w:r>
                  <w:r>
                    <w:rPr>
                      <w:rFonts w:hint="eastAsia" w:ascii="宋体" w:hAnsi="宋体" w:eastAsia="宋体" w:cs="宋体"/>
                      <w:i/>
                      <w:iCs/>
                      <w:color w:val="auto"/>
                      <w:spacing w:val="-16"/>
                      <w:sz w:val="24"/>
                      <w:szCs w:val="24"/>
                      <w:highlight w:val="none"/>
                      <w:u w:val="single"/>
                      <w:lang w:val="en-US" w:eastAsia="zh-CN" w:bidi="ar-SA"/>
                    </w:rPr>
                    <w:t xml:space="preserve"> 孔；</w:t>
                  </w:r>
                  <w:r>
                    <w:rPr>
                      <w:rFonts w:hint="eastAsia" w:ascii="宋体" w:hAnsi="宋体" w:eastAsia="宋体" w:cs="宋体"/>
                      <w:i/>
                      <w:iCs/>
                      <w:color w:val="auto"/>
                      <w:spacing w:val="-4"/>
                      <w:sz w:val="24"/>
                      <w:szCs w:val="24"/>
                      <w:highlight w:val="none"/>
                      <w:u w:val="single"/>
                      <w:lang w:val="en-US" w:eastAsia="zh-CN" w:bidi="ar-SA"/>
                    </w:rPr>
                    <w:t xml:space="preserve">工作状态环境温度应满足 </w:t>
                  </w:r>
                  <w:r>
                    <w:rPr>
                      <w:rFonts w:hint="eastAsia" w:ascii="宋体" w:hAnsi="宋体" w:eastAsia="宋体" w:cs="宋体"/>
                      <w:i/>
                      <w:iCs/>
                      <w:color w:val="auto"/>
                      <w:sz w:val="24"/>
                      <w:szCs w:val="24"/>
                      <w:highlight w:val="none"/>
                      <w:u w:val="single"/>
                      <w:lang w:val="en-US" w:eastAsia="zh-CN" w:bidi="ar-SA"/>
                    </w:rPr>
                    <w:t>5℃~55℃；</w:t>
                  </w:r>
                  <w:r>
                    <w:rPr>
                      <w:rFonts w:hint="eastAsia" w:ascii="宋体" w:hAnsi="宋体" w:eastAsia="宋体" w:cs="宋体"/>
                      <w:i/>
                      <w:iCs/>
                      <w:color w:val="auto"/>
                      <w:spacing w:val="-4"/>
                      <w:sz w:val="24"/>
                      <w:szCs w:val="24"/>
                      <w:highlight w:val="none"/>
                      <w:u w:val="single"/>
                      <w:lang w:val="en-US" w:eastAsia="zh-CN" w:bidi="ar-SA"/>
                    </w:rPr>
                    <w:t xml:space="preserve">其它参数应符合 </w:t>
                  </w:r>
                  <w:r>
                    <w:rPr>
                      <w:rFonts w:hint="eastAsia" w:ascii="宋体" w:hAnsi="宋体" w:eastAsia="宋体" w:cs="宋体"/>
                      <w:i/>
                      <w:iCs/>
                      <w:color w:val="auto"/>
                      <w:sz w:val="24"/>
                      <w:szCs w:val="24"/>
                      <w:highlight w:val="none"/>
                      <w:u w:val="single"/>
                      <w:lang w:val="en-US" w:eastAsia="zh-CN" w:bidi="ar-SA"/>
                    </w:rPr>
                    <w:t>GB/T 12628</w:t>
                  </w:r>
                  <w:r>
                    <w:rPr>
                      <w:rFonts w:hint="eastAsia" w:ascii="宋体" w:hAnsi="宋体" w:eastAsia="宋体" w:cs="宋体"/>
                      <w:i/>
                      <w:iCs/>
                      <w:color w:val="auto"/>
                      <w:spacing w:val="-6"/>
                      <w:sz w:val="24"/>
                      <w:szCs w:val="24"/>
                      <w:highlight w:val="none"/>
                      <w:u w:val="single"/>
                      <w:lang w:val="en-US" w:eastAsia="zh-CN" w:bidi="ar-SA"/>
                    </w:rPr>
                    <w:t xml:space="preserve"> 的相关规</w:t>
                  </w:r>
                  <w:r>
                    <w:rPr>
                      <w:rFonts w:hint="eastAsia" w:ascii="宋体" w:hAnsi="宋体" w:eastAsia="宋体" w:cs="宋体"/>
                      <w:i/>
                      <w:iCs/>
                      <w:color w:val="auto"/>
                      <w:spacing w:val="-10"/>
                      <w:sz w:val="24"/>
                      <w:szCs w:val="24"/>
                      <w:highlight w:val="none"/>
                      <w:u w:val="single"/>
                      <w:lang w:val="en-US" w:eastAsia="zh-CN" w:bidi="ar-SA"/>
                    </w:rPr>
                    <w:t>定</w:t>
                  </w:r>
                </w:p>
              </w:tc>
            </w:tr>
            <w:tr w14:paraId="0F1F3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40BFCB3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23</w:t>
                  </w:r>
                </w:p>
              </w:tc>
              <w:tc>
                <w:tcPr>
                  <w:tcW w:w="737" w:type="dxa"/>
                  <w:vAlign w:val="center"/>
                </w:tcPr>
                <w:p w14:paraId="38826C5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45D6940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显卡</w:t>
                  </w: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2A1B0A1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显卡类</w:t>
                  </w:r>
                  <w:r>
                    <w:rPr>
                      <w:rFonts w:hint="eastAsia" w:ascii="宋体" w:hAnsi="宋体" w:eastAsia="宋体" w:cs="宋体"/>
                      <w:i w:val="0"/>
                      <w:iCs w:val="0"/>
                      <w:color w:val="auto"/>
                      <w:spacing w:val="-10"/>
                      <w:sz w:val="24"/>
                      <w:szCs w:val="24"/>
                      <w:highlight w:val="none"/>
                      <w:u w:val="none"/>
                      <w:lang w:val="en-US" w:eastAsia="zh-CN" w:bidi="ar-SA"/>
                    </w:rPr>
                    <w:t>型</w:t>
                  </w:r>
                </w:p>
              </w:tc>
              <w:tc>
                <w:tcPr>
                  <w:tcW w:w="3214" w:type="dxa"/>
                  <w:vAlign w:val="center"/>
                </w:tcPr>
                <w:p w14:paraId="16BD279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独立显卡</w:t>
                  </w:r>
                </w:p>
              </w:tc>
            </w:tr>
            <w:tr w14:paraId="46F6C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06AEB74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24</w:t>
                  </w:r>
                </w:p>
              </w:tc>
              <w:tc>
                <w:tcPr>
                  <w:tcW w:w="737" w:type="dxa"/>
                  <w:vAlign w:val="center"/>
                </w:tcPr>
                <w:p w14:paraId="2F390AB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4586A84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6D9E03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独立显卡显存类</w:t>
                  </w:r>
                  <w:r>
                    <w:rPr>
                      <w:rFonts w:hint="eastAsia" w:ascii="宋体" w:hAnsi="宋体" w:eastAsia="宋体" w:cs="宋体"/>
                      <w:i w:val="0"/>
                      <w:iCs w:val="0"/>
                      <w:color w:val="auto"/>
                      <w:spacing w:val="-10"/>
                      <w:sz w:val="24"/>
                      <w:szCs w:val="24"/>
                      <w:highlight w:val="none"/>
                      <w:u w:val="none"/>
                      <w:lang w:val="en-US" w:eastAsia="zh-CN" w:bidi="ar-SA"/>
                    </w:rPr>
                    <w:t>型</w:t>
                  </w:r>
                </w:p>
              </w:tc>
              <w:tc>
                <w:tcPr>
                  <w:tcW w:w="3214" w:type="dxa"/>
                  <w:vAlign w:val="center"/>
                </w:tcPr>
                <w:p w14:paraId="30A0B08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0951E46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显存类型应为 GDDR6以上规格</w:t>
                  </w:r>
                </w:p>
              </w:tc>
            </w:tr>
            <w:tr w14:paraId="7B80F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58D399C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25</w:t>
                  </w:r>
                </w:p>
              </w:tc>
              <w:tc>
                <w:tcPr>
                  <w:tcW w:w="737" w:type="dxa"/>
                  <w:vAlign w:val="center"/>
                </w:tcPr>
                <w:p w14:paraId="4BB559B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395DF39B">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F9ED6A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独立显卡显存位</w:t>
                  </w:r>
                  <w:r>
                    <w:rPr>
                      <w:rFonts w:hint="eastAsia" w:ascii="宋体" w:hAnsi="宋体" w:eastAsia="宋体" w:cs="宋体"/>
                      <w:i w:val="0"/>
                      <w:iCs w:val="0"/>
                      <w:color w:val="auto"/>
                      <w:spacing w:val="-10"/>
                      <w:sz w:val="24"/>
                      <w:szCs w:val="24"/>
                      <w:highlight w:val="none"/>
                      <w:u w:val="none"/>
                      <w:lang w:val="en-US" w:eastAsia="zh-CN" w:bidi="ar-SA"/>
                    </w:rPr>
                    <w:t>宽</w:t>
                  </w:r>
                </w:p>
              </w:tc>
              <w:tc>
                <w:tcPr>
                  <w:tcW w:w="3214" w:type="dxa"/>
                  <w:vAlign w:val="center"/>
                </w:tcPr>
                <w:p w14:paraId="41D38C5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显存位宽≥64</w:t>
                  </w:r>
                  <w:r>
                    <w:rPr>
                      <w:rFonts w:hint="eastAsia" w:ascii="宋体" w:hAnsi="宋体" w:eastAsia="宋体" w:cs="宋体"/>
                      <w:i/>
                      <w:iCs/>
                      <w:color w:val="auto"/>
                      <w:spacing w:val="-15"/>
                      <w:sz w:val="24"/>
                      <w:szCs w:val="24"/>
                      <w:highlight w:val="none"/>
                      <w:u w:val="single"/>
                      <w:lang w:val="en-US" w:eastAsia="zh-CN" w:bidi="ar-SA"/>
                    </w:rPr>
                    <w:t xml:space="preserve"> 位</w:t>
                  </w:r>
                </w:p>
              </w:tc>
            </w:tr>
            <w:tr w14:paraId="218F0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0BA8B77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26</w:t>
                  </w:r>
                </w:p>
              </w:tc>
              <w:tc>
                <w:tcPr>
                  <w:tcW w:w="737" w:type="dxa"/>
                  <w:vAlign w:val="center"/>
                </w:tcPr>
                <w:p w14:paraId="3F74A84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36C8DE99">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25B839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独立显卡显存容</w:t>
                  </w:r>
                  <w:r>
                    <w:rPr>
                      <w:rFonts w:hint="eastAsia" w:ascii="宋体" w:hAnsi="宋体" w:eastAsia="宋体" w:cs="宋体"/>
                      <w:i w:val="0"/>
                      <w:iCs w:val="0"/>
                      <w:color w:val="auto"/>
                      <w:spacing w:val="-10"/>
                      <w:sz w:val="24"/>
                      <w:szCs w:val="24"/>
                      <w:highlight w:val="none"/>
                      <w:u w:val="none"/>
                      <w:lang w:val="en-US" w:eastAsia="zh-CN" w:bidi="ar-SA"/>
                    </w:rPr>
                    <w:t>量</w:t>
                  </w:r>
                </w:p>
              </w:tc>
              <w:tc>
                <w:tcPr>
                  <w:tcW w:w="3214" w:type="dxa"/>
                  <w:vAlign w:val="center"/>
                </w:tcPr>
                <w:p w14:paraId="11FE5BE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2CFEA34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显存容量≥</w:t>
                  </w:r>
                  <w:r>
                    <w:rPr>
                      <w:rFonts w:hint="eastAsia" w:ascii="宋体" w:hAnsi="宋体" w:eastAsia="宋体" w:cs="宋体"/>
                      <w:i/>
                      <w:iCs/>
                      <w:color w:val="auto"/>
                      <w:spacing w:val="-4"/>
                      <w:sz w:val="24"/>
                      <w:szCs w:val="24"/>
                      <w:highlight w:val="none"/>
                      <w:u w:val="single"/>
                      <w:lang w:val="en-US" w:eastAsia="zh-CN" w:bidi="ar-SA"/>
                    </w:rPr>
                    <w:t>8GB</w:t>
                  </w:r>
                </w:p>
              </w:tc>
            </w:tr>
            <w:tr w14:paraId="18A6B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9" w:hRule="atLeast"/>
              </w:trPr>
              <w:tc>
                <w:tcPr>
                  <w:tcW w:w="600" w:type="dxa"/>
                  <w:vAlign w:val="center"/>
                </w:tcPr>
                <w:p w14:paraId="516712E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27</w:t>
                  </w:r>
                </w:p>
              </w:tc>
              <w:tc>
                <w:tcPr>
                  <w:tcW w:w="737" w:type="dxa"/>
                  <w:vAlign w:val="center"/>
                </w:tcPr>
                <w:p w14:paraId="4400469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6E744B58">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7D471B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独立显卡</w:t>
                  </w:r>
                  <w:r>
                    <w:rPr>
                      <w:rFonts w:hint="eastAsia" w:ascii="宋体" w:hAnsi="宋体" w:eastAsia="宋体" w:cs="宋体"/>
                      <w:i w:val="0"/>
                      <w:iCs w:val="0"/>
                      <w:color w:val="auto"/>
                      <w:spacing w:val="-3"/>
                      <w:sz w:val="24"/>
                      <w:szCs w:val="24"/>
                      <w:highlight w:val="none"/>
                      <w:u w:val="none"/>
                      <w:lang w:val="en-US" w:eastAsia="zh-CN" w:bidi="ar-SA"/>
                    </w:rPr>
                    <w:t>接口协议</w:t>
                  </w:r>
                </w:p>
              </w:tc>
              <w:tc>
                <w:tcPr>
                  <w:tcW w:w="3214" w:type="dxa"/>
                  <w:vAlign w:val="center"/>
                </w:tcPr>
                <w:p w14:paraId="4D92B1C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left"/>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w w:val="95"/>
                      <w:sz w:val="24"/>
                      <w:szCs w:val="24"/>
                      <w:highlight w:val="none"/>
                      <w:u w:val="single"/>
                      <w:lang w:val="en-US" w:eastAsia="zh-CN" w:bidi="ar-SA"/>
                    </w:rPr>
                    <w:t>产品支持</w:t>
                  </w:r>
                  <w:r>
                    <w:rPr>
                      <w:rFonts w:hint="eastAsia" w:ascii="宋体" w:hAnsi="宋体" w:eastAsia="宋体" w:cs="宋体"/>
                      <w:i/>
                      <w:iCs/>
                      <w:color w:val="auto"/>
                      <w:spacing w:val="-6"/>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PCIe</w:t>
                  </w:r>
                  <w:r>
                    <w:rPr>
                      <w:rFonts w:hint="eastAsia" w:ascii="宋体" w:hAnsi="宋体" w:eastAsia="宋体" w:cs="宋体"/>
                      <w:i/>
                      <w:iCs/>
                      <w:color w:val="auto"/>
                      <w:spacing w:val="-8"/>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协议版本大于等于2.0或H</w:t>
                  </w:r>
                  <w:r>
                    <w:rPr>
                      <w:rFonts w:hint="eastAsia" w:ascii="宋体" w:hAnsi="宋体" w:cs="宋体"/>
                      <w:i/>
                      <w:iCs/>
                      <w:color w:val="auto"/>
                      <w:w w:val="95"/>
                      <w:sz w:val="24"/>
                      <w:szCs w:val="24"/>
                      <w:highlight w:val="none"/>
                      <w:u w:val="single"/>
                      <w:lang w:val="en-US" w:eastAsia="zh-CN" w:bidi="ar-SA"/>
                    </w:rPr>
                    <w:t>T</w:t>
                  </w:r>
                  <w:r>
                    <w:rPr>
                      <w:rFonts w:hint="eastAsia" w:ascii="宋体" w:hAnsi="宋体" w:eastAsia="宋体" w:cs="宋体"/>
                      <w:i/>
                      <w:iCs/>
                      <w:color w:val="auto"/>
                      <w:w w:val="95"/>
                      <w:sz w:val="24"/>
                      <w:szCs w:val="24"/>
                      <w:highlight w:val="none"/>
                      <w:u w:val="single"/>
                      <w:lang w:val="en-US" w:eastAsia="zh-CN" w:bidi="ar-SA"/>
                    </w:rPr>
                    <w:t>（HyperTransport）协议版本大</w:t>
                  </w:r>
                  <w:r>
                    <w:rPr>
                      <w:rFonts w:hint="eastAsia" w:ascii="宋体" w:hAnsi="宋体" w:eastAsia="宋体" w:cs="宋体"/>
                      <w:i/>
                      <w:iCs/>
                      <w:color w:val="auto"/>
                      <w:spacing w:val="-5"/>
                      <w:sz w:val="24"/>
                      <w:szCs w:val="24"/>
                      <w:highlight w:val="none"/>
                      <w:u w:val="single"/>
                      <w:lang w:val="en-US" w:eastAsia="zh-CN" w:bidi="ar-SA"/>
                    </w:rPr>
                    <w:t xml:space="preserve">于等于 </w:t>
                  </w:r>
                  <w:r>
                    <w:rPr>
                      <w:rFonts w:hint="eastAsia" w:ascii="宋体" w:hAnsi="宋体" w:eastAsia="宋体" w:cs="宋体"/>
                      <w:i/>
                      <w:iCs/>
                      <w:color w:val="auto"/>
                      <w:sz w:val="24"/>
                      <w:szCs w:val="24"/>
                      <w:highlight w:val="none"/>
                      <w:u w:val="single"/>
                      <w:lang w:val="en-US" w:eastAsia="zh-CN" w:bidi="ar-SA"/>
                    </w:rPr>
                    <w:t>3.0</w:t>
                  </w:r>
                  <w:r>
                    <w:rPr>
                      <w:rFonts w:hint="eastAsia" w:ascii="宋体" w:hAnsi="宋体" w:eastAsia="宋体" w:cs="宋体"/>
                      <w:i/>
                      <w:iCs/>
                      <w:color w:val="auto"/>
                      <w:spacing w:val="-5"/>
                      <w:sz w:val="24"/>
                      <w:szCs w:val="24"/>
                      <w:highlight w:val="none"/>
                      <w:u w:val="single"/>
                      <w:lang w:val="en-US" w:eastAsia="zh-CN" w:bidi="ar-SA"/>
                    </w:rPr>
                    <w:t xml:space="preserve"> 的独立显卡接口协议</w:t>
                  </w:r>
                </w:p>
              </w:tc>
            </w:tr>
            <w:tr w14:paraId="73C6E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707BEF6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28</w:t>
                  </w:r>
                </w:p>
              </w:tc>
              <w:tc>
                <w:tcPr>
                  <w:tcW w:w="737" w:type="dxa"/>
                  <w:vAlign w:val="center"/>
                </w:tcPr>
                <w:p w14:paraId="469B40D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25021FE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w:t>
                  </w:r>
                  <w:r>
                    <w:rPr>
                      <w:rFonts w:hint="eastAsia" w:ascii="宋体" w:hAnsi="宋体" w:eastAsia="宋体" w:cs="宋体"/>
                      <w:i w:val="0"/>
                      <w:iCs w:val="0"/>
                      <w:color w:val="auto"/>
                      <w:spacing w:val="-6"/>
                      <w:sz w:val="24"/>
                      <w:szCs w:val="24"/>
                      <w:highlight w:val="none"/>
                      <w:u w:val="none"/>
                      <w:lang w:val="en-US" w:eastAsia="zh-CN" w:bidi="ar-SA"/>
                    </w:rPr>
                    <w:t>设备</w:t>
                  </w: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440F43B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显示屏屏占比</w:t>
                  </w:r>
                </w:p>
              </w:tc>
              <w:tc>
                <w:tcPr>
                  <w:tcW w:w="3214" w:type="dxa"/>
                  <w:vAlign w:val="center"/>
                </w:tcPr>
                <w:p w14:paraId="52CA733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≥80%</w:t>
                  </w:r>
                </w:p>
              </w:tc>
            </w:tr>
            <w:tr w14:paraId="5DF0E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0" w:hRule="atLeast"/>
              </w:trPr>
              <w:tc>
                <w:tcPr>
                  <w:tcW w:w="600" w:type="dxa"/>
                  <w:vAlign w:val="center"/>
                </w:tcPr>
                <w:p w14:paraId="2ED4840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29</w:t>
                  </w:r>
                </w:p>
              </w:tc>
              <w:tc>
                <w:tcPr>
                  <w:tcW w:w="737" w:type="dxa"/>
                  <w:vAlign w:val="center"/>
                </w:tcPr>
                <w:p w14:paraId="379A44D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11ED8EB2">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05977D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显示屏分辨率</w:t>
                  </w:r>
                </w:p>
              </w:tc>
              <w:tc>
                <w:tcPr>
                  <w:tcW w:w="3214" w:type="dxa"/>
                  <w:vAlign w:val="center"/>
                </w:tcPr>
                <w:p w14:paraId="2784FC4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≥2560×1440</w:t>
                  </w:r>
                </w:p>
              </w:tc>
            </w:tr>
            <w:tr w14:paraId="24495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7F647B8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30</w:t>
                  </w:r>
                </w:p>
              </w:tc>
              <w:tc>
                <w:tcPr>
                  <w:tcW w:w="737" w:type="dxa"/>
                  <w:vAlign w:val="center"/>
                </w:tcPr>
                <w:p w14:paraId="4EFA69A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5506A5B">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EDC6FE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显示屏像素密度</w:t>
                  </w:r>
                </w:p>
              </w:tc>
              <w:tc>
                <w:tcPr>
                  <w:tcW w:w="3214" w:type="dxa"/>
                  <w:vAlign w:val="center"/>
                </w:tcPr>
                <w:p w14:paraId="3A248DB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56DFF0D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≥120</w:t>
                  </w:r>
                  <w:r>
                    <w:rPr>
                      <w:rFonts w:hint="eastAsia" w:ascii="宋体" w:hAnsi="宋体" w:eastAsia="宋体" w:cs="宋体"/>
                      <w:i/>
                      <w:iCs/>
                      <w:color w:val="auto"/>
                      <w:spacing w:val="-10"/>
                      <w:sz w:val="24"/>
                      <w:szCs w:val="24"/>
                      <w:highlight w:val="none"/>
                      <w:u w:val="single"/>
                      <w:lang w:val="en-US" w:eastAsia="zh-CN" w:bidi="ar-SA"/>
                    </w:rPr>
                    <w:t xml:space="preserve"> 像素/英寸</w:t>
                  </w:r>
                </w:p>
              </w:tc>
            </w:tr>
            <w:tr w14:paraId="3259C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3FC7935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31</w:t>
                  </w:r>
                </w:p>
              </w:tc>
              <w:tc>
                <w:tcPr>
                  <w:tcW w:w="737" w:type="dxa"/>
                  <w:vAlign w:val="center"/>
                </w:tcPr>
                <w:p w14:paraId="37836BF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1ED63A66">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B535F0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显示屏可视角度</w:t>
                  </w:r>
                </w:p>
              </w:tc>
              <w:tc>
                <w:tcPr>
                  <w:tcW w:w="3214" w:type="dxa"/>
                  <w:vAlign w:val="center"/>
                </w:tcPr>
                <w:p w14:paraId="5763692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水平≥</w:t>
                  </w:r>
                  <w:r>
                    <w:rPr>
                      <w:rFonts w:hint="eastAsia" w:ascii="宋体" w:hAnsi="宋体" w:eastAsia="宋体" w:cs="宋体"/>
                      <w:i/>
                      <w:iCs/>
                      <w:color w:val="auto"/>
                      <w:spacing w:val="-2"/>
                      <w:sz w:val="24"/>
                      <w:szCs w:val="24"/>
                      <w:highlight w:val="none"/>
                      <w:u w:val="single"/>
                      <w:lang w:val="en-US" w:eastAsia="zh-CN" w:bidi="ar-SA"/>
                    </w:rPr>
                    <w:t>170°</w:t>
                  </w:r>
                </w:p>
              </w:tc>
            </w:tr>
            <w:tr w14:paraId="5E813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600" w:type="dxa"/>
                  <w:vAlign w:val="center"/>
                </w:tcPr>
                <w:p w14:paraId="5CF037C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32</w:t>
                  </w:r>
                </w:p>
              </w:tc>
              <w:tc>
                <w:tcPr>
                  <w:tcW w:w="737" w:type="dxa"/>
                  <w:vAlign w:val="center"/>
                </w:tcPr>
                <w:p w14:paraId="7B2C24E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250FCD8F">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393C05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w:t>
                  </w:r>
                  <w:r>
                    <w:rPr>
                      <w:rFonts w:hint="eastAsia" w:ascii="宋体" w:hAnsi="宋体" w:eastAsia="宋体" w:cs="宋体"/>
                      <w:i w:val="0"/>
                      <w:iCs w:val="0"/>
                      <w:color w:val="auto"/>
                      <w:spacing w:val="-6"/>
                      <w:sz w:val="24"/>
                      <w:szCs w:val="24"/>
                      <w:highlight w:val="none"/>
                      <w:u w:val="none"/>
                      <w:lang w:val="en-US" w:eastAsia="zh-CN" w:bidi="ar-SA"/>
                    </w:rPr>
                    <w:t>尺寸</w:t>
                  </w:r>
                </w:p>
              </w:tc>
              <w:tc>
                <w:tcPr>
                  <w:tcW w:w="3214" w:type="dxa"/>
                  <w:vAlign w:val="center"/>
                </w:tcPr>
                <w:p w14:paraId="5F3B62C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≥23</w:t>
                  </w:r>
                  <w:r>
                    <w:rPr>
                      <w:rFonts w:hint="eastAsia" w:ascii="宋体" w:hAnsi="宋体" w:eastAsia="宋体" w:cs="宋体"/>
                      <w:i/>
                      <w:iCs/>
                      <w:color w:val="auto"/>
                      <w:spacing w:val="-17"/>
                      <w:sz w:val="24"/>
                      <w:szCs w:val="24"/>
                      <w:highlight w:val="none"/>
                      <w:u w:val="single"/>
                      <w:lang w:val="en-US" w:eastAsia="zh-CN" w:bidi="ar-SA"/>
                    </w:rPr>
                    <w:t xml:space="preserve"> 英寸</w:t>
                  </w:r>
                </w:p>
              </w:tc>
            </w:tr>
            <w:tr w14:paraId="59074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FD0A6C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33</w:t>
                  </w:r>
                </w:p>
              </w:tc>
              <w:tc>
                <w:tcPr>
                  <w:tcW w:w="737" w:type="dxa"/>
                  <w:vAlign w:val="center"/>
                </w:tcPr>
                <w:p w14:paraId="090080E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CEB66B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403501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w:t>
                  </w:r>
                  <w:r>
                    <w:rPr>
                      <w:rFonts w:hint="eastAsia" w:ascii="宋体" w:hAnsi="宋体" w:eastAsia="宋体" w:cs="宋体"/>
                      <w:i w:val="0"/>
                      <w:iCs w:val="0"/>
                      <w:color w:val="auto"/>
                      <w:spacing w:val="-3"/>
                      <w:sz w:val="24"/>
                      <w:szCs w:val="24"/>
                      <w:highlight w:val="none"/>
                      <w:u w:val="none"/>
                      <w:lang w:val="en-US" w:eastAsia="zh-CN" w:bidi="ar-SA"/>
                    </w:rPr>
                    <w:t>屏幕比例</w:t>
                  </w:r>
                </w:p>
              </w:tc>
              <w:tc>
                <w:tcPr>
                  <w:tcW w:w="3214" w:type="dxa"/>
                  <w:vAlign w:val="center"/>
                </w:tcPr>
                <w:p w14:paraId="55046AF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16:9</w:t>
                  </w:r>
                </w:p>
              </w:tc>
            </w:tr>
            <w:tr w14:paraId="3550A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600" w:type="dxa"/>
                  <w:vAlign w:val="center"/>
                </w:tcPr>
                <w:p w14:paraId="43D1547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34</w:t>
                  </w:r>
                </w:p>
              </w:tc>
              <w:tc>
                <w:tcPr>
                  <w:tcW w:w="737" w:type="dxa"/>
                  <w:vAlign w:val="center"/>
                </w:tcPr>
                <w:p w14:paraId="01529C0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2BBF1021">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D75608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显示器</w:t>
                  </w:r>
                  <w:r>
                    <w:rPr>
                      <w:rFonts w:hint="eastAsia" w:ascii="宋体" w:hAnsi="宋体" w:eastAsia="宋体" w:cs="宋体"/>
                      <w:i w:val="0"/>
                      <w:iCs w:val="0"/>
                      <w:color w:val="auto"/>
                      <w:spacing w:val="-3"/>
                      <w:sz w:val="24"/>
                      <w:szCs w:val="24"/>
                      <w:highlight w:val="none"/>
                      <w:u w:val="none"/>
                      <w:lang w:val="en-US" w:eastAsia="zh-CN" w:bidi="ar-SA"/>
                    </w:rPr>
                    <w:t>外观颜色</w:t>
                  </w:r>
                </w:p>
              </w:tc>
              <w:tc>
                <w:tcPr>
                  <w:tcW w:w="3214" w:type="dxa"/>
                  <w:vAlign w:val="center"/>
                </w:tcPr>
                <w:p w14:paraId="5CD6185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黑色</w:t>
                  </w:r>
                </w:p>
              </w:tc>
            </w:tr>
            <w:tr w14:paraId="786298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00" w:type="dxa"/>
                  <w:vAlign w:val="center"/>
                </w:tcPr>
                <w:p w14:paraId="21073BB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35</w:t>
                  </w:r>
                </w:p>
              </w:tc>
              <w:tc>
                <w:tcPr>
                  <w:tcW w:w="737" w:type="dxa"/>
                  <w:vAlign w:val="center"/>
                </w:tcPr>
                <w:p w14:paraId="28B9940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6EF8525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5A31EC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显示屏防蓝光</w:t>
                  </w:r>
                </w:p>
              </w:tc>
              <w:tc>
                <w:tcPr>
                  <w:tcW w:w="3214" w:type="dxa"/>
                  <w:vAlign w:val="center"/>
                </w:tcPr>
                <w:p w14:paraId="32213B3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left"/>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0"/>
                      <w:sz w:val="24"/>
                      <w:szCs w:val="24"/>
                      <w:highlight w:val="none"/>
                      <w:u w:val="single"/>
                      <w:lang w:val="en-US" w:eastAsia="zh-CN" w:bidi="ar-SA"/>
                    </w:rPr>
                    <w:t>支持防蓝光模式，蓝光加权辐射亮度比</w:t>
                  </w:r>
                  <w:r>
                    <w:rPr>
                      <w:rFonts w:hint="eastAsia" w:ascii="宋体" w:hAnsi="宋体" w:eastAsia="宋体" w:cs="宋体"/>
                      <w:i/>
                      <w:iCs/>
                      <w:color w:val="auto"/>
                      <w:spacing w:val="-4"/>
                      <w:sz w:val="24"/>
                      <w:szCs w:val="24"/>
                      <w:highlight w:val="none"/>
                      <w:u w:val="single"/>
                      <w:lang w:val="en-US" w:eastAsia="zh-CN" w:bidi="ar-SA"/>
                    </w:rPr>
                    <w:t>应≤0.0012W/(·cd·sr)（瓦每坎特拉</w:t>
                  </w:r>
                  <w:r>
                    <w:rPr>
                      <w:rFonts w:hint="eastAsia" w:ascii="宋体" w:hAnsi="宋体" w:eastAsia="宋体" w:cs="宋体"/>
                      <w:i/>
                      <w:iCs/>
                      <w:color w:val="auto"/>
                      <w:spacing w:val="-2"/>
                      <w:sz w:val="24"/>
                      <w:szCs w:val="24"/>
                      <w:highlight w:val="none"/>
                      <w:u w:val="single"/>
                      <w:lang w:val="en-US" w:eastAsia="zh-CN" w:bidi="ar-SA"/>
                    </w:rPr>
                    <w:t>每球面度）</w:t>
                  </w:r>
                </w:p>
              </w:tc>
            </w:tr>
            <w:tr w14:paraId="080548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600" w:type="dxa"/>
                  <w:vAlign w:val="center"/>
                </w:tcPr>
                <w:p w14:paraId="1A53B50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36</w:t>
                  </w:r>
                </w:p>
              </w:tc>
              <w:tc>
                <w:tcPr>
                  <w:tcW w:w="737" w:type="dxa"/>
                  <w:vAlign w:val="center"/>
                </w:tcPr>
                <w:p w14:paraId="0EE4EDD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1819F146">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14936C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显示屏低频闪</w:t>
                  </w:r>
                </w:p>
              </w:tc>
              <w:tc>
                <w:tcPr>
                  <w:tcW w:w="3214" w:type="dxa"/>
                  <w:vAlign w:val="center"/>
                </w:tcPr>
                <w:p w14:paraId="33C155E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显示屏应支持低频闪≤-</w:t>
                  </w:r>
                  <w:r>
                    <w:rPr>
                      <w:rFonts w:hint="eastAsia" w:ascii="宋体" w:hAnsi="宋体" w:eastAsia="宋体" w:cs="宋体"/>
                      <w:i/>
                      <w:iCs/>
                      <w:color w:val="auto"/>
                      <w:spacing w:val="-4"/>
                      <w:sz w:val="24"/>
                      <w:szCs w:val="24"/>
                      <w:highlight w:val="none"/>
                      <w:u w:val="single"/>
                      <w:lang w:val="en-US" w:eastAsia="zh-CN" w:bidi="ar-SA"/>
                    </w:rPr>
                    <w:t>35dB</w:t>
                  </w:r>
                </w:p>
              </w:tc>
            </w:tr>
            <w:tr w14:paraId="01076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600" w:type="dxa"/>
                  <w:vAlign w:val="center"/>
                </w:tcPr>
                <w:p w14:paraId="19A2BF4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37</w:t>
                  </w:r>
                </w:p>
              </w:tc>
              <w:tc>
                <w:tcPr>
                  <w:tcW w:w="737" w:type="dxa"/>
                  <w:vAlign w:val="center"/>
                </w:tcPr>
                <w:p w14:paraId="3ECFC7C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71C87259">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4BD38E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显示屏防炫目</w:t>
                  </w:r>
                </w:p>
              </w:tc>
              <w:tc>
                <w:tcPr>
                  <w:tcW w:w="3214" w:type="dxa"/>
                  <w:vAlign w:val="center"/>
                </w:tcPr>
                <w:p w14:paraId="3D7ABCE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显示屏镜面反射率≤</w:t>
                  </w:r>
                  <w:r>
                    <w:rPr>
                      <w:rFonts w:hint="eastAsia" w:ascii="宋体" w:hAnsi="宋体" w:eastAsia="宋体" w:cs="宋体"/>
                      <w:i/>
                      <w:iCs/>
                      <w:color w:val="auto"/>
                      <w:spacing w:val="-4"/>
                      <w:sz w:val="24"/>
                      <w:szCs w:val="24"/>
                      <w:highlight w:val="none"/>
                      <w:u w:val="single"/>
                      <w:lang w:val="en-US" w:eastAsia="zh-CN" w:bidi="ar-SA"/>
                    </w:rPr>
                    <w:t>10%</w:t>
                  </w:r>
                </w:p>
              </w:tc>
            </w:tr>
            <w:tr w14:paraId="6412D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00" w:type="dxa"/>
                  <w:vAlign w:val="center"/>
                </w:tcPr>
                <w:p w14:paraId="1ABFBB8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38</w:t>
                  </w:r>
                </w:p>
              </w:tc>
              <w:tc>
                <w:tcPr>
                  <w:tcW w:w="737" w:type="dxa"/>
                  <w:vAlign w:val="center"/>
                </w:tcPr>
                <w:p w14:paraId="4AC1BFA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085D05F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外设</w:t>
                  </w: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2882207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传声器数</w:t>
                  </w:r>
                  <w:r>
                    <w:rPr>
                      <w:rFonts w:hint="eastAsia" w:ascii="宋体" w:hAnsi="宋体" w:eastAsia="宋体" w:cs="宋体"/>
                      <w:i w:val="0"/>
                      <w:iCs w:val="0"/>
                      <w:color w:val="auto"/>
                      <w:spacing w:val="-10"/>
                      <w:sz w:val="24"/>
                      <w:szCs w:val="24"/>
                      <w:highlight w:val="none"/>
                      <w:u w:val="none"/>
                      <w:lang w:val="en-US" w:eastAsia="zh-CN" w:bidi="ar-SA"/>
                    </w:rPr>
                    <w:t>量</w:t>
                  </w:r>
                </w:p>
              </w:tc>
              <w:tc>
                <w:tcPr>
                  <w:tcW w:w="3214" w:type="dxa"/>
                  <w:vAlign w:val="center"/>
                </w:tcPr>
                <w:p w14:paraId="0D1E9C3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w:t>
                  </w:r>
                </w:p>
              </w:tc>
            </w:tr>
            <w:tr w14:paraId="1AA9A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536EAD8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39</w:t>
                  </w:r>
                </w:p>
              </w:tc>
              <w:tc>
                <w:tcPr>
                  <w:tcW w:w="737" w:type="dxa"/>
                  <w:vAlign w:val="center"/>
                </w:tcPr>
                <w:p w14:paraId="4A01325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0C7C588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tc>
              <w:tc>
                <w:tcPr>
                  <w:tcW w:w="958" w:type="dxa"/>
                  <w:vAlign w:val="center"/>
                </w:tcPr>
                <w:p w14:paraId="630234D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扬声器数</w:t>
                  </w:r>
                  <w:r>
                    <w:rPr>
                      <w:rFonts w:hint="eastAsia" w:ascii="宋体" w:hAnsi="宋体" w:eastAsia="宋体" w:cs="宋体"/>
                      <w:i w:val="0"/>
                      <w:iCs w:val="0"/>
                      <w:color w:val="auto"/>
                      <w:spacing w:val="-10"/>
                      <w:sz w:val="24"/>
                      <w:szCs w:val="24"/>
                      <w:highlight w:val="none"/>
                      <w:u w:val="none"/>
                      <w:lang w:val="en-US" w:eastAsia="zh-CN" w:bidi="ar-SA"/>
                    </w:rPr>
                    <w:t>量</w:t>
                  </w:r>
                </w:p>
              </w:tc>
              <w:tc>
                <w:tcPr>
                  <w:tcW w:w="3214" w:type="dxa"/>
                  <w:vAlign w:val="center"/>
                </w:tcPr>
                <w:p w14:paraId="175EA3F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w:t>
                  </w:r>
                </w:p>
              </w:tc>
            </w:tr>
            <w:tr w14:paraId="33AD36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4F5B76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40</w:t>
                  </w:r>
                </w:p>
              </w:tc>
              <w:tc>
                <w:tcPr>
                  <w:tcW w:w="737" w:type="dxa"/>
                  <w:vAlign w:val="center"/>
                </w:tcPr>
                <w:p w14:paraId="7816133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42E259D2">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5CC085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鼠标数</w:t>
                  </w:r>
                </w:p>
                <w:p w14:paraId="712A736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量</w:t>
                  </w:r>
                </w:p>
              </w:tc>
              <w:tc>
                <w:tcPr>
                  <w:tcW w:w="3214" w:type="dxa"/>
                  <w:vAlign w:val="center"/>
                </w:tcPr>
                <w:p w14:paraId="1B1056B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≥1</w:t>
                  </w:r>
                  <w:r>
                    <w:rPr>
                      <w:rFonts w:hint="eastAsia" w:ascii="宋体" w:hAnsi="宋体" w:eastAsia="宋体" w:cs="宋体"/>
                      <w:i/>
                      <w:iCs/>
                      <w:color w:val="auto"/>
                      <w:spacing w:val="-28"/>
                      <w:sz w:val="24"/>
                      <w:szCs w:val="24"/>
                      <w:highlight w:val="none"/>
                      <w:u w:val="single"/>
                      <w:lang w:val="en-US" w:eastAsia="zh-CN" w:bidi="ar-SA"/>
                    </w:rPr>
                    <w:t xml:space="preserve"> 个</w:t>
                  </w:r>
                </w:p>
              </w:tc>
            </w:tr>
            <w:tr w14:paraId="496D5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18FC386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41</w:t>
                  </w:r>
                </w:p>
              </w:tc>
              <w:tc>
                <w:tcPr>
                  <w:tcW w:w="737" w:type="dxa"/>
                  <w:vAlign w:val="center"/>
                </w:tcPr>
                <w:p w14:paraId="31AE74F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37E561C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379983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键盘数</w:t>
                  </w:r>
                </w:p>
                <w:p w14:paraId="693409F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量</w:t>
                  </w:r>
                </w:p>
              </w:tc>
              <w:tc>
                <w:tcPr>
                  <w:tcW w:w="3214" w:type="dxa"/>
                  <w:vAlign w:val="center"/>
                </w:tcPr>
                <w:p w14:paraId="042975B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≥1</w:t>
                  </w:r>
                  <w:r>
                    <w:rPr>
                      <w:rFonts w:hint="eastAsia" w:ascii="宋体" w:hAnsi="宋体" w:eastAsia="宋体" w:cs="宋体"/>
                      <w:i/>
                      <w:iCs/>
                      <w:color w:val="auto"/>
                      <w:spacing w:val="-28"/>
                      <w:sz w:val="24"/>
                      <w:szCs w:val="24"/>
                      <w:highlight w:val="none"/>
                      <w:u w:val="single"/>
                      <w:lang w:val="en-US" w:eastAsia="zh-CN" w:bidi="ar-SA"/>
                    </w:rPr>
                    <w:t xml:space="preserve"> 个</w:t>
                  </w:r>
                </w:p>
              </w:tc>
            </w:tr>
            <w:tr w14:paraId="56D37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2B0DD69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42</w:t>
                  </w:r>
                </w:p>
              </w:tc>
              <w:tc>
                <w:tcPr>
                  <w:tcW w:w="737" w:type="dxa"/>
                  <w:vAlign w:val="center"/>
                </w:tcPr>
                <w:p w14:paraId="578EEBC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1FE5EB58">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A2B955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摄像头</w:t>
                  </w:r>
                </w:p>
                <w:p w14:paraId="24DCE2E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数量</w:t>
                  </w:r>
                </w:p>
              </w:tc>
              <w:tc>
                <w:tcPr>
                  <w:tcW w:w="3214" w:type="dxa"/>
                  <w:vAlign w:val="center"/>
                </w:tcPr>
                <w:p w14:paraId="0BE7D0E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≥1</w:t>
                  </w:r>
                  <w:r>
                    <w:rPr>
                      <w:rFonts w:hint="eastAsia" w:ascii="宋体" w:hAnsi="宋体" w:eastAsia="宋体" w:cs="宋体"/>
                      <w:i/>
                      <w:iCs/>
                      <w:color w:val="auto"/>
                      <w:spacing w:val="-28"/>
                      <w:sz w:val="24"/>
                      <w:szCs w:val="24"/>
                      <w:highlight w:val="none"/>
                      <w:u w:val="single"/>
                      <w:lang w:val="en-US" w:eastAsia="zh-CN" w:bidi="ar-SA"/>
                    </w:rPr>
                    <w:t xml:space="preserve"> 个</w:t>
                  </w:r>
                </w:p>
              </w:tc>
            </w:tr>
            <w:tr w14:paraId="38A88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2B5F121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43</w:t>
                  </w:r>
                </w:p>
              </w:tc>
              <w:tc>
                <w:tcPr>
                  <w:tcW w:w="737" w:type="dxa"/>
                  <w:vAlign w:val="center"/>
                </w:tcPr>
                <w:p w14:paraId="48556E5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186AA0F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69887B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光驱数量</w:t>
                  </w:r>
                </w:p>
              </w:tc>
              <w:tc>
                <w:tcPr>
                  <w:tcW w:w="3214" w:type="dxa"/>
                  <w:vAlign w:val="center"/>
                </w:tcPr>
                <w:p w14:paraId="6F6A408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≥0</w:t>
                  </w:r>
                  <w:r>
                    <w:rPr>
                      <w:rFonts w:hint="eastAsia" w:ascii="宋体" w:hAnsi="宋体" w:eastAsia="宋体" w:cs="宋体"/>
                      <w:i/>
                      <w:iCs/>
                      <w:color w:val="auto"/>
                      <w:spacing w:val="-28"/>
                      <w:sz w:val="24"/>
                      <w:szCs w:val="24"/>
                      <w:highlight w:val="none"/>
                      <w:u w:val="single"/>
                      <w:lang w:val="en-US" w:eastAsia="zh-CN" w:bidi="ar-SA"/>
                    </w:rPr>
                    <w:t xml:space="preserve"> 个</w:t>
                  </w:r>
                </w:p>
              </w:tc>
            </w:tr>
            <w:tr w14:paraId="44B56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04CE01D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44</w:t>
                  </w:r>
                </w:p>
              </w:tc>
              <w:tc>
                <w:tcPr>
                  <w:tcW w:w="737" w:type="dxa"/>
                  <w:vAlign w:val="center"/>
                </w:tcPr>
                <w:p w14:paraId="22C4E0A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7B574AF6">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2C8F66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键盘按键数目</w:t>
                  </w:r>
                </w:p>
              </w:tc>
              <w:tc>
                <w:tcPr>
                  <w:tcW w:w="3214" w:type="dxa"/>
                  <w:vAlign w:val="center"/>
                </w:tcPr>
                <w:p w14:paraId="4029353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104</w:t>
                  </w:r>
                  <w:r>
                    <w:rPr>
                      <w:rFonts w:hint="eastAsia" w:ascii="宋体" w:hAnsi="宋体" w:eastAsia="宋体" w:cs="宋体"/>
                      <w:i/>
                      <w:iCs/>
                      <w:color w:val="auto"/>
                      <w:spacing w:val="-18"/>
                      <w:sz w:val="24"/>
                      <w:szCs w:val="24"/>
                      <w:highlight w:val="none"/>
                      <w:u w:val="single"/>
                      <w:lang w:val="en-US" w:eastAsia="zh-CN" w:bidi="ar-SA"/>
                    </w:rPr>
                    <w:t xml:space="preserve"> 键</w:t>
                  </w:r>
                </w:p>
              </w:tc>
            </w:tr>
            <w:tr w14:paraId="363EF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4B00749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45</w:t>
                  </w:r>
                </w:p>
              </w:tc>
              <w:tc>
                <w:tcPr>
                  <w:tcW w:w="737" w:type="dxa"/>
                  <w:vAlign w:val="center"/>
                </w:tcPr>
                <w:p w14:paraId="76A9B3A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063237D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1E58C5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摄像头</w:t>
                  </w:r>
                  <w:r>
                    <w:rPr>
                      <w:rFonts w:hint="eastAsia" w:ascii="宋体" w:hAnsi="宋体" w:eastAsia="宋体" w:cs="宋体"/>
                      <w:i w:val="0"/>
                      <w:iCs w:val="0"/>
                      <w:color w:val="auto"/>
                      <w:spacing w:val="-6"/>
                      <w:sz w:val="24"/>
                      <w:szCs w:val="24"/>
                      <w:highlight w:val="none"/>
                      <w:u w:val="none"/>
                      <w:lang w:val="en-US" w:eastAsia="zh-CN" w:bidi="ar-SA"/>
                    </w:rPr>
                    <w:t>像素</w:t>
                  </w:r>
                </w:p>
              </w:tc>
              <w:tc>
                <w:tcPr>
                  <w:tcW w:w="3214" w:type="dxa"/>
                  <w:vAlign w:val="center"/>
                </w:tcPr>
                <w:p w14:paraId="3599F12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≥50</w:t>
                  </w:r>
                  <w:r>
                    <w:rPr>
                      <w:rFonts w:hint="eastAsia" w:ascii="宋体" w:hAnsi="宋体" w:eastAsia="宋体" w:cs="宋体"/>
                      <w:i/>
                      <w:iCs/>
                      <w:color w:val="auto"/>
                      <w:spacing w:val="-26"/>
                      <w:sz w:val="24"/>
                      <w:szCs w:val="24"/>
                      <w:highlight w:val="none"/>
                      <w:u w:val="single"/>
                      <w:lang w:val="en-US" w:eastAsia="zh-CN" w:bidi="ar-SA"/>
                    </w:rPr>
                    <w:t xml:space="preserve"> 万</w:t>
                  </w:r>
                </w:p>
              </w:tc>
            </w:tr>
            <w:tr w14:paraId="0C747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37F4478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46</w:t>
                  </w:r>
                </w:p>
              </w:tc>
              <w:tc>
                <w:tcPr>
                  <w:tcW w:w="737" w:type="dxa"/>
                  <w:vAlign w:val="center"/>
                </w:tcPr>
                <w:p w14:paraId="3B2A218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1538CD78">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251E21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摄像头分辨率</w:t>
                  </w:r>
                </w:p>
              </w:tc>
              <w:tc>
                <w:tcPr>
                  <w:tcW w:w="3214" w:type="dxa"/>
                  <w:vAlign w:val="center"/>
                </w:tcPr>
                <w:p w14:paraId="7A62F03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≥800×600</w:t>
                  </w:r>
                </w:p>
              </w:tc>
            </w:tr>
            <w:tr w14:paraId="18535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080141E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47</w:t>
                  </w:r>
                </w:p>
              </w:tc>
              <w:tc>
                <w:tcPr>
                  <w:tcW w:w="737" w:type="dxa"/>
                  <w:vAlign w:val="center"/>
                </w:tcPr>
                <w:p w14:paraId="622A000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3416DBEE">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22E75C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扬声器</w:t>
                  </w:r>
                  <w:r>
                    <w:rPr>
                      <w:rFonts w:hint="eastAsia" w:ascii="宋体" w:hAnsi="宋体" w:eastAsia="宋体" w:cs="宋体"/>
                      <w:i w:val="0"/>
                      <w:iCs w:val="0"/>
                      <w:color w:val="auto"/>
                      <w:spacing w:val="-6"/>
                      <w:sz w:val="24"/>
                      <w:szCs w:val="24"/>
                      <w:highlight w:val="none"/>
                      <w:u w:val="none"/>
                      <w:lang w:val="en-US" w:eastAsia="zh-CN" w:bidi="ar-SA"/>
                    </w:rPr>
                    <w:t>功率</w:t>
                  </w:r>
                </w:p>
              </w:tc>
              <w:tc>
                <w:tcPr>
                  <w:tcW w:w="3214" w:type="dxa"/>
                  <w:vAlign w:val="center"/>
                </w:tcPr>
                <w:p w14:paraId="10B688C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≥1</w:t>
                  </w:r>
                  <w:r>
                    <w:rPr>
                      <w:rFonts w:hint="eastAsia" w:ascii="宋体" w:hAnsi="宋体" w:eastAsia="宋体" w:cs="宋体"/>
                      <w:i/>
                      <w:iCs/>
                      <w:color w:val="auto"/>
                      <w:spacing w:val="-15"/>
                      <w:sz w:val="24"/>
                      <w:szCs w:val="24"/>
                      <w:highlight w:val="none"/>
                      <w:u w:val="single"/>
                      <w:lang w:val="en-US" w:eastAsia="zh-CN" w:bidi="ar-SA"/>
                    </w:rPr>
                    <w:t xml:space="preserve"> 瓦/个</w:t>
                  </w:r>
                </w:p>
              </w:tc>
            </w:tr>
            <w:tr w14:paraId="04302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0B74297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48</w:t>
                  </w:r>
                </w:p>
              </w:tc>
              <w:tc>
                <w:tcPr>
                  <w:tcW w:w="737" w:type="dxa"/>
                  <w:vAlign w:val="center"/>
                </w:tcPr>
                <w:p w14:paraId="30C4BAA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09F58CCF">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A6A08C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扬声器</w:t>
                  </w:r>
                  <w:r>
                    <w:rPr>
                      <w:rFonts w:hint="eastAsia" w:ascii="宋体" w:hAnsi="宋体" w:eastAsia="宋体" w:cs="宋体"/>
                      <w:i w:val="0"/>
                      <w:iCs w:val="0"/>
                      <w:color w:val="auto"/>
                      <w:spacing w:val="-3"/>
                      <w:sz w:val="24"/>
                      <w:szCs w:val="24"/>
                      <w:highlight w:val="none"/>
                      <w:u w:val="none"/>
                      <w:lang w:val="en-US" w:eastAsia="zh-CN" w:bidi="ar-SA"/>
                    </w:rPr>
                    <w:t>频率范围</w:t>
                  </w:r>
                </w:p>
              </w:tc>
              <w:tc>
                <w:tcPr>
                  <w:tcW w:w="3214" w:type="dxa"/>
                  <w:vAlign w:val="center"/>
                </w:tcPr>
                <w:p w14:paraId="20EBC79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不低于（100Hz-8kHz）</w:t>
                  </w:r>
                  <w:r>
                    <w:rPr>
                      <w:rFonts w:hint="eastAsia" w:ascii="宋体" w:hAnsi="宋体" w:eastAsia="宋体" w:cs="宋体"/>
                      <w:i/>
                      <w:iCs/>
                      <w:color w:val="auto"/>
                      <w:spacing w:val="-6"/>
                      <w:sz w:val="24"/>
                      <w:szCs w:val="24"/>
                      <w:highlight w:val="none"/>
                      <w:u w:val="single"/>
                      <w:lang w:val="en-US" w:eastAsia="zh-CN" w:bidi="ar-SA"/>
                    </w:rPr>
                    <w:t>范围</w:t>
                  </w:r>
                </w:p>
              </w:tc>
            </w:tr>
            <w:tr w14:paraId="65D748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43D431D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49</w:t>
                  </w:r>
                </w:p>
              </w:tc>
              <w:tc>
                <w:tcPr>
                  <w:tcW w:w="737" w:type="dxa"/>
                  <w:vAlign w:val="center"/>
                </w:tcPr>
                <w:p w14:paraId="15C3D9D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5328B1D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FA6019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扬声器总</w:t>
                  </w:r>
                  <w:r>
                    <w:rPr>
                      <w:rFonts w:hint="eastAsia" w:ascii="宋体" w:hAnsi="宋体" w:eastAsia="宋体" w:cs="宋体"/>
                      <w:i w:val="0"/>
                      <w:iCs w:val="0"/>
                      <w:color w:val="auto"/>
                      <w:spacing w:val="-3"/>
                      <w:sz w:val="24"/>
                      <w:szCs w:val="24"/>
                      <w:highlight w:val="none"/>
                      <w:u w:val="none"/>
                      <w:lang w:val="en-US" w:eastAsia="zh-CN" w:bidi="ar-SA"/>
                    </w:rPr>
                    <w:t>谐波失真</w:t>
                  </w:r>
                </w:p>
              </w:tc>
              <w:tc>
                <w:tcPr>
                  <w:tcW w:w="3214" w:type="dxa"/>
                  <w:vAlign w:val="center"/>
                </w:tcPr>
                <w:p w14:paraId="7CB3BDD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 xml:space="preserve">谐波失真在 </w:t>
                  </w:r>
                  <w:r>
                    <w:rPr>
                      <w:rFonts w:hint="eastAsia" w:ascii="宋体" w:hAnsi="宋体" w:eastAsia="宋体" w:cs="宋体"/>
                      <w:i/>
                      <w:iCs/>
                      <w:color w:val="auto"/>
                      <w:spacing w:val="-2"/>
                      <w:sz w:val="24"/>
                      <w:szCs w:val="24"/>
                      <w:highlight w:val="none"/>
                      <w:u w:val="single"/>
                      <w:lang w:val="en-US" w:eastAsia="zh-CN" w:bidi="ar-SA"/>
                    </w:rPr>
                    <w:t>100Hz-7kHz</w:t>
                  </w:r>
                  <w:r>
                    <w:rPr>
                      <w:rFonts w:hint="eastAsia" w:ascii="宋体" w:hAnsi="宋体" w:eastAsia="宋体" w:cs="宋体"/>
                      <w:i/>
                      <w:iCs/>
                      <w:color w:val="auto"/>
                      <w:spacing w:val="-10"/>
                      <w:sz w:val="24"/>
                      <w:szCs w:val="24"/>
                      <w:highlight w:val="none"/>
                      <w:u w:val="single"/>
                      <w:lang w:val="en-US" w:eastAsia="zh-CN" w:bidi="ar-SA"/>
                    </w:rPr>
                    <w:t xml:space="preserve"> 频率范围内不</w:t>
                  </w:r>
                  <w:r>
                    <w:rPr>
                      <w:rFonts w:hint="eastAsia" w:ascii="宋体" w:hAnsi="宋体" w:eastAsia="宋体" w:cs="宋体"/>
                      <w:i/>
                      <w:iCs/>
                      <w:color w:val="auto"/>
                      <w:spacing w:val="-14"/>
                      <w:sz w:val="24"/>
                      <w:szCs w:val="24"/>
                      <w:highlight w:val="none"/>
                      <w:u w:val="single"/>
                      <w:lang w:val="en-US" w:eastAsia="zh-CN" w:bidi="ar-SA"/>
                    </w:rPr>
                    <w:t xml:space="preserve">高于 </w:t>
                  </w:r>
                  <w:r>
                    <w:rPr>
                      <w:rFonts w:hint="eastAsia" w:ascii="宋体" w:hAnsi="宋体" w:eastAsia="宋体" w:cs="宋体"/>
                      <w:i/>
                      <w:iCs/>
                      <w:color w:val="auto"/>
                      <w:sz w:val="24"/>
                      <w:szCs w:val="24"/>
                      <w:highlight w:val="none"/>
                      <w:u w:val="single"/>
                      <w:lang w:val="en-US" w:eastAsia="zh-CN" w:bidi="ar-SA"/>
                    </w:rPr>
                    <w:t>10%</w:t>
                  </w:r>
                </w:p>
              </w:tc>
            </w:tr>
            <w:tr w14:paraId="4BC732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trPr>
              <w:tc>
                <w:tcPr>
                  <w:tcW w:w="600" w:type="dxa"/>
                  <w:vAlign w:val="center"/>
                </w:tcPr>
                <w:p w14:paraId="063430C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50</w:t>
                  </w:r>
                </w:p>
              </w:tc>
              <w:tc>
                <w:tcPr>
                  <w:tcW w:w="737" w:type="dxa"/>
                  <w:vAlign w:val="center"/>
                </w:tcPr>
                <w:p w14:paraId="59CA5F8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6A29BEFE">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DB40F0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扬声器最</w:t>
                  </w:r>
                  <w:r>
                    <w:rPr>
                      <w:rFonts w:hint="eastAsia" w:ascii="宋体" w:hAnsi="宋体" w:eastAsia="宋体" w:cs="宋体"/>
                      <w:i w:val="0"/>
                      <w:iCs w:val="0"/>
                      <w:color w:val="auto"/>
                      <w:spacing w:val="-3"/>
                      <w:sz w:val="24"/>
                      <w:szCs w:val="24"/>
                      <w:highlight w:val="none"/>
                      <w:u w:val="none"/>
                      <w:lang w:val="en-US" w:eastAsia="zh-CN" w:bidi="ar-SA"/>
                    </w:rPr>
                    <w:t>大声压级</w:t>
                  </w:r>
                </w:p>
              </w:tc>
              <w:tc>
                <w:tcPr>
                  <w:tcW w:w="3214" w:type="dxa"/>
                  <w:vAlign w:val="center"/>
                </w:tcPr>
                <w:p w14:paraId="6BB0295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最大声压级在粉红噪声播放场景下，工</w:t>
                  </w:r>
                  <w:r>
                    <w:rPr>
                      <w:rFonts w:hint="eastAsia" w:ascii="宋体" w:hAnsi="宋体" w:eastAsia="宋体" w:cs="宋体"/>
                      <w:i/>
                      <w:iCs/>
                      <w:color w:val="auto"/>
                      <w:spacing w:val="-4"/>
                      <w:sz w:val="24"/>
                      <w:szCs w:val="24"/>
                      <w:highlight w:val="none"/>
                      <w:u w:val="single"/>
                      <w:lang w:val="en-US" w:eastAsia="zh-CN" w:bidi="ar-SA"/>
                    </w:rPr>
                    <w:t xml:space="preserve">作距离处声压级不低于 </w:t>
                  </w:r>
                  <w:r>
                    <w:rPr>
                      <w:rFonts w:hint="eastAsia" w:ascii="宋体" w:hAnsi="宋体" w:eastAsia="宋体" w:cs="宋体"/>
                      <w:i/>
                      <w:iCs/>
                      <w:color w:val="auto"/>
                      <w:sz w:val="24"/>
                      <w:szCs w:val="24"/>
                      <w:highlight w:val="none"/>
                      <w:u w:val="single"/>
                      <w:lang w:val="en-US" w:eastAsia="zh-CN" w:bidi="ar-SA"/>
                    </w:rPr>
                    <w:t>70dB</w:t>
                  </w:r>
                </w:p>
              </w:tc>
            </w:tr>
            <w:tr w14:paraId="1C7A37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CBDF1C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51</w:t>
                  </w:r>
                </w:p>
              </w:tc>
              <w:tc>
                <w:tcPr>
                  <w:tcW w:w="737" w:type="dxa"/>
                  <w:vAlign w:val="center"/>
                </w:tcPr>
                <w:p w14:paraId="0CC4875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5B30841D">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3D8761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键盘连接方式</w:t>
                  </w:r>
                </w:p>
              </w:tc>
              <w:tc>
                <w:tcPr>
                  <w:tcW w:w="3214" w:type="dxa"/>
                  <w:vAlign w:val="center"/>
                </w:tcPr>
                <w:p w14:paraId="51864B2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有线或无线</w:t>
                  </w:r>
                </w:p>
              </w:tc>
            </w:tr>
            <w:tr w14:paraId="00023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80" w:hRule="atLeast"/>
              </w:trPr>
              <w:tc>
                <w:tcPr>
                  <w:tcW w:w="600" w:type="dxa"/>
                  <w:vAlign w:val="center"/>
                </w:tcPr>
                <w:p w14:paraId="0512E51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52</w:t>
                  </w:r>
                </w:p>
              </w:tc>
              <w:tc>
                <w:tcPr>
                  <w:tcW w:w="737" w:type="dxa"/>
                  <w:vAlign w:val="center"/>
                </w:tcPr>
                <w:p w14:paraId="5BC2DF9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6CE541C7">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0372DA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键盘键</w:t>
                  </w:r>
                  <w:r>
                    <w:rPr>
                      <w:rFonts w:hint="eastAsia" w:ascii="宋体" w:hAnsi="宋体" w:eastAsia="宋体" w:cs="宋体"/>
                      <w:i w:val="0"/>
                      <w:iCs w:val="0"/>
                      <w:color w:val="auto"/>
                      <w:spacing w:val="-10"/>
                      <w:sz w:val="24"/>
                      <w:szCs w:val="24"/>
                      <w:highlight w:val="none"/>
                      <w:u w:val="none"/>
                      <w:lang w:val="en-US" w:eastAsia="zh-CN" w:bidi="ar-SA"/>
                    </w:rPr>
                    <w:t>程</w:t>
                  </w:r>
                </w:p>
              </w:tc>
              <w:tc>
                <w:tcPr>
                  <w:tcW w:w="3214" w:type="dxa"/>
                  <w:vAlign w:val="center"/>
                </w:tcPr>
                <w:p w14:paraId="25FBAA7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2.3mm</w:t>
                  </w:r>
                  <w:r>
                    <w:rPr>
                      <w:rFonts w:hint="eastAsia" w:ascii="宋体" w:hAnsi="宋体" w:eastAsia="宋体" w:cs="宋体"/>
                      <w:i/>
                      <w:iCs/>
                      <w:color w:val="auto"/>
                      <w:spacing w:val="-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w:t>
                  </w:r>
                  <w:r>
                    <w:rPr>
                      <w:rFonts w:hint="eastAsia" w:ascii="宋体" w:hAnsi="宋体" w:eastAsia="宋体" w:cs="宋体"/>
                      <w:i/>
                      <w:iCs/>
                      <w:color w:val="auto"/>
                      <w:spacing w:val="-2"/>
                      <w:sz w:val="24"/>
                      <w:szCs w:val="24"/>
                      <w:highlight w:val="none"/>
                      <w:u w:val="single"/>
                      <w:lang w:val="en-US" w:eastAsia="zh-CN" w:bidi="ar-SA"/>
                    </w:rPr>
                    <w:t xml:space="preserve"> 4.0mm</w:t>
                  </w:r>
                </w:p>
              </w:tc>
            </w:tr>
            <w:tr w14:paraId="40C5B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00" w:type="dxa"/>
                  <w:vAlign w:val="center"/>
                </w:tcPr>
                <w:p w14:paraId="3CACE2D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53</w:t>
                  </w:r>
                </w:p>
              </w:tc>
              <w:tc>
                <w:tcPr>
                  <w:tcW w:w="737" w:type="dxa"/>
                  <w:vAlign w:val="center"/>
                </w:tcPr>
                <w:p w14:paraId="54351AD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vAlign w:val="center"/>
                </w:tcPr>
                <w:p w14:paraId="32E7A63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480A3F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键盘按键压力</w:t>
                  </w:r>
                </w:p>
              </w:tc>
              <w:tc>
                <w:tcPr>
                  <w:tcW w:w="3214" w:type="dxa"/>
                  <w:vAlign w:val="center"/>
                </w:tcPr>
                <w:p w14:paraId="214340B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 xml:space="preserve">按键压力应在 </w:t>
                  </w:r>
                  <w:r>
                    <w:rPr>
                      <w:rFonts w:hint="eastAsia" w:ascii="宋体" w:hAnsi="宋体" w:eastAsia="宋体" w:cs="宋体"/>
                      <w:i/>
                      <w:iCs/>
                      <w:color w:val="auto"/>
                      <w:sz w:val="24"/>
                      <w:szCs w:val="24"/>
                      <w:highlight w:val="none"/>
                      <w:u w:val="single"/>
                      <w:lang w:val="en-US" w:eastAsia="zh-CN" w:bidi="ar-SA"/>
                    </w:rPr>
                    <w:t>0.54</w:t>
                  </w:r>
                  <w:r>
                    <w:rPr>
                      <w:rFonts w:hint="eastAsia" w:ascii="宋体" w:hAnsi="宋体" w:eastAsia="宋体" w:cs="宋体"/>
                      <w:i/>
                      <w:iCs/>
                      <w:color w:val="auto"/>
                      <w:spacing w:val="-3"/>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N±0.14N</w:t>
                  </w:r>
                </w:p>
              </w:tc>
            </w:tr>
            <w:tr w14:paraId="3F57F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0FA4397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54</w:t>
                  </w:r>
                </w:p>
              </w:tc>
              <w:tc>
                <w:tcPr>
                  <w:tcW w:w="737" w:type="dxa"/>
                  <w:vAlign w:val="center"/>
                </w:tcPr>
                <w:p w14:paraId="560B16B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36ED268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val="0"/>
                      <w:iCs w:val="0"/>
                      <w:color w:val="auto"/>
                      <w:sz w:val="24"/>
                      <w:szCs w:val="24"/>
                      <w:highlight w:val="none"/>
                      <w:u w:val="none"/>
                      <w:lang w:val="en-US" w:eastAsia="zh-CN" w:bidi="ar-SA"/>
                    </w:rPr>
                  </w:pPr>
                </w:p>
              </w:tc>
              <w:tc>
                <w:tcPr>
                  <w:tcW w:w="958" w:type="dxa"/>
                  <w:vAlign w:val="center"/>
                </w:tcPr>
                <w:p w14:paraId="4020CA2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有线键</w:t>
                  </w:r>
                  <w:r>
                    <w:rPr>
                      <w:rFonts w:hint="eastAsia" w:ascii="宋体" w:hAnsi="宋体" w:eastAsia="宋体" w:cs="宋体"/>
                      <w:i w:val="0"/>
                      <w:iCs w:val="0"/>
                      <w:color w:val="auto"/>
                      <w:spacing w:val="-3"/>
                      <w:sz w:val="24"/>
                      <w:szCs w:val="24"/>
                      <w:highlight w:val="none"/>
                      <w:u w:val="none"/>
                      <w:lang w:val="en-US" w:eastAsia="zh-CN" w:bidi="ar-SA"/>
                    </w:rPr>
                    <w:t>盘连接线</w:t>
                  </w:r>
                </w:p>
              </w:tc>
              <w:tc>
                <w:tcPr>
                  <w:tcW w:w="3214" w:type="dxa"/>
                  <w:vAlign w:val="center"/>
                </w:tcPr>
                <w:p w14:paraId="4E8B966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≥1.5</w:t>
                  </w:r>
                  <w:r>
                    <w:rPr>
                      <w:rFonts w:hint="eastAsia" w:ascii="宋体" w:hAnsi="宋体" w:eastAsia="宋体" w:cs="宋体"/>
                      <w:i/>
                      <w:iCs/>
                      <w:color w:val="auto"/>
                      <w:spacing w:val="-26"/>
                      <w:sz w:val="24"/>
                      <w:szCs w:val="24"/>
                      <w:highlight w:val="none"/>
                      <w:u w:val="single"/>
                      <w:lang w:val="en-US" w:eastAsia="zh-CN" w:bidi="ar-SA"/>
                    </w:rPr>
                    <w:t xml:space="preserve"> 米</w:t>
                  </w:r>
                </w:p>
              </w:tc>
            </w:tr>
            <w:tr w14:paraId="1BC3E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11439AE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55</w:t>
                  </w:r>
                </w:p>
              </w:tc>
              <w:tc>
                <w:tcPr>
                  <w:tcW w:w="737" w:type="dxa"/>
                  <w:vAlign w:val="center"/>
                </w:tcPr>
                <w:p w14:paraId="66B79F8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18428916">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304210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键盘颜</w:t>
                  </w:r>
                  <w:r>
                    <w:rPr>
                      <w:rFonts w:hint="eastAsia" w:ascii="宋体" w:hAnsi="宋体" w:eastAsia="宋体" w:cs="宋体"/>
                      <w:i w:val="0"/>
                      <w:iCs w:val="0"/>
                      <w:color w:val="auto"/>
                      <w:spacing w:val="-10"/>
                      <w:sz w:val="24"/>
                      <w:szCs w:val="24"/>
                      <w:highlight w:val="none"/>
                      <w:u w:val="none"/>
                      <w:lang w:val="en-US" w:eastAsia="zh-CN" w:bidi="ar-SA"/>
                    </w:rPr>
                    <w:t>色</w:t>
                  </w:r>
                </w:p>
              </w:tc>
              <w:tc>
                <w:tcPr>
                  <w:tcW w:w="3214" w:type="dxa"/>
                  <w:vAlign w:val="center"/>
                </w:tcPr>
                <w:p w14:paraId="0145966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黑色</w:t>
                  </w:r>
                </w:p>
              </w:tc>
            </w:tr>
            <w:tr w14:paraId="6F896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09F8C41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56</w:t>
                  </w:r>
                </w:p>
              </w:tc>
              <w:tc>
                <w:tcPr>
                  <w:tcW w:w="737" w:type="dxa"/>
                  <w:vAlign w:val="center"/>
                </w:tcPr>
                <w:p w14:paraId="3FF65C5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78E0BC8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6C9A2F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键盘其他要求</w:t>
                  </w:r>
                </w:p>
              </w:tc>
              <w:tc>
                <w:tcPr>
                  <w:tcW w:w="3214" w:type="dxa"/>
                  <w:vAlign w:val="center"/>
                </w:tcPr>
                <w:p w14:paraId="34BCCA3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键盘外观结构、连接方式、主要功能、</w:t>
                  </w:r>
                  <w:r>
                    <w:rPr>
                      <w:rFonts w:hint="eastAsia" w:ascii="宋体" w:hAnsi="宋体" w:eastAsia="宋体" w:cs="宋体"/>
                      <w:i/>
                      <w:iCs/>
                      <w:color w:val="auto"/>
                      <w:spacing w:val="-13"/>
                      <w:sz w:val="24"/>
                      <w:szCs w:val="24"/>
                      <w:highlight w:val="none"/>
                      <w:u w:val="single"/>
                      <w:lang w:val="en-US" w:eastAsia="zh-CN" w:bidi="ar-SA"/>
                    </w:rPr>
                    <w:t xml:space="preserve">安全、电磁兼容性、可靠性应符合 </w:t>
                  </w:r>
                  <w:r>
                    <w:rPr>
                      <w:rFonts w:hint="eastAsia" w:ascii="宋体" w:hAnsi="宋体" w:eastAsia="宋体" w:cs="宋体"/>
                      <w:i/>
                      <w:iCs/>
                      <w:color w:val="auto"/>
                      <w:sz w:val="24"/>
                      <w:szCs w:val="24"/>
                      <w:highlight w:val="none"/>
                      <w:u w:val="single"/>
                      <w:lang w:val="en-US" w:eastAsia="zh-CN" w:bidi="ar-SA"/>
                    </w:rPr>
                    <w:t>GB/T 14081</w:t>
                  </w:r>
                  <w:r>
                    <w:rPr>
                      <w:rFonts w:hint="eastAsia" w:ascii="宋体" w:hAnsi="宋体" w:eastAsia="宋体" w:cs="宋体"/>
                      <w:i/>
                      <w:iCs/>
                      <w:color w:val="auto"/>
                      <w:spacing w:val="-8"/>
                      <w:sz w:val="24"/>
                      <w:szCs w:val="24"/>
                      <w:highlight w:val="none"/>
                      <w:u w:val="single"/>
                      <w:lang w:val="en-US" w:eastAsia="zh-CN" w:bidi="ar-SA"/>
                    </w:rPr>
                    <w:t xml:space="preserve"> 的相关规定</w:t>
                  </w:r>
                </w:p>
              </w:tc>
            </w:tr>
            <w:tr w14:paraId="1DC5D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567984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57</w:t>
                  </w:r>
                </w:p>
              </w:tc>
              <w:tc>
                <w:tcPr>
                  <w:tcW w:w="737" w:type="dxa"/>
                  <w:vAlign w:val="center"/>
                </w:tcPr>
                <w:p w14:paraId="6F5B144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398BB3C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3070FD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鼠标连接方式</w:t>
                  </w:r>
                </w:p>
              </w:tc>
              <w:tc>
                <w:tcPr>
                  <w:tcW w:w="3214" w:type="dxa"/>
                  <w:vAlign w:val="center"/>
                </w:tcPr>
                <w:p w14:paraId="72D024C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无线</w:t>
                  </w:r>
                </w:p>
              </w:tc>
            </w:tr>
            <w:tr w14:paraId="216548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39CB346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58</w:t>
                  </w:r>
                </w:p>
              </w:tc>
              <w:tc>
                <w:tcPr>
                  <w:tcW w:w="737" w:type="dxa"/>
                  <w:vAlign w:val="center"/>
                </w:tcPr>
                <w:p w14:paraId="1472222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59B33438">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1BB9C4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有线鼠</w:t>
                  </w:r>
                  <w:r>
                    <w:rPr>
                      <w:rFonts w:hint="eastAsia" w:ascii="宋体" w:hAnsi="宋体" w:eastAsia="宋体" w:cs="宋体"/>
                      <w:i w:val="0"/>
                      <w:iCs w:val="0"/>
                      <w:color w:val="auto"/>
                      <w:spacing w:val="-3"/>
                      <w:sz w:val="24"/>
                      <w:szCs w:val="24"/>
                      <w:highlight w:val="none"/>
                      <w:u w:val="none"/>
                      <w:lang w:val="en-US" w:eastAsia="zh-CN" w:bidi="ar-SA"/>
                    </w:rPr>
                    <w:t>标连接线</w:t>
                  </w:r>
                </w:p>
              </w:tc>
              <w:tc>
                <w:tcPr>
                  <w:tcW w:w="3214" w:type="dxa"/>
                  <w:vAlign w:val="center"/>
                </w:tcPr>
                <w:p w14:paraId="07244FF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w:t>
                  </w:r>
                </w:p>
              </w:tc>
            </w:tr>
            <w:tr w14:paraId="48DF1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9" w:hRule="atLeast"/>
              </w:trPr>
              <w:tc>
                <w:tcPr>
                  <w:tcW w:w="600" w:type="dxa"/>
                  <w:vAlign w:val="center"/>
                </w:tcPr>
                <w:p w14:paraId="5C162B6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59</w:t>
                  </w:r>
                </w:p>
              </w:tc>
              <w:tc>
                <w:tcPr>
                  <w:tcW w:w="737" w:type="dxa"/>
                  <w:vAlign w:val="center"/>
                </w:tcPr>
                <w:p w14:paraId="17A4E9A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p w14:paraId="3BF536B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51362D6">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342C04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鼠标 </w:t>
                  </w:r>
                  <w:r>
                    <w:rPr>
                      <w:rFonts w:hint="eastAsia" w:ascii="宋体" w:hAnsi="宋体" w:eastAsia="宋体" w:cs="宋体"/>
                      <w:i w:val="0"/>
                      <w:iCs w:val="0"/>
                      <w:color w:val="auto"/>
                      <w:spacing w:val="-2"/>
                      <w:sz w:val="24"/>
                      <w:szCs w:val="24"/>
                      <w:highlight w:val="none"/>
                      <w:u w:val="none"/>
                      <w:lang w:val="en-US" w:eastAsia="zh-CN" w:bidi="ar-SA"/>
                    </w:rPr>
                    <w:t>DPI</w:t>
                  </w:r>
                  <w:r>
                    <w:rPr>
                      <w:rFonts w:hint="eastAsia" w:ascii="宋体" w:hAnsi="宋体" w:eastAsia="宋体" w:cs="宋体"/>
                      <w:i w:val="0"/>
                      <w:iCs w:val="0"/>
                      <w:color w:val="auto"/>
                      <w:spacing w:val="-17"/>
                      <w:sz w:val="24"/>
                      <w:szCs w:val="24"/>
                      <w:highlight w:val="none"/>
                      <w:u w:val="none"/>
                      <w:lang w:val="en-US" w:eastAsia="zh-CN" w:bidi="ar-SA"/>
                    </w:rPr>
                    <w:t xml:space="preserve"> 分辨</w:t>
                  </w:r>
                  <w:r>
                    <w:rPr>
                      <w:rFonts w:hint="eastAsia" w:ascii="宋体" w:hAnsi="宋体" w:eastAsia="宋体" w:cs="宋体"/>
                      <w:i w:val="0"/>
                      <w:iCs w:val="0"/>
                      <w:color w:val="auto"/>
                      <w:spacing w:val="-10"/>
                      <w:sz w:val="24"/>
                      <w:szCs w:val="24"/>
                      <w:highlight w:val="none"/>
                      <w:u w:val="none"/>
                      <w:lang w:val="en-US" w:eastAsia="zh-CN" w:bidi="ar-SA"/>
                    </w:rPr>
                    <w:t>率</w:t>
                  </w:r>
                </w:p>
              </w:tc>
              <w:tc>
                <w:tcPr>
                  <w:tcW w:w="3214" w:type="dxa"/>
                  <w:vAlign w:val="center"/>
                </w:tcPr>
                <w:p w14:paraId="56DE014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800~1600</w:t>
                  </w:r>
                </w:p>
              </w:tc>
            </w:tr>
            <w:tr w14:paraId="54A9D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5B0B743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60</w:t>
                  </w:r>
                </w:p>
              </w:tc>
              <w:tc>
                <w:tcPr>
                  <w:tcW w:w="737" w:type="dxa"/>
                  <w:vAlign w:val="center"/>
                </w:tcPr>
                <w:p w14:paraId="14C2C6D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6AE50312">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FDCB99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鼠标颜色</w:t>
                  </w:r>
                </w:p>
              </w:tc>
              <w:tc>
                <w:tcPr>
                  <w:tcW w:w="3214" w:type="dxa"/>
                  <w:vAlign w:val="center"/>
                </w:tcPr>
                <w:p w14:paraId="3DC88AB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黑色</w:t>
                  </w:r>
                </w:p>
              </w:tc>
            </w:tr>
            <w:tr w14:paraId="36BB2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2657119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61</w:t>
                  </w:r>
                </w:p>
              </w:tc>
              <w:tc>
                <w:tcPr>
                  <w:tcW w:w="737" w:type="dxa"/>
                  <w:vAlign w:val="center"/>
                </w:tcPr>
                <w:p w14:paraId="212757C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282CBEE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B2AA78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鼠标其他要求</w:t>
                  </w:r>
                </w:p>
              </w:tc>
              <w:tc>
                <w:tcPr>
                  <w:tcW w:w="3214" w:type="dxa"/>
                  <w:vAlign w:val="center"/>
                </w:tcPr>
                <w:p w14:paraId="0843714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其它参数应符合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26245</w:t>
                  </w:r>
                  <w:r>
                    <w:rPr>
                      <w:rFonts w:hint="eastAsia" w:ascii="宋体" w:hAnsi="宋体" w:eastAsia="宋体" w:cs="宋体"/>
                      <w:i/>
                      <w:iCs/>
                      <w:color w:val="auto"/>
                      <w:spacing w:val="-10"/>
                      <w:sz w:val="24"/>
                      <w:szCs w:val="24"/>
                      <w:highlight w:val="none"/>
                      <w:u w:val="single"/>
                      <w:lang w:val="en-US" w:eastAsia="zh-CN" w:bidi="ar-SA"/>
                    </w:rPr>
                    <w:t xml:space="preserve"> 的相关规定</w:t>
                  </w:r>
                </w:p>
              </w:tc>
            </w:tr>
            <w:tr w14:paraId="13A8B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263CDB2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62</w:t>
                  </w:r>
                </w:p>
              </w:tc>
              <w:tc>
                <w:tcPr>
                  <w:tcW w:w="737" w:type="dxa"/>
                  <w:vAlign w:val="center"/>
                </w:tcPr>
                <w:p w14:paraId="00EDAF0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563FD1D7">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C5AA77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内置光驱</w:t>
                  </w:r>
                </w:p>
              </w:tc>
              <w:tc>
                <w:tcPr>
                  <w:tcW w:w="3214" w:type="dxa"/>
                  <w:vAlign w:val="center"/>
                </w:tcPr>
                <w:p w14:paraId="6BB0FAA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支持内置光驱</w:t>
                  </w:r>
                </w:p>
              </w:tc>
            </w:tr>
            <w:tr w14:paraId="608B3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33FE661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63</w:t>
                  </w:r>
                </w:p>
              </w:tc>
              <w:tc>
                <w:tcPr>
                  <w:tcW w:w="737" w:type="dxa"/>
                  <w:vAlign w:val="center"/>
                </w:tcPr>
                <w:p w14:paraId="622FCFD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00A62BC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网络</w:t>
                  </w:r>
                  <w:r>
                    <w:rPr>
                      <w:rFonts w:hint="eastAsia" w:ascii="宋体" w:hAnsi="宋体" w:eastAsia="宋体" w:cs="宋体"/>
                      <w:i w:val="0"/>
                      <w:iCs w:val="0"/>
                      <w:color w:val="auto"/>
                      <w:spacing w:val="-6"/>
                      <w:sz w:val="24"/>
                      <w:szCs w:val="24"/>
                      <w:highlight w:val="none"/>
                      <w:u w:val="none"/>
                      <w:lang w:val="en-US" w:eastAsia="zh-CN" w:bidi="ar-SA"/>
                    </w:rPr>
                    <w:t>设备</w:t>
                  </w: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65E3EF6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有线网卡数量</w:t>
                  </w:r>
                </w:p>
              </w:tc>
              <w:tc>
                <w:tcPr>
                  <w:tcW w:w="3214" w:type="dxa"/>
                  <w:vAlign w:val="center"/>
                </w:tcPr>
                <w:p w14:paraId="0C9B7F0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≥1</w:t>
                  </w:r>
                </w:p>
              </w:tc>
            </w:tr>
            <w:tr w14:paraId="61C1E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674B849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64</w:t>
                  </w:r>
                </w:p>
              </w:tc>
              <w:tc>
                <w:tcPr>
                  <w:tcW w:w="737" w:type="dxa"/>
                  <w:vAlign w:val="center"/>
                </w:tcPr>
                <w:p w14:paraId="45DC30C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28D77C8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9188AD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无线网卡及天线数</w:t>
                  </w:r>
                  <w:r>
                    <w:rPr>
                      <w:rFonts w:hint="eastAsia" w:ascii="宋体" w:hAnsi="宋体" w:eastAsia="宋体" w:cs="宋体"/>
                      <w:i w:val="0"/>
                      <w:iCs w:val="0"/>
                      <w:color w:val="auto"/>
                      <w:spacing w:val="-10"/>
                      <w:sz w:val="24"/>
                      <w:szCs w:val="24"/>
                      <w:highlight w:val="none"/>
                      <w:u w:val="none"/>
                      <w:lang w:val="en-US" w:eastAsia="zh-CN" w:bidi="ar-SA"/>
                    </w:rPr>
                    <w:t>量</w:t>
                  </w:r>
                </w:p>
              </w:tc>
              <w:tc>
                <w:tcPr>
                  <w:tcW w:w="3214" w:type="dxa"/>
                  <w:vAlign w:val="center"/>
                </w:tcPr>
                <w:p w14:paraId="55B29DA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w:t>
                  </w:r>
                </w:p>
              </w:tc>
            </w:tr>
            <w:tr w14:paraId="33D07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4E56A95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65</w:t>
                  </w:r>
                </w:p>
              </w:tc>
              <w:tc>
                <w:tcPr>
                  <w:tcW w:w="737" w:type="dxa"/>
                  <w:vAlign w:val="center"/>
                </w:tcPr>
                <w:p w14:paraId="69869B0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F1D7DF1">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C80708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单无线网卡天线数</w:t>
                  </w:r>
                  <w:r>
                    <w:rPr>
                      <w:rFonts w:hint="eastAsia" w:ascii="宋体" w:hAnsi="宋体" w:eastAsia="宋体" w:cs="宋体"/>
                      <w:i w:val="0"/>
                      <w:iCs w:val="0"/>
                      <w:color w:val="auto"/>
                      <w:spacing w:val="-10"/>
                      <w:sz w:val="24"/>
                      <w:szCs w:val="24"/>
                      <w:highlight w:val="none"/>
                      <w:u w:val="none"/>
                      <w:lang w:val="en-US" w:eastAsia="zh-CN" w:bidi="ar-SA"/>
                    </w:rPr>
                    <w:t>量</w:t>
                  </w:r>
                </w:p>
              </w:tc>
              <w:tc>
                <w:tcPr>
                  <w:tcW w:w="3214" w:type="dxa"/>
                  <w:vAlign w:val="center"/>
                </w:tcPr>
                <w:p w14:paraId="786BA1E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w:t>
                  </w:r>
                </w:p>
              </w:tc>
            </w:tr>
            <w:tr w14:paraId="05C36B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1CA32DD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66</w:t>
                  </w:r>
                </w:p>
              </w:tc>
              <w:tc>
                <w:tcPr>
                  <w:tcW w:w="737" w:type="dxa"/>
                  <w:vAlign w:val="center"/>
                </w:tcPr>
                <w:p w14:paraId="041103E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613CE02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外部</w:t>
                  </w:r>
                  <w:r>
                    <w:rPr>
                      <w:rFonts w:hint="eastAsia" w:ascii="宋体" w:hAnsi="宋体" w:eastAsia="宋体" w:cs="宋体"/>
                      <w:i w:val="0"/>
                      <w:iCs w:val="0"/>
                      <w:color w:val="auto"/>
                      <w:spacing w:val="-6"/>
                      <w:sz w:val="24"/>
                      <w:szCs w:val="24"/>
                      <w:highlight w:val="none"/>
                      <w:u w:val="none"/>
                      <w:lang w:val="en-US" w:eastAsia="zh-CN" w:bidi="ar-SA"/>
                    </w:rPr>
                    <w:t>接口</w:t>
                  </w: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32AC3FF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USB</w:t>
                  </w:r>
                  <w:r>
                    <w:rPr>
                      <w:rFonts w:hint="eastAsia" w:ascii="宋体" w:hAnsi="宋体" w:eastAsia="宋体" w:cs="宋体"/>
                      <w:i w:val="0"/>
                      <w:iCs w:val="0"/>
                      <w:color w:val="auto"/>
                      <w:spacing w:val="-24"/>
                      <w:sz w:val="24"/>
                      <w:szCs w:val="24"/>
                      <w:highlight w:val="none"/>
                      <w:u w:val="none"/>
                      <w:lang w:val="en-US" w:eastAsia="zh-CN" w:bidi="ar-SA"/>
                    </w:rPr>
                    <w:t xml:space="preserve"> 接</w:t>
                  </w:r>
                  <w:r>
                    <w:rPr>
                      <w:rFonts w:hint="eastAsia" w:ascii="宋体" w:hAnsi="宋体" w:eastAsia="宋体" w:cs="宋体"/>
                      <w:i w:val="0"/>
                      <w:iCs w:val="0"/>
                      <w:color w:val="auto"/>
                      <w:spacing w:val="-4"/>
                      <w:sz w:val="24"/>
                      <w:szCs w:val="24"/>
                      <w:highlight w:val="none"/>
                      <w:u w:val="none"/>
                      <w:lang w:val="en-US" w:eastAsia="zh-CN" w:bidi="ar-SA"/>
                    </w:rPr>
                    <w:t>口数量</w:t>
                  </w:r>
                </w:p>
              </w:tc>
              <w:tc>
                <w:tcPr>
                  <w:tcW w:w="3214" w:type="dxa"/>
                  <w:vAlign w:val="center"/>
                </w:tcPr>
                <w:p w14:paraId="07948E1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≥8</w:t>
                  </w:r>
                  <w:r>
                    <w:rPr>
                      <w:rFonts w:hint="eastAsia" w:ascii="宋体" w:hAnsi="宋体" w:eastAsia="宋体" w:cs="宋体"/>
                      <w:i/>
                      <w:iCs/>
                      <w:color w:val="auto"/>
                      <w:spacing w:val="-9"/>
                      <w:sz w:val="24"/>
                      <w:szCs w:val="24"/>
                      <w:highlight w:val="none"/>
                      <w:u w:val="single"/>
                      <w:lang w:val="en-US" w:eastAsia="zh-CN" w:bidi="ar-SA"/>
                    </w:rPr>
                    <w:t xml:space="preserve">，机箱前板至少包括 </w:t>
                  </w:r>
                  <w:r>
                    <w:rPr>
                      <w:rFonts w:hint="eastAsia" w:ascii="宋体" w:hAnsi="宋体" w:eastAsia="宋体" w:cs="宋体"/>
                      <w:i/>
                      <w:iCs/>
                      <w:color w:val="auto"/>
                      <w:spacing w:val="-4"/>
                      <w:sz w:val="24"/>
                      <w:szCs w:val="24"/>
                      <w:highlight w:val="none"/>
                      <w:u w:val="single"/>
                      <w:lang w:val="en-US" w:eastAsia="zh-CN" w:bidi="ar-SA"/>
                    </w:rPr>
                    <w:t>2</w:t>
                  </w:r>
                  <w:r>
                    <w:rPr>
                      <w:rFonts w:hint="eastAsia" w:ascii="宋体" w:hAnsi="宋体" w:eastAsia="宋体" w:cs="宋体"/>
                      <w:i/>
                      <w:iCs/>
                      <w:color w:val="auto"/>
                      <w:spacing w:val="-32"/>
                      <w:sz w:val="24"/>
                      <w:szCs w:val="24"/>
                      <w:highlight w:val="none"/>
                      <w:u w:val="single"/>
                      <w:lang w:val="en-US" w:eastAsia="zh-CN" w:bidi="ar-SA"/>
                    </w:rPr>
                    <w:t xml:space="preserve"> 个 </w:t>
                  </w:r>
                  <w:r>
                    <w:rPr>
                      <w:rFonts w:hint="eastAsia" w:ascii="宋体" w:hAnsi="宋体" w:eastAsia="宋体" w:cs="宋体"/>
                      <w:i/>
                      <w:iCs/>
                      <w:color w:val="auto"/>
                      <w:spacing w:val="-4"/>
                      <w:sz w:val="24"/>
                      <w:szCs w:val="24"/>
                      <w:highlight w:val="none"/>
                      <w:u w:val="single"/>
                      <w:lang w:val="en-US" w:eastAsia="zh-CN" w:bidi="ar-SA"/>
                    </w:rPr>
                    <w:t>USB3.0</w:t>
                  </w:r>
                  <w:r>
                    <w:rPr>
                      <w:rFonts w:hint="eastAsia" w:ascii="宋体" w:hAnsi="宋体" w:eastAsia="宋体" w:cs="宋体"/>
                      <w:i/>
                      <w:iCs/>
                      <w:color w:val="auto"/>
                      <w:spacing w:val="-24"/>
                      <w:sz w:val="24"/>
                      <w:szCs w:val="24"/>
                      <w:highlight w:val="none"/>
                      <w:u w:val="single"/>
                      <w:lang w:val="en-US" w:eastAsia="zh-CN" w:bidi="ar-SA"/>
                    </w:rPr>
                    <w:t xml:space="preserve"> 及</w:t>
                  </w:r>
                  <w:r>
                    <w:rPr>
                      <w:rFonts w:hint="eastAsia" w:ascii="宋体" w:hAnsi="宋体" w:eastAsia="宋体" w:cs="宋体"/>
                      <w:i/>
                      <w:iCs/>
                      <w:color w:val="auto"/>
                      <w:spacing w:val="-4"/>
                      <w:sz w:val="24"/>
                      <w:szCs w:val="24"/>
                      <w:highlight w:val="none"/>
                      <w:u w:val="single"/>
                      <w:lang w:val="en-US" w:eastAsia="zh-CN" w:bidi="ar-SA"/>
                    </w:rPr>
                    <w:t>以上接口</w:t>
                  </w:r>
                </w:p>
              </w:tc>
            </w:tr>
            <w:tr w14:paraId="1AD2E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2E4BE35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67</w:t>
                  </w:r>
                </w:p>
              </w:tc>
              <w:tc>
                <w:tcPr>
                  <w:tcW w:w="737" w:type="dxa"/>
                  <w:vAlign w:val="center"/>
                </w:tcPr>
                <w:p w14:paraId="1FA56A6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3966F48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E36CD5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USB</w:t>
                  </w:r>
                  <w:r>
                    <w:rPr>
                      <w:rFonts w:hint="eastAsia" w:ascii="宋体" w:hAnsi="宋体" w:eastAsia="宋体" w:cs="宋体"/>
                      <w:i w:val="0"/>
                      <w:iCs w:val="0"/>
                      <w:color w:val="auto"/>
                      <w:spacing w:val="-14"/>
                      <w:sz w:val="24"/>
                      <w:szCs w:val="24"/>
                      <w:highlight w:val="none"/>
                      <w:u w:val="none"/>
                      <w:lang w:val="en-US" w:eastAsia="zh-CN" w:bidi="ar-SA"/>
                    </w:rPr>
                    <w:t xml:space="preserve"> 母座</w:t>
                  </w:r>
                  <w:r>
                    <w:rPr>
                      <w:rFonts w:hint="eastAsia" w:ascii="宋体" w:hAnsi="宋体" w:eastAsia="宋体" w:cs="宋体"/>
                      <w:i w:val="0"/>
                      <w:iCs w:val="0"/>
                      <w:color w:val="auto"/>
                      <w:spacing w:val="-3"/>
                      <w:sz w:val="24"/>
                      <w:szCs w:val="24"/>
                      <w:highlight w:val="none"/>
                      <w:u w:val="none"/>
                      <w:lang w:val="en-US" w:eastAsia="zh-CN" w:bidi="ar-SA"/>
                    </w:rPr>
                    <w:t>接口要求</w:t>
                  </w:r>
                </w:p>
              </w:tc>
              <w:tc>
                <w:tcPr>
                  <w:tcW w:w="3214" w:type="dxa"/>
                  <w:vAlign w:val="center"/>
                </w:tcPr>
                <w:p w14:paraId="44F607C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w w:val="95"/>
                      <w:sz w:val="24"/>
                      <w:szCs w:val="24"/>
                      <w:highlight w:val="none"/>
                      <w:u w:val="single"/>
                      <w:lang w:val="en-US" w:eastAsia="zh-CN" w:bidi="ar-SA"/>
                    </w:rPr>
                    <w:t>机箱前面板额外预</w:t>
                  </w:r>
                  <w:r>
                    <w:rPr>
                      <w:rFonts w:hint="eastAsia" w:ascii="宋体" w:hAnsi="宋体" w:eastAsia="宋体" w:cs="宋体"/>
                      <w:i/>
                      <w:iCs/>
                      <w:color w:val="auto"/>
                      <w:spacing w:val="28"/>
                      <w:w w:val="95"/>
                      <w:sz w:val="24"/>
                      <w:szCs w:val="24"/>
                      <w:highlight w:val="none"/>
                      <w:u w:val="single"/>
                      <w:lang w:val="en-US" w:eastAsia="zh-CN" w:bidi="ar-SA"/>
                    </w:rPr>
                    <w:t>留</w:t>
                  </w:r>
                  <w:r>
                    <w:rPr>
                      <w:rFonts w:hint="eastAsia" w:ascii="宋体" w:hAnsi="宋体" w:eastAsia="宋体" w:cs="宋体"/>
                      <w:i/>
                      <w:iCs/>
                      <w:color w:val="auto"/>
                      <w:w w:val="95"/>
                      <w:sz w:val="24"/>
                      <w:szCs w:val="24"/>
                      <w:highlight w:val="none"/>
                      <w:u w:val="single"/>
                      <w:lang w:val="en-US" w:eastAsia="zh-CN" w:bidi="ar-SA"/>
                    </w:rPr>
                    <w:t>2</w:t>
                  </w:r>
                  <w:r>
                    <w:rPr>
                      <w:rFonts w:hint="eastAsia" w:ascii="宋体" w:hAnsi="宋体" w:eastAsia="宋体" w:cs="宋体"/>
                      <w:i/>
                      <w:iCs/>
                      <w:color w:val="auto"/>
                      <w:spacing w:val="-2"/>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个专</w:t>
                  </w:r>
                  <w:r>
                    <w:rPr>
                      <w:rFonts w:hint="eastAsia" w:ascii="宋体" w:hAnsi="宋体" w:eastAsia="宋体" w:cs="宋体"/>
                      <w:i/>
                      <w:iCs/>
                      <w:color w:val="auto"/>
                      <w:spacing w:val="28"/>
                      <w:w w:val="95"/>
                      <w:sz w:val="24"/>
                      <w:szCs w:val="24"/>
                      <w:highlight w:val="none"/>
                      <w:u w:val="single"/>
                      <w:lang w:val="en-US" w:eastAsia="zh-CN" w:bidi="ar-SA"/>
                    </w:rPr>
                    <w:t>用</w:t>
                  </w:r>
                  <w:r>
                    <w:rPr>
                      <w:rFonts w:hint="eastAsia" w:ascii="宋体" w:hAnsi="宋体" w:eastAsia="宋体" w:cs="宋体"/>
                      <w:i/>
                      <w:iCs/>
                      <w:color w:val="auto"/>
                      <w:w w:val="95"/>
                      <w:sz w:val="24"/>
                      <w:szCs w:val="24"/>
                      <w:highlight w:val="none"/>
                      <w:u w:val="single"/>
                      <w:lang w:val="en-US" w:eastAsia="zh-CN" w:bidi="ar-SA"/>
                    </w:rPr>
                    <w:t>USB</w:t>
                  </w:r>
                  <w:r>
                    <w:rPr>
                      <w:rFonts w:hint="eastAsia" w:ascii="宋体" w:hAnsi="宋体" w:eastAsia="宋体" w:cs="宋体"/>
                      <w:i/>
                      <w:iCs/>
                      <w:color w:val="auto"/>
                      <w:spacing w:val="-1"/>
                      <w:w w:val="95"/>
                      <w:sz w:val="24"/>
                      <w:szCs w:val="24"/>
                      <w:highlight w:val="none"/>
                      <w:u w:val="single"/>
                      <w:lang w:val="en-US" w:eastAsia="zh-CN" w:bidi="ar-SA"/>
                    </w:rPr>
                    <w:t xml:space="preserve"> 母座</w:t>
                  </w:r>
                  <w:r>
                    <w:rPr>
                      <w:rFonts w:hint="eastAsia" w:ascii="宋体" w:hAnsi="宋体" w:eastAsia="宋体" w:cs="宋体"/>
                      <w:i/>
                      <w:iCs/>
                      <w:color w:val="auto"/>
                      <w:w w:val="95"/>
                      <w:sz w:val="24"/>
                      <w:szCs w:val="24"/>
                      <w:highlight w:val="none"/>
                      <w:u w:val="single"/>
                      <w:lang w:val="en-US" w:eastAsia="zh-CN" w:bidi="ar-SA"/>
                    </w:rPr>
                    <w:t>接口孔位和</w:t>
                  </w:r>
                  <w:r>
                    <w:rPr>
                      <w:rFonts w:hint="eastAsia" w:ascii="宋体" w:hAnsi="宋体" w:eastAsia="宋体" w:cs="宋体"/>
                      <w:i/>
                      <w:iCs/>
                      <w:color w:val="auto"/>
                      <w:spacing w:val="-18"/>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1</w:t>
                  </w:r>
                  <w:r>
                    <w:rPr>
                      <w:rFonts w:hint="eastAsia" w:ascii="宋体" w:hAnsi="宋体" w:eastAsia="宋体" w:cs="宋体"/>
                      <w:i/>
                      <w:iCs/>
                      <w:color w:val="auto"/>
                      <w:spacing w:val="-18"/>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个通</w:t>
                  </w:r>
                  <w:r>
                    <w:rPr>
                      <w:rFonts w:hint="eastAsia" w:ascii="宋体" w:hAnsi="宋体" w:eastAsia="宋体" w:cs="宋体"/>
                      <w:i/>
                      <w:iCs/>
                      <w:color w:val="auto"/>
                      <w:spacing w:val="33"/>
                      <w:w w:val="95"/>
                      <w:sz w:val="24"/>
                      <w:szCs w:val="24"/>
                      <w:highlight w:val="none"/>
                      <w:u w:val="single"/>
                      <w:lang w:val="en-US" w:eastAsia="zh-CN" w:bidi="ar-SA"/>
                    </w:rPr>
                    <w:t>用</w:t>
                  </w:r>
                  <w:r>
                    <w:rPr>
                      <w:rFonts w:hint="eastAsia" w:ascii="宋体" w:hAnsi="宋体" w:eastAsia="宋体" w:cs="宋体"/>
                      <w:i/>
                      <w:iCs/>
                      <w:color w:val="auto"/>
                      <w:w w:val="95"/>
                      <w:sz w:val="24"/>
                      <w:szCs w:val="24"/>
                      <w:highlight w:val="none"/>
                      <w:u w:val="single"/>
                      <w:lang w:val="en-US" w:eastAsia="zh-CN" w:bidi="ar-SA"/>
                    </w:rPr>
                    <w:t>A</w:t>
                  </w:r>
                  <w:r>
                    <w:rPr>
                      <w:rFonts w:hint="eastAsia" w:ascii="宋体" w:hAnsi="宋体" w:eastAsia="宋体" w:cs="宋体"/>
                      <w:i/>
                      <w:iCs/>
                      <w:color w:val="auto"/>
                      <w:spacing w:val="9"/>
                      <w:w w:val="95"/>
                      <w:sz w:val="24"/>
                      <w:szCs w:val="24"/>
                      <w:highlight w:val="none"/>
                      <w:u w:val="single"/>
                      <w:lang w:val="en-US" w:eastAsia="zh-CN" w:bidi="ar-SA"/>
                    </w:rPr>
                    <w:t xml:space="preserve"> 型</w:t>
                  </w:r>
                  <w:r>
                    <w:rPr>
                      <w:rFonts w:hint="eastAsia" w:ascii="宋体" w:hAnsi="宋体" w:eastAsia="宋体" w:cs="宋体"/>
                      <w:i/>
                      <w:iCs/>
                      <w:color w:val="auto"/>
                      <w:w w:val="95"/>
                      <w:sz w:val="24"/>
                      <w:szCs w:val="24"/>
                      <w:highlight w:val="none"/>
                      <w:u w:val="single"/>
                      <w:lang w:val="en-US" w:eastAsia="zh-CN" w:bidi="ar-SA"/>
                    </w:rPr>
                    <w:t>USB</w:t>
                  </w:r>
                  <w:r>
                    <w:rPr>
                      <w:rFonts w:hint="eastAsia" w:ascii="宋体" w:hAnsi="宋体" w:eastAsia="宋体" w:cs="宋体"/>
                      <w:i/>
                      <w:iCs/>
                      <w:color w:val="auto"/>
                      <w:spacing w:val="-18"/>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母座接口</w:t>
                  </w:r>
                  <w:r>
                    <w:rPr>
                      <w:rFonts w:hint="eastAsia" w:ascii="宋体" w:hAnsi="宋体" w:eastAsia="宋体" w:cs="宋体"/>
                      <w:i/>
                      <w:iCs/>
                      <w:color w:val="auto"/>
                      <w:spacing w:val="-10"/>
                      <w:sz w:val="24"/>
                      <w:szCs w:val="24"/>
                      <w:highlight w:val="none"/>
                      <w:u w:val="single"/>
                      <w:lang w:val="en-US" w:eastAsia="zh-CN" w:bidi="ar-SA"/>
                    </w:rPr>
                    <w:t>孔位，采用横向排列中心间距应不小于</w:t>
                  </w:r>
                  <w:r>
                    <w:rPr>
                      <w:rFonts w:hint="eastAsia" w:ascii="宋体" w:hAnsi="宋体" w:eastAsia="宋体" w:cs="宋体"/>
                      <w:i/>
                      <w:iCs/>
                      <w:color w:val="auto"/>
                      <w:spacing w:val="-2"/>
                      <w:sz w:val="24"/>
                      <w:szCs w:val="24"/>
                      <w:highlight w:val="none"/>
                      <w:u w:val="single"/>
                      <w:lang w:val="en-US" w:eastAsia="zh-CN" w:bidi="ar-SA"/>
                    </w:rPr>
                    <w:t xml:space="preserve"> </w:t>
                  </w:r>
                  <w:r>
                    <w:rPr>
                      <w:rFonts w:hint="eastAsia" w:ascii="宋体" w:hAnsi="宋体" w:eastAsia="宋体" w:cs="宋体"/>
                      <w:i/>
                      <w:iCs/>
                      <w:color w:val="auto"/>
                      <w:spacing w:val="-4"/>
                      <w:sz w:val="24"/>
                      <w:szCs w:val="24"/>
                      <w:highlight w:val="none"/>
                      <w:u w:val="single"/>
                      <w:lang w:val="en-US" w:eastAsia="zh-CN" w:bidi="ar-SA"/>
                    </w:rPr>
                    <w:t>27mm</w:t>
                  </w:r>
                </w:p>
              </w:tc>
            </w:tr>
            <w:tr w14:paraId="164CC0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04BE42E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68</w:t>
                  </w:r>
                </w:p>
              </w:tc>
              <w:tc>
                <w:tcPr>
                  <w:tcW w:w="737" w:type="dxa"/>
                  <w:vAlign w:val="center"/>
                </w:tcPr>
                <w:p w14:paraId="637459D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B1D14D4">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24D9AA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视频接口数量</w:t>
                  </w:r>
                </w:p>
              </w:tc>
              <w:tc>
                <w:tcPr>
                  <w:tcW w:w="3214" w:type="dxa"/>
                  <w:vAlign w:val="center"/>
                </w:tcPr>
                <w:p w14:paraId="667D234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≥1</w:t>
                  </w:r>
                </w:p>
              </w:tc>
            </w:tr>
            <w:tr w14:paraId="557D50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6611BD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69</w:t>
                  </w:r>
                </w:p>
              </w:tc>
              <w:tc>
                <w:tcPr>
                  <w:tcW w:w="737" w:type="dxa"/>
                  <w:vAlign w:val="center"/>
                </w:tcPr>
                <w:p w14:paraId="7E223F0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65B72FF">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430C7B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音频接口数量</w:t>
                  </w:r>
                </w:p>
              </w:tc>
              <w:tc>
                <w:tcPr>
                  <w:tcW w:w="3214" w:type="dxa"/>
                  <w:vAlign w:val="center"/>
                </w:tcPr>
                <w:p w14:paraId="314347A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≥1</w:t>
                  </w:r>
                </w:p>
              </w:tc>
            </w:tr>
            <w:tr w14:paraId="30FD5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600" w:type="dxa"/>
                  <w:vAlign w:val="center"/>
                </w:tcPr>
                <w:p w14:paraId="74DD3AA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p w14:paraId="30F7C5E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70</w:t>
                  </w:r>
                </w:p>
              </w:tc>
              <w:tc>
                <w:tcPr>
                  <w:tcW w:w="737" w:type="dxa"/>
                  <w:vAlign w:val="center"/>
                </w:tcPr>
                <w:p w14:paraId="7C7100D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5B560306">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E15AD5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存储卡接口数量</w:t>
                  </w:r>
                </w:p>
              </w:tc>
              <w:tc>
                <w:tcPr>
                  <w:tcW w:w="3214" w:type="dxa"/>
                  <w:vAlign w:val="center"/>
                </w:tcPr>
                <w:p w14:paraId="064EEC4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cs="宋体"/>
                      <w:i w:val="0"/>
                      <w:iCs w:val="0"/>
                      <w:color w:val="auto"/>
                      <w:sz w:val="24"/>
                      <w:szCs w:val="24"/>
                      <w:highlight w:val="none"/>
                      <w:u w:val="none"/>
                      <w:lang w:val="en-US" w:eastAsia="zh-CN" w:bidi="ar-SA"/>
                    </w:rPr>
                    <w:t>/</w:t>
                  </w:r>
                </w:p>
              </w:tc>
            </w:tr>
            <w:tr w14:paraId="31D35E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20" w:hRule="atLeast"/>
              </w:trPr>
              <w:tc>
                <w:tcPr>
                  <w:tcW w:w="600" w:type="dxa"/>
                  <w:vAlign w:val="center"/>
                </w:tcPr>
                <w:p w14:paraId="36DAA5E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71</w:t>
                  </w:r>
                </w:p>
              </w:tc>
              <w:tc>
                <w:tcPr>
                  <w:tcW w:w="737" w:type="dxa"/>
                  <w:vAlign w:val="center"/>
                </w:tcPr>
                <w:p w14:paraId="1CB5A2B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vAlign w:val="center"/>
                </w:tcPr>
                <w:p w14:paraId="4D9A1A2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整机</w:t>
                  </w:r>
                  <w:r>
                    <w:rPr>
                      <w:rFonts w:hint="eastAsia" w:ascii="宋体" w:hAnsi="宋体" w:eastAsia="宋体" w:cs="宋体"/>
                      <w:i w:val="0"/>
                      <w:iCs w:val="0"/>
                      <w:color w:val="auto"/>
                      <w:spacing w:val="-6"/>
                      <w:sz w:val="24"/>
                      <w:szCs w:val="24"/>
                      <w:highlight w:val="none"/>
                      <w:u w:val="none"/>
                      <w:lang w:val="en-US" w:eastAsia="zh-CN" w:bidi="ar-SA"/>
                    </w:rPr>
                    <w:t>基础</w:t>
                  </w:r>
                  <w:r>
                    <w:rPr>
                      <w:rFonts w:hint="eastAsia" w:ascii="宋体" w:hAnsi="宋体" w:eastAsia="宋体" w:cs="宋体"/>
                      <w:i w:val="0"/>
                      <w:iCs w:val="0"/>
                      <w:color w:val="auto"/>
                      <w:spacing w:val="-5"/>
                      <w:sz w:val="24"/>
                      <w:szCs w:val="24"/>
                      <w:highlight w:val="none"/>
                      <w:u w:val="none"/>
                      <w:lang w:val="en-US" w:eastAsia="zh-CN" w:bidi="ar-SA"/>
                    </w:rPr>
                    <w:t>规格</w:t>
                  </w:r>
                </w:p>
              </w:tc>
              <w:tc>
                <w:tcPr>
                  <w:tcW w:w="958" w:type="dxa"/>
                  <w:vAlign w:val="center"/>
                </w:tcPr>
                <w:p w14:paraId="40F13A1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整机外</w:t>
                  </w:r>
                  <w:r>
                    <w:rPr>
                      <w:rFonts w:hint="eastAsia" w:ascii="宋体" w:hAnsi="宋体" w:eastAsia="宋体" w:cs="宋体"/>
                      <w:i w:val="0"/>
                      <w:iCs w:val="0"/>
                      <w:color w:val="auto"/>
                      <w:spacing w:val="-10"/>
                      <w:sz w:val="24"/>
                      <w:szCs w:val="24"/>
                      <w:highlight w:val="none"/>
                      <w:u w:val="none"/>
                      <w:lang w:val="en-US" w:eastAsia="zh-CN" w:bidi="ar-SA"/>
                    </w:rPr>
                    <w:t>观</w:t>
                  </w:r>
                </w:p>
              </w:tc>
              <w:tc>
                <w:tcPr>
                  <w:tcW w:w="3214" w:type="dxa"/>
                  <w:vAlign w:val="center"/>
                </w:tcPr>
                <w:p w14:paraId="5B253B59">
                  <w:pPr>
                    <w:keepNext w:val="0"/>
                    <w:keepLines w:val="0"/>
                    <w:pageBreakBefore w:val="0"/>
                    <w:widowControl w:val="0"/>
                    <w:numPr>
                      <w:ilvl w:val="0"/>
                      <w:numId w:val="3"/>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产品表面不应有凹痕、划伤、裂缝、</w:t>
                  </w:r>
                  <w:r>
                    <w:rPr>
                      <w:rFonts w:hint="eastAsia" w:ascii="宋体" w:hAnsi="宋体" w:eastAsia="宋体" w:cs="宋体"/>
                      <w:i/>
                      <w:iCs/>
                      <w:color w:val="auto"/>
                      <w:spacing w:val="-2"/>
                      <w:sz w:val="24"/>
                      <w:szCs w:val="24"/>
                      <w:highlight w:val="none"/>
                      <w:u w:val="single"/>
                      <w:lang w:val="en-US" w:eastAsia="zh-CN" w:bidi="ar-SA"/>
                    </w:rPr>
                    <w:t>变形和污染等。表面涂层均匀，不应起泡、龟裂、脱落和磨损，金属零部件无锈蚀及其它机械损伤；</w:t>
                  </w:r>
                </w:p>
                <w:p w14:paraId="136EA339">
                  <w:pPr>
                    <w:keepNext w:val="0"/>
                    <w:keepLines w:val="0"/>
                    <w:pageBreakBefore w:val="0"/>
                    <w:widowControl w:val="0"/>
                    <w:numPr>
                      <w:ilvl w:val="0"/>
                      <w:numId w:val="3"/>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产品表面说明功能的文字、符号、标志，应清晰、端正、牢固；</w:t>
                  </w:r>
                </w:p>
                <w:p w14:paraId="59652BF3">
                  <w:pPr>
                    <w:keepNext w:val="0"/>
                    <w:keepLines w:val="0"/>
                    <w:pageBreakBefore w:val="0"/>
                    <w:widowControl w:val="0"/>
                    <w:numPr>
                      <w:ilvl w:val="0"/>
                      <w:numId w:val="3"/>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宜在产品显著位置提供运行状态指</w:t>
                  </w:r>
                </w:p>
                <w:p w14:paraId="14C5A06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示功能，并由生产厂商提供详细参数</w:t>
                  </w:r>
                </w:p>
              </w:tc>
            </w:tr>
            <w:tr w14:paraId="31BCD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12" w:hRule="atLeast"/>
              </w:trPr>
              <w:tc>
                <w:tcPr>
                  <w:tcW w:w="600" w:type="dxa"/>
                  <w:vAlign w:val="center"/>
                </w:tcPr>
                <w:p w14:paraId="5B868E7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72</w:t>
                  </w:r>
                </w:p>
              </w:tc>
              <w:tc>
                <w:tcPr>
                  <w:tcW w:w="737" w:type="dxa"/>
                  <w:vAlign w:val="center"/>
                </w:tcPr>
                <w:p w14:paraId="50A9EEE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25B00EBE">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B381E5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整机结</w:t>
                  </w:r>
                  <w:r>
                    <w:rPr>
                      <w:rFonts w:hint="eastAsia" w:ascii="宋体" w:hAnsi="宋体" w:eastAsia="宋体" w:cs="宋体"/>
                      <w:i w:val="0"/>
                      <w:iCs w:val="0"/>
                      <w:color w:val="auto"/>
                      <w:spacing w:val="-10"/>
                      <w:sz w:val="24"/>
                      <w:szCs w:val="24"/>
                      <w:highlight w:val="none"/>
                      <w:u w:val="none"/>
                      <w:lang w:val="en-US" w:eastAsia="zh-CN" w:bidi="ar-SA"/>
                    </w:rPr>
                    <w:t>构</w:t>
                  </w:r>
                </w:p>
              </w:tc>
              <w:tc>
                <w:tcPr>
                  <w:tcW w:w="3214" w:type="dxa"/>
                  <w:vAlign w:val="center"/>
                </w:tcPr>
                <w:p w14:paraId="25F3CE36">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w w:val="95"/>
                      <w:sz w:val="24"/>
                      <w:szCs w:val="24"/>
                      <w:highlight w:val="none"/>
                      <w:u w:val="single"/>
                      <w:lang w:val="en-US" w:eastAsia="zh-CN" w:bidi="ar-SA"/>
                    </w:rPr>
                    <w:t>机箱应符合</w:t>
                  </w:r>
                  <w:r>
                    <w:rPr>
                      <w:rFonts w:hint="eastAsia" w:ascii="宋体" w:hAnsi="宋体" w:eastAsia="宋体" w:cs="宋体"/>
                      <w:i/>
                      <w:iCs/>
                      <w:color w:val="auto"/>
                      <w:spacing w:val="-16"/>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GB/T</w:t>
                  </w:r>
                  <w:r>
                    <w:rPr>
                      <w:rFonts w:hint="eastAsia" w:ascii="宋体" w:hAnsi="宋体" w:eastAsia="宋体" w:cs="宋体"/>
                      <w:i/>
                      <w:iCs/>
                      <w:color w:val="auto"/>
                      <w:spacing w:val="-14"/>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4208、GB/T</w:t>
                  </w:r>
                  <w:r>
                    <w:rPr>
                      <w:rFonts w:hint="eastAsia" w:ascii="宋体" w:hAnsi="宋体" w:eastAsia="宋体" w:cs="宋体"/>
                      <w:i/>
                      <w:iCs/>
                      <w:color w:val="auto"/>
                      <w:spacing w:val="-17"/>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26246</w:t>
                  </w:r>
                  <w:r>
                    <w:rPr>
                      <w:rFonts w:hint="eastAsia" w:ascii="宋体" w:hAnsi="宋体" w:eastAsia="宋体" w:cs="宋体"/>
                      <w:i/>
                      <w:iCs/>
                      <w:color w:val="auto"/>
                      <w:spacing w:val="-2"/>
                      <w:sz w:val="24"/>
                      <w:szCs w:val="24"/>
                      <w:highlight w:val="none"/>
                      <w:u w:val="single"/>
                      <w:lang w:val="en-US" w:eastAsia="zh-CN" w:bidi="ar-SA"/>
                    </w:rPr>
                    <w:t>的相关规定；</w:t>
                  </w:r>
                </w:p>
                <w:p w14:paraId="2AF4286F">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产品内部结构应符合通用部件的安</w:t>
                  </w:r>
                  <w:r>
                    <w:rPr>
                      <w:rFonts w:hint="eastAsia" w:ascii="宋体" w:hAnsi="宋体" w:eastAsia="宋体" w:cs="宋体"/>
                      <w:i/>
                      <w:iCs/>
                      <w:color w:val="auto"/>
                      <w:spacing w:val="-4"/>
                      <w:sz w:val="24"/>
                      <w:szCs w:val="24"/>
                      <w:highlight w:val="none"/>
                      <w:u w:val="single"/>
                      <w:lang w:val="en-US" w:eastAsia="zh-CN" w:bidi="ar-SA"/>
                    </w:rPr>
                    <w:t>装需要；</w:t>
                  </w:r>
                </w:p>
                <w:p w14:paraId="77363288">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所有输入输出接口应符合相关国家或行业标准；</w:t>
                  </w:r>
                </w:p>
                <w:p w14:paraId="7B8D989E">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产品零部件应紧固无松动，可插拔部件应可靠连接，开关、按钮和其它控制部件应灵活可靠，布局应方便使用；</w:t>
                  </w:r>
                </w:p>
                <w:p w14:paraId="53C00EF8">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w w:val="95"/>
                      <w:sz w:val="24"/>
                      <w:szCs w:val="24"/>
                      <w:highlight w:val="none"/>
                      <w:u w:val="single"/>
                      <w:lang w:val="en-US" w:eastAsia="zh-CN" w:bidi="ar-SA"/>
                    </w:rPr>
                    <w:t>所有 I/O 连接器及需插接线缆的部</w:t>
                  </w:r>
                  <w:r>
                    <w:rPr>
                      <w:rFonts w:hint="eastAsia" w:ascii="宋体" w:hAnsi="宋体" w:eastAsia="宋体" w:cs="宋体"/>
                      <w:i/>
                      <w:iCs/>
                      <w:color w:val="auto"/>
                      <w:spacing w:val="-8"/>
                      <w:sz w:val="24"/>
                      <w:szCs w:val="24"/>
                      <w:highlight w:val="none"/>
                      <w:u w:val="single"/>
                      <w:lang w:val="en-US" w:eastAsia="zh-CN" w:bidi="ar-SA"/>
                    </w:rPr>
                    <w:t>位应预留用户操作空间，方便插拔解锁</w:t>
                  </w:r>
                  <w:r>
                    <w:rPr>
                      <w:rFonts w:hint="eastAsia" w:ascii="宋体" w:hAnsi="宋体" w:eastAsia="宋体" w:cs="宋体"/>
                      <w:i/>
                      <w:iCs/>
                      <w:color w:val="auto"/>
                      <w:spacing w:val="-2"/>
                      <w:sz w:val="24"/>
                      <w:szCs w:val="24"/>
                      <w:highlight w:val="none"/>
                      <w:u w:val="single"/>
                      <w:lang w:val="en-US" w:eastAsia="zh-CN" w:bidi="ar-SA"/>
                    </w:rPr>
                    <w:t>与插拔线缆；</w:t>
                  </w:r>
                </w:p>
                <w:p w14:paraId="505602C7">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可插拔板卡插槽部位应预留安装、拆卸或更换板卡空间；</w:t>
                  </w:r>
                </w:p>
                <w:p w14:paraId="54642745">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拆装可能接触到的金属剪口或金属尖角部位应做防划伤处理，以保证安</w:t>
                  </w:r>
                  <w:r>
                    <w:rPr>
                      <w:rFonts w:hint="eastAsia" w:ascii="宋体" w:hAnsi="宋体" w:eastAsia="宋体" w:cs="宋体"/>
                      <w:i/>
                      <w:iCs/>
                      <w:color w:val="auto"/>
                      <w:spacing w:val="-6"/>
                      <w:sz w:val="24"/>
                      <w:szCs w:val="24"/>
                      <w:highlight w:val="none"/>
                      <w:u w:val="single"/>
                      <w:lang w:val="en-US" w:eastAsia="zh-CN" w:bidi="ar-SA"/>
                    </w:rPr>
                    <w:t>全；</w:t>
                  </w:r>
                </w:p>
                <w:p w14:paraId="6CFADAA7">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整机内部走线应规整，固线结构和</w:t>
                  </w:r>
                  <w:r>
                    <w:rPr>
                      <w:rFonts w:hint="eastAsia" w:ascii="宋体" w:hAnsi="宋体" w:eastAsia="宋体" w:cs="宋体"/>
                      <w:i/>
                      <w:iCs/>
                      <w:color w:val="auto"/>
                      <w:spacing w:val="-7"/>
                      <w:sz w:val="24"/>
                      <w:szCs w:val="24"/>
                      <w:highlight w:val="none"/>
                      <w:u w:val="single"/>
                      <w:lang w:val="en-US" w:eastAsia="zh-CN" w:bidi="ar-SA"/>
                    </w:rPr>
                    <w:t>位置要合理可靠并做防割线处理，需便</w:t>
                  </w:r>
                  <w:r>
                    <w:rPr>
                      <w:rFonts w:hint="eastAsia" w:ascii="宋体" w:hAnsi="宋体" w:eastAsia="宋体" w:cs="宋体"/>
                      <w:i/>
                      <w:iCs/>
                      <w:color w:val="auto"/>
                      <w:spacing w:val="-9"/>
                      <w:sz w:val="24"/>
                      <w:szCs w:val="24"/>
                      <w:highlight w:val="none"/>
                      <w:u w:val="single"/>
                      <w:lang w:val="en-US" w:eastAsia="zh-CN" w:bidi="ar-SA"/>
                    </w:rPr>
                    <w:t>于理线和插拔操作，走线应不影响系统</w:t>
                  </w:r>
                  <w:r>
                    <w:rPr>
                      <w:rFonts w:hint="eastAsia" w:ascii="宋体" w:hAnsi="宋体" w:eastAsia="宋体" w:cs="宋体"/>
                      <w:i/>
                      <w:iCs/>
                      <w:color w:val="auto"/>
                      <w:spacing w:val="-2"/>
                      <w:sz w:val="24"/>
                      <w:szCs w:val="24"/>
                      <w:highlight w:val="none"/>
                      <w:u w:val="single"/>
                      <w:lang w:val="en-US" w:eastAsia="zh-CN" w:bidi="ar-SA"/>
                    </w:rPr>
                    <w:t>各主要部件组装和拆卸；</w:t>
                  </w:r>
                </w:p>
                <w:p w14:paraId="1721A99F">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如需通过孔走线，过线孔应做防割</w:t>
                  </w:r>
                  <w:r>
                    <w:rPr>
                      <w:rFonts w:hint="eastAsia" w:ascii="宋体" w:hAnsi="宋体" w:eastAsia="宋体" w:cs="宋体"/>
                      <w:i/>
                      <w:iCs/>
                      <w:color w:val="auto"/>
                      <w:spacing w:val="-4"/>
                      <w:sz w:val="24"/>
                      <w:szCs w:val="24"/>
                      <w:highlight w:val="none"/>
                      <w:u w:val="single"/>
                      <w:lang w:val="en-US" w:eastAsia="zh-CN" w:bidi="ar-SA"/>
                    </w:rPr>
                    <w:t>线处理；</w:t>
                  </w:r>
                </w:p>
                <w:p w14:paraId="19A19EE4">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各插头位置和插拔方向应合理，应做到插拔无障碍设计，具备防呆设计，有效避免误操作；</w:t>
                  </w:r>
                </w:p>
                <w:p w14:paraId="7730019A">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各主要部件拆装无障碍，使用常规工具拆装，无特殊拆装工具需求；</w:t>
                  </w:r>
                </w:p>
                <w:p w14:paraId="5C0601CB">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各主要部件拆装步骤要少，各自拆装需避免相互干扰；</w:t>
                  </w:r>
                </w:p>
                <w:p w14:paraId="4E154FDC">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对于整机或零部件外表面为高亮面</w:t>
                  </w:r>
                  <w:r>
                    <w:rPr>
                      <w:rFonts w:hint="eastAsia" w:ascii="宋体" w:hAnsi="宋体" w:eastAsia="宋体" w:cs="宋体"/>
                      <w:i/>
                      <w:iCs/>
                      <w:color w:val="auto"/>
                      <w:spacing w:val="-16"/>
                      <w:sz w:val="24"/>
                      <w:szCs w:val="24"/>
                      <w:highlight w:val="none"/>
                      <w:u w:val="single"/>
                      <w:lang w:val="en-US" w:eastAsia="zh-CN" w:bidi="ar-SA"/>
                    </w:rPr>
                    <w:t>的，应粘贴保护膜，保护膜需粘贴牢固，</w:t>
                  </w:r>
                  <w:r>
                    <w:rPr>
                      <w:rFonts w:hint="eastAsia" w:ascii="宋体" w:hAnsi="宋体" w:eastAsia="宋体" w:cs="宋体"/>
                      <w:i/>
                      <w:iCs/>
                      <w:color w:val="auto"/>
                      <w:spacing w:val="-2"/>
                      <w:sz w:val="24"/>
                      <w:szCs w:val="24"/>
                      <w:highlight w:val="none"/>
                      <w:u w:val="single"/>
                      <w:lang w:val="en-US" w:eastAsia="zh-CN" w:bidi="ar-SA"/>
                    </w:rPr>
                    <w:t>运输、组装等过程不易脱落，撕下无残</w:t>
                  </w:r>
                  <w:r>
                    <w:rPr>
                      <w:rFonts w:hint="eastAsia" w:ascii="宋体" w:hAnsi="宋体" w:eastAsia="宋体" w:cs="宋体"/>
                      <w:i/>
                      <w:iCs/>
                      <w:color w:val="auto"/>
                      <w:spacing w:val="-6"/>
                      <w:sz w:val="24"/>
                      <w:szCs w:val="24"/>
                      <w:highlight w:val="none"/>
                      <w:u w:val="single"/>
                      <w:lang w:val="en-US" w:eastAsia="zh-CN" w:bidi="ar-SA"/>
                    </w:rPr>
                    <w:t>留；</w:t>
                  </w:r>
                </w:p>
                <w:p w14:paraId="515027A7">
                  <w:pPr>
                    <w:keepNext w:val="0"/>
                    <w:keepLines w:val="0"/>
                    <w:pageBreakBefore w:val="0"/>
                    <w:widowControl w:val="0"/>
                    <w:numPr>
                      <w:ilvl w:val="0"/>
                      <w:numId w:val="4"/>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其它要求应符合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5"/>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9813.1</w:t>
                  </w:r>
                  <w:r>
                    <w:rPr>
                      <w:rFonts w:hint="eastAsia" w:ascii="宋体" w:hAnsi="宋体" w:eastAsia="宋体" w:cs="宋体"/>
                      <w:i/>
                      <w:iCs/>
                      <w:color w:val="auto"/>
                      <w:spacing w:val="-19"/>
                      <w:sz w:val="24"/>
                      <w:szCs w:val="24"/>
                      <w:highlight w:val="none"/>
                      <w:u w:val="single"/>
                      <w:lang w:val="en-US" w:eastAsia="zh-CN" w:bidi="ar-SA"/>
                    </w:rPr>
                    <w:t xml:space="preserve"> 的相</w:t>
                  </w:r>
                  <w:r>
                    <w:rPr>
                      <w:rFonts w:hint="eastAsia" w:ascii="宋体" w:hAnsi="宋体" w:eastAsia="宋体" w:cs="宋体"/>
                      <w:i/>
                      <w:iCs/>
                      <w:color w:val="auto"/>
                      <w:spacing w:val="-4"/>
                      <w:sz w:val="24"/>
                      <w:szCs w:val="24"/>
                      <w:highlight w:val="none"/>
                      <w:u w:val="single"/>
                      <w:lang w:val="en-US" w:eastAsia="zh-CN" w:bidi="ar-SA"/>
                    </w:rPr>
                    <w:t>关规定</w:t>
                  </w:r>
                </w:p>
              </w:tc>
            </w:tr>
            <w:tr w14:paraId="249056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059B372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73</w:t>
                  </w:r>
                </w:p>
              </w:tc>
              <w:tc>
                <w:tcPr>
                  <w:tcW w:w="737" w:type="dxa"/>
                  <w:vAlign w:val="center"/>
                </w:tcPr>
                <w:p w14:paraId="53B7E84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7D0DAE9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C7D904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机箱防护要求</w:t>
                  </w:r>
                </w:p>
              </w:tc>
              <w:tc>
                <w:tcPr>
                  <w:tcW w:w="3214" w:type="dxa"/>
                  <w:vAlign w:val="center"/>
                </w:tcPr>
                <w:p w14:paraId="4492D30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 xml:space="preserve">机箱应符合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4208</w:t>
                  </w:r>
                  <w:r>
                    <w:rPr>
                      <w:rFonts w:hint="eastAsia" w:ascii="宋体" w:hAnsi="宋体" w:eastAsia="宋体" w:cs="宋体"/>
                      <w:i/>
                      <w:iCs/>
                      <w:color w:val="auto"/>
                      <w:spacing w:val="-30"/>
                      <w:sz w:val="24"/>
                      <w:szCs w:val="24"/>
                      <w:highlight w:val="none"/>
                      <w:u w:val="single"/>
                      <w:lang w:val="en-US" w:eastAsia="zh-CN" w:bidi="ar-SA"/>
                    </w:rPr>
                    <w:t xml:space="preserve"> 中 </w:t>
                  </w:r>
                  <w:r>
                    <w:rPr>
                      <w:rFonts w:hint="eastAsia" w:ascii="宋体" w:hAnsi="宋体" w:eastAsia="宋体" w:cs="宋体"/>
                      <w:i/>
                      <w:iCs/>
                      <w:color w:val="auto"/>
                      <w:sz w:val="24"/>
                      <w:szCs w:val="24"/>
                      <w:highlight w:val="none"/>
                      <w:u w:val="single"/>
                      <w:lang w:val="en-US" w:eastAsia="zh-CN" w:bidi="ar-SA"/>
                    </w:rPr>
                    <w:t>IP20</w:t>
                  </w:r>
                  <w:r>
                    <w:rPr>
                      <w:rFonts w:hint="eastAsia" w:ascii="宋体" w:hAnsi="宋体" w:eastAsia="宋体" w:cs="宋体"/>
                      <w:i/>
                      <w:iCs/>
                      <w:color w:val="auto"/>
                      <w:spacing w:val="-12"/>
                      <w:sz w:val="24"/>
                      <w:szCs w:val="24"/>
                      <w:highlight w:val="none"/>
                      <w:u w:val="single"/>
                      <w:lang w:val="en-US" w:eastAsia="zh-CN" w:bidi="ar-SA"/>
                    </w:rPr>
                    <w:t xml:space="preserve"> 防护要</w:t>
                  </w:r>
                  <w:r>
                    <w:rPr>
                      <w:rFonts w:hint="eastAsia" w:ascii="宋体" w:hAnsi="宋体" w:eastAsia="宋体" w:cs="宋体"/>
                      <w:i/>
                      <w:iCs/>
                      <w:color w:val="auto"/>
                      <w:spacing w:val="-10"/>
                      <w:sz w:val="24"/>
                      <w:szCs w:val="24"/>
                      <w:highlight w:val="none"/>
                      <w:u w:val="single"/>
                      <w:lang w:val="en-US" w:eastAsia="zh-CN" w:bidi="ar-SA"/>
                    </w:rPr>
                    <w:t>求</w:t>
                  </w:r>
                </w:p>
              </w:tc>
            </w:tr>
            <w:tr w14:paraId="1D31B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1E6DBEE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74</w:t>
                  </w:r>
                </w:p>
              </w:tc>
              <w:tc>
                <w:tcPr>
                  <w:tcW w:w="737" w:type="dxa"/>
                  <w:vAlign w:val="center"/>
                </w:tcPr>
                <w:p w14:paraId="0BA540F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2931647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18156B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整机噪</w:t>
                  </w:r>
                  <w:r>
                    <w:rPr>
                      <w:rFonts w:hint="eastAsia" w:ascii="宋体" w:hAnsi="宋体" w:eastAsia="宋体" w:cs="宋体"/>
                      <w:i w:val="0"/>
                      <w:iCs w:val="0"/>
                      <w:color w:val="auto"/>
                      <w:spacing w:val="-10"/>
                      <w:sz w:val="24"/>
                      <w:szCs w:val="24"/>
                      <w:highlight w:val="none"/>
                      <w:u w:val="none"/>
                      <w:lang w:val="en-US" w:eastAsia="zh-CN" w:bidi="ar-SA"/>
                    </w:rPr>
                    <w:t>音</w:t>
                  </w:r>
                </w:p>
              </w:tc>
              <w:tc>
                <w:tcPr>
                  <w:tcW w:w="3214" w:type="dxa"/>
                  <w:vAlign w:val="center"/>
                </w:tcPr>
                <w:p w14:paraId="6D334F5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产品工作在空闲状态下，产品的声功率</w:t>
                  </w:r>
                  <w:r>
                    <w:rPr>
                      <w:rFonts w:hint="eastAsia" w:ascii="宋体" w:hAnsi="宋体" w:eastAsia="宋体" w:cs="宋体"/>
                      <w:i/>
                      <w:iCs/>
                      <w:color w:val="auto"/>
                      <w:spacing w:val="-3"/>
                      <w:sz w:val="24"/>
                      <w:szCs w:val="24"/>
                      <w:highlight w:val="none"/>
                      <w:u w:val="single"/>
                      <w:lang w:val="en-US" w:eastAsia="zh-CN" w:bidi="ar-SA"/>
                    </w:rPr>
                    <w:t xml:space="preserve">级应不超过 </w:t>
                  </w:r>
                  <w:r>
                    <w:rPr>
                      <w:rFonts w:hint="eastAsia" w:ascii="宋体" w:hAnsi="宋体" w:eastAsia="宋体" w:cs="宋体"/>
                      <w:i/>
                      <w:iCs/>
                      <w:color w:val="auto"/>
                      <w:sz w:val="24"/>
                      <w:szCs w:val="24"/>
                      <w:highlight w:val="none"/>
                      <w:u w:val="single"/>
                      <w:lang w:val="en-US" w:eastAsia="zh-CN" w:bidi="ar-SA"/>
                    </w:rPr>
                    <w:t>4.5 Bel</w:t>
                  </w:r>
                </w:p>
              </w:tc>
            </w:tr>
            <w:tr w14:paraId="562DF0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78" w:hRule="atLeast"/>
              </w:trPr>
              <w:tc>
                <w:tcPr>
                  <w:tcW w:w="600" w:type="dxa"/>
                  <w:vAlign w:val="center"/>
                </w:tcPr>
                <w:p w14:paraId="7D69AC9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75</w:t>
                  </w:r>
                </w:p>
              </w:tc>
              <w:tc>
                <w:tcPr>
                  <w:tcW w:w="737" w:type="dxa"/>
                  <w:vAlign w:val="center"/>
                </w:tcPr>
                <w:p w14:paraId="480CE5A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3733A82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2B1C92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整机散</w:t>
                  </w:r>
                  <w:r>
                    <w:rPr>
                      <w:rFonts w:hint="eastAsia" w:ascii="宋体" w:hAnsi="宋体" w:eastAsia="宋体" w:cs="宋体"/>
                      <w:i w:val="0"/>
                      <w:iCs w:val="0"/>
                      <w:color w:val="auto"/>
                      <w:spacing w:val="-10"/>
                      <w:sz w:val="24"/>
                      <w:szCs w:val="24"/>
                      <w:highlight w:val="none"/>
                      <w:u w:val="none"/>
                      <w:lang w:val="en-US" w:eastAsia="zh-CN" w:bidi="ar-SA"/>
                    </w:rPr>
                    <w:t>热</w:t>
                  </w:r>
                </w:p>
              </w:tc>
              <w:tc>
                <w:tcPr>
                  <w:tcW w:w="3214" w:type="dxa"/>
                  <w:vAlign w:val="center"/>
                </w:tcPr>
                <w:p w14:paraId="2431CC5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在环境温度</w:t>
                  </w:r>
                  <w:r>
                    <w:rPr>
                      <w:rFonts w:hint="eastAsia" w:ascii="宋体" w:hAnsi="宋体" w:eastAsia="宋体" w:cs="宋体"/>
                      <w:i/>
                      <w:iCs/>
                      <w:color w:val="auto"/>
                      <w:sz w:val="24"/>
                      <w:szCs w:val="24"/>
                      <w:highlight w:val="none"/>
                      <w:u w:val="single"/>
                      <w:lang w:val="en-US" w:eastAsia="zh-CN" w:bidi="ar-SA"/>
                    </w:rPr>
                    <w:t>25℃及处理器满载情况下，</w:t>
                  </w:r>
                  <w:r>
                    <w:rPr>
                      <w:rFonts w:hint="eastAsia" w:ascii="宋体" w:hAnsi="宋体" w:eastAsia="宋体" w:cs="宋体"/>
                      <w:i/>
                      <w:iCs/>
                      <w:color w:val="auto"/>
                      <w:spacing w:val="-2"/>
                      <w:sz w:val="24"/>
                      <w:szCs w:val="24"/>
                      <w:highlight w:val="none"/>
                      <w:u w:val="single"/>
                      <w:lang w:val="en-US" w:eastAsia="zh-CN" w:bidi="ar-SA"/>
                    </w:rPr>
                    <w:t>产品表面温度应符合下列要求：</w:t>
                  </w:r>
                </w:p>
                <w:p w14:paraId="2A2212C7">
                  <w:pPr>
                    <w:keepNext w:val="0"/>
                    <w:keepLines w:val="0"/>
                    <w:pageBreakBefore w:val="0"/>
                    <w:widowControl w:val="0"/>
                    <w:numPr>
                      <w:ilvl w:val="0"/>
                      <w:numId w:val="5"/>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出风口在机箱后面板情况下，出风</w:t>
                  </w:r>
                  <w:r>
                    <w:rPr>
                      <w:rFonts w:hint="eastAsia" w:ascii="宋体" w:hAnsi="宋体" w:eastAsia="宋体" w:cs="宋体"/>
                      <w:i/>
                      <w:iCs/>
                      <w:color w:val="auto"/>
                      <w:spacing w:val="-6"/>
                      <w:sz w:val="24"/>
                      <w:szCs w:val="24"/>
                      <w:highlight w:val="none"/>
                      <w:u w:val="single"/>
                      <w:lang w:val="en-US" w:eastAsia="zh-CN" w:bidi="ar-SA"/>
                    </w:rPr>
                    <w:t xml:space="preserve">口温度不高于 </w:t>
                  </w:r>
                  <w:r>
                    <w:rPr>
                      <w:rFonts w:hint="eastAsia" w:ascii="宋体" w:hAnsi="宋体" w:eastAsia="宋体" w:cs="宋体"/>
                      <w:i/>
                      <w:iCs/>
                      <w:color w:val="auto"/>
                      <w:sz w:val="24"/>
                      <w:szCs w:val="24"/>
                      <w:highlight w:val="none"/>
                      <w:u w:val="single"/>
                      <w:lang w:val="en-US" w:eastAsia="zh-CN" w:bidi="ar-SA"/>
                    </w:rPr>
                    <w:t>55℃；</w:t>
                  </w:r>
                </w:p>
                <w:p w14:paraId="7FB7D91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pacing w:val="-4"/>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可触及面温度小于 </w:t>
                  </w:r>
                  <w:r>
                    <w:rPr>
                      <w:rFonts w:hint="eastAsia" w:ascii="宋体" w:hAnsi="宋体" w:eastAsia="宋体" w:cs="宋体"/>
                      <w:i/>
                      <w:iCs/>
                      <w:color w:val="auto"/>
                      <w:spacing w:val="-4"/>
                      <w:sz w:val="24"/>
                      <w:szCs w:val="24"/>
                      <w:highlight w:val="none"/>
                      <w:u w:val="single"/>
                      <w:lang w:val="en-US" w:eastAsia="zh-CN" w:bidi="ar-SA"/>
                    </w:rPr>
                    <w:t>45℃；</w:t>
                  </w:r>
                </w:p>
                <w:p w14:paraId="2F57FD7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c</w:t>
                  </w:r>
                  <w:r>
                    <w:rPr>
                      <w:rFonts w:hint="eastAsia" w:ascii="宋体" w:hAnsi="宋体" w:eastAsia="宋体" w:cs="宋体"/>
                      <w:i/>
                      <w:iCs/>
                      <w:color w:val="auto"/>
                      <w:spacing w:val="-3"/>
                      <w:sz w:val="24"/>
                      <w:szCs w:val="24"/>
                      <w:highlight w:val="none"/>
                      <w:u w:val="single"/>
                      <w:lang w:val="en-US" w:eastAsia="zh-CN" w:bidi="ar-SA"/>
                    </w:rPr>
                    <w:t>) 显示器表面温度：显示屏温度不高</w:t>
                  </w:r>
                  <w:r>
                    <w:rPr>
                      <w:rFonts w:hint="eastAsia" w:ascii="宋体" w:hAnsi="宋体" w:eastAsia="宋体" w:cs="宋体"/>
                      <w:i/>
                      <w:iCs/>
                      <w:color w:val="auto"/>
                      <w:w w:val="95"/>
                      <w:sz w:val="24"/>
                      <w:szCs w:val="24"/>
                      <w:highlight w:val="none"/>
                      <w:u w:val="single"/>
                      <w:lang w:val="en-US" w:eastAsia="zh-CN" w:bidi="ar-SA"/>
                    </w:rPr>
                    <w:t>于 38℃，显示屏上下灯带位置温</w:t>
                  </w:r>
                  <w:r>
                    <w:rPr>
                      <w:rFonts w:hint="eastAsia" w:ascii="宋体" w:hAnsi="宋体" w:eastAsia="宋体" w:cs="宋体"/>
                      <w:i/>
                      <w:iCs/>
                      <w:color w:val="auto"/>
                      <w:spacing w:val="-53"/>
                      <w:w w:val="95"/>
                      <w:sz w:val="24"/>
                      <w:szCs w:val="24"/>
                      <w:highlight w:val="none"/>
                      <w:u w:val="single"/>
                      <w:lang w:val="en-US" w:eastAsia="zh-CN" w:bidi="ar-SA"/>
                    </w:rPr>
                    <w:t>度</w:t>
                  </w:r>
                  <w:r>
                    <w:rPr>
                      <w:rFonts w:hint="eastAsia" w:ascii="宋体" w:hAnsi="宋体" w:eastAsia="宋体" w:cs="宋体"/>
                      <w:i/>
                      <w:iCs/>
                      <w:color w:val="auto"/>
                      <w:w w:val="95"/>
                      <w:sz w:val="24"/>
                      <w:szCs w:val="24"/>
                      <w:highlight w:val="none"/>
                      <w:u w:val="single"/>
                      <w:lang w:val="en-US" w:eastAsia="zh-CN" w:bidi="ar-SA"/>
                    </w:rPr>
                    <w:t>（如</w:t>
                  </w:r>
                  <w:r>
                    <w:rPr>
                      <w:rFonts w:hint="eastAsia" w:ascii="宋体" w:hAnsi="宋体" w:eastAsia="宋体" w:cs="宋体"/>
                      <w:i/>
                      <w:iCs/>
                      <w:color w:val="auto"/>
                      <w:sz w:val="24"/>
                      <w:szCs w:val="24"/>
                      <w:highlight w:val="none"/>
                      <w:u w:val="single"/>
                      <w:lang w:val="en-US" w:eastAsia="zh-CN" w:bidi="ar-SA"/>
                    </w:rPr>
                    <w:t>涉及）</w:t>
                  </w:r>
                  <w:r>
                    <w:rPr>
                      <w:rFonts w:hint="eastAsia" w:ascii="宋体" w:hAnsi="宋体" w:eastAsia="宋体" w:cs="宋体"/>
                      <w:i/>
                      <w:iCs/>
                      <w:color w:val="auto"/>
                      <w:spacing w:val="-11"/>
                      <w:sz w:val="24"/>
                      <w:szCs w:val="24"/>
                      <w:highlight w:val="none"/>
                      <w:u w:val="single"/>
                      <w:lang w:val="en-US" w:eastAsia="zh-CN" w:bidi="ar-SA"/>
                    </w:rPr>
                    <w:t xml:space="preserve">不高于 </w:t>
                  </w:r>
                  <w:r>
                    <w:rPr>
                      <w:rFonts w:hint="eastAsia" w:ascii="宋体" w:hAnsi="宋体" w:eastAsia="宋体" w:cs="宋体"/>
                      <w:i/>
                      <w:iCs/>
                      <w:color w:val="auto"/>
                      <w:sz w:val="24"/>
                      <w:szCs w:val="24"/>
                      <w:highlight w:val="none"/>
                      <w:u w:val="single"/>
                      <w:lang w:val="en-US" w:eastAsia="zh-CN" w:bidi="ar-SA"/>
                    </w:rPr>
                    <w:t>40℃，出风口温度不高</w:t>
                  </w:r>
                </w:p>
                <w:p w14:paraId="70BCCCBA">
                  <w:pPr>
                    <w:keepNext w:val="0"/>
                    <w:keepLines w:val="0"/>
                    <w:pageBreakBefore w:val="0"/>
                    <w:widowControl w:val="0"/>
                    <w:numPr>
                      <w:ilvl w:val="0"/>
                      <w:numId w:val="5"/>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3"/>
                      <w:sz w:val="24"/>
                      <w:szCs w:val="24"/>
                      <w:highlight w:val="none"/>
                      <w:u w:val="single"/>
                      <w:lang w:val="en-US" w:eastAsia="zh-CN" w:bidi="ar-SA"/>
                    </w:rPr>
                    <w:t xml:space="preserve">于 </w:t>
                  </w:r>
                  <w:r>
                    <w:rPr>
                      <w:rFonts w:hint="eastAsia" w:ascii="宋体" w:hAnsi="宋体" w:eastAsia="宋体" w:cs="宋体"/>
                      <w:i/>
                      <w:iCs/>
                      <w:color w:val="auto"/>
                      <w:spacing w:val="-5"/>
                      <w:sz w:val="24"/>
                      <w:szCs w:val="24"/>
                      <w:highlight w:val="none"/>
                      <w:u w:val="single"/>
                      <w:lang w:val="en-US" w:eastAsia="zh-CN" w:bidi="ar-SA"/>
                    </w:rPr>
                    <w:t>45℃</w:t>
                  </w:r>
                </w:p>
              </w:tc>
            </w:tr>
            <w:tr w14:paraId="4C87DE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647BD7E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76</w:t>
                  </w:r>
                </w:p>
              </w:tc>
              <w:tc>
                <w:tcPr>
                  <w:tcW w:w="737" w:type="dxa"/>
                  <w:vAlign w:val="center"/>
                </w:tcPr>
                <w:p w14:paraId="74B964C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restart"/>
                  <w:tcBorders>
                    <w:top w:val="nil"/>
                  </w:tcBorders>
                  <w:vAlign w:val="center"/>
                </w:tcPr>
                <w:p w14:paraId="2A0114A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pacing w:val="-4"/>
                      <w:sz w:val="24"/>
                      <w:szCs w:val="24"/>
                      <w:highlight w:val="none"/>
                      <w:u w:val="none"/>
                    </w:rPr>
                    <w:t>整机</w:t>
                  </w:r>
                  <w:r>
                    <w:rPr>
                      <w:rFonts w:hint="eastAsia" w:ascii="宋体" w:hAnsi="宋体" w:eastAsia="宋体" w:cs="宋体"/>
                      <w:i w:val="0"/>
                      <w:iCs w:val="0"/>
                      <w:color w:val="auto"/>
                      <w:spacing w:val="-6"/>
                      <w:sz w:val="24"/>
                      <w:szCs w:val="24"/>
                      <w:highlight w:val="none"/>
                      <w:u w:val="none"/>
                    </w:rPr>
                    <w:t>基础</w:t>
                  </w:r>
                  <w:r>
                    <w:rPr>
                      <w:rFonts w:hint="eastAsia" w:ascii="宋体" w:hAnsi="宋体" w:eastAsia="宋体" w:cs="宋体"/>
                      <w:i w:val="0"/>
                      <w:iCs w:val="0"/>
                      <w:color w:val="auto"/>
                      <w:spacing w:val="-5"/>
                      <w:sz w:val="24"/>
                      <w:szCs w:val="24"/>
                      <w:highlight w:val="none"/>
                      <w:u w:val="none"/>
                    </w:rPr>
                    <w:t>规格</w:t>
                  </w:r>
                </w:p>
              </w:tc>
              <w:tc>
                <w:tcPr>
                  <w:tcW w:w="958" w:type="dxa"/>
                  <w:vAlign w:val="center"/>
                </w:tcPr>
                <w:p w14:paraId="472CEB9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整机能</w:t>
                  </w:r>
                  <w:r>
                    <w:rPr>
                      <w:rFonts w:hint="eastAsia" w:ascii="宋体" w:hAnsi="宋体" w:eastAsia="宋体" w:cs="宋体"/>
                      <w:i w:val="0"/>
                      <w:iCs w:val="0"/>
                      <w:color w:val="auto"/>
                      <w:spacing w:val="-3"/>
                      <w:sz w:val="24"/>
                      <w:szCs w:val="24"/>
                      <w:highlight w:val="none"/>
                      <w:u w:val="none"/>
                      <w:lang w:val="en-US" w:eastAsia="zh-CN" w:bidi="ar-SA"/>
                    </w:rPr>
                    <w:t>效限定值</w:t>
                  </w:r>
                </w:p>
              </w:tc>
              <w:tc>
                <w:tcPr>
                  <w:tcW w:w="3214" w:type="dxa"/>
                  <w:vAlign w:val="center"/>
                </w:tcPr>
                <w:p w14:paraId="5A29840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产品能效限定值应达到 </w:t>
                  </w:r>
                  <w:r>
                    <w:rPr>
                      <w:rFonts w:hint="eastAsia" w:ascii="宋体" w:hAnsi="宋体" w:eastAsia="宋体" w:cs="宋体"/>
                      <w:i/>
                      <w:iCs/>
                      <w:color w:val="auto"/>
                      <w:spacing w:val="-2"/>
                      <w:sz w:val="24"/>
                      <w:szCs w:val="24"/>
                      <w:highlight w:val="none"/>
                      <w:u w:val="single"/>
                      <w:lang w:val="en-US" w:eastAsia="zh-CN" w:bidi="ar-SA"/>
                    </w:rPr>
                    <w:t>GB</w:t>
                  </w:r>
                  <w:r>
                    <w:rPr>
                      <w:rFonts w:hint="eastAsia" w:ascii="宋体" w:hAnsi="宋体" w:eastAsia="宋体" w:cs="宋体"/>
                      <w:i/>
                      <w:iCs/>
                      <w:color w:val="auto"/>
                      <w:spacing w:val="1"/>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28380-</w:t>
                  </w:r>
                  <w:r>
                    <w:rPr>
                      <w:rFonts w:hint="eastAsia" w:ascii="宋体" w:hAnsi="宋体" w:eastAsia="宋体" w:cs="宋体"/>
                      <w:i/>
                      <w:iCs/>
                      <w:color w:val="auto"/>
                      <w:spacing w:val="-4"/>
                      <w:sz w:val="24"/>
                      <w:szCs w:val="24"/>
                      <w:highlight w:val="none"/>
                      <w:u w:val="single"/>
                      <w:lang w:val="en-US" w:eastAsia="zh-CN" w:bidi="ar-SA"/>
                    </w:rPr>
                    <w:t>2012</w:t>
                  </w:r>
                </w:p>
                <w:p w14:paraId="0A62310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标准中能效等级 </w:t>
                  </w:r>
                  <w:r>
                    <w:rPr>
                      <w:rFonts w:hint="eastAsia" w:ascii="宋体" w:hAnsi="宋体" w:eastAsia="宋体" w:cs="宋体"/>
                      <w:i/>
                      <w:iCs/>
                      <w:color w:val="auto"/>
                      <w:sz w:val="24"/>
                      <w:szCs w:val="24"/>
                      <w:highlight w:val="none"/>
                      <w:u w:val="single"/>
                      <w:lang w:val="en-US" w:eastAsia="zh-CN" w:bidi="ar-SA"/>
                    </w:rPr>
                    <w:t>2</w:t>
                  </w:r>
                  <w:r>
                    <w:rPr>
                      <w:rFonts w:hint="eastAsia" w:ascii="宋体" w:hAnsi="宋体" w:eastAsia="宋体" w:cs="宋体"/>
                      <w:i/>
                      <w:iCs/>
                      <w:color w:val="auto"/>
                      <w:spacing w:val="-12"/>
                      <w:sz w:val="24"/>
                      <w:szCs w:val="24"/>
                      <w:highlight w:val="none"/>
                      <w:u w:val="single"/>
                      <w:lang w:val="en-US" w:eastAsia="zh-CN" w:bidi="ar-SA"/>
                    </w:rPr>
                    <w:t xml:space="preserve"> 级及以上</w:t>
                  </w:r>
                </w:p>
              </w:tc>
            </w:tr>
            <w:tr w14:paraId="589A6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78C14E3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77</w:t>
                  </w:r>
                </w:p>
              </w:tc>
              <w:tc>
                <w:tcPr>
                  <w:tcW w:w="737" w:type="dxa"/>
                  <w:vAlign w:val="center"/>
                </w:tcPr>
                <w:p w14:paraId="1F1DC8C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0FEC6290">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BE5D7A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机身材质</w:t>
                  </w:r>
                </w:p>
              </w:tc>
              <w:tc>
                <w:tcPr>
                  <w:tcW w:w="3214" w:type="dxa"/>
                  <w:vAlign w:val="center"/>
                </w:tcPr>
                <w:p w14:paraId="7EA5A70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金属</w:t>
                  </w:r>
                </w:p>
              </w:tc>
            </w:tr>
            <w:tr w14:paraId="104CE4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437D294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78</w:t>
                  </w:r>
                </w:p>
              </w:tc>
              <w:tc>
                <w:tcPr>
                  <w:tcW w:w="737" w:type="dxa"/>
                  <w:vAlign w:val="center"/>
                </w:tcPr>
                <w:p w14:paraId="56C4C3E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44CC9F1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ABCC01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机身颜</w:t>
                  </w:r>
                  <w:r>
                    <w:rPr>
                      <w:rFonts w:hint="eastAsia" w:ascii="宋体" w:hAnsi="宋体" w:eastAsia="宋体" w:cs="宋体"/>
                      <w:i w:val="0"/>
                      <w:iCs w:val="0"/>
                      <w:color w:val="auto"/>
                      <w:spacing w:val="-10"/>
                      <w:sz w:val="24"/>
                      <w:szCs w:val="24"/>
                      <w:highlight w:val="none"/>
                      <w:u w:val="none"/>
                      <w:lang w:val="en-US" w:eastAsia="zh-CN" w:bidi="ar-SA"/>
                    </w:rPr>
                    <w:t>色</w:t>
                  </w:r>
                </w:p>
              </w:tc>
              <w:tc>
                <w:tcPr>
                  <w:tcW w:w="3214" w:type="dxa"/>
                  <w:vAlign w:val="center"/>
                </w:tcPr>
                <w:p w14:paraId="3665EEF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选用黑色色系</w:t>
                  </w:r>
                </w:p>
              </w:tc>
            </w:tr>
            <w:tr w14:paraId="0B0BD9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7E9ED3F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79</w:t>
                  </w:r>
                </w:p>
              </w:tc>
              <w:tc>
                <w:tcPr>
                  <w:tcW w:w="737" w:type="dxa"/>
                  <w:vAlign w:val="center"/>
                </w:tcPr>
                <w:p w14:paraId="7BD2B5C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产品</w:t>
                  </w:r>
                  <w:r>
                    <w:rPr>
                      <w:rFonts w:hint="eastAsia" w:ascii="宋体" w:hAnsi="宋体" w:eastAsia="宋体" w:cs="宋体"/>
                      <w:i w:val="0"/>
                      <w:iCs w:val="0"/>
                      <w:color w:val="auto"/>
                      <w:spacing w:val="-5"/>
                      <w:sz w:val="24"/>
                      <w:szCs w:val="24"/>
                      <w:highlight w:val="none"/>
                      <w:u w:val="none"/>
                      <w:lang w:val="en-US" w:eastAsia="zh-CN" w:bidi="ar-SA"/>
                    </w:rPr>
                    <w:t>规格</w:t>
                  </w:r>
                </w:p>
              </w:tc>
              <w:tc>
                <w:tcPr>
                  <w:tcW w:w="885" w:type="dxa"/>
                  <w:vMerge w:val="continue"/>
                  <w:tcBorders>
                    <w:top w:val="nil"/>
                  </w:tcBorders>
                  <w:vAlign w:val="center"/>
                </w:tcPr>
                <w:p w14:paraId="483491CF">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69F682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机箱尺寸容量</w:t>
                  </w:r>
                </w:p>
              </w:tc>
              <w:tc>
                <w:tcPr>
                  <w:tcW w:w="3214" w:type="dxa"/>
                  <w:vAlign w:val="center"/>
                </w:tcPr>
                <w:p w14:paraId="57FF916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机箱体积应不大于 40L</w:t>
                  </w:r>
                </w:p>
              </w:tc>
            </w:tr>
            <w:tr w14:paraId="49169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3C918C2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80</w:t>
                  </w:r>
                </w:p>
              </w:tc>
              <w:tc>
                <w:tcPr>
                  <w:tcW w:w="737" w:type="dxa"/>
                  <w:vAlign w:val="center"/>
                </w:tcPr>
                <w:p w14:paraId="08B33DC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5BC5247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CPU</w:t>
                  </w:r>
                </w:p>
                <w:p w14:paraId="61622DE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性能</w:t>
                  </w:r>
                </w:p>
              </w:tc>
              <w:tc>
                <w:tcPr>
                  <w:tcW w:w="958" w:type="dxa"/>
                  <w:vAlign w:val="center"/>
                </w:tcPr>
                <w:p w14:paraId="5E3C26D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CPU</w:t>
                  </w:r>
                  <w:r>
                    <w:rPr>
                      <w:rFonts w:hint="eastAsia" w:ascii="宋体" w:hAnsi="宋体" w:eastAsia="宋体" w:cs="宋体"/>
                      <w:i w:val="0"/>
                      <w:iCs w:val="0"/>
                      <w:color w:val="auto"/>
                      <w:spacing w:val="-24"/>
                      <w:sz w:val="24"/>
                      <w:szCs w:val="24"/>
                      <w:highlight w:val="none"/>
                      <w:u w:val="none"/>
                      <w:lang w:val="en-US" w:eastAsia="zh-CN" w:bidi="ar-SA"/>
                    </w:rPr>
                    <w:t xml:space="preserve"> 物</w:t>
                  </w:r>
                  <w:r>
                    <w:rPr>
                      <w:rFonts w:hint="eastAsia" w:ascii="宋体" w:hAnsi="宋体" w:eastAsia="宋体" w:cs="宋体"/>
                      <w:i w:val="0"/>
                      <w:iCs w:val="0"/>
                      <w:color w:val="auto"/>
                      <w:spacing w:val="-4"/>
                      <w:sz w:val="24"/>
                      <w:szCs w:val="24"/>
                      <w:highlight w:val="none"/>
                      <w:u w:val="none"/>
                      <w:lang w:val="en-US" w:eastAsia="zh-CN" w:bidi="ar-SA"/>
                    </w:rPr>
                    <w:t>理核数</w:t>
                  </w:r>
                </w:p>
              </w:tc>
              <w:tc>
                <w:tcPr>
                  <w:tcW w:w="3214" w:type="dxa"/>
                  <w:vAlign w:val="center"/>
                </w:tcPr>
                <w:p w14:paraId="085BA5A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核数≥ 10，线程数≥ 20</w:t>
                  </w:r>
                </w:p>
              </w:tc>
            </w:tr>
            <w:tr w14:paraId="334991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4E91C16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81</w:t>
                  </w:r>
                </w:p>
              </w:tc>
              <w:tc>
                <w:tcPr>
                  <w:tcW w:w="737" w:type="dxa"/>
                  <w:vAlign w:val="center"/>
                </w:tcPr>
                <w:p w14:paraId="102F9BB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7E91847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435614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CPU</w:t>
                  </w:r>
                  <w:r>
                    <w:rPr>
                      <w:rFonts w:hint="eastAsia" w:ascii="宋体" w:hAnsi="宋体" w:eastAsia="宋体" w:cs="宋体"/>
                      <w:i w:val="0"/>
                      <w:iCs w:val="0"/>
                      <w:color w:val="auto"/>
                      <w:spacing w:val="-24"/>
                      <w:sz w:val="24"/>
                      <w:szCs w:val="24"/>
                      <w:highlight w:val="none"/>
                      <w:u w:val="none"/>
                      <w:lang w:val="en-US" w:eastAsia="zh-CN" w:bidi="ar-SA"/>
                    </w:rPr>
                    <w:t xml:space="preserve"> 主</w:t>
                  </w:r>
                  <w:r>
                    <w:rPr>
                      <w:rFonts w:hint="eastAsia" w:ascii="宋体" w:hAnsi="宋体" w:eastAsia="宋体" w:cs="宋体"/>
                      <w:i w:val="0"/>
                      <w:iCs w:val="0"/>
                      <w:color w:val="auto"/>
                      <w:spacing w:val="-10"/>
                      <w:sz w:val="24"/>
                      <w:szCs w:val="24"/>
                      <w:highlight w:val="none"/>
                      <w:u w:val="none"/>
                      <w:lang w:val="en-US" w:eastAsia="zh-CN" w:bidi="ar-SA"/>
                    </w:rPr>
                    <w:t>频</w:t>
                  </w:r>
                </w:p>
              </w:tc>
              <w:tc>
                <w:tcPr>
                  <w:tcW w:w="3214" w:type="dxa"/>
                  <w:vAlign w:val="center"/>
                </w:tcPr>
                <w:p w14:paraId="1DDEC45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≥3.2GHz</w:t>
                  </w:r>
                </w:p>
              </w:tc>
            </w:tr>
            <w:tr w14:paraId="03C2B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trPr>
              <w:tc>
                <w:tcPr>
                  <w:tcW w:w="600" w:type="dxa"/>
                  <w:vAlign w:val="center"/>
                </w:tcPr>
                <w:p w14:paraId="381D8B6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82</w:t>
                  </w:r>
                </w:p>
              </w:tc>
              <w:tc>
                <w:tcPr>
                  <w:tcW w:w="737" w:type="dxa"/>
                  <w:vAlign w:val="center"/>
                </w:tcPr>
                <w:p w14:paraId="3FF23F2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3488F3C2">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E9273F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CPU 末</w:t>
                  </w:r>
                  <w:r>
                    <w:rPr>
                      <w:rFonts w:hint="eastAsia" w:ascii="宋体" w:hAnsi="宋体" w:eastAsia="宋体" w:cs="宋体"/>
                      <w:i w:val="0"/>
                      <w:iCs w:val="0"/>
                      <w:color w:val="auto"/>
                      <w:spacing w:val="-4"/>
                      <w:sz w:val="24"/>
                      <w:szCs w:val="24"/>
                      <w:highlight w:val="none"/>
                      <w:u w:val="none"/>
                      <w:lang w:val="en-US" w:eastAsia="zh-CN" w:bidi="ar-SA"/>
                    </w:rPr>
                    <w:t>级缓存容</w:t>
                  </w:r>
                  <w:r>
                    <w:rPr>
                      <w:rFonts w:hint="eastAsia" w:ascii="宋体" w:hAnsi="宋体" w:eastAsia="宋体" w:cs="宋体"/>
                      <w:i w:val="0"/>
                      <w:iCs w:val="0"/>
                      <w:color w:val="auto"/>
                      <w:spacing w:val="-10"/>
                      <w:sz w:val="24"/>
                      <w:szCs w:val="24"/>
                      <w:highlight w:val="none"/>
                      <w:u w:val="none"/>
                      <w:lang w:val="en-US" w:eastAsia="zh-CN" w:bidi="ar-SA"/>
                    </w:rPr>
                    <w:t>量</w:t>
                  </w:r>
                </w:p>
              </w:tc>
              <w:tc>
                <w:tcPr>
                  <w:tcW w:w="3214" w:type="dxa"/>
                  <w:vAlign w:val="center"/>
                </w:tcPr>
                <w:p w14:paraId="75C8126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≥8MB</w:t>
                  </w:r>
                </w:p>
              </w:tc>
            </w:tr>
            <w:tr w14:paraId="6696C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44E2782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83</w:t>
                  </w:r>
                </w:p>
              </w:tc>
              <w:tc>
                <w:tcPr>
                  <w:tcW w:w="737" w:type="dxa"/>
                  <w:vAlign w:val="center"/>
                </w:tcPr>
                <w:p w14:paraId="7953BFE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62EE4CD2">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B3D39A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CPU</w:t>
                  </w:r>
                  <w:r>
                    <w:rPr>
                      <w:rFonts w:hint="eastAsia" w:ascii="宋体" w:hAnsi="宋体" w:eastAsia="宋体" w:cs="宋体"/>
                      <w:i w:val="0"/>
                      <w:iCs w:val="0"/>
                      <w:color w:val="auto"/>
                      <w:spacing w:val="-22"/>
                      <w:sz w:val="24"/>
                      <w:szCs w:val="24"/>
                      <w:highlight w:val="none"/>
                      <w:u w:val="none"/>
                      <w:lang w:val="en-US" w:eastAsia="zh-CN" w:bidi="ar-SA"/>
                    </w:rPr>
                    <w:t xml:space="preserve"> 支</w:t>
                  </w:r>
                  <w:r>
                    <w:rPr>
                      <w:rFonts w:hint="eastAsia" w:ascii="宋体" w:hAnsi="宋体" w:eastAsia="宋体" w:cs="宋体"/>
                      <w:i w:val="0"/>
                      <w:iCs w:val="0"/>
                      <w:color w:val="auto"/>
                      <w:spacing w:val="-4"/>
                      <w:sz w:val="24"/>
                      <w:szCs w:val="24"/>
                      <w:highlight w:val="none"/>
                      <w:u w:val="none"/>
                      <w:lang w:val="en-US" w:eastAsia="zh-CN" w:bidi="ar-SA"/>
                    </w:rPr>
                    <w:t>持的内存</w:t>
                  </w:r>
                  <w:r>
                    <w:rPr>
                      <w:rFonts w:hint="eastAsia" w:ascii="宋体" w:hAnsi="宋体" w:eastAsia="宋体" w:cs="宋体"/>
                      <w:i w:val="0"/>
                      <w:iCs w:val="0"/>
                      <w:color w:val="auto"/>
                      <w:spacing w:val="-3"/>
                      <w:sz w:val="24"/>
                      <w:szCs w:val="24"/>
                      <w:highlight w:val="none"/>
                      <w:u w:val="none"/>
                      <w:lang w:val="en-US" w:eastAsia="zh-CN" w:bidi="ar-SA"/>
                    </w:rPr>
                    <w:t>最高速率</w:t>
                  </w:r>
                </w:p>
              </w:tc>
              <w:tc>
                <w:tcPr>
                  <w:tcW w:w="3214" w:type="dxa"/>
                  <w:vAlign w:val="center"/>
                </w:tcPr>
                <w:p w14:paraId="2FE9290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≥2666MT/s</w:t>
                  </w:r>
                </w:p>
              </w:tc>
            </w:tr>
            <w:tr w14:paraId="5240C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10FB711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84</w:t>
                  </w:r>
                </w:p>
              </w:tc>
              <w:tc>
                <w:tcPr>
                  <w:tcW w:w="737" w:type="dxa"/>
                  <w:vAlign w:val="center"/>
                </w:tcPr>
                <w:p w14:paraId="6265340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Align w:val="center"/>
                </w:tcPr>
                <w:p w14:paraId="008BC17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内存</w:t>
                  </w:r>
                  <w:r>
                    <w:rPr>
                      <w:rFonts w:hint="eastAsia" w:ascii="宋体" w:hAnsi="宋体" w:eastAsia="宋体" w:cs="宋体"/>
                      <w:i w:val="0"/>
                      <w:iCs w:val="0"/>
                      <w:color w:val="auto"/>
                      <w:spacing w:val="-5"/>
                      <w:sz w:val="24"/>
                      <w:szCs w:val="24"/>
                      <w:highlight w:val="none"/>
                      <w:u w:val="none"/>
                      <w:lang w:val="en-US" w:eastAsia="zh-CN" w:bidi="ar-SA"/>
                    </w:rPr>
                    <w:t>性能</w:t>
                  </w:r>
                </w:p>
              </w:tc>
              <w:tc>
                <w:tcPr>
                  <w:tcW w:w="958" w:type="dxa"/>
                  <w:vAlign w:val="center"/>
                </w:tcPr>
                <w:p w14:paraId="167AC05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内存读写速率</w:t>
                  </w:r>
                </w:p>
              </w:tc>
              <w:tc>
                <w:tcPr>
                  <w:tcW w:w="3214" w:type="dxa"/>
                  <w:vAlign w:val="center"/>
                </w:tcPr>
                <w:p w14:paraId="5DA68E3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≥2666MT/s</w:t>
                  </w:r>
                </w:p>
              </w:tc>
            </w:tr>
            <w:tr w14:paraId="6C6F5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01EBD18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85</w:t>
                  </w:r>
                </w:p>
              </w:tc>
              <w:tc>
                <w:tcPr>
                  <w:tcW w:w="737" w:type="dxa"/>
                  <w:vAlign w:val="center"/>
                </w:tcPr>
                <w:p w14:paraId="664E3BE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158530C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显卡</w:t>
                  </w:r>
                  <w:r>
                    <w:rPr>
                      <w:rFonts w:hint="eastAsia" w:ascii="宋体" w:hAnsi="宋体" w:eastAsia="宋体" w:cs="宋体"/>
                      <w:i w:val="0"/>
                      <w:iCs w:val="0"/>
                      <w:color w:val="auto"/>
                      <w:spacing w:val="-5"/>
                      <w:sz w:val="24"/>
                      <w:szCs w:val="24"/>
                      <w:highlight w:val="none"/>
                      <w:u w:val="none"/>
                      <w:lang w:val="en-US" w:eastAsia="zh-CN" w:bidi="ar-SA"/>
                    </w:rPr>
                    <w:t>性能</w:t>
                  </w:r>
                </w:p>
              </w:tc>
              <w:tc>
                <w:tcPr>
                  <w:tcW w:w="958" w:type="dxa"/>
                  <w:vAlign w:val="center"/>
                </w:tcPr>
                <w:p w14:paraId="30445A9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显示分</w:t>
                  </w:r>
                  <w:r>
                    <w:rPr>
                      <w:rFonts w:hint="eastAsia" w:ascii="宋体" w:hAnsi="宋体" w:eastAsia="宋体" w:cs="宋体"/>
                      <w:i w:val="0"/>
                      <w:iCs w:val="0"/>
                      <w:color w:val="auto"/>
                      <w:spacing w:val="-6"/>
                      <w:sz w:val="24"/>
                      <w:szCs w:val="24"/>
                      <w:highlight w:val="none"/>
                      <w:u w:val="none"/>
                      <w:lang w:val="en-US" w:eastAsia="zh-CN" w:bidi="ar-SA"/>
                    </w:rPr>
                    <w:t>辨率</w:t>
                  </w:r>
                </w:p>
              </w:tc>
              <w:tc>
                <w:tcPr>
                  <w:tcW w:w="3214" w:type="dxa"/>
                  <w:vAlign w:val="center"/>
                </w:tcPr>
                <w:p w14:paraId="4BBA59F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≥2560×1440</w:t>
                  </w:r>
                </w:p>
              </w:tc>
            </w:tr>
            <w:tr w14:paraId="6A1F4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0D4295A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86</w:t>
                  </w:r>
                </w:p>
              </w:tc>
              <w:tc>
                <w:tcPr>
                  <w:tcW w:w="737" w:type="dxa"/>
                  <w:vAlign w:val="center"/>
                </w:tcPr>
                <w:p w14:paraId="2E660ED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1684A854">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254157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显卡显示芯片核心频率</w:t>
                  </w:r>
                </w:p>
              </w:tc>
              <w:tc>
                <w:tcPr>
                  <w:tcW w:w="3214" w:type="dxa"/>
                  <w:vAlign w:val="center"/>
                </w:tcPr>
                <w:p w14:paraId="0B9F35F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≥800MHz</w:t>
                  </w:r>
                </w:p>
              </w:tc>
            </w:tr>
            <w:tr w14:paraId="6AEA3B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4970661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87</w:t>
                  </w:r>
                </w:p>
              </w:tc>
              <w:tc>
                <w:tcPr>
                  <w:tcW w:w="737" w:type="dxa"/>
                  <w:vAlign w:val="center"/>
                </w:tcPr>
                <w:p w14:paraId="6EE906A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32C553F1">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7CC9DE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显存等效频率</w:t>
                  </w:r>
                </w:p>
              </w:tc>
              <w:tc>
                <w:tcPr>
                  <w:tcW w:w="3214" w:type="dxa"/>
                  <w:vAlign w:val="center"/>
                </w:tcPr>
                <w:p w14:paraId="757CFFE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≥1600MT/s</w:t>
                  </w:r>
                </w:p>
              </w:tc>
            </w:tr>
            <w:tr w14:paraId="56447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1B377D1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88</w:t>
                  </w:r>
                </w:p>
              </w:tc>
              <w:tc>
                <w:tcPr>
                  <w:tcW w:w="737" w:type="dxa"/>
                  <w:vAlign w:val="center"/>
                </w:tcPr>
                <w:p w14:paraId="521A35D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4E474ECD">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6E2538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显卡可支持多屏同时显示</w:t>
                  </w:r>
                  <w:r>
                    <w:rPr>
                      <w:rFonts w:hint="eastAsia" w:ascii="宋体" w:hAnsi="宋体" w:eastAsia="宋体" w:cs="宋体"/>
                      <w:i w:val="0"/>
                      <w:iCs w:val="0"/>
                      <w:color w:val="auto"/>
                      <w:spacing w:val="-6"/>
                      <w:sz w:val="24"/>
                      <w:szCs w:val="24"/>
                      <w:highlight w:val="none"/>
                      <w:u w:val="none"/>
                      <w:lang w:val="en-US" w:eastAsia="zh-CN" w:bidi="ar-SA"/>
                    </w:rPr>
                    <w:t>数量</w:t>
                  </w:r>
                </w:p>
              </w:tc>
              <w:tc>
                <w:tcPr>
                  <w:tcW w:w="3214" w:type="dxa"/>
                  <w:vAlign w:val="center"/>
                </w:tcPr>
                <w:p w14:paraId="74915C7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2</w:t>
                  </w:r>
                  <w:r>
                    <w:rPr>
                      <w:rFonts w:hint="eastAsia" w:ascii="宋体" w:hAnsi="宋体" w:eastAsia="宋体" w:cs="宋体"/>
                      <w:i/>
                      <w:iCs/>
                      <w:color w:val="auto"/>
                      <w:spacing w:val="-13"/>
                      <w:sz w:val="24"/>
                      <w:szCs w:val="24"/>
                      <w:highlight w:val="none"/>
                      <w:u w:val="single"/>
                      <w:lang w:val="en-US" w:eastAsia="zh-CN" w:bidi="ar-SA"/>
                    </w:rPr>
                    <w:t xml:space="preserve"> 块屏幕同时显示，分辨率应不低</w:t>
                  </w:r>
                </w:p>
                <w:p w14:paraId="06DB9B7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3"/>
                      <w:sz w:val="24"/>
                      <w:szCs w:val="24"/>
                      <w:highlight w:val="none"/>
                      <w:u w:val="single"/>
                      <w:lang w:val="en-US" w:eastAsia="zh-CN" w:bidi="ar-SA"/>
                    </w:rPr>
                    <w:t xml:space="preserve">于 </w:t>
                  </w:r>
                  <w:r>
                    <w:rPr>
                      <w:rFonts w:hint="eastAsia" w:ascii="宋体" w:hAnsi="宋体" w:eastAsia="宋体" w:cs="宋体"/>
                      <w:i/>
                      <w:iCs/>
                      <w:color w:val="auto"/>
                      <w:spacing w:val="-2"/>
                      <w:sz w:val="24"/>
                      <w:szCs w:val="24"/>
                      <w:highlight w:val="none"/>
                      <w:u w:val="single"/>
                      <w:lang w:val="en-US" w:eastAsia="zh-CN" w:bidi="ar-SA"/>
                    </w:rPr>
                    <w:t>2560×1440</w:t>
                  </w:r>
                </w:p>
              </w:tc>
            </w:tr>
            <w:tr w14:paraId="110542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48C4F90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89</w:t>
                  </w:r>
                </w:p>
              </w:tc>
              <w:tc>
                <w:tcPr>
                  <w:tcW w:w="737" w:type="dxa"/>
                  <w:vAlign w:val="center"/>
                </w:tcPr>
                <w:p w14:paraId="0AA198B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2E01CDE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w:t>
                  </w:r>
                  <w:r>
                    <w:rPr>
                      <w:rFonts w:hint="eastAsia" w:ascii="宋体" w:hAnsi="宋体" w:eastAsia="宋体" w:cs="宋体"/>
                      <w:i w:val="0"/>
                      <w:iCs w:val="0"/>
                      <w:color w:val="auto"/>
                      <w:spacing w:val="-6"/>
                      <w:sz w:val="24"/>
                      <w:szCs w:val="24"/>
                      <w:highlight w:val="none"/>
                      <w:u w:val="none"/>
                      <w:lang w:val="en-US" w:eastAsia="zh-CN" w:bidi="ar-SA"/>
                    </w:rPr>
                    <w:t>设备</w:t>
                  </w:r>
                  <w:r>
                    <w:rPr>
                      <w:rFonts w:hint="eastAsia" w:ascii="宋体" w:hAnsi="宋体" w:eastAsia="宋体" w:cs="宋体"/>
                      <w:i w:val="0"/>
                      <w:iCs w:val="0"/>
                      <w:color w:val="auto"/>
                      <w:spacing w:val="-5"/>
                      <w:sz w:val="24"/>
                      <w:szCs w:val="24"/>
                      <w:highlight w:val="none"/>
                      <w:u w:val="none"/>
                      <w:lang w:val="en-US" w:eastAsia="zh-CN" w:bidi="ar-SA"/>
                    </w:rPr>
                    <w:t>性能</w:t>
                  </w:r>
                </w:p>
              </w:tc>
              <w:tc>
                <w:tcPr>
                  <w:tcW w:w="958" w:type="dxa"/>
                  <w:vAlign w:val="center"/>
                </w:tcPr>
                <w:p w14:paraId="6F13A26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显示屏刷新率</w:t>
                  </w:r>
                </w:p>
              </w:tc>
              <w:tc>
                <w:tcPr>
                  <w:tcW w:w="3214" w:type="dxa"/>
                  <w:vAlign w:val="center"/>
                </w:tcPr>
                <w:p w14:paraId="644BF78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≥60Hz</w:t>
                  </w:r>
                </w:p>
              </w:tc>
            </w:tr>
            <w:tr w14:paraId="0351D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00" w:type="dxa"/>
                  <w:vAlign w:val="center"/>
                </w:tcPr>
                <w:p w14:paraId="0BFF98B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90</w:t>
                  </w:r>
                </w:p>
              </w:tc>
              <w:tc>
                <w:tcPr>
                  <w:tcW w:w="737" w:type="dxa"/>
                  <w:vAlign w:val="center"/>
                </w:tcPr>
                <w:p w14:paraId="0E99CBA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523A85A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43248A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w:t>
                  </w:r>
                  <w:r>
                    <w:rPr>
                      <w:rFonts w:hint="eastAsia" w:ascii="宋体" w:hAnsi="宋体" w:eastAsia="宋体" w:cs="宋体"/>
                      <w:i w:val="0"/>
                      <w:iCs w:val="0"/>
                      <w:color w:val="auto"/>
                      <w:spacing w:val="-6"/>
                      <w:sz w:val="24"/>
                      <w:szCs w:val="24"/>
                      <w:highlight w:val="none"/>
                      <w:u w:val="none"/>
                      <w:lang w:val="en-US" w:eastAsia="zh-CN" w:bidi="ar-SA"/>
                    </w:rPr>
                    <w:t>位深</w:t>
                  </w:r>
                </w:p>
              </w:tc>
              <w:tc>
                <w:tcPr>
                  <w:tcW w:w="3214" w:type="dxa"/>
                  <w:vAlign w:val="center"/>
                </w:tcPr>
                <w:p w14:paraId="22810AA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≥8</w:t>
                  </w:r>
                  <w:r>
                    <w:rPr>
                      <w:rFonts w:hint="eastAsia" w:ascii="宋体" w:hAnsi="宋体" w:eastAsia="宋体" w:cs="宋体"/>
                      <w:i/>
                      <w:iCs/>
                      <w:color w:val="auto"/>
                      <w:spacing w:val="-28"/>
                      <w:sz w:val="24"/>
                      <w:szCs w:val="24"/>
                      <w:highlight w:val="none"/>
                      <w:u w:val="single"/>
                      <w:lang w:val="en-US" w:eastAsia="zh-CN" w:bidi="ar-SA"/>
                    </w:rPr>
                    <w:t xml:space="preserve"> 位</w:t>
                  </w:r>
                </w:p>
              </w:tc>
            </w:tr>
            <w:tr w14:paraId="6E1C7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126EEE0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91</w:t>
                  </w:r>
                </w:p>
              </w:tc>
              <w:tc>
                <w:tcPr>
                  <w:tcW w:w="737" w:type="dxa"/>
                  <w:vAlign w:val="center"/>
                </w:tcPr>
                <w:p w14:paraId="00C4430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44ACF76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显示设备性能</w:t>
                  </w:r>
                </w:p>
              </w:tc>
              <w:tc>
                <w:tcPr>
                  <w:tcW w:w="958" w:type="dxa"/>
                  <w:vAlign w:val="center"/>
                </w:tcPr>
                <w:p w14:paraId="50F002B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w:t>
                  </w:r>
                  <w:r>
                    <w:rPr>
                      <w:rFonts w:hint="eastAsia" w:ascii="宋体" w:hAnsi="宋体" w:eastAsia="宋体" w:cs="宋体"/>
                      <w:i w:val="0"/>
                      <w:iCs w:val="0"/>
                      <w:color w:val="auto"/>
                      <w:spacing w:val="-6"/>
                      <w:sz w:val="24"/>
                      <w:szCs w:val="24"/>
                      <w:highlight w:val="none"/>
                      <w:u w:val="none"/>
                      <w:lang w:val="en-US" w:eastAsia="zh-CN" w:bidi="ar-SA"/>
                    </w:rPr>
                    <w:t>色域</w:t>
                  </w:r>
                </w:p>
              </w:tc>
              <w:tc>
                <w:tcPr>
                  <w:tcW w:w="3214" w:type="dxa"/>
                  <w:vAlign w:val="center"/>
                </w:tcPr>
                <w:p w14:paraId="0DED62F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73A22F8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≥99%</w:t>
                  </w:r>
                  <w:r>
                    <w:rPr>
                      <w:rFonts w:hint="eastAsia" w:ascii="宋体" w:hAnsi="宋体" w:eastAsia="宋体" w:cs="宋体"/>
                      <w:i/>
                      <w:iCs/>
                      <w:color w:val="auto"/>
                      <w:spacing w:val="-2"/>
                      <w:sz w:val="24"/>
                      <w:szCs w:val="24"/>
                      <w:highlight w:val="none"/>
                      <w:u w:val="single"/>
                      <w:lang w:val="en-US" w:eastAsia="zh-CN" w:bidi="ar-SA"/>
                    </w:rPr>
                    <w:t xml:space="preserve"> </w:t>
                  </w:r>
                  <w:r>
                    <w:rPr>
                      <w:rFonts w:hint="eastAsia" w:ascii="宋体" w:hAnsi="宋体" w:eastAsia="宋体" w:cs="宋体"/>
                      <w:i/>
                      <w:iCs/>
                      <w:color w:val="auto"/>
                      <w:spacing w:val="-4"/>
                      <w:sz w:val="24"/>
                      <w:szCs w:val="24"/>
                      <w:highlight w:val="none"/>
                      <w:u w:val="single"/>
                      <w:lang w:val="en-US" w:eastAsia="zh-CN" w:bidi="ar-SA"/>
                    </w:rPr>
                    <w:t>sRGB</w:t>
                  </w:r>
                </w:p>
              </w:tc>
            </w:tr>
            <w:tr w14:paraId="16D474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2BDC01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92</w:t>
                  </w:r>
                </w:p>
              </w:tc>
              <w:tc>
                <w:tcPr>
                  <w:tcW w:w="737" w:type="dxa"/>
                  <w:vAlign w:val="center"/>
                </w:tcPr>
                <w:p w14:paraId="0ADCDA9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784B7B69">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ADE666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w:t>
                  </w:r>
                  <w:r>
                    <w:rPr>
                      <w:rFonts w:hint="eastAsia" w:ascii="宋体" w:hAnsi="宋体" w:eastAsia="宋体" w:cs="宋体"/>
                      <w:i w:val="0"/>
                      <w:iCs w:val="0"/>
                      <w:color w:val="auto"/>
                      <w:spacing w:val="-6"/>
                      <w:sz w:val="24"/>
                      <w:szCs w:val="24"/>
                      <w:highlight w:val="none"/>
                      <w:u w:val="none"/>
                      <w:lang w:val="en-US" w:eastAsia="zh-CN" w:bidi="ar-SA"/>
                    </w:rPr>
                    <w:t>色准</w:t>
                  </w:r>
                </w:p>
              </w:tc>
              <w:tc>
                <w:tcPr>
                  <w:tcW w:w="3214" w:type="dxa"/>
                  <w:vAlign w:val="center"/>
                </w:tcPr>
                <w:p w14:paraId="753F26B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△E ≤</w:t>
                  </w:r>
                  <w:r>
                    <w:rPr>
                      <w:rFonts w:hint="eastAsia" w:ascii="宋体" w:hAnsi="宋体" w:eastAsia="宋体" w:cs="宋体"/>
                      <w:i/>
                      <w:iCs/>
                      <w:color w:val="auto"/>
                      <w:spacing w:val="-2"/>
                      <w:sz w:val="24"/>
                      <w:szCs w:val="24"/>
                      <w:highlight w:val="none"/>
                      <w:u w:val="single"/>
                      <w:lang w:val="en-US" w:eastAsia="zh-CN" w:bidi="ar-SA"/>
                    </w:rPr>
                    <w:t xml:space="preserve"> </w:t>
                  </w:r>
                  <w:r>
                    <w:rPr>
                      <w:rFonts w:hint="eastAsia" w:ascii="宋体" w:hAnsi="宋体" w:eastAsia="宋体" w:cs="宋体"/>
                      <w:i/>
                      <w:iCs/>
                      <w:color w:val="auto"/>
                      <w:spacing w:val="-10"/>
                      <w:sz w:val="24"/>
                      <w:szCs w:val="24"/>
                      <w:highlight w:val="none"/>
                      <w:u w:val="single"/>
                      <w:lang w:val="en-US" w:eastAsia="zh-CN" w:bidi="ar-SA"/>
                    </w:rPr>
                    <w:t>3</w:t>
                  </w:r>
                </w:p>
              </w:tc>
            </w:tr>
            <w:tr w14:paraId="3281E3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7712C6B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93</w:t>
                  </w:r>
                </w:p>
              </w:tc>
              <w:tc>
                <w:tcPr>
                  <w:tcW w:w="737" w:type="dxa"/>
                  <w:vAlign w:val="center"/>
                </w:tcPr>
                <w:p w14:paraId="6605140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36C0F62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113B48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w:t>
                  </w:r>
                  <w:r>
                    <w:rPr>
                      <w:rFonts w:hint="eastAsia" w:ascii="宋体" w:hAnsi="宋体" w:eastAsia="宋体" w:cs="宋体"/>
                      <w:i w:val="0"/>
                      <w:iCs w:val="0"/>
                      <w:color w:val="auto"/>
                      <w:spacing w:val="-3"/>
                      <w:sz w:val="24"/>
                      <w:szCs w:val="24"/>
                      <w:highlight w:val="none"/>
                      <w:u w:val="none"/>
                      <w:lang w:val="en-US" w:eastAsia="zh-CN" w:bidi="ar-SA"/>
                    </w:rPr>
                    <w:t>响应时间</w:t>
                  </w:r>
                </w:p>
              </w:tc>
              <w:tc>
                <w:tcPr>
                  <w:tcW w:w="3214" w:type="dxa"/>
                  <w:vAlign w:val="center"/>
                </w:tcPr>
                <w:p w14:paraId="74F9108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≤6ms</w:t>
                  </w:r>
                </w:p>
              </w:tc>
            </w:tr>
            <w:tr w14:paraId="6D2293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7C993A6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94</w:t>
                  </w:r>
                </w:p>
              </w:tc>
              <w:tc>
                <w:tcPr>
                  <w:tcW w:w="737" w:type="dxa"/>
                  <w:vAlign w:val="center"/>
                </w:tcPr>
                <w:p w14:paraId="6945409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52BFC5E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485098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w:t>
                  </w:r>
                  <w:r>
                    <w:rPr>
                      <w:rFonts w:hint="eastAsia" w:ascii="宋体" w:hAnsi="宋体" w:eastAsia="宋体" w:cs="宋体"/>
                      <w:i w:val="0"/>
                      <w:iCs w:val="0"/>
                      <w:color w:val="auto"/>
                      <w:spacing w:val="-6"/>
                      <w:sz w:val="24"/>
                      <w:szCs w:val="24"/>
                      <w:highlight w:val="none"/>
                      <w:u w:val="none"/>
                      <w:lang w:val="en-US" w:eastAsia="zh-CN" w:bidi="ar-SA"/>
                    </w:rPr>
                    <w:t>亮度</w:t>
                  </w:r>
                </w:p>
              </w:tc>
              <w:tc>
                <w:tcPr>
                  <w:tcW w:w="3214" w:type="dxa"/>
                  <w:vAlign w:val="center"/>
                </w:tcPr>
                <w:p w14:paraId="3EDB10A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≥300</w:t>
                  </w:r>
                  <w:r>
                    <w:rPr>
                      <w:rFonts w:hint="eastAsia" w:ascii="宋体" w:hAnsi="宋体" w:eastAsia="宋体" w:cs="宋体"/>
                      <w:i/>
                      <w:iCs/>
                      <w:color w:val="auto"/>
                      <w:spacing w:val="-17"/>
                      <w:sz w:val="24"/>
                      <w:szCs w:val="24"/>
                      <w:highlight w:val="none"/>
                      <w:u w:val="single"/>
                      <w:lang w:val="en-US" w:eastAsia="zh-CN" w:bidi="ar-SA"/>
                    </w:rPr>
                    <w:t xml:space="preserve"> 尼特</w:t>
                  </w:r>
                </w:p>
              </w:tc>
            </w:tr>
            <w:tr w14:paraId="04C62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7D66262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95</w:t>
                  </w:r>
                </w:p>
              </w:tc>
              <w:tc>
                <w:tcPr>
                  <w:tcW w:w="737" w:type="dxa"/>
                  <w:vAlign w:val="center"/>
                </w:tcPr>
                <w:p w14:paraId="0B0F484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4F59B319">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7DA00C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显示屏亮度一致</w:t>
                  </w:r>
                  <w:r>
                    <w:rPr>
                      <w:rFonts w:hint="eastAsia" w:ascii="宋体" w:hAnsi="宋体" w:eastAsia="宋体" w:cs="宋体"/>
                      <w:i w:val="0"/>
                      <w:iCs w:val="0"/>
                      <w:color w:val="auto"/>
                      <w:spacing w:val="-10"/>
                      <w:sz w:val="24"/>
                      <w:szCs w:val="24"/>
                      <w:highlight w:val="none"/>
                      <w:u w:val="none"/>
                      <w:lang w:val="en-US" w:eastAsia="zh-CN" w:bidi="ar-SA"/>
                    </w:rPr>
                    <w:t>性</w:t>
                  </w:r>
                </w:p>
              </w:tc>
              <w:tc>
                <w:tcPr>
                  <w:tcW w:w="3214" w:type="dxa"/>
                  <w:vAlign w:val="center"/>
                </w:tcPr>
                <w:p w14:paraId="2E59136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≥70%</w:t>
                  </w:r>
                </w:p>
              </w:tc>
            </w:tr>
            <w:tr w14:paraId="7F0A7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055D778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96</w:t>
                  </w:r>
                </w:p>
              </w:tc>
              <w:tc>
                <w:tcPr>
                  <w:tcW w:w="737" w:type="dxa"/>
                  <w:vAlign w:val="center"/>
                </w:tcPr>
                <w:p w14:paraId="22BEC07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5E10348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451DE7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显示屏对比度</w:t>
                  </w:r>
                </w:p>
              </w:tc>
              <w:tc>
                <w:tcPr>
                  <w:tcW w:w="3214" w:type="dxa"/>
                  <w:vAlign w:val="center"/>
                </w:tcPr>
                <w:p w14:paraId="643B07E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≥500：1</w:t>
                  </w:r>
                </w:p>
              </w:tc>
            </w:tr>
            <w:tr w14:paraId="1D737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68FAFEC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97</w:t>
                  </w:r>
                </w:p>
              </w:tc>
              <w:tc>
                <w:tcPr>
                  <w:tcW w:w="737" w:type="dxa"/>
                  <w:vAlign w:val="center"/>
                </w:tcPr>
                <w:p w14:paraId="621BD56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4AA7502D">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1396B9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w:t>
                  </w:r>
                  <w:r>
                    <w:rPr>
                      <w:rFonts w:hint="eastAsia" w:ascii="宋体" w:hAnsi="宋体" w:eastAsia="宋体" w:cs="宋体"/>
                      <w:i w:val="0"/>
                      <w:iCs w:val="0"/>
                      <w:color w:val="auto"/>
                      <w:spacing w:val="-3"/>
                      <w:sz w:val="24"/>
                      <w:szCs w:val="24"/>
                      <w:highlight w:val="none"/>
                      <w:u w:val="none"/>
                      <w:lang w:val="en-US" w:eastAsia="zh-CN" w:bidi="ar-SA"/>
                    </w:rPr>
                    <w:t>其他参数</w:t>
                  </w:r>
                </w:p>
              </w:tc>
              <w:tc>
                <w:tcPr>
                  <w:tcW w:w="3214" w:type="dxa"/>
                  <w:vAlign w:val="center"/>
                </w:tcPr>
                <w:p w14:paraId="267124B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其它参数应符合 </w:t>
                  </w:r>
                  <w:r>
                    <w:rPr>
                      <w:rFonts w:hint="eastAsia" w:ascii="宋体" w:hAnsi="宋体" w:eastAsia="宋体" w:cs="宋体"/>
                      <w:i/>
                      <w:iCs/>
                      <w:color w:val="auto"/>
                      <w:sz w:val="24"/>
                      <w:szCs w:val="24"/>
                      <w:highlight w:val="none"/>
                      <w:u w:val="single"/>
                      <w:lang w:val="en-US" w:eastAsia="zh-CN" w:bidi="ar-SA"/>
                    </w:rPr>
                    <w:t>SJ/T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11292</w:t>
                  </w:r>
                  <w:r>
                    <w:rPr>
                      <w:rFonts w:hint="eastAsia" w:ascii="宋体" w:hAnsi="宋体" w:eastAsia="宋体" w:cs="宋体"/>
                      <w:i/>
                      <w:iCs/>
                      <w:color w:val="auto"/>
                      <w:spacing w:val="-10"/>
                      <w:sz w:val="24"/>
                      <w:szCs w:val="24"/>
                      <w:highlight w:val="none"/>
                      <w:u w:val="single"/>
                      <w:lang w:val="en-US" w:eastAsia="zh-CN" w:bidi="ar-SA"/>
                    </w:rPr>
                    <w:t xml:space="preserve"> 的相关规定</w:t>
                  </w:r>
                </w:p>
              </w:tc>
            </w:tr>
            <w:tr w14:paraId="667A8C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690522F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98</w:t>
                  </w:r>
                </w:p>
              </w:tc>
              <w:tc>
                <w:tcPr>
                  <w:tcW w:w="737" w:type="dxa"/>
                  <w:vAlign w:val="center"/>
                </w:tcPr>
                <w:p w14:paraId="06D36ED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2CF756D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网络</w:t>
                  </w:r>
                  <w:r>
                    <w:rPr>
                      <w:rFonts w:hint="eastAsia" w:ascii="宋体" w:hAnsi="宋体" w:eastAsia="宋体" w:cs="宋体"/>
                      <w:i w:val="0"/>
                      <w:iCs w:val="0"/>
                      <w:color w:val="auto"/>
                      <w:spacing w:val="-6"/>
                      <w:sz w:val="24"/>
                      <w:szCs w:val="24"/>
                      <w:highlight w:val="none"/>
                      <w:u w:val="none"/>
                      <w:lang w:val="en-US" w:eastAsia="zh-CN" w:bidi="ar-SA"/>
                    </w:rPr>
                    <w:t>设备</w:t>
                  </w:r>
                  <w:r>
                    <w:rPr>
                      <w:rFonts w:hint="eastAsia" w:ascii="宋体" w:hAnsi="宋体" w:eastAsia="宋体" w:cs="宋体"/>
                      <w:i w:val="0"/>
                      <w:iCs w:val="0"/>
                      <w:color w:val="auto"/>
                      <w:spacing w:val="-5"/>
                      <w:sz w:val="24"/>
                      <w:szCs w:val="24"/>
                      <w:highlight w:val="none"/>
                      <w:u w:val="none"/>
                      <w:lang w:val="en-US" w:eastAsia="zh-CN" w:bidi="ar-SA"/>
                    </w:rPr>
                    <w:t>性能</w:t>
                  </w:r>
                </w:p>
              </w:tc>
              <w:tc>
                <w:tcPr>
                  <w:tcW w:w="958" w:type="dxa"/>
                  <w:vAlign w:val="center"/>
                </w:tcPr>
                <w:p w14:paraId="1B6C650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有线网卡速率</w:t>
                  </w:r>
                </w:p>
              </w:tc>
              <w:tc>
                <w:tcPr>
                  <w:tcW w:w="3214" w:type="dxa"/>
                  <w:vAlign w:val="center"/>
                </w:tcPr>
                <w:p w14:paraId="300B66A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最高速率应不低于 </w:t>
                  </w:r>
                  <w:r>
                    <w:rPr>
                      <w:rFonts w:hint="eastAsia" w:ascii="宋体" w:hAnsi="宋体" w:eastAsia="宋体" w:cs="宋体"/>
                      <w:i/>
                      <w:iCs/>
                      <w:color w:val="auto"/>
                      <w:sz w:val="24"/>
                      <w:szCs w:val="24"/>
                      <w:highlight w:val="none"/>
                      <w:u w:val="single"/>
                      <w:lang w:val="en-US" w:eastAsia="zh-CN" w:bidi="ar-SA"/>
                    </w:rPr>
                    <w:t xml:space="preserve">1000Mbps，应支持 </w:t>
                  </w:r>
                  <w:r>
                    <w:rPr>
                      <w:rFonts w:hint="eastAsia" w:ascii="宋体" w:hAnsi="宋体" w:eastAsia="宋体" w:cs="宋体"/>
                      <w:i/>
                      <w:iCs/>
                      <w:color w:val="auto"/>
                      <w:spacing w:val="-2"/>
                      <w:sz w:val="24"/>
                      <w:szCs w:val="24"/>
                      <w:highlight w:val="none"/>
                      <w:u w:val="single"/>
                      <w:lang w:val="en-US" w:eastAsia="zh-CN" w:bidi="ar-SA"/>
                    </w:rPr>
                    <w:t>10Mbps、100Mbps、1000Mbps</w:t>
                  </w:r>
                  <w:r>
                    <w:rPr>
                      <w:rFonts w:hint="eastAsia" w:ascii="宋体" w:hAnsi="宋体" w:eastAsia="宋体" w:cs="宋体"/>
                      <w:i/>
                      <w:iCs/>
                      <w:color w:val="auto"/>
                      <w:spacing w:val="-12"/>
                      <w:sz w:val="24"/>
                      <w:szCs w:val="24"/>
                      <w:highlight w:val="none"/>
                      <w:u w:val="single"/>
                      <w:lang w:val="en-US" w:eastAsia="zh-CN" w:bidi="ar-SA"/>
                    </w:rPr>
                    <w:t xml:space="preserve"> 速率自适</w:t>
                  </w:r>
                  <w:r>
                    <w:rPr>
                      <w:rFonts w:hint="eastAsia" w:ascii="宋体" w:hAnsi="宋体" w:eastAsia="宋体" w:cs="宋体"/>
                      <w:i/>
                      <w:iCs/>
                      <w:color w:val="auto"/>
                      <w:spacing w:val="-10"/>
                      <w:sz w:val="24"/>
                      <w:szCs w:val="24"/>
                      <w:highlight w:val="none"/>
                      <w:u w:val="single"/>
                      <w:lang w:val="en-US" w:eastAsia="zh-CN" w:bidi="ar-SA"/>
                    </w:rPr>
                    <w:t>应</w:t>
                  </w:r>
                </w:p>
              </w:tc>
            </w:tr>
            <w:tr w14:paraId="01D88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420DCF9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99</w:t>
                  </w:r>
                </w:p>
              </w:tc>
              <w:tc>
                <w:tcPr>
                  <w:tcW w:w="737" w:type="dxa"/>
                  <w:vAlign w:val="center"/>
                </w:tcPr>
                <w:p w14:paraId="23CE12A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7E969DB6">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AD5652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支持无线网络通信</w:t>
                  </w:r>
                  <w:r>
                    <w:rPr>
                      <w:rFonts w:hint="eastAsia" w:ascii="宋体" w:hAnsi="宋体" w:eastAsia="宋体" w:cs="宋体"/>
                      <w:i w:val="0"/>
                      <w:iCs w:val="0"/>
                      <w:color w:val="auto"/>
                      <w:spacing w:val="-3"/>
                      <w:sz w:val="24"/>
                      <w:szCs w:val="24"/>
                      <w:highlight w:val="none"/>
                      <w:u w:val="none"/>
                      <w:lang w:val="en-US" w:eastAsia="zh-CN" w:bidi="ar-SA"/>
                    </w:rPr>
                    <w:t>技术协议</w:t>
                  </w:r>
                </w:p>
              </w:tc>
              <w:tc>
                <w:tcPr>
                  <w:tcW w:w="3214" w:type="dxa"/>
                  <w:vAlign w:val="center"/>
                </w:tcPr>
                <w:p w14:paraId="27A5BD0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1DFE35E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WAPI</w:t>
                  </w:r>
                  <w:r>
                    <w:rPr>
                      <w:rFonts w:hint="eastAsia" w:ascii="宋体" w:hAnsi="宋体" w:eastAsia="宋体" w:cs="宋体"/>
                      <w:i/>
                      <w:iCs/>
                      <w:color w:val="auto"/>
                      <w:spacing w:val="-27"/>
                      <w:sz w:val="24"/>
                      <w:szCs w:val="24"/>
                      <w:highlight w:val="none"/>
                      <w:u w:val="single"/>
                      <w:lang w:val="en-US" w:eastAsia="zh-CN" w:bidi="ar-SA"/>
                    </w:rPr>
                    <w:t xml:space="preserve"> 或 </w:t>
                  </w:r>
                  <w:r>
                    <w:rPr>
                      <w:rFonts w:hint="eastAsia" w:ascii="宋体" w:hAnsi="宋体" w:eastAsia="宋体" w:cs="宋体"/>
                      <w:i/>
                      <w:iCs/>
                      <w:color w:val="auto"/>
                      <w:spacing w:val="-2"/>
                      <w:sz w:val="24"/>
                      <w:szCs w:val="24"/>
                      <w:highlight w:val="none"/>
                      <w:u w:val="single"/>
                      <w:lang w:val="en-US" w:eastAsia="zh-CN" w:bidi="ar-SA"/>
                    </w:rPr>
                    <w:t>WiFi5.0</w:t>
                  </w:r>
                  <w:r>
                    <w:rPr>
                      <w:rFonts w:hint="eastAsia" w:ascii="宋体" w:hAnsi="宋体" w:eastAsia="宋体" w:cs="宋体"/>
                      <w:i/>
                      <w:iCs/>
                      <w:color w:val="auto"/>
                      <w:spacing w:val="-10"/>
                      <w:sz w:val="24"/>
                      <w:szCs w:val="24"/>
                      <w:highlight w:val="none"/>
                      <w:u w:val="single"/>
                      <w:lang w:val="en-US" w:eastAsia="zh-CN" w:bidi="ar-SA"/>
                    </w:rPr>
                    <w:t xml:space="preserve"> 及以上协议</w:t>
                  </w:r>
                </w:p>
              </w:tc>
            </w:tr>
            <w:tr w14:paraId="4317A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77C8A43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100</w:t>
                  </w:r>
                </w:p>
              </w:tc>
              <w:tc>
                <w:tcPr>
                  <w:tcW w:w="737" w:type="dxa"/>
                  <w:vAlign w:val="center"/>
                </w:tcPr>
                <w:p w14:paraId="445FFBC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2809F14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BD3BE5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无线网卡</w:t>
                  </w:r>
                  <w:r>
                    <w:rPr>
                      <w:rFonts w:hint="eastAsia" w:ascii="宋体" w:hAnsi="宋体" w:eastAsia="宋体" w:cs="宋体"/>
                      <w:i w:val="0"/>
                      <w:iCs w:val="0"/>
                      <w:color w:val="auto"/>
                      <w:spacing w:val="-6"/>
                      <w:sz w:val="24"/>
                      <w:szCs w:val="24"/>
                      <w:highlight w:val="none"/>
                      <w:u w:val="none"/>
                      <w:lang w:val="en-US" w:eastAsia="zh-CN" w:bidi="ar-SA"/>
                    </w:rPr>
                    <w:t>频宽</w:t>
                  </w:r>
                </w:p>
              </w:tc>
              <w:tc>
                <w:tcPr>
                  <w:tcW w:w="3214" w:type="dxa"/>
                  <w:vAlign w:val="center"/>
                </w:tcPr>
                <w:p w14:paraId="0C59DA5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≥20MHz</w:t>
                  </w:r>
                </w:p>
              </w:tc>
            </w:tr>
            <w:tr w14:paraId="7404F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54CB57C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101</w:t>
                  </w:r>
                </w:p>
              </w:tc>
              <w:tc>
                <w:tcPr>
                  <w:tcW w:w="737" w:type="dxa"/>
                  <w:vAlign w:val="center"/>
                </w:tcPr>
                <w:p w14:paraId="30857E7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0A864EE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主板</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6D011D3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内存扩展接口 (板载内存不涉</w:t>
                  </w:r>
                  <w:r>
                    <w:rPr>
                      <w:rFonts w:hint="eastAsia" w:ascii="宋体" w:hAnsi="宋体" w:eastAsia="宋体" w:cs="宋体"/>
                      <w:i w:val="0"/>
                      <w:iCs w:val="0"/>
                      <w:color w:val="auto"/>
                      <w:spacing w:val="-6"/>
                      <w:sz w:val="24"/>
                      <w:szCs w:val="24"/>
                      <w:highlight w:val="none"/>
                      <w:u w:val="none"/>
                      <w:lang w:val="en-US" w:eastAsia="zh-CN" w:bidi="ar-SA"/>
                    </w:rPr>
                    <w:t>及)</w:t>
                  </w:r>
                </w:p>
              </w:tc>
              <w:tc>
                <w:tcPr>
                  <w:tcW w:w="3214" w:type="dxa"/>
                  <w:vAlign w:val="center"/>
                </w:tcPr>
                <w:p w14:paraId="4ED0B5D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≥4</w:t>
                  </w:r>
                </w:p>
              </w:tc>
            </w:tr>
            <w:tr w14:paraId="5A662D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288A130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102</w:t>
                  </w:r>
                </w:p>
              </w:tc>
              <w:tc>
                <w:tcPr>
                  <w:tcW w:w="737" w:type="dxa"/>
                  <w:vAlign w:val="center"/>
                </w:tcPr>
                <w:p w14:paraId="7F46F47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2903853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462D20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存储扩展</w:t>
                  </w:r>
                  <w:r>
                    <w:rPr>
                      <w:rFonts w:hint="eastAsia" w:ascii="宋体" w:hAnsi="宋体" w:eastAsia="宋体" w:cs="宋体"/>
                      <w:i w:val="0"/>
                      <w:iCs w:val="0"/>
                      <w:color w:val="auto"/>
                      <w:spacing w:val="-6"/>
                      <w:sz w:val="24"/>
                      <w:szCs w:val="24"/>
                      <w:highlight w:val="none"/>
                      <w:u w:val="none"/>
                      <w:lang w:val="en-US" w:eastAsia="zh-CN" w:bidi="ar-SA"/>
                    </w:rPr>
                    <w:t>接口</w:t>
                  </w:r>
                </w:p>
                <w:p w14:paraId="65CD336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(板载存储不涉</w:t>
                  </w:r>
                </w:p>
                <w:p w14:paraId="63389B9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及)</w:t>
                  </w:r>
                </w:p>
              </w:tc>
              <w:tc>
                <w:tcPr>
                  <w:tcW w:w="3214" w:type="dxa"/>
                  <w:vAlign w:val="center"/>
                </w:tcPr>
                <w:p w14:paraId="6440DA6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3E36102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支持存储设备扩展接口≥2</w:t>
                  </w:r>
                  <w:r>
                    <w:rPr>
                      <w:rFonts w:hint="eastAsia" w:ascii="宋体" w:hAnsi="宋体" w:eastAsia="宋体" w:cs="宋体"/>
                      <w:i/>
                      <w:iCs/>
                      <w:color w:val="auto"/>
                      <w:spacing w:val="-12"/>
                      <w:sz w:val="24"/>
                      <w:szCs w:val="24"/>
                      <w:highlight w:val="none"/>
                      <w:u w:val="single"/>
                      <w:lang w:val="en-US" w:eastAsia="zh-CN" w:bidi="ar-SA"/>
                    </w:rPr>
                    <w:t xml:space="preserve"> 个，如</w:t>
                  </w:r>
                  <w:r>
                    <w:rPr>
                      <w:rFonts w:hint="eastAsia" w:ascii="宋体" w:hAnsi="宋体" w:eastAsia="宋体" w:cs="宋体"/>
                      <w:i/>
                      <w:iCs/>
                      <w:color w:val="auto"/>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UFS3.0、SATA3.0、SAS3.0、M.2</w:t>
                  </w:r>
                  <w:r>
                    <w:rPr>
                      <w:rFonts w:hint="eastAsia" w:ascii="宋体" w:hAnsi="宋体" w:eastAsia="宋体" w:cs="宋体"/>
                      <w:i/>
                      <w:iCs/>
                      <w:color w:val="auto"/>
                      <w:spacing w:val="-13"/>
                      <w:sz w:val="24"/>
                      <w:szCs w:val="24"/>
                      <w:highlight w:val="none"/>
                      <w:u w:val="single"/>
                      <w:lang w:val="en-US" w:eastAsia="zh-CN" w:bidi="ar-SA"/>
                    </w:rPr>
                    <w:t xml:space="preserve"> 等接</w:t>
                  </w:r>
                </w:p>
                <w:p w14:paraId="0032672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口类型</w:t>
                  </w:r>
                </w:p>
              </w:tc>
            </w:tr>
            <w:tr w14:paraId="7AE0C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797A5AC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103</w:t>
                  </w:r>
                </w:p>
              </w:tc>
              <w:tc>
                <w:tcPr>
                  <w:tcW w:w="737" w:type="dxa"/>
                  <w:vAlign w:val="center"/>
                </w:tcPr>
                <w:p w14:paraId="7BD5C1A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6889D320">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C28EBD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 xml:space="preserve">主板 </w:t>
                  </w:r>
                  <w:r>
                    <w:rPr>
                      <w:rFonts w:hint="eastAsia" w:ascii="宋体" w:hAnsi="宋体" w:eastAsia="宋体" w:cs="宋体"/>
                      <w:i w:val="0"/>
                      <w:iCs w:val="0"/>
                      <w:color w:val="auto"/>
                      <w:sz w:val="24"/>
                      <w:szCs w:val="24"/>
                      <w:highlight w:val="none"/>
                      <w:u w:val="none"/>
                      <w:lang w:val="en-US" w:eastAsia="zh-CN" w:bidi="ar-SA"/>
                    </w:rPr>
                    <w:t>USB</w:t>
                  </w:r>
                  <w:r>
                    <w:rPr>
                      <w:rFonts w:hint="eastAsia" w:ascii="宋体" w:hAnsi="宋体" w:eastAsia="宋体" w:cs="宋体"/>
                      <w:i w:val="0"/>
                      <w:iCs w:val="0"/>
                      <w:color w:val="auto"/>
                      <w:spacing w:val="-14"/>
                      <w:sz w:val="24"/>
                      <w:szCs w:val="24"/>
                      <w:highlight w:val="none"/>
                      <w:u w:val="none"/>
                      <w:lang w:val="en-US" w:eastAsia="zh-CN" w:bidi="ar-SA"/>
                    </w:rPr>
                    <w:t xml:space="preserve"> 瞬间</w:t>
                  </w:r>
                  <w:r>
                    <w:rPr>
                      <w:rFonts w:hint="eastAsia" w:ascii="宋体" w:hAnsi="宋体" w:eastAsia="宋体" w:cs="宋体"/>
                      <w:i w:val="0"/>
                      <w:iCs w:val="0"/>
                      <w:color w:val="auto"/>
                      <w:spacing w:val="-3"/>
                      <w:sz w:val="24"/>
                      <w:szCs w:val="24"/>
                      <w:highlight w:val="none"/>
                      <w:u w:val="none"/>
                      <w:lang w:val="en-US" w:eastAsia="zh-CN" w:bidi="ar-SA"/>
                    </w:rPr>
                    <w:t>过流保护</w:t>
                  </w:r>
                </w:p>
              </w:tc>
              <w:tc>
                <w:tcPr>
                  <w:tcW w:w="3214" w:type="dxa"/>
                  <w:vAlign w:val="center"/>
                </w:tcPr>
                <w:p w14:paraId="4C3B9AE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支持瞬间过流保护功能</w:t>
                  </w:r>
                </w:p>
              </w:tc>
            </w:tr>
            <w:tr w14:paraId="5A8A4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3C1E436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104</w:t>
                  </w:r>
                </w:p>
              </w:tc>
              <w:tc>
                <w:tcPr>
                  <w:tcW w:w="737" w:type="dxa"/>
                  <w:vAlign w:val="center"/>
                </w:tcPr>
                <w:p w14:paraId="0870440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3B7BC5F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3A8FBF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主板防</w:t>
                  </w:r>
                  <w:r>
                    <w:rPr>
                      <w:rFonts w:hint="eastAsia" w:ascii="宋体" w:hAnsi="宋体" w:eastAsia="宋体" w:cs="宋体"/>
                      <w:i w:val="0"/>
                      <w:iCs w:val="0"/>
                      <w:color w:val="auto"/>
                      <w:spacing w:val="-3"/>
                      <w:sz w:val="24"/>
                      <w:szCs w:val="24"/>
                      <w:highlight w:val="none"/>
                      <w:u w:val="none"/>
                      <w:lang w:val="en-US" w:eastAsia="zh-CN" w:bidi="ar-SA"/>
                    </w:rPr>
                    <w:t>静电保护</w:t>
                  </w:r>
                </w:p>
              </w:tc>
              <w:tc>
                <w:tcPr>
                  <w:tcW w:w="3214" w:type="dxa"/>
                  <w:vAlign w:val="center"/>
                </w:tcPr>
                <w:p w14:paraId="272FDE1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支持防静电保护功能</w:t>
                  </w:r>
                </w:p>
              </w:tc>
            </w:tr>
            <w:tr w14:paraId="2CE05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99" w:hRule="atLeast"/>
              </w:trPr>
              <w:tc>
                <w:tcPr>
                  <w:tcW w:w="600" w:type="dxa"/>
                  <w:vAlign w:val="center"/>
                </w:tcPr>
                <w:p w14:paraId="06D3546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105</w:t>
                  </w:r>
                </w:p>
              </w:tc>
              <w:tc>
                <w:tcPr>
                  <w:tcW w:w="737" w:type="dxa"/>
                  <w:vAlign w:val="center"/>
                </w:tcPr>
                <w:p w14:paraId="3DE9B94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63316810">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0EFEE0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I/O</w:t>
                  </w:r>
                  <w:r>
                    <w:rPr>
                      <w:rFonts w:hint="eastAsia" w:ascii="宋体" w:hAnsi="宋体" w:eastAsia="宋体" w:cs="宋体"/>
                      <w:i w:val="0"/>
                      <w:iCs w:val="0"/>
                      <w:color w:val="auto"/>
                      <w:spacing w:val="-24"/>
                      <w:sz w:val="24"/>
                      <w:szCs w:val="24"/>
                      <w:highlight w:val="none"/>
                      <w:u w:val="none"/>
                      <w:lang w:val="en-US" w:eastAsia="zh-CN" w:bidi="ar-SA"/>
                    </w:rPr>
                    <w:t xml:space="preserve"> 接</w:t>
                  </w:r>
                  <w:r>
                    <w:rPr>
                      <w:rFonts w:hint="eastAsia" w:ascii="宋体" w:hAnsi="宋体" w:eastAsia="宋体" w:cs="宋体"/>
                      <w:i w:val="0"/>
                      <w:iCs w:val="0"/>
                      <w:color w:val="auto"/>
                      <w:spacing w:val="-4"/>
                      <w:sz w:val="24"/>
                      <w:szCs w:val="24"/>
                      <w:highlight w:val="none"/>
                      <w:u w:val="none"/>
                      <w:lang w:val="en-US" w:eastAsia="zh-CN" w:bidi="ar-SA"/>
                    </w:rPr>
                    <w:t>口功能</w:t>
                  </w:r>
                </w:p>
              </w:tc>
              <w:tc>
                <w:tcPr>
                  <w:tcW w:w="3214" w:type="dxa"/>
                  <w:vAlign w:val="center"/>
                </w:tcPr>
                <w:p w14:paraId="4615E43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 xml:space="preserve">提供基于标准 </w:t>
                  </w:r>
                  <w:r>
                    <w:rPr>
                      <w:rFonts w:hint="eastAsia" w:ascii="宋体" w:hAnsi="宋体" w:eastAsia="宋体" w:cs="宋体"/>
                      <w:i/>
                      <w:iCs/>
                      <w:color w:val="auto"/>
                      <w:spacing w:val="-2"/>
                      <w:sz w:val="24"/>
                      <w:szCs w:val="24"/>
                      <w:highlight w:val="none"/>
                      <w:u w:val="single"/>
                      <w:lang w:val="en-US" w:eastAsia="zh-CN" w:bidi="ar-SA"/>
                    </w:rPr>
                    <w:t>USB</w:t>
                  </w:r>
                  <w:r>
                    <w:rPr>
                      <w:rFonts w:hint="eastAsia" w:ascii="宋体" w:hAnsi="宋体" w:eastAsia="宋体" w:cs="宋体"/>
                      <w:i/>
                      <w:iCs/>
                      <w:color w:val="auto"/>
                      <w:spacing w:val="-9"/>
                      <w:sz w:val="24"/>
                      <w:szCs w:val="24"/>
                      <w:highlight w:val="none"/>
                      <w:u w:val="single"/>
                      <w:lang w:val="en-US" w:eastAsia="zh-CN" w:bidi="ar-SA"/>
                    </w:rPr>
                    <w:t xml:space="preserve"> 接口外设连接功能、</w:t>
                  </w:r>
                  <w:r>
                    <w:rPr>
                      <w:rFonts w:hint="eastAsia" w:ascii="宋体" w:hAnsi="宋体" w:eastAsia="宋体" w:cs="宋体"/>
                      <w:i/>
                      <w:iCs/>
                      <w:color w:val="auto"/>
                      <w:spacing w:val="-2"/>
                      <w:sz w:val="24"/>
                      <w:szCs w:val="24"/>
                      <w:highlight w:val="none"/>
                      <w:u w:val="single"/>
                      <w:lang w:val="en-US" w:eastAsia="zh-CN" w:bidi="ar-SA"/>
                    </w:rPr>
                    <w:t xml:space="preserve">基于音频输入输出接口的音频扩展功 </w:t>
                  </w:r>
                  <w:r>
                    <w:rPr>
                      <w:rFonts w:hint="eastAsia" w:ascii="宋体" w:hAnsi="宋体" w:eastAsia="宋体" w:cs="宋体"/>
                      <w:i/>
                      <w:iCs/>
                      <w:color w:val="auto"/>
                      <w:spacing w:val="-5"/>
                      <w:sz w:val="24"/>
                      <w:szCs w:val="24"/>
                      <w:highlight w:val="none"/>
                      <w:u w:val="single"/>
                      <w:lang w:val="en-US" w:eastAsia="zh-CN" w:bidi="ar-SA"/>
                    </w:rPr>
                    <w:t xml:space="preserve">能、基于 </w:t>
                  </w:r>
                  <w:r>
                    <w:rPr>
                      <w:rFonts w:hint="eastAsia" w:ascii="宋体" w:hAnsi="宋体" w:eastAsia="宋体" w:cs="宋体"/>
                      <w:i/>
                      <w:iCs/>
                      <w:color w:val="auto"/>
                      <w:sz w:val="24"/>
                      <w:szCs w:val="24"/>
                      <w:highlight w:val="none"/>
                      <w:u w:val="single"/>
                      <w:lang w:val="en-US" w:eastAsia="zh-CN" w:bidi="ar-SA"/>
                    </w:rPr>
                    <w:t>PCIe</w:t>
                  </w:r>
                  <w:r>
                    <w:rPr>
                      <w:rFonts w:hint="eastAsia" w:ascii="宋体" w:hAnsi="宋体" w:eastAsia="宋体" w:cs="宋体"/>
                      <w:i/>
                      <w:iCs/>
                      <w:color w:val="auto"/>
                      <w:spacing w:val="-5"/>
                      <w:sz w:val="24"/>
                      <w:szCs w:val="24"/>
                      <w:highlight w:val="none"/>
                      <w:u w:val="single"/>
                      <w:lang w:val="en-US" w:eastAsia="zh-CN" w:bidi="ar-SA"/>
                    </w:rPr>
                    <w:t xml:space="preserve"> 接口板卡扩展功能、基</w:t>
                  </w:r>
                  <w:r>
                    <w:rPr>
                      <w:rFonts w:hint="eastAsia" w:ascii="宋体" w:hAnsi="宋体" w:eastAsia="宋体" w:cs="宋体"/>
                      <w:i/>
                      <w:iCs/>
                      <w:color w:val="auto"/>
                      <w:spacing w:val="-11"/>
                      <w:sz w:val="24"/>
                      <w:szCs w:val="24"/>
                      <w:highlight w:val="none"/>
                      <w:u w:val="single"/>
                      <w:lang w:val="en-US" w:eastAsia="zh-CN" w:bidi="ar-SA"/>
                    </w:rPr>
                    <w:t xml:space="preserve">于 </w:t>
                  </w:r>
                  <w:r>
                    <w:rPr>
                      <w:rFonts w:hint="eastAsia" w:ascii="宋体" w:hAnsi="宋体" w:eastAsia="宋体" w:cs="宋体"/>
                      <w:i/>
                      <w:iCs/>
                      <w:color w:val="auto"/>
                      <w:sz w:val="24"/>
                      <w:szCs w:val="24"/>
                      <w:highlight w:val="none"/>
                      <w:u w:val="single"/>
                      <w:lang w:val="en-US" w:eastAsia="zh-CN" w:bidi="ar-SA"/>
                    </w:rPr>
                    <w:t>HDMI/VGA/Type-C/DVI/DP</w:t>
                  </w:r>
                  <w:r>
                    <w:rPr>
                      <w:rFonts w:hint="eastAsia" w:ascii="宋体" w:hAnsi="宋体" w:eastAsia="宋体" w:cs="宋体"/>
                      <w:i/>
                      <w:iCs/>
                      <w:color w:val="auto"/>
                      <w:spacing w:val="-5"/>
                      <w:sz w:val="24"/>
                      <w:szCs w:val="24"/>
                      <w:highlight w:val="none"/>
                      <w:u w:val="single"/>
                      <w:lang w:val="en-US" w:eastAsia="zh-CN" w:bidi="ar-SA"/>
                    </w:rPr>
                    <w:t xml:space="preserve"> 等接口外</w:t>
                  </w:r>
                  <w:r>
                    <w:rPr>
                      <w:rFonts w:hint="eastAsia" w:ascii="宋体" w:hAnsi="宋体" w:eastAsia="宋体" w:cs="宋体"/>
                      <w:i/>
                      <w:iCs/>
                      <w:color w:val="auto"/>
                      <w:spacing w:val="-9"/>
                      <w:sz w:val="24"/>
                      <w:szCs w:val="24"/>
                      <w:highlight w:val="none"/>
                      <w:u w:val="single"/>
                      <w:lang w:val="en-US" w:eastAsia="zh-CN" w:bidi="ar-SA"/>
                    </w:rPr>
                    <w:t>接显示器扩展功能、基于存储接口对产</w:t>
                  </w:r>
                </w:p>
                <w:p w14:paraId="59E4AC5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1"/>
                      <w:sz w:val="24"/>
                      <w:szCs w:val="24"/>
                      <w:highlight w:val="none"/>
                      <w:u w:val="single"/>
                      <w:lang w:val="en-US" w:eastAsia="zh-CN" w:bidi="ar-SA"/>
                    </w:rPr>
                    <w:t xml:space="preserve">品进行增容功能等。工作站 </w:t>
                  </w:r>
                  <w:r>
                    <w:rPr>
                      <w:rFonts w:hint="eastAsia" w:ascii="宋体" w:hAnsi="宋体" w:eastAsia="宋体" w:cs="宋体"/>
                      <w:i/>
                      <w:iCs/>
                      <w:color w:val="auto"/>
                      <w:spacing w:val="-2"/>
                      <w:sz w:val="24"/>
                      <w:szCs w:val="24"/>
                      <w:highlight w:val="none"/>
                      <w:u w:val="single"/>
                      <w:lang w:val="en-US" w:eastAsia="zh-CN" w:bidi="ar-SA"/>
                    </w:rPr>
                    <w:t>I/O</w:t>
                  </w:r>
                  <w:r>
                    <w:rPr>
                      <w:rFonts w:hint="eastAsia" w:ascii="宋体" w:hAnsi="宋体" w:eastAsia="宋体" w:cs="宋体"/>
                      <w:i/>
                      <w:iCs/>
                      <w:color w:val="auto"/>
                      <w:spacing w:val="-12"/>
                      <w:sz w:val="24"/>
                      <w:szCs w:val="24"/>
                      <w:highlight w:val="none"/>
                      <w:u w:val="single"/>
                      <w:lang w:val="en-US" w:eastAsia="zh-CN" w:bidi="ar-SA"/>
                    </w:rPr>
                    <w:t xml:space="preserve"> 接口应</w:t>
                  </w:r>
                  <w:r>
                    <w:rPr>
                      <w:rFonts w:hint="eastAsia" w:ascii="宋体" w:hAnsi="宋体" w:eastAsia="宋体" w:cs="宋体"/>
                      <w:i/>
                      <w:iCs/>
                      <w:color w:val="auto"/>
                      <w:spacing w:val="-10"/>
                      <w:sz w:val="24"/>
                      <w:szCs w:val="24"/>
                      <w:highlight w:val="none"/>
                      <w:u w:val="single"/>
                      <w:lang w:val="en-US" w:eastAsia="zh-CN" w:bidi="ar-SA"/>
                    </w:rPr>
                    <w:t xml:space="preserve">具备外接标准 </w:t>
                  </w:r>
                  <w:r>
                    <w:rPr>
                      <w:rFonts w:hint="eastAsia" w:ascii="宋体" w:hAnsi="宋体" w:eastAsia="宋体" w:cs="宋体"/>
                      <w:i/>
                      <w:iCs/>
                      <w:color w:val="auto"/>
                      <w:spacing w:val="-4"/>
                      <w:sz w:val="24"/>
                      <w:szCs w:val="24"/>
                      <w:highlight w:val="none"/>
                      <w:u w:val="single"/>
                      <w:lang w:val="en-US" w:eastAsia="zh-CN" w:bidi="ar-SA"/>
                    </w:rPr>
                    <w:t>USB</w:t>
                  </w:r>
                  <w:r>
                    <w:rPr>
                      <w:rFonts w:hint="eastAsia" w:ascii="宋体" w:hAnsi="宋体" w:eastAsia="宋体" w:cs="宋体"/>
                      <w:i/>
                      <w:iCs/>
                      <w:color w:val="auto"/>
                      <w:spacing w:val="-11"/>
                      <w:sz w:val="24"/>
                      <w:szCs w:val="24"/>
                      <w:highlight w:val="none"/>
                      <w:u w:val="single"/>
                      <w:lang w:val="en-US" w:eastAsia="zh-CN" w:bidi="ar-SA"/>
                    </w:rPr>
                    <w:t xml:space="preserve"> 设备、显示器、音频</w:t>
                  </w:r>
                  <w:r>
                    <w:rPr>
                      <w:rFonts w:hint="eastAsia" w:ascii="宋体" w:hAnsi="宋体" w:eastAsia="宋体" w:cs="宋体"/>
                      <w:i/>
                      <w:iCs/>
                      <w:color w:val="auto"/>
                      <w:spacing w:val="-2"/>
                      <w:sz w:val="24"/>
                      <w:szCs w:val="24"/>
                      <w:highlight w:val="none"/>
                      <w:u w:val="single"/>
                      <w:lang w:val="en-US" w:eastAsia="zh-CN" w:bidi="ar-SA"/>
                    </w:rPr>
                    <w:t>设备等内外部设备能力</w:t>
                  </w:r>
                </w:p>
              </w:tc>
            </w:tr>
            <w:tr w14:paraId="7C17E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6742E69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106</w:t>
                  </w:r>
                </w:p>
              </w:tc>
              <w:tc>
                <w:tcPr>
                  <w:tcW w:w="737" w:type="dxa"/>
                  <w:vAlign w:val="center"/>
                </w:tcPr>
                <w:p w14:paraId="700D78B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5EC5E5E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显卡</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4F71AD7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显卡外接显示接</w:t>
                  </w:r>
                  <w:r>
                    <w:rPr>
                      <w:rFonts w:hint="eastAsia" w:ascii="宋体" w:hAnsi="宋体" w:eastAsia="宋体" w:cs="宋体"/>
                      <w:i w:val="0"/>
                      <w:iCs w:val="0"/>
                      <w:color w:val="auto"/>
                      <w:spacing w:val="-10"/>
                      <w:sz w:val="24"/>
                      <w:szCs w:val="24"/>
                      <w:highlight w:val="none"/>
                      <w:u w:val="none"/>
                      <w:lang w:val="en-US" w:eastAsia="zh-CN" w:bidi="ar-SA"/>
                    </w:rPr>
                    <w:t>口</w:t>
                  </w:r>
                </w:p>
              </w:tc>
              <w:tc>
                <w:tcPr>
                  <w:tcW w:w="3214" w:type="dxa"/>
                  <w:vAlign w:val="center"/>
                </w:tcPr>
                <w:p w14:paraId="08BA043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w w:val="95"/>
                      <w:sz w:val="24"/>
                      <w:szCs w:val="24"/>
                      <w:highlight w:val="none"/>
                      <w:u w:val="single"/>
                      <w:lang w:val="en-US" w:eastAsia="zh-CN" w:bidi="ar-SA"/>
                    </w:rPr>
                    <w:t>显卡至少支持 VGA、HDMI、DVI、DP、 Type-C</w:t>
                  </w:r>
                  <w:r>
                    <w:rPr>
                      <w:rFonts w:hint="eastAsia" w:ascii="宋体" w:hAnsi="宋体" w:eastAsia="宋体" w:cs="宋体"/>
                      <w:i/>
                      <w:iCs/>
                      <w:color w:val="auto"/>
                      <w:spacing w:val="-6"/>
                      <w:w w:val="95"/>
                      <w:sz w:val="24"/>
                      <w:szCs w:val="24"/>
                      <w:highlight w:val="none"/>
                      <w:u w:val="single"/>
                      <w:lang w:val="en-US" w:eastAsia="zh-CN" w:bidi="ar-SA"/>
                    </w:rPr>
                    <w:t xml:space="preserve"> 中 </w:t>
                  </w:r>
                  <w:r>
                    <w:rPr>
                      <w:rFonts w:hint="eastAsia" w:ascii="宋体" w:hAnsi="宋体" w:eastAsia="宋体" w:cs="宋体"/>
                      <w:i/>
                      <w:iCs/>
                      <w:color w:val="auto"/>
                      <w:w w:val="95"/>
                      <w:sz w:val="24"/>
                      <w:szCs w:val="24"/>
                      <w:highlight w:val="none"/>
                      <w:u w:val="single"/>
                      <w:lang w:val="en-US" w:eastAsia="zh-CN" w:bidi="ar-SA"/>
                    </w:rPr>
                    <w:t>1</w:t>
                  </w:r>
                  <w:r>
                    <w:rPr>
                      <w:rFonts w:hint="eastAsia" w:ascii="宋体" w:hAnsi="宋体" w:eastAsia="宋体" w:cs="宋体"/>
                      <w:i/>
                      <w:iCs/>
                      <w:color w:val="auto"/>
                      <w:spacing w:val="-5"/>
                      <w:w w:val="95"/>
                      <w:sz w:val="24"/>
                      <w:szCs w:val="24"/>
                      <w:highlight w:val="none"/>
                      <w:u w:val="single"/>
                      <w:lang w:val="en-US" w:eastAsia="zh-CN" w:bidi="ar-SA"/>
                    </w:rPr>
                    <w:t xml:space="preserve"> </w:t>
                  </w:r>
                  <w:r>
                    <w:rPr>
                      <w:rFonts w:hint="eastAsia" w:ascii="宋体" w:hAnsi="宋体" w:eastAsia="宋体" w:cs="宋体"/>
                      <w:i/>
                      <w:iCs/>
                      <w:color w:val="auto"/>
                      <w:w w:val="95"/>
                      <w:sz w:val="24"/>
                      <w:szCs w:val="24"/>
                      <w:highlight w:val="none"/>
                      <w:u w:val="single"/>
                      <w:lang w:val="en-US" w:eastAsia="zh-CN" w:bidi="ar-SA"/>
                    </w:rPr>
                    <w:t>种显示接口，并与显示器</w:t>
                  </w:r>
                  <w:r>
                    <w:rPr>
                      <w:rFonts w:hint="eastAsia" w:ascii="宋体" w:hAnsi="宋体" w:eastAsia="宋体" w:cs="宋体"/>
                      <w:i/>
                      <w:iCs/>
                      <w:color w:val="auto"/>
                      <w:spacing w:val="-2"/>
                      <w:sz w:val="24"/>
                      <w:szCs w:val="24"/>
                      <w:highlight w:val="none"/>
                      <w:u w:val="single"/>
                      <w:lang w:val="en-US" w:eastAsia="zh-CN" w:bidi="ar-SA"/>
                    </w:rPr>
                    <w:t>接口相匹配</w:t>
                  </w:r>
                </w:p>
              </w:tc>
            </w:tr>
            <w:tr w14:paraId="6AFAAB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2F83786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107</w:t>
                  </w:r>
                </w:p>
              </w:tc>
              <w:tc>
                <w:tcPr>
                  <w:tcW w:w="737" w:type="dxa"/>
                  <w:vAlign w:val="center"/>
                </w:tcPr>
                <w:p w14:paraId="3413280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4C2D0AF0">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A46B43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独立显卡</w:t>
                  </w:r>
                  <w:r>
                    <w:rPr>
                      <w:rFonts w:hint="eastAsia" w:ascii="宋体" w:hAnsi="宋体" w:eastAsia="宋体" w:cs="宋体"/>
                      <w:i w:val="0"/>
                      <w:iCs w:val="0"/>
                      <w:color w:val="auto"/>
                      <w:spacing w:val="-6"/>
                      <w:sz w:val="24"/>
                      <w:szCs w:val="24"/>
                      <w:highlight w:val="none"/>
                      <w:u w:val="none"/>
                      <w:lang w:val="en-US" w:eastAsia="zh-CN" w:bidi="ar-SA"/>
                    </w:rPr>
                    <w:t>数量</w:t>
                  </w:r>
                </w:p>
              </w:tc>
              <w:tc>
                <w:tcPr>
                  <w:tcW w:w="3214" w:type="dxa"/>
                  <w:vAlign w:val="center"/>
                </w:tcPr>
                <w:p w14:paraId="6C45E3E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w:t>
                  </w:r>
                  <w:r>
                    <w:rPr>
                      <w:rFonts w:hint="eastAsia" w:ascii="宋体" w:hAnsi="宋体" w:cs="宋体"/>
                      <w:i/>
                      <w:iCs/>
                      <w:color w:val="auto"/>
                      <w:spacing w:val="-5"/>
                      <w:sz w:val="24"/>
                      <w:szCs w:val="24"/>
                      <w:highlight w:val="none"/>
                      <w:u w:val="single"/>
                      <w:lang w:val="en-US" w:eastAsia="zh-CN" w:bidi="ar-SA"/>
                    </w:rPr>
                    <w:t>1</w:t>
                  </w:r>
                </w:p>
              </w:tc>
            </w:tr>
            <w:tr w14:paraId="3834F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CD5279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108</w:t>
                  </w:r>
                </w:p>
              </w:tc>
              <w:tc>
                <w:tcPr>
                  <w:tcW w:w="737" w:type="dxa"/>
                  <w:vAlign w:val="center"/>
                </w:tcPr>
                <w:p w14:paraId="437F1E6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64A68DB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w:t>
                  </w:r>
                  <w:r>
                    <w:rPr>
                      <w:rFonts w:hint="eastAsia" w:ascii="宋体" w:hAnsi="宋体" w:eastAsia="宋体" w:cs="宋体"/>
                      <w:i w:val="0"/>
                      <w:iCs w:val="0"/>
                      <w:color w:val="auto"/>
                      <w:spacing w:val="-6"/>
                      <w:sz w:val="24"/>
                      <w:szCs w:val="24"/>
                      <w:highlight w:val="none"/>
                      <w:u w:val="none"/>
                      <w:lang w:val="en-US" w:eastAsia="zh-CN" w:bidi="ar-SA"/>
                    </w:rPr>
                    <w:t>设备</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528B655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显示器</w:t>
                  </w:r>
                  <w:r>
                    <w:rPr>
                      <w:rFonts w:hint="eastAsia" w:ascii="宋体" w:hAnsi="宋体" w:eastAsia="宋体" w:cs="宋体"/>
                      <w:i w:val="0"/>
                      <w:iCs w:val="0"/>
                      <w:color w:val="auto"/>
                      <w:spacing w:val="-6"/>
                      <w:sz w:val="24"/>
                      <w:szCs w:val="24"/>
                      <w:highlight w:val="none"/>
                      <w:u w:val="none"/>
                      <w:lang w:val="en-US" w:eastAsia="zh-CN" w:bidi="ar-SA"/>
                    </w:rPr>
                    <w:t>接口</w:t>
                  </w:r>
                </w:p>
              </w:tc>
              <w:tc>
                <w:tcPr>
                  <w:tcW w:w="3214" w:type="dxa"/>
                  <w:vAlign w:val="center"/>
                </w:tcPr>
                <w:p w14:paraId="0BEC42D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显示器应与显卡外接显示接口匹配</w:t>
                  </w:r>
                </w:p>
              </w:tc>
            </w:tr>
            <w:tr w14:paraId="699CC4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5C80EC3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109</w:t>
                  </w:r>
                </w:p>
              </w:tc>
              <w:tc>
                <w:tcPr>
                  <w:tcW w:w="737" w:type="dxa"/>
                  <w:vAlign w:val="center"/>
                </w:tcPr>
                <w:p w14:paraId="1C4BD60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59C01808">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1E5751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显示器</w:t>
                  </w:r>
                  <w:r>
                    <w:rPr>
                      <w:rFonts w:hint="eastAsia" w:ascii="宋体" w:hAnsi="宋体" w:eastAsia="宋体" w:cs="宋体"/>
                      <w:i w:val="0"/>
                      <w:iCs w:val="0"/>
                      <w:color w:val="auto"/>
                      <w:spacing w:val="-6"/>
                      <w:sz w:val="24"/>
                      <w:szCs w:val="24"/>
                      <w:highlight w:val="none"/>
                      <w:u w:val="none"/>
                      <w:lang w:val="en-US" w:eastAsia="zh-CN" w:bidi="ar-SA"/>
                    </w:rPr>
                    <w:t>支架</w:t>
                  </w:r>
                </w:p>
              </w:tc>
              <w:tc>
                <w:tcPr>
                  <w:tcW w:w="3214" w:type="dxa"/>
                  <w:vAlign w:val="center"/>
                </w:tcPr>
                <w:p w14:paraId="5E26ABB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显示器应提供显示器支架，宜支持屏幕</w:t>
                  </w:r>
                  <w:r>
                    <w:rPr>
                      <w:rFonts w:hint="eastAsia" w:ascii="宋体" w:hAnsi="宋体" w:eastAsia="宋体" w:cs="宋体"/>
                      <w:i/>
                      <w:iCs/>
                      <w:color w:val="auto"/>
                      <w:spacing w:val="-2"/>
                      <w:sz w:val="24"/>
                      <w:szCs w:val="24"/>
                      <w:highlight w:val="none"/>
                      <w:u w:val="single"/>
                      <w:lang w:val="en-US" w:eastAsia="zh-CN" w:bidi="ar-SA"/>
                    </w:rPr>
                    <w:t>旋转、支架可升降等</w:t>
                  </w:r>
                </w:p>
              </w:tc>
            </w:tr>
            <w:tr w14:paraId="32DFC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136AC69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110</w:t>
                  </w:r>
                </w:p>
              </w:tc>
              <w:tc>
                <w:tcPr>
                  <w:tcW w:w="737" w:type="dxa"/>
                  <w:vAlign w:val="center"/>
                </w:tcPr>
                <w:p w14:paraId="6EAC0D3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4F667DD1">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7A9BF8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显示器</w:t>
                  </w:r>
                  <w:r>
                    <w:rPr>
                      <w:rFonts w:hint="eastAsia" w:ascii="宋体" w:hAnsi="宋体" w:eastAsia="宋体" w:cs="宋体"/>
                      <w:i w:val="0"/>
                      <w:iCs w:val="0"/>
                      <w:color w:val="auto"/>
                      <w:spacing w:val="-3"/>
                      <w:sz w:val="24"/>
                      <w:szCs w:val="24"/>
                      <w:highlight w:val="none"/>
                      <w:u w:val="none"/>
                      <w:lang w:val="en-US" w:eastAsia="zh-CN" w:bidi="ar-SA"/>
                    </w:rPr>
                    <w:t>参数调节</w:t>
                  </w:r>
                </w:p>
              </w:tc>
              <w:tc>
                <w:tcPr>
                  <w:tcW w:w="3214" w:type="dxa"/>
                  <w:vAlign w:val="center"/>
                </w:tcPr>
                <w:p w14:paraId="304565C4">
                  <w:pPr>
                    <w:keepNext w:val="0"/>
                    <w:keepLines w:val="0"/>
                    <w:pageBreakBefore w:val="0"/>
                    <w:widowControl w:val="0"/>
                    <w:numPr>
                      <w:ilvl w:val="0"/>
                      <w:numId w:val="6"/>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7"/>
                      <w:sz w:val="24"/>
                      <w:szCs w:val="24"/>
                      <w:highlight w:val="none"/>
                      <w:u w:val="single"/>
                      <w:lang w:val="en-US" w:eastAsia="zh-CN" w:bidi="ar-SA"/>
                    </w:rPr>
                    <w:t xml:space="preserve">提供 </w:t>
                  </w:r>
                  <w:r>
                    <w:rPr>
                      <w:rFonts w:hint="eastAsia" w:ascii="宋体" w:hAnsi="宋体" w:eastAsia="宋体" w:cs="宋体"/>
                      <w:i/>
                      <w:iCs/>
                      <w:color w:val="auto"/>
                      <w:spacing w:val="-2"/>
                      <w:sz w:val="24"/>
                      <w:szCs w:val="24"/>
                      <w:highlight w:val="none"/>
                      <w:u w:val="single"/>
                      <w:lang w:val="en-US" w:eastAsia="zh-CN" w:bidi="ar-SA"/>
                    </w:rPr>
                    <w:t>OSD</w:t>
                  </w:r>
                  <w:r>
                    <w:rPr>
                      <w:rFonts w:hint="eastAsia" w:ascii="宋体" w:hAnsi="宋体" w:eastAsia="宋体" w:cs="宋体"/>
                      <w:i/>
                      <w:iCs/>
                      <w:color w:val="auto"/>
                      <w:spacing w:val="-9"/>
                      <w:sz w:val="24"/>
                      <w:szCs w:val="24"/>
                      <w:highlight w:val="none"/>
                      <w:u w:val="single"/>
                      <w:lang w:val="en-US" w:eastAsia="zh-CN" w:bidi="ar-SA"/>
                    </w:rPr>
                    <w:t xml:space="preserve"> 选单按钮用于调节色彩、</w:t>
                  </w:r>
                  <w:r>
                    <w:rPr>
                      <w:rFonts w:hint="eastAsia" w:ascii="宋体" w:hAnsi="宋体" w:eastAsia="宋体" w:cs="宋体"/>
                      <w:i/>
                      <w:iCs/>
                      <w:color w:val="auto"/>
                      <w:spacing w:val="-4"/>
                      <w:sz w:val="24"/>
                      <w:szCs w:val="24"/>
                      <w:highlight w:val="none"/>
                      <w:u w:val="single"/>
                      <w:lang w:val="en-US" w:eastAsia="zh-CN" w:bidi="ar-SA"/>
                    </w:rPr>
                    <w:t>模式等；</w:t>
                  </w:r>
                </w:p>
                <w:p w14:paraId="6F695142">
                  <w:pPr>
                    <w:keepNext w:val="0"/>
                    <w:keepLines w:val="0"/>
                    <w:pageBreakBefore w:val="0"/>
                    <w:widowControl w:val="0"/>
                    <w:numPr>
                      <w:ilvl w:val="0"/>
                      <w:numId w:val="6"/>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支持色温、亮度、对比度调节</w:t>
                  </w:r>
                </w:p>
              </w:tc>
            </w:tr>
            <w:tr w14:paraId="31D55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4224F66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111</w:t>
                  </w:r>
                </w:p>
              </w:tc>
              <w:tc>
                <w:tcPr>
                  <w:tcW w:w="737" w:type="dxa"/>
                  <w:vAlign w:val="center"/>
                </w:tcPr>
                <w:p w14:paraId="7978FFD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45596F1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外设</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1A7662C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摄像头物理隐私保护开关</w:t>
                  </w:r>
                </w:p>
              </w:tc>
              <w:tc>
                <w:tcPr>
                  <w:tcW w:w="3214" w:type="dxa"/>
                  <w:vAlign w:val="center"/>
                </w:tcPr>
                <w:p w14:paraId="4378E63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支持物理隐私保护开关</w:t>
                  </w:r>
                </w:p>
              </w:tc>
            </w:tr>
            <w:tr w14:paraId="1A97A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C61A65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112</w:t>
                  </w:r>
                </w:p>
              </w:tc>
              <w:tc>
                <w:tcPr>
                  <w:tcW w:w="737" w:type="dxa"/>
                  <w:vAlign w:val="center"/>
                </w:tcPr>
                <w:p w14:paraId="505F7A0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6BA52AF6">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1C79DF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传声器降</w:t>
                  </w:r>
                  <w:r>
                    <w:rPr>
                      <w:rFonts w:hint="eastAsia" w:ascii="宋体" w:hAnsi="宋体" w:eastAsia="宋体" w:cs="宋体"/>
                      <w:i w:val="0"/>
                      <w:iCs w:val="0"/>
                      <w:color w:val="auto"/>
                      <w:spacing w:val="-10"/>
                      <w:sz w:val="24"/>
                      <w:szCs w:val="24"/>
                      <w:highlight w:val="none"/>
                      <w:u w:val="none"/>
                      <w:lang w:val="en-US" w:eastAsia="zh-CN" w:bidi="ar-SA"/>
                    </w:rPr>
                    <w:t>噪</w:t>
                  </w:r>
                </w:p>
              </w:tc>
              <w:tc>
                <w:tcPr>
                  <w:tcW w:w="3214" w:type="dxa"/>
                  <w:vAlign w:val="center"/>
                </w:tcPr>
                <w:p w14:paraId="328EC99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支持降噪功能</w:t>
                  </w:r>
                </w:p>
              </w:tc>
            </w:tr>
            <w:tr w14:paraId="42D69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5B5FF00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113</w:t>
                  </w:r>
                </w:p>
              </w:tc>
              <w:tc>
                <w:tcPr>
                  <w:tcW w:w="737" w:type="dxa"/>
                  <w:vAlign w:val="center"/>
                </w:tcPr>
                <w:p w14:paraId="797ACCA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0BC764F4">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FAFE9D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键盘背光</w:t>
                  </w:r>
                </w:p>
              </w:tc>
              <w:tc>
                <w:tcPr>
                  <w:tcW w:w="3214" w:type="dxa"/>
                  <w:vAlign w:val="center"/>
                </w:tcPr>
                <w:p w14:paraId="38D7C31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5F73F87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支持键盘背光</w:t>
                  </w:r>
                </w:p>
              </w:tc>
            </w:tr>
            <w:tr w14:paraId="3FCEA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60" w:hRule="atLeast"/>
              </w:trPr>
              <w:tc>
                <w:tcPr>
                  <w:tcW w:w="600" w:type="dxa"/>
                  <w:vAlign w:val="center"/>
                </w:tcPr>
                <w:p w14:paraId="3135F10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114</w:t>
                  </w:r>
                </w:p>
              </w:tc>
              <w:tc>
                <w:tcPr>
                  <w:tcW w:w="737" w:type="dxa"/>
                  <w:vAlign w:val="center"/>
                </w:tcPr>
                <w:p w14:paraId="1B82C7F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19FA32C4">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C0DCD5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光驱功能</w:t>
                  </w:r>
                </w:p>
              </w:tc>
              <w:tc>
                <w:tcPr>
                  <w:tcW w:w="3214" w:type="dxa"/>
                  <w:vAlign w:val="center"/>
                </w:tcPr>
                <w:p w14:paraId="1927F56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支持只读、刻录等类型；最大读取速度 </w:t>
                  </w:r>
                  <w:r>
                    <w:rPr>
                      <w:rFonts w:hint="eastAsia" w:ascii="宋体" w:hAnsi="宋体" w:eastAsia="宋体" w:cs="宋体"/>
                      <w:i/>
                      <w:iCs/>
                      <w:color w:val="auto"/>
                      <w:sz w:val="24"/>
                      <w:szCs w:val="24"/>
                      <w:highlight w:val="none"/>
                      <w:u w:val="single"/>
                      <w:lang w:val="en-US" w:eastAsia="zh-CN" w:bidi="ar-SA"/>
                    </w:rPr>
                    <w:t>CD</w:t>
                  </w:r>
                  <w:r>
                    <w:rPr>
                      <w:rFonts w:hint="eastAsia" w:ascii="宋体" w:hAnsi="宋体" w:eastAsia="宋体" w:cs="宋体"/>
                      <w:i/>
                      <w:iCs/>
                      <w:color w:val="auto"/>
                      <w:spacing w:val="-10"/>
                      <w:sz w:val="24"/>
                      <w:szCs w:val="24"/>
                      <w:highlight w:val="none"/>
                      <w:u w:val="single"/>
                      <w:lang w:val="en-US" w:eastAsia="zh-CN" w:bidi="ar-SA"/>
                    </w:rPr>
                    <w:t xml:space="preserve"> 不低于 </w:t>
                  </w:r>
                  <w:r>
                    <w:rPr>
                      <w:rFonts w:hint="eastAsia" w:ascii="宋体" w:hAnsi="宋体" w:eastAsia="宋体" w:cs="宋体"/>
                      <w:i/>
                      <w:iCs/>
                      <w:color w:val="auto"/>
                      <w:sz w:val="24"/>
                      <w:szCs w:val="24"/>
                      <w:highlight w:val="none"/>
                      <w:u w:val="single"/>
                      <w:lang w:val="en-US" w:eastAsia="zh-CN" w:bidi="ar-SA"/>
                    </w:rPr>
                    <w:t>24×150KB/s；</w:t>
                  </w:r>
                </w:p>
                <w:p w14:paraId="118A31D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 xml:space="preserve">最大读取速度 </w:t>
                  </w:r>
                  <w:r>
                    <w:rPr>
                      <w:rFonts w:hint="eastAsia" w:ascii="宋体" w:hAnsi="宋体" w:eastAsia="宋体" w:cs="宋体"/>
                      <w:i/>
                      <w:iCs/>
                      <w:color w:val="auto"/>
                      <w:spacing w:val="-2"/>
                      <w:sz w:val="24"/>
                      <w:szCs w:val="24"/>
                      <w:highlight w:val="none"/>
                      <w:u w:val="single"/>
                      <w:lang w:val="en-US" w:eastAsia="zh-CN" w:bidi="ar-SA"/>
                    </w:rPr>
                    <w:t>DVD</w:t>
                  </w:r>
                  <w:r>
                    <w:rPr>
                      <w:rFonts w:hint="eastAsia" w:ascii="宋体" w:hAnsi="宋体" w:eastAsia="宋体" w:cs="宋体"/>
                      <w:i/>
                      <w:iCs/>
                      <w:color w:val="auto"/>
                      <w:spacing w:val="-20"/>
                      <w:sz w:val="24"/>
                      <w:szCs w:val="24"/>
                      <w:highlight w:val="none"/>
                      <w:u w:val="single"/>
                      <w:lang w:val="en-US" w:eastAsia="zh-CN" w:bidi="ar-SA"/>
                    </w:rPr>
                    <w:t xml:space="preserve"> 不低于 </w:t>
                  </w:r>
                  <w:r>
                    <w:rPr>
                      <w:rFonts w:hint="eastAsia" w:ascii="宋体" w:hAnsi="宋体" w:eastAsia="宋体" w:cs="宋体"/>
                      <w:i/>
                      <w:iCs/>
                      <w:color w:val="auto"/>
                      <w:spacing w:val="-2"/>
                      <w:sz w:val="24"/>
                      <w:szCs w:val="24"/>
                      <w:highlight w:val="none"/>
                      <w:u w:val="single"/>
                      <w:lang w:val="en-US" w:eastAsia="zh-CN" w:bidi="ar-SA"/>
                    </w:rPr>
                    <w:t>8× 1358KB/s；</w:t>
                  </w:r>
                </w:p>
                <w:p w14:paraId="41BE1F0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最大刻录速度</w:t>
                  </w:r>
                  <w:r>
                    <w:rPr>
                      <w:rFonts w:hint="eastAsia" w:ascii="宋体" w:hAnsi="宋体" w:eastAsia="宋体" w:cs="宋体"/>
                      <w:i/>
                      <w:iCs/>
                      <w:color w:val="auto"/>
                      <w:sz w:val="24"/>
                      <w:szCs w:val="24"/>
                      <w:highlight w:val="none"/>
                      <w:u w:val="single"/>
                      <w:lang w:val="en-US" w:eastAsia="zh-CN" w:bidi="ar-SA"/>
                    </w:rPr>
                    <w:t>CD</w:t>
                  </w:r>
                  <w:r>
                    <w:rPr>
                      <w:rFonts w:hint="eastAsia" w:ascii="宋体" w:hAnsi="宋体" w:eastAsia="宋体" w:cs="宋体"/>
                      <w:i/>
                      <w:iCs/>
                      <w:color w:val="auto"/>
                      <w:spacing w:val="-22"/>
                      <w:sz w:val="24"/>
                      <w:szCs w:val="24"/>
                      <w:highlight w:val="none"/>
                      <w:u w:val="single"/>
                      <w:lang w:val="en-US" w:eastAsia="zh-CN" w:bidi="ar-SA"/>
                    </w:rPr>
                    <w:t xml:space="preserve"> 不低于 </w:t>
                  </w:r>
                  <w:r>
                    <w:rPr>
                      <w:rFonts w:hint="eastAsia" w:ascii="宋体" w:hAnsi="宋体" w:eastAsia="宋体" w:cs="宋体"/>
                      <w:i/>
                      <w:iCs/>
                      <w:color w:val="auto"/>
                      <w:sz w:val="24"/>
                      <w:szCs w:val="24"/>
                      <w:highlight w:val="none"/>
                      <w:u w:val="single"/>
                      <w:lang w:val="en-US" w:eastAsia="zh-CN" w:bidi="ar-SA"/>
                    </w:rPr>
                    <w:t>24×150KB/s；</w:t>
                  </w:r>
                  <w:r>
                    <w:rPr>
                      <w:rFonts w:hint="eastAsia" w:ascii="宋体" w:hAnsi="宋体" w:eastAsia="宋体" w:cs="宋体"/>
                      <w:i/>
                      <w:iCs/>
                      <w:color w:val="auto"/>
                      <w:spacing w:val="-2"/>
                      <w:sz w:val="24"/>
                      <w:szCs w:val="24"/>
                      <w:highlight w:val="none"/>
                      <w:u w:val="single"/>
                      <w:lang w:val="en-US" w:eastAsia="zh-CN" w:bidi="ar-SA"/>
                    </w:rPr>
                    <w:t xml:space="preserve">最大刻录速度 </w:t>
                  </w:r>
                  <w:r>
                    <w:rPr>
                      <w:rFonts w:hint="eastAsia" w:ascii="宋体" w:hAnsi="宋体" w:eastAsia="宋体" w:cs="宋体"/>
                      <w:i/>
                      <w:iCs/>
                      <w:color w:val="auto"/>
                      <w:sz w:val="24"/>
                      <w:szCs w:val="24"/>
                      <w:highlight w:val="none"/>
                      <w:u w:val="single"/>
                      <w:lang w:val="en-US" w:eastAsia="zh-CN" w:bidi="ar-SA"/>
                    </w:rPr>
                    <w:t>DVD</w:t>
                  </w:r>
                  <w:r>
                    <w:rPr>
                      <w:rFonts w:hint="eastAsia" w:ascii="宋体" w:hAnsi="宋体" w:eastAsia="宋体" w:cs="宋体"/>
                      <w:i/>
                      <w:iCs/>
                      <w:color w:val="auto"/>
                      <w:spacing w:val="-6"/>
                      <w:sz w:val="24"/>
                      <w:szCs w:val="24"/>
                      <w:highlight w:val="none"/>
                      <w:u w:val="single"/>
                      <w:lang w:val="en-US" w:eastAsia="zh-CN" w:bidi="ar-SA"/>
                    </w:rPr>
                    <w:t xml:space="preserve"> 不低于 </w:t>
                  </w:r>
                  <w:r>
                    <w:rPr>
                      <w:rFonts w:hint="eastAsia" w:ascii="宋体" w:hAnsi="宋体" w:eastAsia="宋体" w:cs="宋体"/>
                      <w:i/>
                      <w:iCs/>
                      <w:color w:val="auto"/>
                      <w:sz w:val="24"/>
                      <w:szCs w:val="24"/>
                      <w:highlight w:val="none"/>
                      <w:u w:val="single"/>
                      <w:lang w:val="en-US" w:eastAsia="zh-CN" w:bidi="ar-SA"/>
                    </w:rPr>
                    <w:t xml:space="preserve">6× </w:t>
                  </w:r>
                  <w:r>
                    <w:rPr>
                      <w:rFonts w:hint="eastAsia" w:ascii="宋体" w:hAnsi="宋体" w:eastAsia="宋体" w:cs="宋体"/>
                      <w:i/>
                      <w:iCs/>
                      <w:color w:val="auto"/>
                      <w:spacing w:val="-2"/>
                      <w:sz w:val="24"/>
                      <w:szCs w:val="24"/>
                      <w:highlight w:val="none"/>
                      <w:u w:val="single"/>
                      <w:lang w:val="en-US" w:eastAsia="zh-CN" w:bidi="ar-SA"/>
                    </w:rPr>
                    <w:t>1358KB/s；</w:t>
                  </w:r>
                </w:p>
                <w:p w14:paraId="1DA1E63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兼容光盘类型包含只读光盘、可读写光</w:t>
                  </w:r>
                </w:p>
                <w:p w14:paraId="3550D24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盘、可擦写光盘等</w:t>
                  </w:r>
                </w:p>
              </w:tc>
            </w:tr>
            <w:tr w14:paraId="5ED8A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600" w:type="dxa"/>
                  <w:vAlign w:val="center"/>
                </w:tcPr>
                <w:p w14:paraId="1CC2DCF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115</w:t>
                  </w:r>
                </w:p>
              </w:tc>
              <w:tc>
                <w:tcPr>
                  <w:tcW w:w="737" w:type="dxa"/>
                  <w:vAlign w:val="center"/>
                </w:tcPr>
                <w:p w14:paraId="208347C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18FFC65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存储</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7BFDFC7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存储功</w:t>
                  </w:r>
                  <w:r>
                    <w:rPr>
                      <w:rFonts w:hint="eastAsia" w:ascii="宋体" w:hAnsi="宋体" w:eastAsia="宋体" w:cs="宋体"/>
                      <w:i w:val="0"/>
                      <w:iCs w:val="0"/>
                      <w:color w:val="auto"/>
                      <w:spacing w:val="-10"/>
                      <w:sz w:val="24"/>
                      <w:szCs w:val="24"/>
                      <w:highlight w:val="none"/>
                      <w:u w:val="none"/>
                      <w:lang w:val="en-US" w:eastAsia="zh-CN" w:bidi="ar-SA"/>
                    </w:rPr>
                    <w:t>能</w:t>
                  </w:r>
                </w:p>
              </w:tc>
              <w:tc>
                <w:tcPr>
                  <w:tcW w:w="3214" w:type="dxa"/>
                  <w:vAlign w:val="center"/>
                </w:tcPr>
                <w:p w14:paraId="46E9D4C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通过 </w:t>
                  </w:r>
                  <w:r>
                    <w:rPr>
                      <w:rFonts w:hint="eastAsia" w:ascii="宋体" w:hAnsi="宋体" w:eastAsia="宋体" w:cs="宋体"/>
                      <w:i/>
                      <w:iCs/>
                      <w:color w:val="auto"/>
                      <w:spacing w:val="-2"/>
                      <w:sz w:val="24"/>
                      <w:szCs w:val="24"/>
                      <w:highlight w:val="none"/>
                      <w:u w:val="single"/>
                      <w:lang w:val="en-US" w:eastAsia="zh-CN" w:bidi="ar-SA"/>
                    </w:rPr>
                    <w:t>SATA</w:t>
                  </w:r>
                  <w:r>
                    <w:rPr>
                      <w:rFonts w:hint="eastAsia" w:ascii="宋体" w:hAnsi="宋体" w:eastAsia="宋体" w:cs="宋体"/>
                      <w:i/>
                      <w:iCs/>
                      <w:color w:val="auto"/>
                      <w:spacing w:val="-10"/>
                      <w:sz w:val="24"/>
                      <w:szCs w:val="24"/>
                      <w:highlight w:val="none"/>
                      <w:u w:val="single"/>
                      <w:lang w:val="en-US" w:eastAsia="zh-CN" w:bidi="ar-SA"/>
                    </w:rPr>
                    <w:t xml:space="preserve"> 固态存储</w:t>
                  </w:r>
                  <w:r>
                    <w:rPr>
                      <w:rFonts w:hint="eastAsia" w:ascii="宋体" w:hAnsi="宋体" w:eastAsia="宋体" w:cs="宋体"/>
                      <w:i/>
                      <w:iCs/>
                      <w:color w:val="auto"/>
                      <w:spacing w:val="-2"/>
                      <w:sz w:val="24"/>
                      <w:szCs w:val="24"/>
                      <w:highlight w:val="none"/>
                      <w:u w:val="single"/>
                      <w:lang w:val="en-US" w:eastAsia="zh-CN" w:bidi="ar-SA"/>
                    </w:rPr>
                    <w:t>/PCIe</w:t>
                  </w:r>
                  <w:r>
                    <w:rPr>
                      <w:rFonts w:hint="eastAsia" w:ascii="宋体" w:hAnsi="宋体" w:eastAsia="宋体" w:cs="宋体"/>
                      <w:i/>
                      <w:iCs/>
                      <w:color w:val="auto"/>
                      <w:spacing w:val="-10"/>
                      <w:sz w:val="24"/>
                      <w:szCs w:val="24"/>
                      <w:highlight w:val="none"/>
                      <w:u w:val="single"/>
                      <w:lang w:val="en-US" w:eastAsia="zh-CN" w:bidi="ar-SA"/>
                    </w:rPr>
                    <w:t xml:space="preserve"> 固态存储</w:t>
                  </w:r>
                </w:p>
                <w:p w14:paraId="5629A2C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/UFS</w:t>
                  </w:r>
                  <w:r>
                    <w:rPr>
                      <w:rFonts w:hint="eastAsia" w:ascii="宋体" w:hAnsi="宋体" w:eastAsia="宋体" w:cs="宋体"/>
                      <w:i/>
                      <w:iCs/>
                      <w:color w:val="auto"/>
                      <w:spacing w:val="-12"/>
                      <w:sz w:val="24"/>
                      <w:szCs w:val="24"/>
                      <w:highlight w:val="none"/>
                      <w:u w:val="single"/>
                      <w:lang w:val="en-US" w:eastAsia="zh-CN" w:bidi="ar-SA"/>
                    </w:rPr>
                    <w:t xml:space="preserve"> 固态存储</w:t>
                  </w:r>
                  <w:r>
                    <w:rPr>
                      <w:rFonts w:hint="eastAsia" w:ascii="宋体" w:hAnsi="宋体" w:eastAsia="宋体" w:cs="宋体"/>
                      <w:i/>
                      <w:iCs/>
                      <w:color w:val="auto"/>
                      <w:spacing w:val="-2"/>
                      <w:sz w:val="24"/>
                      <w:szCs w:val="24"/>
                      <w:highlight w:val="none"/>
                      <w:u w:val="single"/>
                      <w:lang w:val="en-US" w:eastAsia="zh-CN" w:bidi="ar-SA"/>
                    </w:rPr>
                    <w:t>/SATA</w:t>
                  </w:r>
                  <w:r>
                    <w:rPr>
                      <w:rFonts w:hint="eastAsia" w:ascii="宋体" w:hAnsi="宋体" w:eastAsia="宋体" w:cs="宋体"/>
                      <w:i/>
                      <w:iCs/>
                      <w:color w:val="auto"/>
                      <w:spacing w:val="-9"/>
                      <w:sz w:val="24"/>
                      <w:szCs w:val="24"/>
                      <w:highlight w:val="none"/>
                      <w:u w:val="single"/>
                      <w:lang w:val="en-US" w:eastAsia="zh-CN" w:bidi="ar-SA"/>
                    </w:rPr>
                    <w:t xml:space="preserve"> 硬磁盘等存储部</w:t>
                  </w:r>
                  <w:r>
                    <w:rPr>
                      <w:rFonts w:hint="eastAsia" w:ascii="宋体" w:hAnsi="宋体" w:eastAsia="宋体" w:cs="宋体"/>
                      <w:i/>
                      <w:iCs/>
                      <w:color w:val="auto"/>
                      <w:spacing w:val="-2"/>
                      <w:sz w:val="24"/>
                      <w:szCs w:val="24"/>
                      <w:highlight w:val="none"/>
                      <w:u w:val="single"/>
                      <w:lang w:val="en-US" w:eastAsia="zh-CN" w:bidi="ar-SA"/>
                    </w:rPr>
                    <w:t>件提供存储功能</w:t>
                  </w:r>
                </w:p>
              </w:tc>
            </w:tr>
            <w:tr w14:paraId="286C92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35" w:hRule="atLeast"/>
              </w:trPr>
              <w:tc>
                <w:tcPr>
                  <w:tcW w:w="600" w:type="dxa"/>
                  <w:vAlign w:val="center"/>
                </w:tcPr>
                <w:p w14:paraId="78FA9C6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116</w:t>
                  </w:r>
                </w:p>
              </w:tc>
              <w:tc>
                <w:tcPr>
                  <w:tcW w:w="737" w:type="dxa"/>
                  <w:vAlign w:val="center"/>
                </w:tcPr>
                <w:p w14:paraId="7FCE55B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30019CFF">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8D1BA8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内置控制器固态存储加密</w:t>
                  </w:r>
                </w:p>
              </w:tc>
              <w:tc>
                <w:tcPr>
                  <w:tcW w:w="3214" w:type="dxa"/>
                  <w:vAlign w:val="center"/>
                </w:tcPr>
                <w:p w14:paraId="7146F52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固态存储宜通过内置控制器硬件支持</w:t>
                  </w:r>
                  <w:r>
                    <w:rPr>
                      <w:rFonts w:hint="eastAsia" w:ascii="宋体" w:hAnsi="宋体" w:eastAsia="宋体" w:cs="宋体"/>
                      <w:i/>
                      <w:iCs/>
                      <w:color w:val="auto"/>
                      <w:spacing w:val="40"/>
                      <w:sz w:val="24"/>
                      <w:szCs w:val="24"/>
                      <w:highlight w:val="none"/>
                      <w:u w:val="single"/>
                      <w:lang w:val="en-US" w:eastAsia="zh-CN" w:bidi="ar-SA"/>
                    </w:rPr>
                    <w:t xml:space="preserve"> </w:t>
                  </w:r>
                  <w:r>
                    <w:rPr>
                      <w:rFonts w:hint="eastAsia" w:ascii="宋体" w:hAnsi="宋体" w:eastAsia="宋体" w:cs="宋体"/>
                      <w:i/>
                      <w:iCs/>
                      <w:color w:val="auto"/>
                      <w:spacing w:val="-15"/>
                      <w:sz w:val="24"/>
                      <w:szCs w:val="24"/>
                      <w:highlight w:val="none"/>
                      <w:u w:val="single"/>
                      <w:lang w:val="en-US" w:eastAsia="zh-CN" w:bidi="ar-SA"/>
                    </w:rPr>
                    <w:t>加密，不依赖处理器，保障数据安全性，</w:t>
                  </w:r>
                  <w:r>
                    <w:rPr>
                      <w:rFonts w:hint="eastAsia" w:ascii="宋体" w:hAnsi="宋体" w:eastAsia="宋体" w:cs="宋体"/>
                      <w:i/>
                      <w:iCs/>
                      <w:color w:val="auto"/>
                      <w:spacing w:val="-3"/>
                      <w:sz w:val="24"/>
                      <w:szCs w:val="24"/>
                      <w:highlight w:val="none"/>
                      <w:u w:val="single"/>
                      <w:lang w:val="en-US" w:eastAsia="zh-CN" w:bidi="ar-SA"/>
                    </w:rPr>
                    <w:t>但不得影响存储性能。符合如下要求：</w:t>
                  </w:r>
                </w:p>
                <w:p w14:paraId="5B3F5B49">
                  <w:pPr>
                    <w:keepNext w:val="0"/>
                    <w:keepLines w:val="0"/>
                    <w:pageBreakBefore w:val="0"/>
                    <w:widowControl w:val="0"/>
                    <w:numPr>
                      <w:ilvl w:val="0"/>
                      <w:numId w:val="7"/>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支持加密功能，且加密功能开启不</w:t>
                  </w:r>
                  <w:r>
                    <w:rPr>
                      <w:rFonts w:hint="eastAsia" w:ascii="宋体" w:hAnsi="宋体" w:eastAsia="宋体" w:cs="宋体"/>
                      <w:i/>
                      <w:iCs/>
                      <w:color w:val="auto"/>
                      <w:spacing w:val="-7"/>
                      <w:sz w:val="24"/>
                      <w:szCs w:val="24"/>
                      <w:highlight w:val="none"/>
                      <w:u w:val="single"/>
                      <w:lang w:val="en-US" w:eastAsia="zh-CN" w:bidi="ar-SA"/>
                    </w:rPr>
                    <w:t xml:space="preserve">影响 </w:t>
                  </w:r>
                  <w:r>
                    <w:rPr>
                      <w:rFonts w:hint="eastAsia" w:ascii="宋体" w:hAnsi="宋体" w:eastAsia="宋体" w:cs="宋体"/>
                      <w:i/>
                      <w:iCs/>
                      <w:color w:val="auto"/>
                      <w:sz w:val="24"/>
                      <w:szCs w:val="24"/>
                      <w:highlight w:val="none"/>
                      <w:u w:val="single"/>
                      <w:lang w:val="en-US" w:eastAsia="zh-CN" w:bidi="ar-SA"/>
                    </w:rPr>
                    <w:t>SSD</w:t>
                  </w:r>
                  <w:r>
                    <w:rPr>
                      <w:rFonts w:hint="eastAsia" w:ascii="宋体" w:hAnsi="宋体" w:eastAsia="宋体" w:cs="宋体"/>
                      <w:i/>
                      <w:iCs/>
                      <w:color w:val="auto"/>
                      <w:spacing w:val="-5"/>
                      <w:sz w:val="24"/>
                      <w:szCs w:val="24"/>
                      <w:highlight w:val="none"/>
                      <w:u w:val="single"/>
                      <w:lang w:val="en-US" w:eastAsia="zh-CN" w:bidi="ar-SA"/>
                    </w:rPr>
                    <w:t xml:space="preserve"> 读写性能；</w:t>
                  </w:r>
                </w:p>
                <w:p w14:paraId="2BE5AB5A">
                  <w:pPr>
                    <w:keepNext w:val="0"/>
                    <w:keepLines w:val="0"/>
                    <w:pageBreakBefore w:val="0"/>
                    <w:widowControl w:val="0"/>
                    <w:numPr>
                      <w:ilvl w:val="0"/>
                      <w:numId w:val="7"/>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支持固件加密、安全启动和安全升</w:t>
                  </w:r>
                  <w:r>
                    <w:rPr>
                      <w:rFonts w:hint="eastAsia" w:ascii="宋体" w:hAnsi="宋体" w:eastAsia="宋体" w:cs="宋体"/>
                      <w:i/>
                      <w:iCs/>
                      <w:color w:val="auto"/>
                      <w:spacing w:val="-6"/>
                      <w:sz w:val="24"/>
                      <w:szCs w:val="24"/>
                      <w:highlight w:val="none"/>
                      <w:u w:val="single"/>
                      <w:lang w:val="en-US" w:eastAsia="zh-CN" w:bidi="ar-SA"/>
                    </w:rPr>
                    <w:t>级；</w:t>
                  </w:r>
                </w:p>
                <w:p w14:paraId="24DEF311">
                  <w:pPr>
                    <w:keepNext w:val="0"/>
                    <w:keepLines w:val="0"/>
                    <w:pageBreakBefore w:val="0"/>
                    <w:widowControl w:val="0"/>
                    <w:numPr>
                      <w:ilvl w:val="0"/>
                      <w:numId w:val="7"/>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支持数据的安全擦除；</w:t>
                  </w:r>
                </w:p>
                <w:p w14:paraId="4A4BFEAD">
                  <w:pPr>
                    <w:keepNext w:val="0"/>
                    <w:keepLines w:val="0"/>
                    <w:pageBreakBefore w:val="0"/>
                    <w:widowControl w:val="0"/>
                    <w:numPr>
                      <w:ilvl w:val="0"/>
                      <w:numId w:val="7"/>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宜具有存储状态指示灯，并可通过不同显示方式给出数据读写状态</w:t>
                  </w:r>
                </w:p>
              </w:tc>
            </w:tr>
            <w:tr w14:paraId="2608AD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600" w:type="dxa"/>
                  <w:vAlign w:val="center"/>
                </w:tcPr>
                <w:p w14:paraId="3A49585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117</w:t>
                  </w:r>
                </w:p>
              </w:tc>
              <w:tc>
                <w:tcPr>
                  <w:tcW w:w="737" w:type="dxa"/>
                  <w:vAlign w:val="center"/>
                </w:tcPr>
                <w:p w14:paraId="3810F95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6F02E39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p w14:paraId="0408C0A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网络</w:t>
                  </w:r>
                  <w:r>
                    <w:rPr>
                      <w:rFonts w:hint="eastAsia" w:ascii="宋体" w:hAnsi="宋体" w:eastAsia="宋体" w:cs="宋体"/>
                      <w:i w:val="0"/>
                      <w:iCs w:val="0"/>
                      <w:color w:val="auto"/>
                      <w:spacing w:val="-6"/>
                      <w:sz w:val="24"/>
                      <w:szCs w:val="24"/>
                      <w:highlight w:val="none"/>
                      <w:u w:val="none"/>
                      <w:lang w:val="en-US" w:eastAsia="zh-CN" w:bidi="ar-SA"/>
                    </w:rPr>
                    <w:t>设备</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0CF5A2A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网络功</w:t>
                  </w:r>
                  <w:r>
                    <w:rPr>
                      <w:rFonts w:hint="eastAsia" w:ascii="宋体" w:hAnsi="宋体" w:eastAsia="宋体" w:cs="宋体"/>
                      <w:i w:val="0"/>
                      <w:iCs w:val="0"/>
                      <w:color w:val="auto"/>
                      <w:spacing w:val="-10"/>
                      <w:sz w:val="24"/>
                      <w:szCs w:val="24"/>
                      <w:highlight w:val="none"/>
                      <w:u w:val="none"/>
                      <w:lang w:val="en-US" w:eastAsia="zh-CN" w:bidi="ar-SA"/>
                    </w:rPr>
                    <w:t>能</w:t>
                  </w:r>
                </w:p>
              </w:tc>
              <w:tc>
                <w:tcPr>
                  <w:tcW w:w="3214" w:type="dxa"/>
                  <w:vAlign w:val="center"/>
                </w:tcPr>
                <w:p w14:paraId="197D718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a</w:t>
                  </w:r>
                  <w:r>
                    <w:rPr>
                      <w:rFonts w:hint="eastAsia" w:ascii="宋体" w:hAnsi="宋体" w:eastAsia="宋体" w:cs="宋体"/>
                      <w:i/>
                      <w:iCs/>
                      <w:color w:val="auto"/>
                      <w:spacing w:val="-10"/>
                      <w:sz w:val="24"/>
                      <w:szCs w:val="24"/>
                      <w:highlight w:val="none"/>
                      <w:u w:val="single"/>
                      <w:lang w:val="en-US" w:eastAsia="zh-CN" w:bidi="ar-SA"/>
                    </w:rPr>
                    <w:t>)支持网络连接、网络开启/关闭功能；</w:t>
                  </w:r>
                  <w:r>
                    <w:rPr>
                      <w:rFonts w:hint="eastAsia" w:ascii="宋体" w:hAnsi="宋体" w:eastAsia="宋体" w:cs="宋体"/>
                      <w:i/>
                      <w:iCs/>
                      <w:color w:val="auto"/>
                      <w:spacing w:val="-2"/>
                      <w:sz w:val="24"/>
                      <w:szCs w:val="24"/>
                      <w:highlight w:val="none"/>
                      <w:u w:val="single"/>
                      <w:lang w:val="en-US" w:eastAsia="zh-CN" w:bidi="ar-SA"/>
                    </w:rPr>
                    <w:t xml:space="preserve"> b)支持访问网络和数据交换功能</w:t>
                  </w:r>
                </w:p>
              </w:tc>
            </w:tr>
            <w:tr w14:paraId="051A9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3E9F318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118</w:t>
                  </w:r>
                </w:p>
              </w:tc>
              <w:tc>
                <w:tcPr>
                  <w:tcW w:w="737" w:type="dxa"/>
                  <w:vAlign w:val="center"/>
                </w:tcPr>
                <w:p w14:paraId="78318A1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65CBFDC2">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58C484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无线网卡</w:t>
                  </w:r>
                  <w:r>
                    <w:rPr>
                      <w:rFonts w:hint="eastAsia" w:ascii="宋体" w:hAnsi="宋体" w:eastAsia="宋体" w:cs="宋体"/>
                      <w:i w:val="0"/>
                      <w:iCs w:val="0"/>
                      <w:color w:val="auto"/>
                      <w:spacing w:val="-6"/>
                      <w:sz w:val="24"/>
                      <w:szCs w:val="24"/>
                      <w:highlight w:val="none"/>
                      <w:u w:val="none"/>
                      <w:lang w:val="en-US" w:eastAsia="zh-CN" w:bidi="ar-SA"/>
                    </w:rPr>
                    <w:t>频段</w:t>
                  </w:r>
                </w:p>
              </w:tc>
              <w:tc>
                <w:tcPr>
                  <w:tcW w:w="3214" w:type="dxa"/>
                  <w:vAlign w:val="center"/>
                </w:tcPr>
                <w:p w14:paraId="70BFF0A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支持双频段</w:t>
                  </w:r>
                </w:p>
              </w:tc>
            </w:tr>
            <w:tr w14:paraId="259DE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600" w:type="dxa"/>
                  <w:vAlign w:val="center"/>
                </w:tcPr>
                <w:p w14:paraId="25BD26A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119</w:t>
                  </w:r>
                </w:p>
              </w:tc>
              <w:tc>
                <w:tcPr>
                  <w:tcW w:w="737" w:type="dxa"/>
                  <w:vAlign w:val="center"/>
                </w:tcPr>
                <w:p w14:paraId="7B75C1F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7ACA77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6080B2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物理开关</w:t>
                  </w:r>
                </w:p>
              </w:tc>
              <w:tc>
                <w:tcPr>
                  <w:tcW w:w="3214" w:type="dxa"/>
                  <w:vAlign w:val="center"/>
                </w:tcPr>
                <w:p w14:paraId="2CEBB5F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支持网络设备物理开关</w:t>
                  </w:r>
                </w:p>
              </w:tc>
            </w:tr>
            <w:tr w14:paraId="7B657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0BB39DB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120</w:t>
                  </w:r>
                </w:p>
              </w:tc>
              <w:tc>
                <w:tcPr>
                  <w:tcW w:w="737" w:type="dxa"/>
                  <w:vAlign w:val="center"/>
                </w:tcPr>
                <w:p w14:paraId="5CB3D16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1480CE6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tc>
              <w:tc>
                <w:tcPr>
                  <w:tcW w:w="958" w:type="dxa"/>
                  <w:vAlign w:val="center"/>
                </w:tcPr>
                <w:p w14:paraId="15EA8D4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数据传</w:t>
                  </w:r>
                  <w:r>
                    <w:rPr>
                      <w:rFonts w:hint="eastAsia" w:ascii="宋体" w:hAnsi="宋体" w:eastAsia="宋体" w:cs="宋体"/>
                      <w:i w:val="0"/>
                      <w:iCs w:val="0"/>
                      <w:color w:val="auto"/>
                      <w:spacing w:val="-10"/>
                      <w:sz w:val="24"/>
                      <w:szCs w:val="24"/>
                      <w:highlight w:val="none"/>
                      <w:u w:val="none"/>
                      <w:lang w:val="en-US" w:eastAsia="zh-CN" w:bidi="ar-SA"/>
                    </w:rPr>
                    <w:t>输</w:t>
                  </w:r>
                </w:p>
              </w:tc>
              <w:tc>
                <w:tcPr>
                  <w:tcW w:w="3214" w:type="dxa"/>
                  <w:vAlign w:val="center"/>
                </w:tcPr>
                <w:p w14:paraId="475CA71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支持数据传输能力，并提供数据流量和</w:t>
                  </w:r>
                  <w:r>
                    <w:rPr>
                      <w:rFonts w:hint="eastAsia" w:ascii="宋体" w:hAnsi="宋体" w:eastAsia="宋体" w:cs="宋体"/>
                      <w:i/>
                      <w:iCs/>
                      <w:color w:val="auto"/>
                      <w:spacing w:val="-2"/>
                      <w:sz w:val="24"/>
                      <w:szCs w:val="24"/>
                      <w:highlight w:val="none"/>
                      <w:u w:val="single"/>
                      <w:lang w:val="en-US" w:eastAsia="zh-CN" w:bidi="ar-SA"/>
                    </w:rPr>
                    <w:t>异常日志记录功能</w:t>
                  </w:r>
                </w:p>
              </w:tc>
            </w:tr>
            <w:tr w14:paraId="5F37F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0324A67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121</w:t>
                  </w:r>
                </w:p>
              </w:tc>
              <w:tc>
                <w:tcPr>
                  <w:tcW w:w="737" w:type="dxa"/>
                  <w:vAlign w:val="center"/>
                </w:tcPr>
                <w:p w14:paraId="01EA825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7FECD0D9">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1CF7D3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蓝牙协议</w:t>
                  </w:r>
                </w:p>
              </w:tc>
              <w:tc>
                <w:tcPr>
                  <w:tcW w:w="3214" w:type="dxa"/>
                  <w:vAlign w:val="center"/>
                </w:tcPr>
                <w:p w14:paraId="7D79F50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支持蓝牙模块，蓝牙协议不低于 </w:t>
                  </w:r>
                  <w:r>
                    <w:rPr>
                      <w:rFonts w:hint="eastAsia" w:ascii="宋体" w:hAnsi="宋体" w:eastAsia="宋体" w:cs="宋体"/>
                      <w:i/>
                      <w:iCs/>
                      <w:color w:val="auto"/>
                      <w:spacing w:val="-2"/>
                      <w:sz w:val="24"/>
                      <w:szCs w:val="24"/>
                      <w:highlight w:val="none"/>
                      <w:u w:val="single"/>
                      <w:lang w:val="en-US" w:eastAsia="zh-CN" w:bidi="ar-SA"/>
                    </w:rPr>
                    <w:t>5.0</w:t>
                  </w:r>
                  <w:r>
                    <w:rPr>
                      <w:rFonts w:hint="eastAsia" w:ascii="宋体" w:hAnsi="宋体" w:eastAsia="宋体" w:cs="宋体"/>
                      <w:i/>
                      <w:iCs/>
                      <w:color w:val="auto"/>
                      <w:spacing w:val="-23"/>
                      <w:sz w:val="24"/>
                      <w:szCs w:val="24"/>
                      <w:highlight w:val="none"/>
                      <w:u w:val="single"/>
                      <w:lang w:val="en-US" w:eastAsia="zh-CN" w:bidi="ar-SA"/>
                    </w:rPr>
                    <w:t xml:space="preserve"> 版</w:t>
                  </w:r>
                  <w:r>
                    <w:rPr>
                      <w:rFonts w:hint="eastAsia" w:ascii="宋体" w:hAnsi="宋体" w:eastAsia="宋体" w:cs="宋体"/>
                      <w:i/>
                      <w:iCs/>
                      <w:color w:val="auto"/>
                      <w:spacing w:val="-10"/>
                      <w:sz w:val="24"/>
                      <w:szCs w:val="24"/>
                      <w:highlight w:val="none"/>
                      <w:u w:val="single"/>
                      <w:lang w:val="en-US" w:eastAsia="zh-CN" w:bidi="ar-SA"/>
                    </w:rPr>
                    <w:t>本</w:t>
                  </w:r>
                </w:p>
              </w:tc>
            </w:tr>
            <w:tr w14:paraId="66812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0DF579D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122</w:t>
                  </w:r>
                </w:p>
              </w:tc>
              <w:tc>
                <w:tcPr>
                  <w:tcW w:w="737" w:type="dxa"/>
                  <w:vAlign w:val="center"/>
                </w:tcPr>
                <w:p w14:paraId="738631B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2BC1943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28D88F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有线网卡接口类</w:t>
                  </w:r>
                  <w:r>
                    <w:rPr>
                      <w:rFonts w:hint="eastAsia" w:ascii="宋体" w:hAnsi="宋体" w:eastAsia="宋体" w:cs="宋体"/>
                      <w:i w:val="0"/>
                      <w:iCs w:val="0"/>
                      <w:color w:val="auto"/>
                      <w:spacing w:val="-10"/>
                      <w:sz w:val="24"/>
                      <w:szCs w:val="24"/>
                      <w:highlight w:val="none"/>
                      <w:u w:val="none"/>
                      <w:lang w:val="en-US" w:eastAsia="zh-CN" w:bidi="ar-SA"/>
                    </w:rPr>
                    <w:t>型</w:t>
                  </w:r>
                </w:p>
              </w:tc>
              <w:tc>
                <w:tcPr>
                  <w:tcW w:w="3214" w:type="dxa"/>
                  <w:vAlign w:val="center"/>
                </w:tcPr>
                <w:p w14:paraId="3143CA1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RJ45</w:t>
                  </w:r>
                  <w:r>
                    <w:rPr>
                      <w:rFonts w:hint="eastAsia" w:ascii="宋体" w:hAnsi="宋体" w:eastAsia="宋体" w:cs="宋体"/>
                      <w:i/>
                      <w:iCs/>
                      <w:color w:val="auto"/>
                      <w:spacing w:val="-18"/>
                      <w:sz w:val="24"/>
                      <w:szCs w:val="24"/>
                      <w:highlight w:val="none"/>
                      <w:u w:val="single"/>
                      <w:lang w:val="en-US" w:eastAsia="zh-CN" w:bidi="ar-SA"/>
                    </w:rPr>
                    <w:t xml:space="preserve"> 接口</w:t>
                  </w:r>
                </w:p>
              </w:tc>
            </w:tr>
            <w:tr w14:paraId="0C5A40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4691057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123</w:t>
                  </w:r>
                </w:p>
              </w:tc>
              <w:tc>
                <w:tcPr>
                  <w:tcW w:w="737" w:type="dxa"/>
                  <w:vAlign w:val="center"/>
                </w:tcPr>
                <w:p w14:paraId="0A58B4D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20F00B7D">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6E8C84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无线网卡</w:t>
                  </w:r>
                  <w:r>
                    <w:rPr>
                      <w:rFonts w:hint="eastAsia" w:ascii="宋体" w:hAnsi="宋体" w:eastAsia="宋体" w:cs="宋体"/>
                      <w:i w:val="0"/>
                      <w:iCs w:val="0"/>
                      <w:color w:val="auto"/>
                      <w:spacing w:val="-6"/>
                      <w:sz w:val="24"/>
                      <w:szCs w:val="24"/>
                      <w:highlight w:val="none"/>
                      <w:u w:val="none"/>
                      <w:lang w:val="en-US" w:eastAsia="zh-CN" w:bidi="ar-SA"/>
                    </w:rPr>
                    <w:t>标准</w:t>
                  </w:r>
                </w:p>
              </w:tc>
              <w:tc>
                <w:tcPr>
                  <w:tcW w:w="3214" w:type="dxa"/>
                  <w:vAlign w:val="center"/>
                </w:tcPr>
                <w:p w14:paraId="542368F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若配备无线网卡应符合 </w:t>
                  </w:r>
                  <w:r>
                    <w:rPr>
                      <w:rFonts w:hint="eastAsia" w:ascii="宋体" w:hAnsi="宋体" w:eastAsia="宋体" w:cs="宋体"/>
                      <w:i/>
                      <w:iCs/>
                      <w:color w:val="auto"/>
                      <w:sz w:val="24"/>
                      <w:szCs w:val="24"/>
                      <w:highlight w:val="none"/>
                      <w:u w:val="single"/>
                      <w:lang w:val="en-US" w:eastAsia="zh-CN" w:bidi="ar-SA"/>
                    </w:rPr>
                    <w:t>GB</w:t>
                  </w:r>
                  <w:r>
                    <w:rPr>
                      <w:rFonts w:hint="eastAsia" w:ascii="宋体" w:hAnsi="宋体" w:eastAsia="宋体" w:cs="宋体"/>
                      <w:i/>
                      <w:iCs/>
                      <w:color w:val="auto"/>
                      <w:spacing w:val="-2"/>
                      <w:sz w:val="24"/>
                      <w:szCs w:val="24"/>
                      <w:highlight w:val="none"/>
                      <w:u w:val="single"/>
                      <w:lang w:val="en-US" w:eastAsia="zh-CN" w:bidi="ar-SA"/>
                    </w:rPr>
                    <w:t xml:space="preserve"> 15629.11</w:t>
                  </w:r>
                </w:p>
                <w:p w14:paraId="2B92BCF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（所有部分</w:t>
                  </w:r>
                  <w:r>
                    <w:rPr>
                      <w:rFonts w:hint="eastAsia" w:ascii="宋体" w:hAnsi="宋体" w:eastAsia="宋体" w:cs="宋体"/>
                      <w:i/>
                      <w:iCs/>
                      <w:color w:val="auto"/>
                      <w:spacing w:val="-10"/>
                      <w:sz w:val="24"/>
                      <w:szCs w:val="24"/>
                      <w:highlight w:val="none"/>
                      <w:u w:val="single"/>
                      <w:lang w:val="en-US" w:eastAsia="zh-CN" w:bidi="ar-SA"/>
                    </w:rPr>
                    <w:t>）</w:t>
                  </w:r>
                </w:p>
              </w:tc>
            </w:tr>
            <w:tr w14:paraId="292D9C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0A826B4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124</w:t>
                  </w:r>
                </w:p>
              </w:tc>
              <w:tc>
                <w:tcPr>
                  <w:tcW w:w="737" w:type="dxa"/>
                  <w:vAlign w:val="center"/>
                </w:tcPr>
                <w:p w14:paraId="7A5E39E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C419614">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3E0945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网络设备拆装</w:t>
                  </w:r>
                </w:p>
              </w:tc>
              <w:tc>
                <w:tcPr>
                  <w:tcW w:w="3214" w:type="dxa"/>
                  <w:vAlign w:val="center"/>
                </w:tcPr>
                <w:p w14:paraId="5D433A0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若配备的网络设备应支持物理拆装，包</w:t>
                  </w:r>
                  <w:r>
                    <w:rPr>
                      <w:rFonts w:hint="eastAsia" w:ascii="宋体" w:hAnsi="宋体" w:eastAsia="宋体" w:cs="宋体"/>
                      <w:i/>
                      <w:iCs/>
                      <w:color w:val="auto"/>
                      <w:spacing w:val="-2"/>
                      <w:sz w:val="24"/>
                      <w:szCs w:val="24"/>
                      <w:highlight w:val="none"/>
                      <w:u w:val="single"/>
                      <w:lang w:val="en-US" w:eastAsia="zh-CN" w:bidi="ar-SA"/>
                    </w:rPr>
                    <w:t>括无线网卡和蓝牙模块等</w:t>
                  </w:r>
                </w:p>
              </w:tc>
            </w:tr>
            <w:tr w14:paraId="291A7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3318FA0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125</w:t>
                  </w:r>
                </w:p>
              </w:tc>
              <w:tc>
                <w:tcPr>
                  <w:tcW w:w="737" w:type="dxa"/>
                  <w:vAlign w:val="center"/>
                </w:tcPr>
                <w:p w14:paraId="2A31802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3084646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外部</w:t>
                  </w:r>
                  <w:r>
                    <w:rPr>
                      <w:rFonts w:hint="eastAsia" w:ascii="宋体" w:hAnsi="宋体" w:eastAsia="宋体" w:cs="宋体"/>
                      <w:i w:val="0"/>
                      <w:iCs w:val="0"/>
                      <w:color w:val="auto"/>
                      <w:spacing w:val="-6"/>
                      <w:sz w:val="24"/>
                      <w:szCs w:val="24"/>
                      <w:highlight w:val="none"/>
                      <w:u w:val="none"/>
                      <w:lang w:val="en-US" w:eastAsia="zh-CN" w:bidi="ar-SA"/>
                    </w:rPr>
                    <w:t>接口</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493D56A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音频接口类型</w:t>
                  </w:r>
                </w:p>
              </w:tc>
              <w:tc>
                <w:tcPr>
                  <w:tcW w:w="3214" w:type="dxa"/>
                  <w:vAlign w:val="center"/>
                </w:tcPr>
                <w:p w14:paraId="7B0DE64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6"/>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3.5mm</w:t>
                  </w:r>
                  <w:r>
                    <w:rPr>
                      <w:rFonts w:hint="eastAsia" w:ascii="宋体" w:hAnsi="宋体" w:eastAsia="宋体" w:cs="宋体"/>
                      <w:i/>
                      <w:iCs/>
                      <w:color w:val="auto"/>
                      <w:spacing w:val="-22"/>
                      <w:sz w:val="24"/>
                      <w:szCs w:val="24"/>
                      <w:highlight w:val="none"/>
                      <w:u w:val="single"/>
                      <w:lang w:val="en-US" w:eastAsia="zh-CN" w:bidi="ar-SA"/>
                    </w:rPr>
                    <w:t xml:space="preserve"> 孔径 </w:t>
                  </w:r>
                  <w:r>
                    <w:rPr>
                      <w:rFonts w:hint="eastAsia" w:ascii="宋体" w:hAnsi="宋体" w:eastAsia="宋体" w:cs="宋体"/>
                      <w:i/>
                      <w:iCs/>
                      <w:color w:val="auto"/>
                      <w:spacing w:val="-2"/>
                      <w:sz w:val="24"/>
                      <w:szCs w:val="24"/>
                      <w:highlight w:val="none"/>
                      <w:u w:val="single"/>
                      <w:lang w:val="en-US" w:eastAsia="zh-CN" w:bidi="ar-SA"/>
                    </w:rPr>
                    <w:t>3</w:t>
                  </w:r>
                  <w:r>
                    <w:rPr>
                      <w:rFonts w:hint="eastAsia" w:ascii="宋体" w:hAnsi="宋体" w:eastAsia="宋体" w:cs="宋体"/>
                      <w:i/>
                      <w:iCs/>
                      <w:color w:val="auto"/>
                      <w:spacing w:val="-19"/>
                      <w:sz w:val="24"/>
                      <w:szCs w:val="24"/>
                      <w:highlight w:val="none"/>
                      <w:u w:val="single"/>
                      <w:lang w:val="en-US" w:eastAsia="zh-CN" w:bidi="ar-SA"/>
                    </w:rPr>
                    <w:t xml:space="preserve"> 段式或 </w:t>
                  </w:r>
                  <w:r>
                    <w:rPr>
                      <w:rFonts w:hint="eastAsia" w:ascii="宋体" w:hAnsi="宋体" w:eastAsia="宋体" w:cs="宋体"/>
                      <w:i/>
                      <w:iCs/>
                      <w:color w:val="auto"/>
                      <w:spacing w:val="-2"/>
                      <w:sz w:val="24"/>
                      <w:szCs w:val="24"/>
                      <w:highlight w:val="none"/>
                      <w:u w:val="single"/>
                      <w:lang w:val="en-US" w:eastAsia="zh-CN" w:bidi="ar-SA"/>
                    </w:rPr>
                    <w:t>4</w:t>
                  </w:r>
                  <w:r>
                    <w:rPr>
                      <w:rFonts w:hint="eastAsia" w:ascii="宋体" w:hAnsi="宋体" w:eastAsia="宋体" w:cs="宋体"/>
                      <w:i/>
                      <w:iCs/>
                      <w:color w:val="auto"/>
                      <w:spacing w:val="-13"/>
                      <w:sz w:val="24"/>
                      <w:szCs w:val="24"/>
                      <w:highlight w:val="none"/>
                      <w:u w:val="single"/>
                      <w:lang w:val="en-US" w:eastAsia="zh-CN" w:bidi="ar-SA"/>
                    </w:rPr>
                    <w:t xml:space="preserve"> 段式接口</w:t>
                  </w:r>
                </w:p>
              </w:tc>
            </w:tr>
            <w:tr w14:paraId="00D0E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3A77577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126</w:t>
                  </w:r>
                </w:p>
              </w:tc>
              <w:tc>
                <w:tcPr>
                  <w:tcW w:w="737" w:type="dxa"/>
                  <w:vAlign w:val="center"/>
                </w:tcPr>
                <w:p w14:paraId="4B0B9C7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7B517C52">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E0E677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视频接口类型</w:t>
                  </w:r>
                </w:p>
              </w:tc>
              <w:tc>
                <w:tcPr>
                  <w:tcW w:w="3214" w:type="dxa"/>
                  <w:vAlign w:val="center"/>
                </w:tcPr>
                <w:p w14:paraId="4E81D34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至少支持 </w:t>
                  </w:r>
                  <w:r>
                    <w:rPr>
                      <w:rFonts w:hint="eastAsia" w:ascii="宋体" w:hAnsi="宋体" w:eastAsia="宋体" w:cs="宋体"/>
                      <w:i/>
                      <w:iCs/>
                      <w:color w:val="auto"/>
                      <w:spacing w:val="-6"/>
                      <w:sz w:val="24"/>
                      <w:szCs w:val="24"/>
                      <w:highlight w:val="none"/>
                      <w:u w:val="single"/>
                      <w:lang w:val="en-US" w:eastAsia="zh-CN" w:bidi="ar-SA"/>
                    </w:rPr>
                    <w:t>VGA、HDMI、DVI、DP、Type-C</w:t>
                  </w:r>
                  <w:r>
                    <w:rPr>
                      <w:rFonts w:hint="eastAsia" w:ascii="宋体" w:hAnsi="宋体" w:eastAsia="宋体" w:cs="宋体"/>
                      <w:i/>
                      <w:iCs/>
                      <w:color w:val="auto"/>
                      <w:spacing w:val="-11"/>
                      <w:sz w:val="24"/>
                      <w:szCs w:val="24"/>
                      <w:highlight w:val="none"/>
                      <w:u w:val="single"/>
                      <w:lang w:val="en-US" w:eastAsia="zh-CN" w:bidi="ar-SA"/>
                    </w:rPr>
                    <w:t xml:space="preserve">中 </w:t>
                  </w:r>
                  <w:r>
                    <w:rPr>
                      <w:rFonts w:hint="eastAsia" w:ascii="宋体" w:hAnsi="宋体" w:eastAsia="宋体" w:cs="宋体"/>
                      <w:i/>
                      <w:iCs/>
                      <w:color w:val="auto"/>
                      <w:sz w:val="24"/>
                      <w:szCs w:val="24"/>
                      <w:highlight w:val="none"/>
                      <w:u w:val="single"/>
                      <w:lang w:val="en-US" w:eastAsia="zh-CN" w:bidi="ar-SA"/>
                    </w:rPr>
                    <w:t>1</w:t>
                  </w:r>
                  <w:r>
                    <w:rPr>
                      <w:rFonts w:hint="eastAsia" w:ascii="宋体" w:hAnsi="宋体" w:eastAsia="宋体" w:cs="宋体"/>
                      <w:i/>
                      <w:iCs/>
                      <w:color w:val="auto"/>
                      <w:spacing w:val="-5"/>
                      <w:sz w:val="24"/>
                      <w:szCs w:val="24"/>
                      <w:highlight w:val="none"/>
                      <w:u w:val="single"/>
                      <w:lang w:val="en-US" w:eastAsia="zh-CN" w:bidi="ar-SA"/>
                    </w:rPr>
                    <w:t xml:space="preserve"> 种显示接口</w:t>
                  </w:r>
                </w:p>
              </w:tc>
            </w:tr>
            <w:tr w14:paraId="4112D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1D5922F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127</w:t>
                  </w:r>
                </w:p>
              </w:tc>
              <w:tc>
                <w:tcPr>
                  <w:tcW w:w="737" w:type="dxa"/>
                  <w:vAlign w:val="center"/>
                </w:tcPr>
                <w:p w14:paraId="5342E7E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0E69FD3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FB13F4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HDMI、</w:t>
                  </w:r>
                  <w:r>
                    <w:rPr>
                      <w:rFonts w:hint="eastAsia" w:ascii="宋体" w:hAnsi="宋体" w:eastAsia="宋体" w:cs="宋体"/>
                      <w:i w:val="0"/>
                      <w:iCs w:val="0"/>
                      <w:color w:val="auto"/>
                      <w:spacing w:val="-4"/>
                      <w:sz w:val="24"/>
                      <w:szCs w:val="24"/>
                      <w:highlight w:val="none"/>
                      <w:u w:val="none"/>
                      <w:lang w:val="en-US" w:eastAsia="zh-CN" w:bidi="ar-SA"/>
                    </w:rPr>
                    <w:t>DP、</w:t>
                  </w:r>
                  <w:r>
                    <w:rPr>
                      <w:rFonts w:hint="eastAsia" w:ascii="宋体" w:hAnsi="宋体" w:eastAsia="宋体" w:cs="宋体"/>
                      <w:i w:val="0"/>
                      <w:iCs w:val="0"/>
                      <w:color w:val="auto"/>
                      <w:spacing w:val="-2"/>
                      <w:sz w:val="24"/>
                      <w:szCs w:val="24"/>
                      <w:highlight w:val="none"/>
                      <w:u w:val="none"/>
                      <w:lang w:val="en-US" w:eastAsia="zh-CN" w:bidi="ar-SA"/>
                    </w:rPr>
                    <w:t xml:space="preserve">Type-C </w:t>
                  </w:r>
                  <w:r>
                    <w:rPr>
                      <w:rFonts w:hint="eastAsia" w:ascii="宋体" w:hAnsi="宋体" w:eastAsia="宋体" w:cs="宋体"/>
                      <w:i w:val="0"/>
                      <w:iCs w:val="0"/>
                      <w:color w:val="auto"/>
                      <w:spacing w:val="-4"/>
                      <w:sz w:val="24"/>
                      <w:szCs w:val="24"/>
                      <w:highlight w:val="none"/>
                      <w:u w:val="none"/>
                      <w:lang w:val="en-US" w:eastAsia="zh-CN" w:bidi="ar-SA"/>
                    </w:rPr>
                    <w:t>显示接口</w:t>
                  </w:r>
                  <w:r>
                    <w:rPr>
                      <w:rFonts w:hint="eastAsia" w:ascii="宋体" w:hAnsi="宋体" w:eastAsia="宋体" w:cs="宋体"/>
                      <w:i w:val="0"/>
                      <w:iCs w:val="0"/>
                      <w:color w:val="auto"/>
                      <w:spacing w:val="-6"/>
                      <w:sz w:val="24"/>
                      <w:szCs w:val="24"/>
                      <w:highlight w:val="none"/>
                      <w:u w:val="none"/>
                      <w:lang w:val="en-US" w:eastAsia="zh-CN" w:bidi="ar-SA"/>
                    </w:rPr>
                    <w:t>要求</w:t>
                  </w:r>
                </w:p>
              </w:tc>
              <w:tc>
                <w:tcPr>
                  <w:tcW w:w="3214" w:type="dxa"/>
                  <w:vAlign w:val="center"/>
                </w:tcPr>
                <w:p w14:paraId="00EF878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若提供 </w:t>
                  </w:r>
                  <w:r>
                    <w:rPr>
                      <w:rFonts w:hint="eastAsia" w:ascii="宋体" w:hAnsi="宋体" w:eastAsia="宋体" w:cs="宋体"/>
                      <w:i/>
                      <w:iCs/>
                      <w:color w:val="auto"/>
                      <w:spacing w:val="-2"/>
                      <w:sz w:val="24"/>
                      <w:szCs w:val="24"/>
                      <w:highlight w:val="none"/>
                      <w:u w:val="single"/>
                      <w:lang w:val="en-US" w:eastAsia="zh-CN" w:bidi="ar-SA"/>
                    </w:rPr>
                    <w:t>HDMI</w:t>
                  </w:r>
                  <w:r>
                    <w:rPr>
                      <w:rFonts w:hint="eastAsia" w:ascii="宋体" w:hAnsi="宋体" w:eastAsia="宋体" w:cs="宋体"/>
                      <w:i/>
                      <w:iCs/>
                      <w:color w:val="auto"/>
                      <w:spacing w:val="-31"/>
                      <w:sz w:val="24"/>
                      <w:szCs w:val="24"/>
                      <w:highlight w:val="none"/>
                      <w:u w:val="single"/>
                      <w:lang w:val="en-US" w:eastAsia="zh-CN" w:bidi="ar-SA"/>
                    </w:rPr>
                    <w:t xml:space="preserve"> 或 </w:t>
                  </w:r>
                  <w:r>
                    <w:rPr>
                      <w:rFonts w:hint="eastAsia" w:ascii="宋体" w:hAnsi="宋体" w:eastAsia="宋体" w:cs="宋体"/>
                      <w:i/>
                      <w:iCs/>
                      <w:color w:val="auto"/>
                      <w:spacing w:val="-2"/>
                      <w:sz w:val="24"/>
                      <w:szCs w:val="24"/>
                      <w:highlight w:val="none"/>
                      <w:u w:val="single"/>
                      <w:lang w:val="en-US" w:eastAsia="zh-CN" w:bidi="ar-SA"/>
                    </w:rPr>
                    <w:t>DP</w:t>
                  </w:r>
                  <w:r>
                    <w:rPr>
                      <w:rFonts w:hint="eastAsia" w:ascii="宋体" w:hAnsi="宋体" w:eastAsia="宋体" w:cs="宋体"/>
                      <w:i/>
                      <w:iCs/>
                      <w:color w:val="auto"/>
                      <w:spacing w:val="-31"/>
                      <w:sz w:val="24"/>
                      <w:szCs w:val="24"/>
                      <w:highlight w:val="none"/>
                      <w:u w:val="single"/>
                      <w:lang w:val="en-US" w:eastAsia="zh-CN" w:bidi="ar-SA"/>
                    </w:rPr>
                    <w:t xml:space="preserve"> 或 </w:t>
                  </w:r>
                  <w:r>
                    <w:rPr>
                      <w:rFonts w:hint="eastAsia" w:ascii="宋体" w:hAnsi="宋体" w:eastAsia="宋体" w:cs="宋体"/>
                      <w:i/>
                      <w:iCs/>
                      <w:color w:val="auto"/>
                      <w:spacing w:val="-2"/>
                      <w:sz w:val="24"/>
                      <w:szCs w:val="24"/>
                      <w:highlight w:val="none"/>
                      <w:u w:val="single"/>
                      <w:lang w:val="en-US" w:eastAsia="zh-CN" w:bidi="ar-SA"/>
                    </w:rPr>
                    <w:t>Type-C</w:t>
                  </w:r>
                  <w:r>
                    <w:rPr>
                      <w:rFonts w:hint="eastAsia" w:ascii="宋体" w:hAnsi="宋体" w:eastAsia="宋体" w:cs="宋体"/>
                      <w:i/>
                      <w:iCs/>
                      <w:color w:val="auto"/>
                      <w:spacing w:val="-12"/>
                      <w:sz w:val="24"/>
                      <w:szCs w:val="24"/>
                      <w:highlight w:val="none"/>
                      <w:u w:val="single"/>
                      <w:lang w:val="en-US" w:eastAsia="zh-CN" w:bidi="ar-SA"/>
                    </w:rPr>
                    <w:t xml:space="preserve"> 作为显示</w:t>
                  </w:r>
                  <w:r>
                    <w:rPr>
                      <w:rFonts w:hint="eastAsia" w:ascii="宋体" w:hAnsi="宋体" w:eastAsia="宋体" w:cs="宋体"/>
                      <w:i/>
                      <w:iCs/>
                      <w:color w:val="auto"/>
                      <w:spacing w:val="-2"/>
                      <w:sz w:val="24"/>
                      <w:szCs w:val="24"/>
                      <w:highlight w:val="none"/>
                      <w:u w:val="single"/>
                      <w:lang w:val="en-US" w:eastAsia="zh-CN" w:bidi="ar-SA"/>
                    </w:rPr>
                    <w:t>接口，应支持音频和视频同步输出</w:t>
                  </w:r>
                </w:p>
              </w:tc>
            </w:tr>
            <w:tr w14:paraId="28714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67F8E77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128</w:t>
                  </w:r>
                </w:p>
              </w:tc>
              <w:tc>
                <w:tcPr>
                  <w:tcW w:w="737" w:type="dxa"/>
                  <w:vAlign w:val="center"/>
                </w:tcPr>
                <w:p w14:paraId="50EB096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p w14:paraId="53B1D41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79079AA7">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D99278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p w14:paraId="35DBE4E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其他接口</w:t>
                  </w:r>
                </w:p>
              </w:tc>
              <w:tc>
                <w:tcPr>
                  <w:tcW w:w="3214" w:type="dxa"/>
                  <w:vAlign w:val="center"/>
                </w:tcPr>
                <w:p w14:paraId="6F48387F">
                  <w:pPr>
                    <w:keepNext w:val="0"/>
                    <w:keepLines w:val="0"/>
                    <w:pageBreakBefore w:val="0"/>
                    <w:widowControl w:val="0"/>
                    <w:numPr>
                      <w:ilvl w:val="0"/>
                      <w:numId w:val="8"/>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 xml:space="preserve">产品支持串行接口，可实现 </w:t>
                  </w:r>
                  <w:r>
                    <w:rPr>
                      <w:rFonts w:hint="eastAsia" w:ascii="宋体" w:hAnsi="宋体" w:eastAsia="宋体" w:cs="宋体"/>
                      <w:i/>
                      <w:iCs/>
                      <w:color w:val="auto"/>
                      <w:spacing w:val="-2"/>
                      <w:sz w:val="24"/>
                      <w:szCs w:val="24"/>
                      <w:highlight w:val="none"/>
                      <w:u w:val="single"/>
                      <w:lang w:val="en-US" w:eastAsia="zh-CN" w:bidi="ar-SA"/>
                    </w:rPr>
                    <w:t xml:space="preserve">GB/T </w:t>
                  </w:r>
                  <w:r>
                    <w:rPr>
                      <w:rFonts w:hint="eastAsia" w:ascii="宋体" w:hAnsi="宋体" w:eastAsia="宋体" w:cs="宋体"/>
                      <w:i/>
                      <w:iCs/>
                      <w:color w:val="auto"/>
                      <w:sz w:val="24"/>
                      <w:szCs w:val="24"/>
                      <w:highlight w:val="none"/>
                      <w:u w:val="single"/>
                      <w:lang w:val="en-US" w:eastAsia="zh-CN" w:bidi="ar-SA"/>
                    </w:rPr>
                    <w:t>6107</w:t>
                  </w:r>
                  <w:r>
                    <w:rPr>
                      <w:rFonts w:hint="eastAsia" w:ascii="宋体" w:hAnsi="宋体" w:eastAsia="宋体" w:cs="宋体"/>
                      <w:i/>
                      <w:iCs/>
                      <w:color w:val="auto"/>
                      <w:spacing w:val="-9"/>
                      <w:sz w:val="24"/>
                      <w:szCs w:val="24"/>
                      <w:highlight w:val="none"/>
                      <w:u w:val="single"/>
                      <w:lang w:val="en-US" w:eastAsia="zh-CN" w:bidi="ar-SA"/>
                    </w:rPr>
                    <w:t xml:space="preserve"> 的功能；</w:t>
                  </w:r>
                </w:p>
                <w:p w14:paraId="20E8E84C">
                  <w:pPr>
                    <w:keepNext w:val="0"/>
                    <w:keepLines w:val="0"/>
                    <w:pageBreakBefore w:val="0"/>
                    <w:widowControl w:val="0"/>
                    <w:numPr>
                      <w:ilvl w:val="0"/>
                      <w:numId w:val="8"/>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产品支持并行接口，可实现 GB/T</w:t>
                  </w:r>
                  <w:r>
                    <w:rPr>
                      <w:rFonts w:hint="eastAsia" w:ascii="宋体" w:hAnsi="宋体" w:cs="宋体"/>
                      <w:i/>
                      <w:iCs/>
                      <w:color w:val="auto"/>
                      <w:spacing w:val="-4"/>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18235.1</w:t>
                  </w:r>
                  <w:r>
                    <w:rPr>
                      <w:rFonts w:hint="eastAsia" w:ascii="宋体" w:hAnsi="宋体" w:eastAsia="宋体" w:cs="宋体"/>
                      <w:i/>
                      <w:iCs/>
                      <w:color w:val="auto"/>
                      <w:spacing w:val="-13"/>
                      <w:sz w:val="24"/>
                      <w:szCs w:val="24"/>
                      <w:highlight w:val="none"/>
                      <w:u w:val="single"/>
                      <w:lang w:val="en-US" w:eastAsia="zh-CN" w:bidi="ar-SA"/>
                    </w:rPr>
                    <w:t xml:space="preserve"> 的功能</w:t>
                  </w:r>
                </w:p>
              </w:tc>
            </w:tr>
            <w:tr w14:paraId="2B5818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23E08EF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129</w:t>
                  </w:r>
                </w:p>
              </w:tc>
              <w:tc>
                <w:tcPr>
                  <w:tcW w:w="737" w:type="dxa"/>
                  <w:vAlign w:val="center"/>
                </w:tcPr>
                <w:p w14:paraId="0DC6825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74337609">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5137E3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存储卡接口类型</w:t>
                  </w:r>
                </w:p>
              </w:tc>
              <w:tc>
                <w:tcPr>
                  <w:tcW w:w="3214" w:type="dxa"/>
                  <w:vAlign w:val="center"/>
                </w:tcPr>
                <w:p w14:paraId="70DF081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SD、TF</w:t>
                  </w:r>
                  <w:r>
                    <w:rPr>
                      <w:rFonts w:hint="eastAsia" w:ascii="宋体" w:hAnsi="宋体" w:eastAsia="宋体" w:cs="宋体"/>
                      <w:i/>
                      <w:iCs/>
                      <w:color w:val="auto"/>
                      <w:spacing w:val="-10"/>
                      <w:sz w:val="24"/>
                      <w:szCs w:val="24"/>
                      <w:highlight w:val="none"/>
                      <w:u w:val="single"/>
                      <w:lang w:val="en-US" w:eastAsia="zh-CN" w:bidi="ar-SA"/>
                    </w:rPr>
                    <w:t xml:space="preserve"> 等存储卡接口</w:t>
                  </w:r>
                </w:p>
              </w:tc>
            </w:tr>
            <w:tr w14:paraId="17FAD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79C0FCF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130</w:t>
                  </w:r>
                </w:p>
              </w:tc>
              <w:tc>
                <w:tcPr>
                  <w:tcW w:w="737" w:type="dxa"/>
                  <w:vAlign w:val="center"/>
                </w:tcPr>
                <w:p w14:paraId="0CFC400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Align w:val="center"/>
                </w:tcPr>
                <w:p w14:paraId="482A5A4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电源</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5B1E8F1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电源线</w:t>
                  </w:r>
                  <w:r>
                    <w:rPr>
                      <w:rFonts w:hint="eastAsia" w:ascii="宋体" w:hAnsi="宋体" w:eastAsia="宋体" w:cs="宋体"/>
                      <w:i w:val="0"/>
                      <w:iCs w:val="0"/>
                      <w:color w:val="auto"/>
                      <w:spacing w:val="-3"/>
                      <w:sz w:val="24"/>
                      <w:szCs w:val="24"/>
                      <w:highlight w:val="none"/>
                      <w:u w:val="none"/>
                      <w:lang w:val="en-US" w:eastAsia="zh-CN" w:bidi="ar-SA"/>
                    </w:rPr>
                    <w:t>适配能力</w:t>
                  </w:r>
                </w:p>
              </w:tc>
              <w:tc>
                <w:tcPr>
                  <w:tcW w:w="3214" w:type="dxa"/>
                  <w:vAlign w:val="center"/>
                </w:tcPr>
                <w:p w14:paraId="5B26126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4"/>
                      <w:sz w:val="24"/>
                      <w:szCs w:val="24"/>
                      <w:highlight w:val="none"/>
                      <w:u w:val="single"/>
                      <w:lang w:val="en-US" w:eastAsia="zh-CN" w:bidi="ar-SA"/>
                    </w:rPr>
                    <w:t xml:space="preserve">电源适配器电线组件应符合 </w:t>
                  </w:r>
                  <w:r>
                    <w:rPr>
                      <w:rFonts w:hint="eastAsia" w:ascii="宋体" w:hAnsi="宋体" w:eastAsia="宋体" w:cs="宋体"/>
                      <w:i/>
                      <w:iCs/>
                      <w:color w:val="auto"/>
                      <w:sz w:val="24"/>
                      <w:szCs w:val="24"/>
                      <w:highlight w:val="none"/>
                      <w:u w:val="single"/>
                      <w:lang w:val="en-US" w:eastAsia="zh-CN" w:bidi="ar-SA"/>
                    </w:rPr>
                    <w:t xml:space="preserve">GB/T </w:t>
                  </w:r>
                  <w:r>
                    <w:rPr>
                      <w:rFonts w:hint="eastAsia" w:ascii="宋体" w:hAnsi="宋体" w:eastAsia="宋体" w:cs="宋体"/>
                      <w:i/>
                      <w:iCs/>
                      <w:color w:val="auto"/>
                      <w:spacing w:val="-2"/>
                      <w:sz w:val="24"/>
                      <w:szCs w:val="24"/>
                      <w:highlight w:val="none"/>
                      <w:u w:val="single"/>
                      <w:lang w:val="en-US" w:eastAsia="zh-CN" w:bidi="ar-SA"/>
                    </w:rPr>
                    <w:t>15934</w:t>
                  </w:r>
                  <w:r>
                    <w:rPr>
                      <w:rFonts w:hint="eastAsia" w:ascii="宋体" w:hAnsi="宋体" w:eastAsia="宋体" w:cs="宋体"/>
                      <w:i/>
                      <w:iCs/>
                      <w:color w:val="auto"/>
                      <w:spacing w:val="-9"/>
                      <w:sz w:val="24"/>
                      <w:szCs w:val="24"/>
                      <w:highlight w:val="none"/>
                      <w:u w:val="single"/>
                      <w:lang w:val="en-US" w:eastAsia="zh-CN" w:bidi="ar-SA"/>
                    </w:rPr>
                    <w:t xml:space="preserve"> 的要求，可拆线的插头和连接器</w:t>
                  </w:r>
                  <w:r>
                    <w:rPr>
                      <w:rFonts w:hint="eastAsia" w:ascii="宋体" w:hAnsi="宋体" w:eastAsia="宋体" w:cs="宋体"/>
                      <w:i/>
                      <w:iCs/>
                      <w:color w:val="auto"/>
                      <w:spacing w:val="-2"/>
                      <w:sz w:val="24"/>
                      <w:szCs w:val="24"/>
                      <w:highlight w:val="none"/>
                      <w:u w:val="single"/>
                      <w:lang w:val="en-US" w:eastAsia="zh-CN" w:bidi="ar-SA"/>
                    </w:rPr>
                    <w:t>可以不做要求</w:t>
                  </w:r>
                </w:p>
              </w:tc>
            </w:tr>
            <w:tr w14:paraId="6C68F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55046E1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131</w:t>
                  </w:r>
                </w:p>
              </w:tc>
              <w:tc>
                <w:tcPr>
                  <w:tcW w:w="737" w:type="dxa"/>
                  <w:vAlign w:val="center"/>
                </w:tcPr>
                <w:p w14:paraId="2D6DF78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5D20BF8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操作</w:t>
                  </w:r>
                  <w:r>
                    <w:rPr>
                      <w:rFonts w:hint="eastAsia" w:ascii="宋体" w:hAnsi="宋体" w:eastAsia="宋体" w:cs="宋体"/>
                      <w:i w:val="0"/>
                      <w:iCs w:val="0"/>
                      <w:color w:val="auto"/>
                      <w:spacing w:val="-6"/>
                      <w:sz w:val="24"/>
                      <w:szCs w:val="24"/>
                      <w:highlight w:val="none"/>
                      <w:u w:val="none"/>
                      <w:lang w:val="en-US" w:eastAsia="zh-CN" w:bidi="ar-SA"/>
                    </w:rPr>
                    <w:t>系统及软件功</w:t>
                  </w:r>
                  <w:r>
                    <w:rPr>
                      <w:rFonts w:hint="eastAsia" w:ascii="宋体" w:hAnsi="宋体" w:eastAsia="宋体" w:cs="宋体"/>
                      <w:i w:val="0"/>
                      <w:iCs w:val="0"/>
                      <w:color w:val="auto"/>
                      <w:spacing w:val="-10"/>
                      <w:sz w:val="24"/>
                      <w:szCs w:val="24"/>
                      <w:highlight w:val="none"/>
                      <w:u w:val="none"/>
                      <w:lang w:val="en-US" w:eastAsia="zh-CN" w:bidi="ar-SA"/>
                    </w:rPr>
                    <w:t>能</w:t>
                  </w:r>
                </w:p>
              </w:tc>
              <w:tc>
                <w:tcPr>
                  <w:tcW w:w="958" w:type="dxa"/>
                  <w:vAlign w:val="center"/>
                </w:tcPr>
                <w:p w14:paraId="78BB2DD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中文信息处理要</w:t>
                  </w:r>
                  <w:r>
                    <w:rPr>
                      <w:rFonts w:hint="eastAsia" w:ascii="宋体" w:hAnsi="宋体" w:eastAsia="宋体" w:cs="宋体"/>
                      <w:i w:val="0"/>
                      <w:iCs w:val="0"/>
                      <w:color w:val="auto"/>
                      <w:spacing w:val="-10"/>
                      <w:sz w:val="24"/>
                      <w:szCs w:val="24"/>
                      <w:highlight w:val="none"/>
                      <w:u w:val="none"/>
                      <w:lang w:val="en-US" w:eastAsia="zh-CN" w:bidi="ar-SA"/>
                    </w:rPr>
                    <w:t>求</w:t>
                  </w:r>
                </w:p>
              </w:tc>
              <w:tc>
                <w:tcPr>
                  <w:tcW w:w="3214" w:type="dxa"/>
                  <w:vAlign w:val="center"/>
                </w:tcPr>
                <w:p w14:paraId="2C0E5E6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GB</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18030</w:t>
                  </w:r>
                  <w:r>
                    <w:rPr>
                      <w:rFonts w:hint="eastAsia" w:ascii="宋体" w:hAnsi="宋体" w:eastAsia="宋体" w:cs="宋体"/>
                      <w:i/>
                      <w:iCs/>
                      <w:color w:val="auto"/>
                      <w:spacing w:val="-10"/>
                      <w:sz w:val="24"/>
                      <w:szCs w:val="24"/>
                      <w:highlight w:val="none"/>
                      <w:u w:val="single"/>
                      <w:lang w:val="en-US" w:eastAsia="zh-CN" w:bidi="ar-SA"/>
                    </w:rPr>
                    <w:t xml:space="preserve"> 的相关规定</w:t>
                  </w:r>
                </w:p>
              </w:tc>
            </w:tr>
            <w:tr w14:paraId="6CDEB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0D944D7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132</w:t>
                  </w:r>
                </w:p>
              </w:tc>
              <w:tc>
                <w:tcPr>
                  <w:tcW w:w="737" w:type="dxa"/>
                  <w:vAlign w:val="center"/>
                </w:tcPr>
                <w:p w14:paraId="0A72E86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p w14:paraId="14AD9E6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27FC95E4">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411CB0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操作系统备份及</w:t>
                  </w:r>
                  <w:r>
                    <w:rPr>
                      <w:rFonts w:hint="eastAsia" w:ascii="宋体" w:hAnsi="宋体" w:eastAsia="宋体" w:cs="宋体"/>
                      <w:i w:val="0"/>
                      <w:iCs w:val="0"/>
                      <w:color w:val="auto"/>
                      <w:spacing w:val="-3"/>
                      <w:sz w:val="24"/>
                      <w:szCs w:val="24"/>
                      <w:highlight w:val="none"/>
                      <w:u w:val="none"/>
                      <w:lang w:val="en-US" w:eastAsia="zh-CN" w:bidi="ar-SA"/>
                    </w:rPr>
                    <w:t>还原功能</w:t>
                  </w:r>
                </w:p>
              </w:tc>
              <w:tc>
                <w:tcPr>
                  <w:tcW w:w="3214" w:type="dxa"/>
                  <w:vAlign w:val="center"/>
                </w:tcPr>
                <w:p w14:paraId="2CDB54F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支持操作系统备份及还原功能</w:t>
                  </w:r>
                </w:p>
              </w:tc>
            </w:tr>
            <w:tr w14:paraId="60D427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6E808A8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133</w:t>
                  </w:r>
                </w:p>
              </w:tc>
              <w:tc>
                <w:tcPr>
                  <w:tcW w:w="737" w:type="dxa"/>
                  <w:vAlign w:val="center"/>
                </w:tcPr>
                <w:p w14:paraId="2FB6609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19B4F79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4239CF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固件备份还原能</w:t>
                  </w:r>
                  <w:r>
                    <w:rPr>
                      <w:rFonts w:hint="eastAsia" w:ascii="宋体" w:hAnsi="宋体" w:eastAsia="宋体" w:cs="宋体"/>
                      <w:i w:val="0"/>
                      <w:iCs w:val="0"/>
                      <w:color w:val="auto"/>
                      <w:spacing w:val="-10"/>
                      <w:sz w:val="24"/>
                      <w:szCs w:val="24"/>
                      <w:highlight w:val="none"/>
                      <w:u w:val="none"/>
                      <w:lang w:val="en-US" w:eastAsia="zh-CN" w:bidi="ar-SA"/>
                    </w:rPr>
                    <w:t>力</w:t>
                  </w:r>
                </w:p>
              </w:tc>
              <w:tc>
                <w:tcPr>
                  <w:tcW w:w="3214" w:type="dxa"/>
                  <w:vAlign w:val="center"/>
                </w:tcPr>
                <w:p w14:paraId="0546B1D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支持备份及还原固件的功能</w:t>
                  </w:r>
                </w:p>
              </w:tc>
            </w:tr>
            <w:tr w14:paraId="7C85E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419AD28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134</w:t>
                  </w:r>
                </w:p>
              </w:tc>
              <w:tc>
                <w:tcPr>
                  <w:tcW w:w="737" w:type="dxa"/>
                  <w:vAlign w:val="center"/>
                </w:tcPr>
                <w:p w14:paraId="7583CE2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4C36FE0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D5F44A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操作系统及驱动</w:t>
                  </w:r>
                  <w:r>
                    <w:rPr>
                      <w:rFonts w:hint="eastAsia" w:ascii="宋体" w:hAnsi="宋体" w:eastAsia="宋体" w:cs="宋体"/>
                      <w:i w:val="0"/>
                      <w:iCs w:val="0"/>
                      <w:color w:val="auto"/>
                      <w:spacing w:val="-6"/>
                      <w:sz w:val="24"/>
                      <w:szCs w:val="24"/>
                      <w:highlight w:val="none"/>
                      <w:u w:val="none"/>
                      <w:lang w:val="en-US" w:eastAsia="zh-CN" w:bidi="ar-SA"/>
                    </w:rPr>
                    <w:t>升级</w:t>
                  </w:r>
                </w:p>
              </w:tc>
              <w:tc>
                <w:tcPr>
                  <w:tcW w:w="3214" w:type="dxa"/>
                  <w:vAlign w:val="center"/>
                </w:tcPr>
                <w:p w14:paraId="6194DD6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0"/>
                      <w:sz w:val="24"/>
                      <w:szCs w:val="24"/>
                      <w:highlight w:val="none"/>
                      <w:u w:val="single"/>
                      <w:lang w:val="en-US" w:eastAsia="zh-CN" w:bidi="ar-SA"/>
                    </w:rPr>
                    <w:t>支持通过网络、闪存盘等方式对操作系</w:t>
                  </w:r>
                  <w:r>
                    <w:rPr>
                      <w:rFonts w:hint="eastAsia" w:ascii="宋体" w:hAnsi="宋体" w:eastAsia="宋体" w:cs="宋体"/>
                      <w:i/>
                      <w:iCs/>
                      <w:color w:val="auto"/>
                      <w:spacing w:val="-2"/>
                      <w:sz w:val="24"/>
                      <w:szCs w:val="24"/>
                      <w:highlight w:val="none"/>
                      <w:u w:val="single"/>
                      <w:lang w:val="en-US" w:eastAsia="zh-CN" w:bidi="ar-SA"/>
                    </w:rPr>
                    <w:t>统、驱动进行升级</w:t>
                  </w:r>
                </w:p>
              </w:tc>
            </w:tr>
            <w:tr w14:paraId="44BF5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289080E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135</w:t>
                  </w:r>
                </w:p>
              </w:tc>
              <w:tc>
                <w:tcPr>
                  <w:tcW w:w="737" w:type="dxa"/>
                  <w:vAlign w:val="center"/>
                </w:tcPr>
                <w:p w14:paraId="56A8E41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6DDF1F47">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9D5A66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固件升级</w:t>
                  </w:r>
                </w:p>
              </w:tc>
              <w:tc>
                <w:tcPr>
                  <w:tcW w:w="3214" w:type="dxa"/>
                  <w:vAlign w:val="center"/>
                </w:tcPr>
                <w:p w14:paraId="3FED893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0"/>
                      <w:sz w:val="24"/>
                      <w:szCs w:val="24"/>
                      <w:highlight w:val="none"/>
                      <w:u w:val="single"/>
                      <w:lang w:val="en-US" w:eastAsia="zh-CN" w:bidi="ar-SA"/>
                    </w:rPr>
                    <w:t>支持通过网络、闪存盘等方式对固件进</w:t>
                  </w:r>
                  <w:r>
                    <w:rPr>
                      <w:rFonts w:hint="eastAsia" w:ascii="宋体" w:hAnsi="宋体" w:eastAsia="宋体" w:cs="宋体"/>
                      <w:i/>
                      <w:iCs/>
                      <w:color w:val="auto"/>
                      <w:spacing w:val="-4"/>
                      <w:sz w:val="24"/>
                      <w:szCs w:val="24"/>
                      <w:highlight w:val="none"/>
                      <w:u w:val="single"/>
                      <w:lang w:val="en-US" w:eastAsia="zh-CN" w:bidi="ar-SA"/>
                    </w:rPr>
                    <w:t>行升级</w:t>
                  </w:r>
                </w:p>
              </w:tc>
            </w:tr>
            <w:tr w14:paraId="51B94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600" w:type="dxa"/>
                  <w:vAlign w:val="center"/>
                </w:tcPr>
                <w:p w14:paraId="6D17996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136</w:t>
                  </w:r>
                </w:p>
              </w:tc>
              <w:tc>
                <w:tcPr>
                  <w:tcW w:w="737" w:type="dxa"/>
                  <w:vAlign w:val="center"/>
                </w:tcPr>
                <w:p w14:paraId="260B3B3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7BF438A9">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81C7C2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z w:val="24"/>
                      <w:szCs w:val="24"/>
                      <w:highlight w:val="none"/>
                      <w:u w:val="none"/>
                      <w:lang w:val="en-US" w:eastAsia="zh-CN" w:bidi="ar-SA"/>
                    </w:rPr>
                    <w:t>BIOS</w:t>
                  </w:r>
                  <w:r>
                    <w:rPr>
                      <w:rFonts w:hint="eastAsia" w:ascii="宋体" w:hAnsi="宋体" w:eastAsia="宋体" w:cs="宋体"/>
                      <w:i w:val="0"/>
                      <w:iCs w:val="0"/>
                      <w:color w:val="auto"/>
                      <w:spacing w:val="-12"/>
                      <w:sz w:val="24"/>
                      <w:szCs w:val="24"/>
                      <w:highlight w:val="none"/>
                      <w:u w:val="none"/>
                      <w:lang w:val="en-US" w:eastAsia="zh-CN" w:bidi="ar-SA"/>
                    </w:rPr>
                    <w:t xml:space="preserve"> 支</w:t>
                  </w:r>
                  <w:r>
                    <w:rPr>
                      <w:rFonts w:hint="eastAsia" w:ascii="宋体" w:hAnsi="宋体" w:eastAsia="宋体" w:cs="宋体"/>
                      <w:i w:val="0"/>
                      <w:iCs w:val="0"/>
                      <w:color w:val="auto"/>
                      <w:spacing w:val="-4"/>
                      <w:sz w:val="24"/>
                      <w:szCs w:val="24"/>
                      <w:highlight w:val="none"/>
                      <w:u w:val="none"/>
                      <w:lang w:val="en-US" w:eastAsia="zh-CN" w:bidi="ar-SA"/>
                    </w:rPr>
                    <w:t>持关闭通讯接口</w:t>
                  </w:r>
                </w:p>
              </w:tc>
              <w:tc>
                <w:tcPr>
                  <w:tcW w:w="3214" w:type="dxa"/>
                  <w:vAlign w:val="center"/>
                </w:tcPr>
                <w:p w14:paraId="74D9E0D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BIOS</w:t>
                  </w:r>
                  <w:r>
                    <w:rPr>
                      <w:rFonts w:hint="eastAsia" w:ascii="宋体" w:hAnsi="宋体" w:eastAsia="宋体" w:cs="宋体"/>
                      <w:i/>
                      <w:iCs/>
                      <w:color w:val="auto"/>
                      <w:spacing w:val="-12"/>
                      <w:sz w:val="24"/>
                      <w:szCs w:val="24"/>
                      <w:highlight w:val="none"/>
                      <w:u w:val="single"/>
                      <w:lang w:val="en-US" w:eastAsia="zh-CN" w:bidi="ar-SA"/>
                    </w:rPr>
                    <w:t xml:space="preserve"> 关闭以太网及 </w:t>
                  </w:r>
                  <w:r>
                    <w:rPr>
                      <w:rFonts w:hint="eastAsia" w:ascii="宋体" w:hAnsi="宋体" w:eastAsia="宋体" w:cs="宋体"/>
                      <w:i/>
                      <w:iCs/>
                      <w:color w:val="auto"/>
                      <w:spacing w:val="-2"/>
                      <w:sz w:val="24"/>
                      <w:szCs w:val="24"/>
                      <w:highlight w:val="none"/>
                      <w:u w:val="single"/>
                      <w:lang w:val="en-US" w:eastAsia="zh-CN" w:bidi="ar-SA"/>
                    </w:rPr>
                    <w:t>USB</w:t>
                  </w:r>
                  <w:r>
                    <w:rPr>
                      <w:rFonts w:hint="eastAsia" w:ascii="宋体" w:hAnsi="宋体" w:eastAsia="宋体" w:cs="宋体"/>
                      <w:i/>
                      <w:iCs/>
                      <w:color w:val="auto"/>
                      <w:spacing w:val="-11"/>
                      <w:sz w:val="24"/>
                      <w:szCs w:val="24"/>
                      <w:highlight w:val="none"/>
                      <w:u w:val="single"/>
                      <w:lang w:val="en-US" w:eastAsia="zh-CN" w:bidi="ar-SA"/>
                    </w:rPr>
                    <w:t xml:space="preserve"> 接口功能</w:t>
                  </w:r>
                </w:p>
              </w:tc>
            </w:tr>
            <w:tr w14:paraId="609FF5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400BC2A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137</w:t>
                  </w:r>
                </w:p>
              </w:tc>
              <w:tc>
                <w:tcPr>
                  <w:tcW w:w="737" w:type="dxa"/>
                  <w:vAlign w:val="center"/>
                </w:tcPr>
                <w:p w14:paraId="3623483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02A190B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tc>
              <w:tc>
                <w:tcPr>
                  <w:tcW w:w="958" w:type="dxa"/>
                  <w:vAlign w:val="center"/>
                </w:tcPr>
                <w:p w14:paraId="340D598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固件查看信息</w:t>
                  </w:r>
                </w:p>
              </w:tc>
              <w:tc>
                <w:tcPr>
                  <w:tcW w:w="3214" w:type="dxa"/>
                  <w:vAlign w:val="center"/>
                </w:tcPr>
                <w:p w14:paraId="6DF38CF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支持查看固件版本、内存信息、主板信</w:t>
                  </w:r>
                  <w:r>
                    <w:rPr>
                      <w:rFonts w:hint="eastAsia" w:ascii="宋体" w:hAnsi="宋体" w:eastAsia="宋体" w:cs="宋体"/>
                      <w:i/>
                      <w:iCs/>
                      <w:color w:val="auto"/>
                      <w:spacing w:val="-10"/>
                      <w:sz w:val="24"/>
                      <w:szCs w:val="24"/>
                      <w:highlight w:val="none"/>
                      <w:u w:val="single"/>
                      <w:lang w:val="en-US" w:eastAsia="zh-CN" w:bidi="ar-SA"/>
                    </w:rPr>
                    <w:t>息、处理器信息和系统时间信息等功能</w:t>
                  </w:r>
                </w:p>
              </w:tc>
            </w:tr>
            <w:tr w14:paraId="53A28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6F880E8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138</w:t>
                  </w:r>
                </w:p>
              </w:tc>
              <w:tc>
                <w:tcPr>
                  <w:tcW w:w="737" w:type="dxa"/>
                  <w:vAlign w:val="center"/>
                </w:tcPr>
                <w:p w14:paraId="7333E84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337E5B9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4A093E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固件设置启动顺</w:t>
                  </w:r>
                  <w:r>
                    <w:rPr>
                      <w:rFonts w:hint="eastAsia" w:ascii="宋体" w:hAnsi="宋体" w:eastAsia="宋体" w:cs="宋体"/>
                      <w:i w:val="0"/>
                      <w:iCs w:val="0"/>
                      <w:color w:val="auto"/>
                      <w:spacing w:val="-10"/>
                      <w:sz w:val="24"/>
                      <w:szCs w:val="24"/>
                      <w:highlight w:val="none"/>
                      <w:u w:val="none"/>
                      <w:lang w:val="en-US" w:eastAsia="zh-CN" w:bidi="ar-SA"/>
                    </w:rPr>
                    <w:t>序</w:t>
                  </w:r>
                </w:p>
              </w:tc>
              <w:tc>
                <w:tcPr>
                  <w:tcW w:w="3214" w:type="dxa"/>
                  <w:vAlign w:val="center"/>
                </w:tcPr>
                <w:p w14:paraId="52151FB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支持设置启动顺序功能，并按照设置的</w:t>
                  </w:r>
                  <w:r>
                    <w:rPr>
                      <w:rFonts w:hint="eastAsia" w:ascii="宋体" w:hAnsi="宋体" w:eastAsia="宋体" w:cs="宋体"/>
                      <w:i/>
                      <w:iCs/>
                      <w:color w:val="auto"/>
                      <w:spacing w:val="-2"/>
                      <w:sz w:val="24"/>
                      <w:szCs w:val="24"/>
                      <w:highlight w:val="none"/>
                      <w:u w:val="single"/>
                      <w:lang w:val="en-US" w:eastAsia="zh-CN" w:bidi="ar-SA"/>
                    </w:rPr>
                    <w:t>启动顺序启动</w:t>
                  </w:r>
                </w:p>
              </w:tc>
            </w:tr>
            <w:tr w14:paraId="193651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75949B3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139</w:t>
                  </w:r>
                </w:p>
              </w:tc>
              <w:tc>
                <w:tcPr>
                  <w:tcW w:w="737" w:type="dxa"/>
                  <w:vAlign w:val="center"/>
                </w:tcPr>
                <w:p w14:paraId="324F866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47A75F8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0DF2FF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固件设置口令</w:t>
                  </w:r>
                </w:p>
              </w:tc>
              <w:tc>
                <w:tcPr>
                  <w:tcW w:w="3214" w:type="dxa"/>
                  <w:vAlign w:val="center"/>
                </w:tcPr>
                <w:p w14:paraId="2C2F564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支持设置口令、修改口令、验证口令功</w:t>
                  </w:r>
                  <w:r>
                    <w:rPr>
                      <w:rFonts w:hint="eastAsia" w:ascii="宋体" w:hAnsi="宋体" w:eastAsia="宋体" w:cs="宋体"/>
                      <w:i/>
                      <w:iCs/>
                      <w:color w:val="auto"/>
                      <w:spacing w:val="-10"/>
                      <w:sz w:val="24"/>
                      <w:szCs w:val="24"/>
                      <w:highlight w:val="none"/>
                      <w:u w:val="single"/>
                      <w:lang w:val="en-US" w:eastAsia="zh-CN" w:bidi="ar-SA"/>
                    </w:rPr>
                    <w:t>能</w:t>
                  </w:r>
                </w:p>
              </w:tc>
            </w:tr>
            <w:tr w14:paraId="47A48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008ADE8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140</w:t>
                  </w:r>
                </w:p>
              </w:tc>
              <w:tc>
                <w:tcPr>
                  <w:tcW w:w="737" w:type="dxa"/>
                  <w:vAlign w:val="center"/>
                </w:tcPr>
                <w:p w14:paraId="55EA082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5B13B44E">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77F232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固件设置网络引</w:t>
                  </w:r>
                  <w:r>
                    <w:rPr>
                      <w:rFonts w:hint="eastAsia" w:ascii="宋体" w:hAnsi="宋体" w:eastAsia="宋体" w:cs="宋体"/>
                      <w:i w:val="0"/>
                      <w:iCs w:val="0"/>
                      <w:color w:val="auto"/>
                      <w:spacing w:val="-10"/>
                      <w:sz w:val="24"/>
                      <w:szCs w:val="24"/>
                      <w:highlight w:val="none"/>
                      <w:u w:val="none"/>
                      <w:lang w:val="en-US" w:eastAsia="zh-CN" w:bidi="ar-SA"/>
                    </w:rPr>
                    <w:t>导</w:t>
                  </w:r>
                </w:p>
              </w:tc>
              <w:tc>
                <w:tcPr>
                  <w:tcW w:w="3214" w:type="dxa"/>
                  <w:vAlign w:val="center"/>
                </w:tcPr>
                <w:p w14:paraId="4FFE383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支持网络引导启动和关闭功能</w:t>
                  </w:r>
                </w:p>
              </w:tc>
            </w:tr>
            <w:tr w14:paraId="0715E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600" w:type="dxa"/>
                  <w:vAlign w:val="center"/>
                </w:tcPr>
                <w:p w14:paraId="73AD808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141</w:t>
                  </w:r>
                </w:p>
              </w:tc>
              <w:tc>
                <w:tcPr>
                  <w:tcW w:w="737" w:type="dxa"/>
                  <w:vAlign w:val="center"/>
                </w:tcPr>
                <w:p w14:paraId="3760354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28C75F5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生物识别</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19D5635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指纹识别</w:t>
                  </w:r>
                </w:p>
              </w:tc>
              <w:tc>
                <w:tcPr>
                  <w:tcW w:w="3214" w:type="dxa"/>
                  <w:vAlign w:val="center"/>
                </w:tcPr>
                <w:p w14:paraId="53ACEC7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指纹识别功能符合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37742</w:t>
                  </w:r>
                  <w:r>
                    <w:rPr>
                      <w:rFonts w:hint="eastAsia" w:ascii="宋体" w:hAnsi="宋体" w:eastAsia="宋体" w:cs="宋体"/>
                      <w:i/>
                      <w:iCs/>
                      <w:color w:val="auto"/>
                      <w:spacing w:val="-12"/>
                      <w:sz w:val="24"/>
                      <w:szCs w:val="24"/>
                      <w:highlight w:val="none"/>
                      <w:u w:val="single"/>
                      <w:lang w:val="en-US" w:eastAsia="zh-CN" w:bidi="ar-SA"/>
                    </w:rPr>
                    <w:t xml:space="preserve"> 的相关</w:t>
                  </w:r>
                  <w:r>
                    <w:rPr>
                      <w:rFonts w:hint="eastAsia" w:ascii="宋体" w:hAnsi="宋体" w:eastAsia="宋体" w:cs="宋体"/>
                      <w:i/>
                      <w:iCs/>
                      <w:color w:val="auto"/>
                      <w:spacing w:val="-6"/>
                      <w:sz w:val="24"/>
                      <w:szCs w:val="24"/>
                      <w:highlight w:val="none"/>
                      <w:u w:val="single"/>
                      <w:lang w:val="en-US" w:eastAsia="zh-CN" w:bidi="ar-SA"/>
                    </w:rPr>
                    <w:t>规定</w:t>
                  </w:r>
                </w:p>
              </w:tc>
            </w:tr>
            <w:tr w14:paraId="6A336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00" w:type="dxa"/>
                  <w:vAlign w:val="center"/>
                </w:tcPr>
                <w:p w14:paraId="59DBC24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142</w:t>
                  </w:r>
                </w:p>
              </w:tc>
              <w:tc>
                <w:tcPr>
                  <w:tcW w:w="737" w:type="dxa"/>
                  <w:vAlign w:val="center"/>
                </w:tcPr>
                <w:p w14:paraId="37F2BCD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4B265207">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6941AC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人脸识别</w:t>
                  </w:r>
                </w:p>
              </w:tc>
              <w:tc>
                <w:tcPr>
                  <w:tcW w:w="3214" w:type="dxa"/>
                  <w:vAlign w:val="center"/>
                </w:tcPr>
                <w:p w14:paraId="62649D9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人脸识别功能符合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37036.3</w:t>
                  </w:r>
                  <w:r>
                    <w:rPr>
                      <w:rFonts w:hint="eastAsia" w:ascii="宋体" w:hAnsi="宋体" w:eastAsia="宋体" w:cs="宋体"/>
                      <w:i/>
                      <w:iCs/>
                      <w:color w:val="auto"/>
                      <w:spacing w:val="-15"/>
                      <w:sz w:val="24"/>
                      <w:szCs w:val="24"/>
                      <w:highlight w:val="none"/>
                      <w:u w:val="single"/>
                      <w:lang w:val="en-US" w:eastAsia="zh-CN" w:bidi="ar-SA"/>
                    </w:rPr>
                    <w:t xml:space="preserve"> 的相</w:t>
                  </w:r>
                  <w:r>
                    <w:rPr>
                      <w:rFonts w:hint="eastAsia" w:ascii="宋体" w:hAnsi="宋体" w:eastAsia="宋体" w:cs="宋体"/>
                      <w:i/>
                      <w:iCs/>
                      <w:color w:val="auto"/>
                      <w:spacing w:val="-4"/>
                      <w:sz w:val="24"/>
                      <w:szCs w:val="24"/>
                      <w:highlight w:val="none"/>
                      <w:u w:val="single"/>
                      <w:lang w:val="en-US" w:eastAsia="zh-CN" w:bidi="ar-SA"/>
                    </w:rPr>
                    <w:t>关规定</w:t>
                  </w:r>
                </w:p>
              </w:tc>
            </w:tr>
            <w:tr w14:paraId="382BBD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600" w:type="dxa"/>
                  <w:vAlign w:val="center"/>
                </w:tcPr>
                <w:p w14:paraId="25BDDA7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143</w:t>
                  </w:r>
                </w:p>
              </w:tc>
              <w:tc>
                <w:tcPr>
                  <w:tcW w:w="737" w:type="dxa"/>
                  <w:vAlign w:val="center"/>
                </w:tcPr>
                <w:p w14:paraId="6FB492F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632E18A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489823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
                      <w:sz w:val="24"/>
                      <w:szCs w:val="24"/>
                      <w:highlight w:val="none"/>
                      <w:u w:val="none"/>
                      <w:lang w:val="en-US" w:eastAsia="zh-CN" w:bidi="ar-SA"/>
                    </w:rPr>
                    <w:t>静脉识别</w:t>
                  </w:r>
                </w:p>
              </w:tc>
              <w:tc>
                <w:tcPr>
                  <w:tcW w:w="3214" w:type="dxa"/>
                  <w:vAlign w:val="center"/>
                </w:tcPr>
                <w:p w14:paraId="74B6D54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指静脉识别功能符合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23"/>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33135</w:t>
                  </w:r>
                  <w:r>
                    <w:rPr>
                      <w:rFonts w:hint="eastAsia" w:ascii="宋体" w:hAnsi="宋体" w:eastAsia="宋体" w:cs="宋体"/>
                      <w:i/>
                      <w:iCs/>
                      <w:color w:val="auto"/>
                      <w:spacing w:val="-15"/>
                      <w:sz w:val="24"/>
                      <w:szCs w:val="24"/>
                      <w:highlight w:val="none"/>
                      <w:u w:val="single"/>
                      <w:lang w:val="en-US" w:eastAsia="zh-CN" w:bidi="ar-SA"/>
                    </w:rPr>
                    <w:t xml:space="preserve"> 的相</w:t>
                  </w:r>
                  <w:r>
                    <w:rPr>
                      <w:rFonts w:hint="eastAsia" w:ascii="宋体" w:hAnsi="宋体" w:eastAsia="宋体" w:cs="宋体"/>
                      <w:i/>
                      <w:iCs/>
                      <w:color w:val="auto"/>
                      <w:spacing w:val="-4"/>
                      <w:sz w:val="24"/>
                      <w:szCs w:val="24"/>
                      <w:highlight w:val="none"/>
                      <w:u w:val="single"/>
                      <w:lang w:val="en-US" w:eastAsia="zh-CN" w:bidi="ar-SA"/>
                    </w:rPr>
                    <w:t>关规定</w:t>
                  </w:r>
                </w:p>
              </w:tc>
            </w:tr>
            <w:tr w14:paraId="38A5D0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600" w:type="dxa"/>
                  <w:vAlign w:val="center"/>
                </w:tcPr>
                <w:p w14:paraId="433E203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144</w:t>
                  </w:r>
                </w:p>
              </w:tc>
              <w:tc>
                <w:tcPr>
                  <w:tcW w:w="737" w:type="dxa"/>
                  <w:vAlign w:val="center"/>
                </w:tcPr>
                <w:p w14:paraId="232A4AC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682F3A3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硬件加速</w:t>
                  </w:r>
                  <w:r>
                    <w:rPr>
                      <w:rFonts w:hint="eastAsia" w:ascii="宋体" w:hAnsi="宋体" w:eastAsia="宋体" w:cs="宋体"/>
                      <w:i w:val="0"/>
                      <w:iCs w:val="0"/>
                      <w:color w:val="auto"/>
                      <w:spacing w:val="-5"/>
                      <w:sz w:val="24"/>
                      <w:szCs w:val="24"/>
                      <w:highlight w:val="none"/>
                      <w:u w:val="none"/>
                      <w:lang w:val="en-US" w:eastAsia="zh-CN" w:bidi="ar-SA"/>
                    </w:rPr>
                    <w:t>功能</w:t>
                  </w:r>
                </w:p>
              </w:tc>
              <w:tc>
                <w:tcPr>
                  <w:tcW w:w="958" w:type="dxa"/>
                  <w:vAlign w:val="center"/>
                </w:tcPr>
                <w:p w14:paraId="268BF5A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NPU/GPU</w:t>
                  </w:r>
                </w:p>
                <w:p w14:paraId="208F910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35"/>
                      <w:sz w:val="24"/>
                      <w:szCs w:val="24"/>
                      <w:highlight w:val="none"/>
                      <w:u w:val="none"/>
                      <w:lang w:val="en-US" w:eastAsia="zh-CN" w:bidi="ar-SA"/>
                    </w:rPr>
                    <w:t>等</w:t>
                  </w:r>
                  <w:r>
                    <w:rPr>
                      <w:rFonts w:hint="eastAsia" w:ascii="宋体" w:hAnsi="宋体" w:eastAsia="宋体" w:cs="宋体"/>
                      <w:i w:val="0"/>
                      <w:iCs w:val="0"/>
                      <w:color w:val="auto"/>
                      <w:sz w:val="24"/>
                      <w:szCs w:val="24"/>
                      <w:highlight w:val="none"/>
                      <w:u w:val="none"/>
                      <w:lang w:val="en-US" w:eastAsia="zh-CN" w:bidi="ar-SA"/>
                    </w:rPr>
                    <w:t>AI</w:t>
                  </w:r>
                  <w:r>
                    <w:rPr>
                      <w:rFonts w:hint="eastAsia" w:ascii="宋体" w:hAnsi="宋体" w:eastAsia="宋体" w:cs="宋体"/>
                      <w:i w:val="0"/>
                      <w:iCs w:val="0"/>
                      <w:color w:val="auto"/>
                      <w:spacing w:val="-22"/>
                      <w:sz w:val="24"/>
                      <w:szCs w:val="24"/>
                      <w:highlight w:val="none"/>
                      <w:u w:val="none"/>
                      <w:lang w:val="en-US" w:eastAsia="zh-CN" w:bidi="ar-SA"/>
                    </w:rPr>
                    <w:t xml:space="preserve"> 加</w:t>
                  </w:r>
                  <w:r>
                    <w:rPr>
                      <w:rFonts w:hint="eastAsia" w:ascii="宋体" w:hAnsi="宋体" w:eastAsia="宋体" w:cs="宋体"/>
                      <w:i w:val="0"/>
                      <w:iCs w:val="0"/>
                      <w:color w:val="auto"/>
                      <w:spacing w:val="-4"/>
                      <w:sz w:val="24"/>
                      <w:szCs w:val="24"/>
                      <w:highlight w:val="none"/>
                      <w:u w:val="none"/>
                      <w:lang w:val="en-US" w:eastAsia="zh-CN" w:bidi="ar-SA"/>
                    </w:rPr>
                    <w:t>速模块</w:t>
                  </w:r>
                </w:p>
              </w:tc>
              <w:tc>
                <w:tcPr>
                  <w:tcW w:w="3214" w:type="dxa"/>
                  <w:vAlign w:val="center"/>
                </w:tcPr>
                <w:p w14:paraId="2833D3C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NPU/GPU</w:t>
                  </w:r>
                  <w:r>
                    <w:rPr>
                      <w:rFonts w:hint="eastAsia" w:ascii="宋体" w:hAnsi="宋体" w:eastAsia="宋体" w:cs="宋体"/>
                      <w:i/>
                      <w:iCs/>
                      <w:color w:val="auto"/>
                      <w:spacing w:val="-27"/>
                      <w:sz w:val="24"/>
                      <w:szCs w:val="24"/>
                      <w:highlight w:val="none"/>
                      <w:u w:val="single"/>
                      <w:lang w:val="en-US" w:eastAsia="zh-CN" w:bidi="ar-SA"/>
                    </w:rPr>
                    <w:t xml:space="preserve"> 等 </w:t>
                  </w:r>
                  <w:r>
                    <w:rPr>
                      <w:rFonts w:hint="eastAsia" w:ascii="宋体" w:hAnsi="宋体" w:eastAsia="宋体" w:cs="宋体"/>
                      <w:i/>
                      <w:iCs/>
                      <w:color w:val="auto"/>
                      <w:spacing w:val="-2"/>
                      <w:sz w:val="24"/>
                      <w:szCs w:val="24"/>
                      <w:highlight w:val="none"/>
                      <w:u w:val="single"/>
                      <w:lang w:val="en-US" w:eastAsia="zh-CN" w:bidi="ar-SA"/>
                    </w:rPr>
                    <w:t>AI</w:t>
                  </w:r>
                  <w:r>
                    <w:rPr>
                      <w:rFonts w:hint="eastAsia" w:ascii="宋体" w:hAnsi="宋体" w:eastAsia="宋体" w:cs="宋体"/>
                      <w:i/>
                      <w:iCs/>
                      <w:color w:val="auto"/>
                      <w:spacing w:val="-12"/>
                      <w:sz w:val="24"/>
                      <w:szCs w:val="24"/>
                      <w:highlight w:val="none"/>
                      <w:u w:val="single"/>
                      <w:lang w:val="en-US" w:eastAsia="zh-CN" w:bidi="ar-SA"/>
                    </w:rPr>
                    <w:t xml:space="preserve"> 加速模块</w:t>
                  </w:r>
                </w:p>
              </w:tc>
            </w:tr>
            <w:tr w14:paraId="5B4E7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2" w:hRule="atLeast"/>
              </w:trPr>
              <w:tc>
                <w:tcPr>
                  <w:tcW w:w="600" w:type="dxa"/>
                  <w:vAlign w:val="center"/>
                </w:tcPr>
                <w:p w14:paraId="1873C3D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145</w:t>
                  </w:r>
                </w:p>
              </w:tc>
              <w:tc>
                <w:tcPr>
                  <w:tcW w:w="737" w:type="dxa"/>
                  <w:vAlign w:val="center"/>
                </w:tcPr>
                <w:p w14:paraId="78E6726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3AFAE73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8C6DF4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视频编解码加速模</w:t>
                  </w:r>
                  <w:r>
                    <w:rPr>
                      <w:rFonts w:hint="eastAsia" w:ascii="宋体" w:hAnsi="宋体" w:eastAsia="宋体" w:cs="宋体"/>
                      <w:i w:val="0"/>
                      <w:iCs w:val="0"/>
                      <w:color w:val="auto"/>
                      <w:spacing w:val="-10"/>
                      <w:sz w:val="24"/>
                      <w:szCs w:val="24"/>
                      <w:highlight w:val="none"/>
                      <w:u w:val="none"/>
                      <w:lang w:val="en-US" w:eastAsia="zh-CN" w:bidi="ar-SA"/>
                    </w:rPr>
                    <w:t>块</w:t>
                  </w:r>
                </w:p>
              </w:tc>
              <w:tc>
                <w:tcPr>
                  <w:tcW w:w="3214" w:type="dxa"/>
                  <w:vAlign w:val="center"/>
                </w:tcPr>
                <w:p w14:paraId="2064CFD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支持视频编解码加速模块</w:t>
                  </w:r>
                </w:p>
              </w:tc>
            </w:tr>
            <w:tr w14:paraId="691776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1" w:hRule="atLeast"/>
              </w:trPr>
              <w:tc>
                <w:tcPr>
                  <w:tcW w:w="600" w:type="dxa"/>
                  <w:vAlign w:val="center"/>
                </w:tcPr>
                <w:p w14:paraId="7E830C0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146</w:t>
                  </w:r>
                </w:p>
              </w:tc>
              <w:tc>
                <w:tcPr>
                  <w:tcW w:w="737" w:type="dxa"/>
                  <w:vAlign w:val="center"/>
                </w:tcPr>
                <w:p w14:paraId="2EA2752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功能</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7C2159E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520715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影像处理</w:t>
                  </w:r>
                  <w:r>
                    <w:rPr>
                      <w:rFonts w:hint="eastAsia" w:ascii="宋体" w:hAnsi="宋体" w:eastAsia="宋体" w:cs="宋体"/>
                      <w:i w:val="0"/>
                      <w:iCs w:val="0"/>
                      <w:color w:val="auto"/>
                      <w:spacing w:val="-3"/>
                      <w:sz w:val="24"/>
                      <w:szCs w:val="24"/>
                      <w:highlight w:val="none"/>
                      <w:u w:val="none"/>
                      <w:lang w:val="en-US" w:eastAsia="zh-CN" w:bidi="ar-SA"/>
                    </w:rPr>
                    <w:t>加速模块</w:t>
                  </w:r>
                </w:p>
              </w:tc>
              <w:tc>
                <w:tcPr>
                  <w:tcW w:w="3214" w:type="dxa"/>
                  <w:vAlign w:val="center"/>
                </w:tcPr>
                <w:p w14:paraId="52ABAAB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662A9BF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支持影像处理加速模块</w:t>
                  </w:r>
                </w:p>
              </w:tc>
            </w:tr>
            <w:tr w14:paraId="4F793E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600" w:type="dxa"/>
                  <w:vAlign w:val="center"/>
                </w:tcPr>
                <w:p w14:paraId="328E6BB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147</w:t>
                  </w:r>
                </w:p>
              </w:tc>
              <w:tc>
                <w:tcPr>
                  <w:tcW w:w="737" w:type="dxa"/>
                  <w:vAlign w:val="center"/>
                </w:tcPr>
                <w:p w14:paraId="1218FDA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可靠</w:t>
                  </w:r>
                </w:p>
                <w:p w14:paraId="5DD5A62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restart"/>
                  <w:vAlign w:val="center"/>
                </w:tcPr>
                <w:p w14:paraId="7006D12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存储</w:t>
                  </w:r>
                  <w:r>
                    <w:rPr>
                      <w:rFonts w:hint="eastAsia" w:ascii="宋体" w:hAnsi="宋体" w:eastAsia="宋体" w:cs="宋体"/>
                      <w:i w:val="0"/>
                      <w:iCs w:val="0"/>
                      <w:color w:val="auto"/>
                      <w:spacing w:val="-6"/>
                      <w:sz w:val="24"/>
                      <w:szCs w:val="24"/>
                      <w:highlight w:val="none"/>
                      <w:u w:val="none"/>
                      <w:lang w:val="en-US" w:eastAsia="zh-CN" w:bidi="ar-SA"/>
                    </w:rPr>
                    <w:t>设备可靠</w:t>
                  </w:r>
                  <w:r>
                    <w:rPr>
                      <w:rFonts w:hint="eastAsia" w:ascii="宋体" w:hAnsi="宋体" w:eastAsia="宋体" w:cs="宋体"/>
                      <w:i w:val="0"/>
                      <w:iCs w:val="0"/>
                      <w:color w:val="auto"/>
                      <w:spacing w:val="-10"/>
                      <w:sz w:val="24"/>
                      <w:szCs w:val="24"/>
                      <w:highlight w:val="none"/>
                      <w:u w:val="none"/>
                      <w:lang w:val="en-US" w:eastAsia="zh-CN" w:bidi="ar-SA"/>
                    </w:rPr>
                    <w:t>性</w:t>
                  </w:r>
                </w:p>
              </w:tc>
              <w:tc>
                <w:tcPr>
                  <w:tcW w:w="958" w:type="dxa"/>
                  <w:vAlign w:val="center"/>
                </w:tcPr>
                <w:p w14:paraId="3FE6610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固态存储寿命</w:t>
                  </w:r>
                </w:p>
              </w:tc>
              <w:tc>
                <w:tcPr>
                  <w:tcW w:w="3214" w:type="dxa"/>
                  <w:vAlign w:val="center"/>
                </w:tcPr>
                <w:p w14:paraId="1BE0CD9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TBW</w:t>
                  </w:r>
                  <w:r>
                    <w:rPr>
                      <w:rFonts w:hint="eastAsia" w:ascii="宋体" w:hAnsi="宋体" w:eastAsia="宋体" w:cs="宋体"/>
                      <w:i/>
                      <w:iCs/>
                      <w:color w:val="auto"/>
                      <w:spacing w:val="-10"/>
                      <w:sz w:val="24"/>
                      <w:szCs w:val="24"/>
                      <w:highlight w:val="none"/>
                      <w:u w:val="single"/>
                      <w:lang w:val="en-US" w:eastAsia="zh-CN" w:bidi="ar-SA"/>
                    </w:rPr>
                    <w:t xml:space="preserve"> ≥ </w:t>
                  </w:r>
                  <w:r>
                    <w:rPr>
                      <w:rFonts w:hint="eastAsia" w:ascii="宋体" w:hAnsi="宋体" w:eastAsia="宋体" w:cs="宋体"/>
                      <w:i/>
                      <w:iCs/>
                      <w:color w:val="auto"/>
                      <w:sz w:val="24"/>
                      <w:szCs w:val="24"/>
                      <w:highlight w:val="none"/>
                      <w:u w:val="single"/>
                      <w:lang w:val="en-US" w:eastAsia="zh-CN" w:bidi="ar-SA"/>
                    </w:rPr>
                    <w:t>80TB（条件：240GB</w:t>
                  </w:r>
                  <w:r>
                    <w:rPr>
                      <w:rFonts w:hint="eastAsia" w:ascii="宋体" w:hAnsi="宋体" w:eastAsia="宋体" w:cs="宋体"/>
                      <w:i/>
                      <w:iCs/>
                      <w:color w:val="auto"/>
                      <w:spacing w:val="-10"/>
                      <w:sz w:val="24"/>
                      <w:szCs w:val="24"/>
                      <w:highlight w:val="none"/>
                      <w:u w:val="single"/>
                      <w:lang w:val="en-US" w:eastAsia="zh-CN" w:bidi="ar-SA"/>
                    </w:rPr>
                    <w:t xml:space="preserve"> 硬盘容量）</w:t>
                  </w:r>
                </w:p>
              </w:tc>
            </w:tr>
            <w:tr w14:paraId="11DDA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600" w:type="dxa"/>
                  <w:vAlign w:val="center"/>
                </w:tcPr>
                <w:p w14:paraId="39DE0EB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148</w:t>
                  </w:r>
                </w:p>
              </w:tc>
              <w:tc>
                <w:tcPr>
                  <w:tcW w:w="737" w:type="dxa"/>
                  <w:vAlign w:val="center"/>
                </w:tcPr>
                <w:p w14:paraId="17BD211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可靠</w:t>
                  </w:r>
                </w:p>
                <w:p w14:paraId="69E6F1F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75925810">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3AAF0F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机械硬盘寿命</w:t>
                  </w:r>
                </w:p>
              </w:tc>
              <w:tc>
                <w:tcPr>
                  <w:tcW w:w="3214" w:type="dxa"/>
                  <w:vAlign w:val="center"/>
                </w:tcPr>
                <w:p w14:paraId="16C8A15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38D582F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通电时间≥5</w:t>
                  </w:r>
                  <w:r>
                    <w:rPr>
                      <w:rFonts w:hint="eastAsia" w:ascii="宋体" w:hAnsi="宋体" w:eastAsia="宋体" w:cs="宋体"/>
                      <w:i/>
                      <w:iCs/>
                      <w:color w:val="auto"/>
                      <w:spacing w:val="-15"/>
                      <w:sz w:val="24"/>
                      <w:szCs w:val="24"/>
                      <w:highlight w:val="none"/>
                      <w:u w:val="single"/>
                      <w:lang w:val="en-US" w:eastAsia="zh-CN" w:bidi="ar-SA"/>
                    </w:rPr>
                    <w:t xml:space="preserve"> 万小时</w:t>
                  </w:r>
                </w:p>
              </w:tc>
            </w:tr>
            <w:tr w14:paraId="5E0D9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30F517C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149</w:t>
                  </w:r>
                </w:p>
              </w:tc>
              <w:tc>
                <w:tcPr>
                  <w:tcW w:w="737" w:type="dxa"/>
                  <w:vAlign w:val="center"/>
                </w:tcPr>
                <w:p w14:paraId="47B204F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Align w:val="center"/>
                </w:tcPr>
                <w:p w14:paraId="45975FD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w:t>
                  </w:r>
                  <w:r>
                    <w:rPr>
                      <w:rFonts w:hint="eastAsia" w:ascii="宋体" w:hAnsi="宋体" w:eastAsia="宋体" w:cs="宋体"/>
                      <w:i w:val="0"/>
                      <w:iCs w:val="0"/>
                      <w:color w:val="auto"/>
                      <w:spacing w:val="-6"/>
                      <w:sz w:val="24"/>
                      <w:szCs w:val="24"/>
                      <w:highlight w:val="none"/>
                      <w:u w:val="none"/>
                      <w:lang w:val="en-US" w:eastAsia="zh-CN" w:bidi="ar-SA"/>
                    </w:rPr>
                    <w:t>设备可靠</w:t>
                  </w:r>
                  <w:r>
                    <w:rPr>
                      <w:rFonts w:hint="eastAsia" w:ascii="宋体" w:hAnsi="宋体" w:eastAsia="宋体" w:cs="宋体"/>
                      <w:i w:val="0"/>
                      <w:iCs w:val="0"/>
                      <w:color w:val="auto"/>
                      <w:spacing w:val="-10"/>
                      <w:sz w:val="24"/>
                      <w:szCs w:val="24"/>
                      <w:highlight w:val="none"/>
                      <w:u w:val="none"/>
                      <w:lang w:val="en-US" w:eastAsia="zh-CN" w:bidi="ar-SA"/>
                    </w:rPr>
                    <w:t>性</w:t>
                  </w:r>
                </w:p>
              </w:tc>
              <w:tc>
                <w:tcPr>
                  <w:tcW w:w="958" w:type="dxa"/>
                  <w:vAlign w:val="center"/>
                </w:tcPr>
                <w:p w14:paraId="2783905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显示屏屏幕失效</w:t>
                  </w:r>
                  <w:r>
                    <w:rPr>
                      <w:rFonts w:hint="eastAsia" w:ascii="宋体" w:hAnsi="宋体" w:eastAsia="宋体" w:cs="宋体"/>
                      <w:i w:val="0"/>
                      <w:iCs w:val="0"/>
                      <w:color w:val="auto"/>
                      <w:spacing w:val="-10"/>
                      <w:sz w:val="24"/>
                      <w:szCs w:val="24"/>
                      <w:highlight w:val="none"/>
                      <w:u w:val="none"/>
                      <w:lang w:val="en-US" w:eastAsia="zh-CN" w:bidi="ar-SA"/>
                    </w:rPr>
                    <w:t>点</w:t>
                  </w:r>
                </w:p>
              </w:tc>
              <w:tc>
                <w:tcPr>
                  <w:tcW w:w="3214" w:type="dxa"/>
                  <w:vAlign w:val="center"/>
                </w:tcPr>
                <w:p w14:paraId="292CD17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9813.2</w:t>
                  </w:r>
                  <w:r>
                    <w:rPr>
                      <w:rFonts w:hint="eastAsia" w:ascii="宋体" w:hAnsi="宋体" w:eastAsia="宋体" w:cs="宋体"/>
                      <w:i/>
                      <w:iCs/>
                      <w:color w:val="auto"/>
                      <w:spacing w:val="-14"/>
                      <w:sz w:val="24"/>
                      <w:szCs w:val="24"/>
                      <w:highlight w:val="none"/>
                      <w:u w:val="single"/>
                      <w:lang w:val="en-US" w:eastAsia="zh-CN" w:bidi="ar-SA"/>
                    </w:rPr>
                    <w:t xml:space="preserve"> 的要求</w:t>
                  </w:r>
                </w:p>
              </w:tc>
            </w:tr>
            <w:tr w14:paraId="2A7AE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2C83FD8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150</w:t>
                  </w:r>
                </w:p>
              </w:tc>
              <w:tc>
                <w:tcPr>
                  <w:tcW w:w="737" w:type="dxa"/>
                  <w:vAlign w:val="center"/>
                </w:tcPr>
                <w:p w14:paraId="5FAA5EB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restart"/>
                  <w:vAlign w:val="center"/>
                </w:tcPr>
                <w:p w14:paraId="6C4E050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外设</w:t>
                  </w:r>
                  <w:r>
                    <w:rPr>
                      <w:rFonts w:hint="eastAsia" w:ascii="宋体" w:hAnsi="宋体" w:eastAsia="宋体" w:cs="宋体"/>
                      <w:i w:val="0"/>
                      <w:iCs w:val="0"/>
                      <w:color w:val="auto"/>
                      <w:spacing w:val="-6"/>
                      <w:sz w:val="24"/>
                      <w:szCs w:val="24"/>
                      <w:highlight w:val="none"/>
                      <w:u w:val="none"/>
                      <w:lang w:val="en-US" w:eastAsia="zh-CN" w:bidi="ar-SA"/>
                    </w:rPr>
                    <w:t>可靠</w:t>
                  </w:r>
                  <w:r>
                    <w:rPr>
                      <w:rFonts w:hint="eastAsia" w:ascii="宋体" w:hAnsi="宋体" w:eastAsia="宋体" w:cs="宋体"/>
                      <w:i w:val="0"/>
                      <w:iCs w:val="0"/>
                      <w:color w:val="auto"/>
                      <w:spacing w:val="-10"/>
                      <w:sz w:val="24"/>
                      <w:szCs w:val="24"/>
                      <w:highlight w:val="none"/>
                      <w:u w:val="none"/>
                      <w:lang w:val="en-US" w:eastAsia="zh-CN" w:bidi="ar-SA"/>
                    </w:rPr>
                    <w:t>性</w:t>
                  </w:r>
                </w:p>
              </w:tc>
              <w:tc>
                <w:tcPr>
                  <w:tcW w:w="958" w:type="dxa"/>
                  <w:vAlign w:val="center"/>
                </w:tcPr>
                <w:p w14:paraId="265CF04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键盘按键寿命</w:t>
                  </w:r>
                </w:p>
              </w:tc>
              <w:tc>
                <w:tcPr>
                  <w:tcW w:w="3214" w:type="dxa"/>
                  <w:vAlign w:val="center"/>
                </w:tcPr>
                <w:p w14:paraId="6EB4F65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≥1000</w:t>
                  </w:r>
                  <w:r>
                    <w:rPr>
                      <w:rFonts w:hint="eastAsia" w:ascii="宋体" w:hAnsi="宋体" w:eastAsia="宋体" w:cs="宋体"/>
                      <w:i/>
                      <w:iCs/>
                      <w:color w:val="auto"/>
                      <w:spacing w:val="-16"/>
                      <w:sz w:val="24"/>
                      <w:szCs w:val="24"/>
                      <w:highlight w:val="none"/>
                      <w:u w:val="single"/>
                      <w:lang w:val="en-US" w:eastAsia="zh-CN" w:bidi="ar-SA"/>
                    </w:rPr>
                    <w:t xml:space="preserve"> 万次</w:t>
                  </w:r>
                </w:p>
              </w:tc>
            </w:tr>
            <w:tr w14:paraId="0E62A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069B326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151</w:t>
                  </w:r>
                </w:p>
              </w:tc>
              <w:tc>
                <w:tcPr>
                  <w:tcW w:w="737" w:type="dxa"/>
                  <w:vAlign w:val="center"/>
                </w:tcPr>
                <w:p w14:paraId="5E2826B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6FF5775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1C1CCA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鼠标按键寿命</w:t>
                  </w:r>
                </w:p>
              </w:tc>
              <w:tc>
                <w:tcPr>
                  <w:tcW w:w="3214" w:type="dxa"/>
                  <w:vAlign w:val="center"/>
                </w:tcPr>
                <w:p w14:paraId="1FDDBE7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≥500</w:t>
                  </w:r>
                  <w:r>
                    <w:rPr>
                      <w:rFonts w:hint="eastAsia" w:ascii="宋体" w:hAnsi="宋体" w:eastAsia="宋体" w:cs="宋体"/>
                      <w:i/>
                      <w:iCs/>
                      <w:color w:val="auto"/>
                      <w:spacing w:val="-17"/>
                      <w:sz w:val="24"/>
                      <w:szCs w:val="24"/>
                      <w:highlight w:val="none"/>
                      <w:u w:val="single"/>
                      <w:lang w:val="en-US" w:eastAsia="zh-CN" w:bidi="ar-SA"/>
                    </w:rPr>
                    <w:t xml:space="preserve"> 万次</w:t>
                  </w:r>
                </w:p>
              </w:tc>
            </w:tr>
            <w:tr w14:paraId="0BFF98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3DC2A01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152</w:t>
                  </w:r>
                </w:p>
              </w:tc>
              <w:tc>
                <w:tcPr>
                  <w:tcW w:w="737" w:type="dxa"/>
                  <w:vAlign w:val="center"/>
                </w:tcPr>
                <w:p w14:paraId="205BE4A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069F5BC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006651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键盘鼠标线材寿</w:t>
                  </w:r>
                  <w:r>
                    <w:rPr>
                      <w:rFonts w:hint="eastAsia" w:ascii="宋体" w:hAnsi="宋体" w:eastAsia="宋体" w:cs="宋体"/>
                      <w:i w:val="0"/>
                      <w:iCs w:val="0"/>
                      <w:color w:val="auto"/>
                      <w:spacing w:val="-10"/>
                      <w:sz w:val="24"/>
                      <w:szCs w:val="24"/>
                      <w:highlight w:val="none"/>
                      <w:u w:val="none"/>
                      <w:lang w:val="en-US" w:eastAsia="zh-CN" w:bidi="ar-SA"/>
                    </w:rPr>
                    <w:t>命</w:t>
                  </w:r>
                </w:p>
              </w:tc>
              <w:tc>
                <w:tcPr>
                  <w:tcW w:w="3214" w:type="dxa"/>
                  <w:vAlign w:val="center"/>
                </w:tcPr>
                <w:p w14:paraId="1BFF539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键盘鼠标所用线材经±60°弯折不低</w:t>
                  </w:r>
                  <w:r>
                    <w:rPr>
                      <w:rFonts w:hint="eastAsia" w:ascii="宋体" w:hAnsi="宋体" w:eastAsia="宋体" w:cs="宋体"/>
                      <w:i/>
                      <w:iCs/>
                      <w:color w:val="auto"/>
                      <w:spacing w:val="-11"/>
                      <w:sz w:val="24"/>
                      <w:szCs w:val="24"/>
                      <w:highlight w:val="none"/>
                      <w:u w:val="single"/>
                      <w:lang w:val="en-US" w:eastAsia="zh-CN" w:bidi="ar-SA"/>
                    </w:rPr>
                    <w:t xml:space="preserve">于 </w:t>
                  </w:r>
                  <w:r>
                    <w:rPr>
                      <w:rFonts w:hint="eastAsia" w:ascii="宋体" w:hAnsi="宋体" w:eastAsia="宋体" w:cs="宋体"/>
                      <w:i/>
                      <w:iCs/>
                      <w:color w:val="auto"/>
                      <w:sz w:val="24"/>
                      <w:szCs w:val="24"/>
                      <w:highlight w:val="none"/>
                      <w:u w:val="single"/>
                      <w:lang w:val="en-US" w:eastAsia="zh-CN" w:bidi="ar-SA"/>
                    </w:rPr>
                    <w:t>3000</w:t>
                  </w:r>
                  <w:r>
                    <w:rPr>
                      <w:rFonts w:hint="eastAsia" w:ascii="宋体" w:hAnsi="宋体" w:eastAsia="宋体" w:cs="宋体"/>
                      <w:i/>
                      <w:iCs/>
                      <w:color w:val="auto"/>
                      <w:spacing w:val="-5"/>
                      <w:sz w:val="24"/>
                      <w:szCs w:val="24"/>
                      <w:highlight w:val="none"/>
                      <w:u w:val="single"/>
                      <w:lang w:val="en-US" w:eastAsia="zh-CN" w:bidi="ar-SA"/>
                    </w:rPr>
                    <w:t xml:space="preserve"> 次，功能、外观完好</w:t>
                  </w:r>
                </w:p>
              </w:tc>
            </w:tr>
            <w:tr w14:paraId="3D3FC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600" w:type="dxa"/>
                  <w:vAlign w:val="center"/>
                </w:tcPr>
                <w:p w14:paraId="3221A82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153</w:t>
                  </w:r>
                </w:p>
              </w:tc>
              <w:tc>
                <w:tcPr>
                  <w:tcW w:w="737" w:type="dxa"/>
                  <w:vAlign w:val="center"/>
                </w:tcPr>
                <w:p w14:paraId="3D9AA85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76617F2D">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9FEB36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风扇寿</w:t>
                  </w:r>
                  <w:r>
                    <w:rPr>
                      <w:rFonts w:hint="eastAsia" w:ascii="宋体" w:hAnsi="宋体" w:eastAsia="宋体" w:cs="宋体"/>
                      <w:i w:val="0"/>
                      <w:iCs w:val="0"/>
                      <w:color w:val="auto"/>
                      <w:spacing w:val="-10"/>
                      <w:sz w:val="24"/>
                      <w:szCs w:val="24"/>
                      <w:highlight w:val="none"/>
                      <w:u w:val="none"/>
                      <w:lang w:val="en-US" w:eastAsia="zh-CN" w:bidi="ar-SA"/>
                    </w:rPr>
                    <w:t>命</w:t>
                  </w:r>
                </w:p>
              </w:tc>
              <w:tc>
                <w:tcPr>
                  <w:tcW w:w="3214" w:type="dxa"/>
                  <w:vAlign w:val="center"/>
                </w:tcPr>
                <w:p w14:paraId="070848C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≥4</w:t>
                  </w:r>
                  <w:r>
                    <w:rPr>
                      <w:rFonts w:hint="eastAsia" w:ascii="宋体" w:hAnsi="宋体" w:eastAsia="宋体" w:cs="宋体"/>
                      <w:i/>
                      <w:iCs/>
                      <w:color w:val="auto"/>
                      <w:spacing w:val="-15"/>
                      <w:sz w:val="24"/>
                      <w:szCs w:val="24"/>
                      <w:highlight w:val="none"/>
                      <w:u w:val="single"/>
                      <w:lang w:val="en-US" w:eastAsia="zh-CN" w:bidi="ar-SA"/>
                    </w:rPr>
                    <w:t xml:space="preserve"> 万小时</w:t>
                  </w:r>
                </w:p>
              </w:tc>
            </w:tr>
            <w:tr w14:paraId="4BB2B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22CB786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154</w:t>
                  </w:r>
                </w:p>
              </w:tc>
              <w:tc>
                <w:tcPr>
                  <w:tcW w:w="737" w:type="dxa"/>
                  <w:vAlign w:val="center"/>
                </w:tcPr>
                <w:p w14:paraId="5742271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restart"/>
                  <w:vAlign w:val="center"/>
                </w:tcPr>
                <w:p w14:paraId="0949656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整机</w:t>
                  </w: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958" w:type="dxa"/>
                  <w:vAlign w:val="center"/>
                </w:tcPr>
                <w:p w14:paraId="63DC90F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电磁兼容性要求</w:t>
                  </w:r>
                  <w:r>
                    <w:rPr>
                      <w:rFonts w:hint="eastAsia" w:ascii="宋体" w:hAnsi="宋体" w:eastAsia="宋体" w:cs="宋体"/>
                      <w:i w:val="0"/>
                      <w:iCs w:val="0"/>
                      <w:color w:val="auto"/>
                      <w:spacing w:val="-3"/>
                      <w:sz w:val="24"/>
                      <w:szCs w:val="24"/>
                      <w:highlight w:val="none"/>
                      <w:u w:val="none"/>
                      <w:lang w:val="en-US" w:eastAsia="zh-CN" w:bidi="ar-SA"/>
                    </w:rPr>
                    <w:t>的抗扰度</w:t>
                  </w:r>
                </w:p>
              </w:tc>
              <w:tc>
                <w:tcPr>
                  <w:tcW w:w="3214" w:type="dxa"/>
                  <w:vAlign w:val="center"/>
                </w:tcPr>
                <w:p w14:paraId="1BA0C98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9254.2</w:t>
                  </w:r>
                  <w:r>
                    <w:rPr>
                      <w:rFonts w:hint="eastAsia" w:ascii="宋体" w:hAnsi="宋体" w:eastAsia="宋体" w:cs="宋体"/>
                      <w:i/>
                      <w:iCs/>
                      <w:color w:val="auto"/>
                      <w:spacing w:val="-14"/>
                      <w:sz w:val="24"/>
                      <w:szCs w:val="24"/>
                      <w:highlight w:val="none"/>
                      <w:u w:val="single"/>
                      <w:lang w:val="en-US" w:eastAsia="zh-CN" w:bidi="ar-SA"/>
                    </w:rPr>
                    <w:t xml:space="preserve"> 的规定</w:t>
                  </w:r>
                </w:p>
              </w:tc>
            </w:tr>
            <w:tr w14:paraId="6D1D26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48A9ABC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155</w:t>
                  </w:r>
                </w:p>
              </w:tc>
              <w:tc>
                <w:tcPr>
                  <w:tcW w:w="737" w:type="dxa"/>
                  <w:vAlign w:val="center"/>
                </w:tcPr>
                <w:p w14:paraId="77D2E86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5307A5ED">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15D564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环境条件要求的气候环境适应性</w:t>
                  </w:r>
                </w:p>
              </w:tc>
              <w:tc>
                <w:tcPr>
                  <w:tcW w:w="3214" w:type="dxa"/>
                  <w:vAlign w:val="center"/>
                </w:tcPr>
                <w:p w14:paraId="0B72827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9813.1</w:t>
                  </w:r>
                  <w:r>
                    <w:rPr>
                      <w:rFonts w:hint="eastAsia" w:ascii="宋体" w:hAnsi="宋体" w:eastAsia="宋体" w:cs="宋体"/>
                      <w:i/>
                      <w:iCs/>
                      <w:color w:val="auto"/>
                      <w:spacing w:val="-14"/>
                      <w:sz w:val="24"/>
                      <w:szCs w:val="24"/>
                      <w:highlight w:val="none"/>
                      <w:u w:val="single"/>
                      <w:lang w:val="en-US" w:eastAsia="zh-CN" w:bidi="ar-SA"/>
                    </w:rPr>
                    <w:t xml:space="preserve"> 中规定</w:t>
                  </w:r>
                </w:p>
              </w:tc>
            </w:tr>
            <w:tr w14:paraId="755E5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2990D41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156</w:t>
                  </w:r>
                </w:p>
              </w:tc>
              <w:tc>
                <w:tcPr>
                  <w:tcW w:w="737" w:type="dxa"/>
                  <w:vAlign w:val="center"/>
                </w:tcPr>
                <w:p w14:paraId="44C251C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4962DBEB">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0B3BD6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环境条件要求的振动适应</w:t>
                  </w:r>
                  <w:r>
                    <w:rPr>
                      <w:rFonts w:hint="eastAsia" w:ascii="宋体" w:hAnsi="宋体" w:eastAsia="宋体" w:cs="宋体"/>
                      <w:i w:val="0"/>
                      <w:iCs w:val="0"/>
                      <w:color w:val="auto"/>
                      <w:spacing w:val="-10"/>
                      <w:sz w:val="24"/>
                      <w:szCs w:val="24"/>
                      <w:highlight w:val="none"/>
                      <w:u w:val="none"/>
                      <w:lang w:val="en-US" w:eastAsia="zh-CN" w:bidi="ar-SA"/>
                    </w:rPr>
                    <w:t>性</w:t>
                  </w:r>
                </w:p>
              </w:tc>
              <w:tc>
                <w:tcPr>
                  <w:tcW w:w="3214" w:type="dxa"/>
                  <w:vAlign w:val="center"/>
                </w:tcPr>
                <w:p w14:paraId="6378FCA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9813.1</w:t>
                  </w:r>
                  <w:r>
                    <w:rPr>
                      <w:rFonts w:hint="eastAsia" w:ascii="宋体" w:hAnsi="宋体" w:eastAsia="宋体" w:cs="宋体"/>
                      <w:i/>
                      <w:iCs/>
                      <w:color w:val="auto"/>
                      <w:spacing w:val="-14"/>
                      <w:sz w:val="24"/>
                      <w:szCs w:val="24"/>
                      <w:highlight w:val="none"/>
                      <w:u w:val="single"/>
                      <w:lang w:val="en-US" w:eastAsia="zh-CN" w:bidi="ar-SA"/>
                    </w:rPr>
                    <w:t xml:space="preserve"> 中规定</w:t>
                  </w:r>
                </w:p>
              </w:tc>
            </w:tr>
            <w:tr w14:paraId="2AB6E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137E43A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157</w:t>
                  </w:r>
                </w:p>
              </w:tc>
              <w:tc>
                <w:tcPr>
                  <w:tcW w:w="737" w:type="dxa"/>
                  <w:vAlign w:val="center"/>
                </w:tcPr>
                <w:p w14:paraId="0DCBA5E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789B10F8">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C3B576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环境条件要求的冲击适应</w:t>
                  </w:r>
                  <w:r>
                    <w:rPr>
                      <w:rFonts w:hint="eastAsia" w:ascii="宋体" w:hAnsi="宋体" w:eastAsia="宋体" w:cs="宋体"/>
                      <w:i w:val="0"/>
                      <w:iCs w:val="0"/>
                      <w:color w:val="auto"/>
                      <w:spacing w:val="-10"/>
                      <w:sz w:val="24"/>
                      <w:szCs w:val="24"/>
                      <w:highlight w:val="none"/>
                      <w:u w:val="none"/>
                      <w:lang w:val="en-US" w:eastAsia="zh-CN" w:bidi="ar-SA"/>
                    </w:rPr>
                    <w:t>性</w:t>
                  </w:r>
                </w:p>
              </w:tc>
              <w:tc>
                <w:tcPr>
                  <w:tcW w:w="3214" w:type="dxa"/>
                  <w:vAlign w:val="center"/>
                </w:tcPr>
                <w:p w14:paraId="2932894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9813.1</w:t>
                  </w:r>
                  <w:r>
                    <w:rPr>
                      <w:rFonts w:hint="eastAsia" w:ascii="宋体" w:hAnsi="宋体" w:eastAsia="宋体" w:cs="宋体"/>
                      <w:i/>
                      <w:iCs/>
                      <w:color w:val="auto"/>
                      <w:spacing w:val="-14"/>
                      <w:sz w:val="24"/>
                      <w:szCs w:val="24"/>
                      <w:highlight w:val="none"/>
                      <w:u w:val="single"/>
                      <w:lang w:val="en-US" w:eastAsia="zh-CN" w:bidi="ar-SA"/>
                    </w:rPr>
                    <w:t xml:space="preserve"> 中规定</w:t>
                  </w:r>
                </w:p>
              </w:tc>
            </w:tr>
            <w:tr w14:paraId="4A4B7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688C6C0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158</w:t>
                  </w:r>
                </w:p>
              </w:tc>
              <w:tc>
                <w:tcPr>
                  <w:tcW w:w="737" w:type="dxa"/>
                  <w:vAlign w:val="center"/>
                </w:tcPr>
                <w:p w14:paraId="2222FBE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5CD5840B">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B7B588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环境条件要求的碰撞适应</w:t>
                  </w:r>
                  <w:r>
                    <w:rPr>
                      <w:rFonts w:hint="eastAsia" w:ascii="宋体" w:hAnsi="宋体" w:eastAsia="宋体" w:cs="宋体"/>
                      <w:i w:val="0"/>
                      <w:iCs w:val="0"/>
                      <w:color w:val="auto"/>
                      <w:spacing w:val="-10"/>
                      <w:sz w:val="24"/>
                      <w:szCs w:val="24"/>
                      <w:highlight w:val="none"/>
                      <w:u w:val="none"/>
                      <w:lang w:val="en-US" w:eastAsia="zh-CN" w:bidi="ar-SA"/>
                    </w:rPr>
                    <w:t>性</w:t>
                  </w:r>
                </w:p>
              </w:tc>
              <w:tc>
                <w:tcPr>
                  <w:tcW w:w="3214" w:type="dxa"/>
                  <w:vAlign w:val="center"/>
                </w:tcPr>
                <w:p w14:paraId="4AE5B78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9813.1</w:t>
                  </w:r>
                  <w:r>
                    <w:rPr>
                      <w:rFonts w:hint="eastAsia" w:ascii="宋体" w:hAnsi="宋体" w:eastAsia="宋体" w:cs="宋体"/>
                      <w:i/>
                      <w:iCs/>
                      <w:color w:val="auto"/>
                      <w:spacing w:val="-14"/>
                      <w:sz w:val="24"/>
                      <w:szCs w:val="24"/>
                      <w:highlight w:val="none"/>
                      <w:u w:val="single"/>
                      <w:lang w:val="en-US" w:eastAsia="zh-CN" w:bidi="ar-SA"/>
                    </w:rPr>
                    <w:t xml:space="preserve"> 中规定</w:t>
                  </w:r>
                </w:p>
              </w:tc>
            </w:tr>
            <w:tr w14:paraId="3732D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6790F18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159</w:t>
                  </w:r>
                </w:p>
              </w:tc>
              <w:tc>
                <w:tcPr>
                  <w:tcW w:w="737" w:type="dxa"/>
                  <w:vAlign w:val="center"/>
                </w:tcPr>
                <w:p w14:paraId="2D614C3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698044D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23F6AD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环境条件要求的运输包装件跌落适</w:t>
                  </w:r>
                  <w:r>
                    <w:rPr>
                      <w:rFonts w:hint="eastAsia" w:ascii="宋体" w:hAnsi="宋体" w:eastAsia="宋体" w:cs="宋体"/>
                      <w:i w:val="0"/>
                      <w:iCs w:val="0"/>
                      <w:color w:val="auto"/>
                      <w:spacing w:val="-6"/>
                      <w:sz w:val="24"/>
                      <w:szCs w:val="24"/>
                      <w:highlight w:val="none"/>
                      <w:u w:val="none"/>
                      <w:lang w:val="en-US" w:eastAsia="zh-CN" w:bidi="ar-SA"/>
                    </w:rPr>
                    <w:t>应性</w:t>
                  </w:r>
                </w:p>
              </w:tc>
              <w:tc>
                <w:tcPr>
                  <w:tcW w:w="3214" w:type="dxa"/>
                  <w:vAlign w:val="center"/>
                </w:tcPr>
                <w:p w14:paraId="6F32C1B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7"/>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9813.1</w:t>
                  </w:r>
                  <w:r>
                    <w:rPr>
                      <w:rFonts w:hint="eastAsia" w:ascii="宋体" w:hAnsi="宋体" w:eastAsia="宋体" w:cs="宋体"/>
                      <w:i/>
                      <w:iCs/>
                      <w:color w:val="auto"/>
                      <w:spacing w:val="-14"/>
                      <w:sz w:val="24"/>
                      <w:szCs w:val="24"/>
                      <w:highlight w:val="none"/>
                      <w:u w:val="single"/>
                      <w:lang w:val="en-US" w:eastAsia="zh-CN" w:bidi="ar-SA"/>
                    </w:rPr>
                    <w:t xml:space="preserve"> 中规定</w:t>
                  </w:r>
                </w:p>
              </w:tc>
            </w:tr>
            <w:tr w14:paraId="6BF55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598F195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160</w:t>
                  </w:r>
                </w:p>
              </w:tc>
              <w:tc>
                <w:tcPr>
                  <w:tcW w:w="737" w:type="dxa"/>
                  <w:vAlign w:val="center"/>
                </w:tcPr>
                <w:p w14:paraId="372D874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可靠性要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Merge w:val="continue"/>
                  <w:tcBorders>
                    <w:top w:val="nil"/>
                  </w:tcBorders>
                  <w:vAlign w:val="center"/>
                </w:tcPr>
                <w:p w14:paraId="37D21358">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908865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MTBF</w:t>
                  </w:r>
                  <w:r>
                    <w:rPr>
                      <w:rFonts w:hint="eastAsia" w:ascii="宋体" w:hAnsi="宋体" w:eastAsia="宋体" w:cs="宋体"/>
                      <w:i w:val="0"/>
                      <w:iCs w:val="0"/>
                      <w:color w:val="auto"/>
                      <w:spacing w:val="-24"/>
                      <w:sz w:val="24"/>
                      <w:szCs w:val="24"/>
                      <w:highlight w:val="none"/>
                      <w:u w:val="none"/>
                      <w:lang w:val="en-US" w:eastAsia="zh-CN" w:bidi="ar-SA"/>
                    </w:rPr>
                    <w:t xml:space="preserve"> 测</w:t>
                  </w:r>
                  <w:r>
                    <w:rPr>
                      <w:rFonts w:hint="eastAsia" w:ascii="宋体" w:hAnsi="宋体" w:eastAsia="宋体" w:cs="宋体"/>
                      <w:i w:val="0"/>
                      <w:iCs w:val="0"/>
                      <w:color w:val="auto"/>
                      <w:spacing w:val="-10"/>
                      <w:sz w:val="24"/>
                      <w:szCs w:val="24"/>
                      <w:highlight w:val="none"/>
                      <w:u w:val="none"/>
                      <w:lang w:val="en-US" w:eastAsia="zh-CN" w:bidi="ar-SA"/>
                    </w:rPr>
                    <w:t>试</w:t>
                  </w:r>
                </w:p>
              </w:tc>
              <w:tc>
                <w:tcPr>
                  <w:tcW w:w="3214" w:type="dxa"/>
                  <w:vAlign w:val="center"/>
                </w:tcPr>
                <w:p w14:paraId="1DC0CB0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MTBF(m1)≥3</w:t>
                  </w:r>
                  <w:r>
                    <w:rPr>
                      <w:rFonts w:hint="eastAsia" w:ascii="宋体" w:hAnsi="宋体" w:eastAsia="宋体" w:cs="宋体"/>
                      <w:i/>
                      <w:iCs/>
                      <w:color w:val="auto"/>
                      <w:spacing w:val="-11"/>
                      <w:sz w:val="24"/>
                      <w:szCs w:val="24"/>
                      <w:highlight w:val="none"/>
                      <w:u w:val="single"/>
                      <w:lang w:val="en-US" w:eastAsia="zh-CN" w:bidi="ar-SA"/>
                    </w:rPr>
                    <w:t xml:space="preserve"> 万小时</w:t>
                  </w:r>
                </w:p>
              </w:tc>
            </w:tr>
            <w:tr w14:paraId="1EC0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549BA51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161</w:t>
                  </w:r>
                </w:p>
              </w:tc>
              <w:tc>
                <w:tcPr>
                  <w:tcW w:w="737" w:type="dxa"/>
                  <w:vAlign w:val="center"/>
                </w:tcPr>
                <w:p w14:paraId="65BF80F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兼容</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25BE452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兼容</w:t>
                  </w:r>
                  <w:r>
                    <w:rPr>
                      <w:rFonts w:hint="eastAsia" w:ascii="宋体" w:hAnsi="宋体" w:eastAsia="宋体" w:cs="宋体"/>
                      <w:i w:val="0"/>
                      <w:iCs w:val="0"/>
                      <w:color w:val="auto"/>
                      <w:spacing w:val="-5"/>
                      <w:sz w:val="24"/>
                      <w:szCs w:val="24"/>
                      <w:highlight w:val="none"/>
                      <w:u w:val="none"/>
                      <w:lang w:val="en-US" w:eastAsia="zh-CN" w:bidi="ar-SA"/>
                    </w:rPr>
                    <w:t>要求</w:t>
                  </w:r>
                </w:p>
              </w:tc>
              <w:tc>
                <w:tcPr>
                  <w:tcW w:w="958" w:type="dxa"/>
                  <w:vAlign w:val="center"/>
                </w:tcPr>
                <w:p w14:paraId="521CF50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常用软件兼容</w:t>
                  </w:r>
                </w:p>
              </w:tc>
              <w:tc>
                <w:tcPr>
                  <w:tcW w:w="3214" w:type="dxa"/>
                  <w:vAlign w:val="center"/>
                </w:tcPr>
                <w:p w14:paraId="3BCBB11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应支持流式软件、版式软件、浏览器、邮件客户端、解压软件、多媒体、图形图像处理等常用软件</w:t>
                  </w:r>
                </w:p>
              </w:tc>
            </w:tr>
            <w:tr w14:paraId="7BFAB4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1D46FE6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162</w:t>
                  </w:r>
                </w:p>
              </w:tc>
              <w:tc>
                <w:tcPr>
                  <w:tcW w:w="737" w:type="dxa"/>
                  <w:vAlign w:val="center"/>
                </w:tcPr>
                <w:p w14:paraId="72A082F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兼容</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525B06BB">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58ACACB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数据库</w:t>
                  </w:r>
                  <w:r>
                    <w:rPr>
                      <w:rFonts w:hint="eastAsia" w:ascii="宋体" w:hAnsi="宋体" w:eastAsia="宋体" w:cs="宋体"/>
                      <w:i w:val="0"/>
                      <w:iCs w:val="0"/>
                      <w:color w:val="auto"/>
                      <w:spacing w:val="-6"/>
                      <w:sz w:val="24"/>
                      <w:szCs w:val="24"/>
                      <w:highlight w:val="none"/>
                      <w:u w:val="none"/>
                      <w:lang w:val="en-US" w:eastAsia="zh-CN" w:bidi="ar-SA"/>
                    </w:rPr>
                    <w:t>兼容</w:t>
                  </w:r>
                </w:p>
              </w:tc>
              <w:tc>
                <w:tcPr>
                  <w:tcW w:w="3214" w:type="dxa"/>
                  <w:vAlign w:val="center"/>
                </w:tcPr>
                <w:p w14:paraId="62DC700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兼容 </w:t>
                  </w:r>
                  <w:r>
                    <w:rPr>
                      <w:rFonts w:hint="eastAsia" w:ascii="宋体" w:hAnsi="宋体" w:eastAsia="宋体" w:cs="宋体"/>
                      <w:i/>
                      <w:iCs/>
                      <w:color w:val="auto"/>
                      <w:sz w:val="24"/>
                      <w:szCs w:val="24"/>
                      <w:highlight w:val="none"/>
                      <w:u w:val="single"/>
                      <w:lang w:val="en-US" w:eastAsia="zh-CN" w:bidi="ar-SA"/>
                    </w:rPr>
                    <w:t>3</w:t>
                  </w:r>
                  <w:r>
                    <w:rPr>
                      <w:rFonts w:hint="eastAsia" w:ascii="宋体" w:hAnsi="宋体" w:eastAsia="宋体" w:cs="宋体"/>
                      <w:i/>
                      <w:iCs/>
                      <w:color w:val="auto"/>
                      <w:spacing w:val="-8"/>
                      <w:sz w:val="24"/>
                      <w:szCs w:val="24"/>
                      <w:highlight w:val="none"/>
                      <w:u w:val="single"/>
                      <w:lang w:val="en-US" w:eastAsia="zh-CN" w:bidi="ar-SA"/>
                    </w:rPr>
                    <w:t xml:space="preserve"> 个及以上厂商的数据库产品</w:t>
                  </w:r>
                </w:p>
              </w:tc>
            </w:tr>
            <w:tr w14:paraId="1B394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49ED5F3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163</w:t>
                  </w:r>
                </w:p>
              </w:tc>
              <w:tc>
                <w:tcPr>
                  <w:tcW w:w="737" w:type="dxa"/>
                  <w:vAlign w:val="center"/>
                </w:tcPr>
                <w:p w14:paraId="3EFD767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兼容</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54C47206">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4512B1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中间件</w:t>
                  </w:r>
                  <w:r>
                    <w:rPr>
                      <w:rFonts w:hint="eastAsia" w:ascii="宋体" w:hAnsi="宋体" w:eastAsia="宋体" w:cs="宋体"/>
                      <w:i w:val="0"/>
                      <w:iCs w:val="0"/>
                      <w:color w:val="auto"/>
                      <w:spacing w:val="-6"/>
                      <w:sz w:val="24"/>
                      <w:szCs w:val="24"/>
                      <w:highlight w:val="none"/>
                      <w:u w:val="none"/>
                      <w:lang w:val="en-US" w:eastAsia="zh-CN" w:bidi="ar-SA"/>
                    </w:rPr>
                    <w:t>兼容</w:t>
                  </w:r>
                </w:p>
              </w:tc>
              <w:tc>
                <w:tcPr>
                  <w:tcW w:w="3214" w:type="dxa"/>
                  <w:vAlign w:val="center"/>
                </w:tcPr>
                <w:p w14:paraId="2F1ADD8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63A8E2D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兼容 </w:t>
                  </w:r>
                  <w:r>
                    <w:rPr>
                      <w:rFonts w:hint="eastAsia" w:ascii="宋体" w:hAnsi="宋体" w:eastAsia="宋体" w:cs="宋体"/>
                      <w:i/>
                      <w:iCs/>
                      <w:color w:val="auto"/>
                      <w:sz w:val="24"/>
                      <w:szCs w:val="24"/>
                      <w:highlight w:val="none"/>
                      <w:u w:val="single"/>
                      <w:lang w:val="en-US" w:eastAsia="zh-CN" w:bidi="ar-SA"/>
                    </w:rPr>
                    <w:t>3</w:t>
                  </w:r>
                  <w:r>
                    <w:rPr>
                      <w:rFonts w:hint="eastAsia" w:ascii="宋体" w:hAnsi="宋体" w:eastAsia="宋体" w:cs="宋体"/>
                      <w:i/>
                      <w:iCs/>
                      <w:color w:val="auto"/>
                      <w:spacing w:val="-8"/>
                      <w:sz w:val="24"/>
                      <w:szCs w:val="24"/>
                      <w:highlight w:val="none"/>
                      <w:u w:val="single"/>
                      <w:lang w:val="en-US" w:eastAsia="zh-CN" w:bidi="ar-SA"/>
                    </w:rPr>
                    <w:t xml:space="preserve"> 个及以上厂商中间件产品</w:t>
                  </w:r>
                </w:p>
              </w:tc>
            </w:tr>
            <w:tr w14:paraId="1427F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79A3E79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164</w:t>
                  </w:r>
                </w:p>
              </w:tc>
              <w:tc>
                <w:tcPr>
                  <w:tcW w:w="737" w:type="dxa"/>
                  <w:vAlign w:val="center"/>
                </w:tcPr>
                <w:p w14:paraId="42B96B2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兼容</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3A82421A">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812E3A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平台软件兼容</w:t>
                  </w:r>
                </w:p>
              </w:tc>
              <w:tc>
                <w:tcPr>
                  <w:tcW w:w="3214" w:type="dxa"/>
                  <w:vAlign w:val="center"/>
                </w:tcPr>
                <w:p w14:paraId="357DDC2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7"/>
                      <w:sz w:val="24"/>
                      <w:szCs w:val="24"/>
                      <w:highlight w:val="none"/>
                      <w:u w:val="single"/>
                      <w:lang w:val="en-US" w:eastAsia="zh-CN" w:bidi="ar-SA"/>
                    </w:rPr>
                    <w:t xml:space="preserve">兼容 </w:t>
                  </w:r>
                  <w:r>
                    <w:rPr>
                      <w:rFonts w:hint="eastAsia" w:ascii="宋体" w:hAnsi="宋体" w:eastAsia="宋体" w:cs="宋体"/>
                      <w:i/>
                      <w:iCs/>
                      <w:color w:val="auto"/>
                      <w:spacing w:val="-2"/>
                      <w:sz w:val="24"/>
                      <w:szCs w:val="24"/>
                      <w:highlight w:val="none"/>
                      <w:u w:val="single"/>
                      <w:lang w:val="en-US" w:eastAsia="zh-CN" w:bidi="ar-SA"/>
                    </w:rPr>
                    <w:t>3</w:t>
                  </w:r>
                  <w:r>
                    <w:rPr>
                      <w:rFonts w:hint="eastAsia" w:ascii="宋体" w:hAnsi="宋体" w:eastAsia="宋体" w:cs="宋体"/>
                      <w:i/>
                      <w:iCs/>
                      <w:color w:val="auto"/>
                      <w:spacing w:val="-9"/>
                      <w:sz w:val="24"/>
                      <w:szCs w:val="24"/>
                      <w:highlight w:val="none"/>
                      <w:u w:val="single"/>
                      <w:lang w:val="en-US" w:eastAsia="zh-CN" w:bidi="ar-SA"/>
                    </w:rPr>
                    <w:t xml:space="preserve"> 个及以上厂商云计算及大数据</w:t>
                  </w:r>
                  <w:r>
                    <w:rPr>
                      <w:rFonts w:hint="eastAsia" w:ascii="宋体" w:hAnsi="宋体" w:eastAsia="宋体" w:cs="宋体"/>
                      <w:i/>
                      <w:iCs/>
                      <w:color w:val="auto"/>
                      <w:spacing w:val="-6"/>
                      <w:sz w:val="24"/>
                      <w:szCs w:val="24"/>
                      <w:highlight w:val="none"/>
                      <w:u w:val="single"/>
                      <w:lang w:val="en-US" w:eastAsia="zh-CN" w:bidi="ar-SA"/>
                    </w:rPr>
                    <w:t>平台</w:t>
                  </w:r>
                </w:p>
              </w:tc>
            </w:tr>
            <w:tr w14:paraId="62C43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443307F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165</w:t>
                  </w:r>
                </w:p>
              </w:tc>
              <w:tc>
                <w:tcPr>
                  <w:tcW w:w="737" w:type="dxa"/>
                  <w:vAlign w:val="center"/>
                </w:tcPr>
                <w:p w14:paraId="3C8BDC1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包装及运输要</w:t>
                  </w:r>
                  <w:r>
                    <w:rPr>
                      <w:rFonts w:hint="eastAsia" w:ascii="宋体" w:hAnsi="宋体" w:eastAsia="宋体" w:cs="宋体"/>
                      <w:i w:val="0"/>
                      <w:iCs w:val="0"/>
                      <w:color w:val="auto"/>
                      <w:spacing w:val="-10"/>
                      <w:sz w:val="24"/>
                      <w:szCs w:val="24"/>
                      <w:highlight w:val="none"/>
                      <w:u w:val="none"/>
                      <w:lang w:val="en-US" w:eastAsia="zh-CN" w:bidi="ar-SA"/>
                    </w:rPr>
                    <w:t>求</w:t>
                  </w:r>
                </w:p>
              </w:tc>
              <w:tc>
                <w:tcPr>
                  <w:tcW w:w="885" w:type="dxa"/>
                  <w:vAlign w:val="center"/>
                </w:tcPr>
                <w:p w14:paraId="6928AE2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包装</w:t>
                  </w:r>
                  <w:r>
                    <w:rPr>
                      <w:rFonts w:hint="eastAsia" w:ascii="宋体" w:hAnsi="宋体" w:eastAsia="宋体" w:cs="宋体"/>
                      <w:i w:val="0"/>
                      <w:iCs w:val="0"/>
                      <w:color w:val="auto"/>
                      <w:spacing w:val="-6"/>
                      <w:sz w:val="24"/>
                      <w:szCs w:val="24"/>
                      <w:highlight w:val="none"/>
                      <w:u w:val="none"/>
                      <w:lang w:val="en-US" w:eastAsia="zh-CN" w:bidi="ar-SA"/>
                    </w:rPr>
                    <w:t>及运输要</w:t>
                  </w:r>
                  <w:r>
                    <w:rPr>
                      <w:rFonts w:hint="eastAsia" w:ascii="宋体" w:hAnsi="宋体" w:eastAsia="宋体" w:cs="宋体"/>
                      <w:i w:val="0"/>
                      <w:iCs w:val="0"/>
                      <w:color w:val="auto"/>
                      <w:spacing w:val="-10"/>
                      <w:sz w:val="24"/>
                      <w:szCs w:val="24"/>
                      <w:highlight w:val="none"/>
                      <w:u w:val="none"/>
                      <w:lang w:val="en-US" w:eastAsia="zh-CN" w:bidi="ar-SA"/>
                    </w:rPr>
                    <w:t>求</w:t>
                  </w:r>
                </w:p>
              </w:tc>
              <w:tc>
                <w:tcPr>
                  <w:tcW w:w="958" w:type="dxa"/>
                  <w:vAlign w:val="center"/>
                </w:tcPr>
                <w:p w14:paraId="523B7D3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1"/>
                      <w:sz w:val="24"/>
                      <w:szCs w:val="24"/>
                      <w:highlight w:val="none"/>
                      <w:u w:val="none"/>
                      <w:lang w:val="en-US" w:eastAsia="zh-CN" w:bidi="ar-SA"/>
                    </w:rPr>
                    <w:t>标志、包</w:t>
                  </w:r>
                  <w:r>
                    <w:rPr>
                      <w:rFonts w:hint="eastAsia" w:ascii="宋体" w:hAnsi="宋体" w:eastAsia="宋体" w:cs="宋体"/>
                      <w:i w:val="0"/>
                      <w:iCs w:val="0"/>
                      <w:color w:val="auto"/>
                      <w:spacing w:val="-4"/>
                      <w:sz w:val="24"/>
                      <w:szCs w:val="24"/>
                      <w:highlight w:val="none"/>
                      <w:u w:val="none"/>
                      <w:lang w:val="en-US" w:eastAsia="zh-CN" w:bidi="ar-SA"/>
                    </w:rPr>
                    <w:t>装、运输和贮存</w:t>
                  </w:r>
                </w:p>
              </w:tc>
              <w:tc>
                <w:tcPr>
                  <w:tcW w:w="3214" w:type="dxa"/>
                  <w:vAlign w:val="center"/>
                </w:tcPr>
                <w:p w14:paraId="06FBEA3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3"/>
                      <w:sz w:val="24"/>
                      <w:szCs w:val="24"/>
                      <w:highlight w:val="none"/>
                      <w:u w:val="single"/>
                      <w:lang w:val="en-US" w:eastAsia="zh-CN" w:bidi="ar-SA"/>
                    </w:rPr>
                    <w:t>符合</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44"/>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9813.1</w:t>
                  </w:r>
                  <w:r>
                    <w:rPr>
                      <w:rFonts w:hint="eastAsia" w:ascii="宋体" w:hAnsi="宋体" w:eastAsia="宋体" w:cs="宋体"/>
                      <w:i/>
                      <w:iCs/>
                      <w:color w:val="auto"/>
                      <w:spacing w:val="-8"/>
                      <w:sz w:val="24"/>
                      <w:szCs w:val="24"/>
                      <w:highlight w:val="none"/>
                      <w:u w:val="single"/>
                      <w:lang w:val="en-US" w:eastAsia="zh-CN" w:bidi="ar-SA"/>
                    </w:rPr>
                    <w:t xml:space="preserve"> 和商品包装政府采购</w:t>
                  </w:r>
                  <w:r>
                    <w:rPr>
                      <w:rFonts w:hint="eastAsia" w:ascii="宋体" w:hAnsi="宋体" w:eastAsia="宋体" w:cs="宋体"/>
                      <w:i/>
                      <w:iCs/>
                      <w:color w:val="auto"/>
                      <w:spacing w:val="-2"/>
                      <w:sz w:val="24"/>
                      <w:szCs w:val="24"/>
                      <w:highlight w:val="none"/>
                      <w:u w:val="single"/>
                      <w:lang w:val="en-US" w:eastAsia="zh-CN" w:bidi="ar-SA"/>
                    </w:rPr>
                    <w:t>需求标准的相关规定</w:t>
                  </w:r>
                </w:p>
              </w:tc>
            </w:tr>
            <w:tr w14:paraId="6DEDBF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619A8FD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166</w:t>
                  </w:r>
                </w:p>
              </w:tc>
              <w:tc>
                <w:tcPr>
                  <w:tcW w:w="737" w:type="dxa"/>
                  <w:vAlign w:val="center"/>
                </w:tcPr>
                <w:p w14:paraId="0BA2C44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4C48451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958" w:type="dxa"/>
                  <w:vAlign w:val="center"/>
                </w:tcPr>
                <w:p w14:paraId="0DEFF98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配置检查工具</w:t>
                  </w:r>
                </w:p>
              </w:tc>
              <w:tc>
                <w:tcPr>
                  <w:tcW w:w="3214" w:type="dxa"/>
                  <w:vAlign w:val="center"/>
                </w:tcPr>
                <w:p w14:paraId="1D7943B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6022380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供应商提供经自检测试工具</w:t>
                  </w:r>
                </w:p>
              </w:tc>
            </w:tr>
            <w:tr w14:paraId="361F6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0" w:hRule="atLeast"/>
              </w:trPr>
              <w:tc>
                <w:tcPr>
                  <w:tcW w:w="600" w:type="dxa"/>
                  <w:vAlign w:val="center"/>
                </w:tcPr>
                <w:p w14:paraId="7186198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167</w:t>
                  </w:r>
                </w:p>
              </w:tc>
              <w:tc>
                <w:tcPr>
                  <w:tcW w:w="737" w:type="dxa"/>
                  <w:vAlign w:val="center"/>
                </w:tcPr>
                <w:p w14:paraId="55B618E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E348B99">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C32966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p>
                <w:p w14:paraId="07480B3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服务响</w:t>
                  </w:r>
                  <w:r>
                    <w:rPr>
                      <w:rFonts w:hint="eastAsia" w:ascii="宋体" w:hAnsi="宋体" w:eastAsia="宋体" w:cs="宋体"/>
                      <w:i w:val="0"/>
                      <w:iCs w:val="0"/>
                      <w:color w:val="auto"/>
                      <w:spacing w:val="-10"/>
                      <w:sz w:val="24"/>
                      <w:szCs w:val="24"/>
                      <w:highlight w:val="none"/>
                      <w:u w:val="none"/>
                      <w:lang w:val="en-US" w:eastAsia="zh-CN" w:bidi="ar-SA"/>
                    </w:rPr>
                    <w:t>应</w:t>
                  </w:r>
                </w:p>
              </w:tc>
              <w:tc>
                <w:tcPr>
                  <w:tcW w:w="3214" w:type="dxa"/>
                  <w:vAlign w:val="center"/>
                </w:tcPr>
                <w:p w14:paraId="2403BBA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a）</w:t>
                  </w:r>
                  <w:r>
                    <w:rPr>
                      <w:rFonts w:hint="eastAsia" w:ascii="宋体" w:hAnsi="宋体" w:eastAsia="宋体" w:cs="宋体"/>
                      <w:i/>
                      <w:iCs/>
                      <w:color w:val="auto"/>
                      <w:spacing w:val="-8"/>
                      <w:sz w:val="24"/>
                      <w:szCs w:val="24"/>
                      <w:highlight w:val="none"/>
                      <w:u w:val="single"/>
                      <w:lang w:val="en-US" w:eastAsia="zh-CN" w:bidi="ar-SA"/>
                    </w:rPr>
                    <w:t xml:space="preserve">提供产品 </w:t>
                  </w:r>
                  <w:r>
                    <w:rPr>
                      <w:rFonts w:hint="eastAsia" w:ascii="宋体" w:hAnsi="宋体" w:eastAsia="宋体" w:cs="宋体"/>
                      <w:i/>
                      <w:iCs/>
                      <w:color w:val="auto"/>
                      <w:spacing w:val="-2"/>
                      <w:sz w:val="24"/>
                      <w:szCs w:val="24"/>
                      <w:highlight w:val="none"/>
                      <w:u w:val="single"/>
                      <w:lang w:val="en-US" w:eastAsia="zh-CN" w:bidi="ar-SA"/>
                    </w:rPr>
                    <w:t>3</w:t>
                  </w:r>
                  <w:r>
                    <w:rPr>
                      <w:rFonts w:hint="eastAsia" w:ascii="宋体" w:hAnsi="宋体" w:eastAsia="宋体" w:cs="宋体"/>
                      <w:i/>
                      <w:iCs/>
                      <w:color w:val="auto"/>
                      <w:spacing w:val="-8"/>
                      <w:sz w:val="24"/>
                      <w:szCs w:val="24"/>
                      <w:highlight w:val="none"/>
                      <w:u w:val="single"/>
                      <w:lang w:val="en-US" w:eastAsia="zh-CN" w:bidi="ar-SA"/>
                    </w:rPr>
                    <w:t xml:space="preserve"> 年维保及上门服务</w:t>
                  </w:r>
                  <w:r>
                    <w:rPr>
                      <w:rFonts w:hint="eastAsia" w:ascii="宋体" w:hAnsi="宋体" w:eastAsia="宋体" w:cs="宋体"/>
                      <w:i/>
                      <w:iCs/>
                      <w:color w:val="auto"/>
                      <w:spacing w:val="-2"/>
                      <w:sz w:val="24"/>
                      <w:szCs w:val="24"/>
                      <w:highlight w:val="none"/>
                      <w:u w:val="single"/>
                      <w:lang w:val="en-US" w:eastAsia="zh-CN" w:bidi="ar-SA"/>
                    </w:rPr>
                    <w:t>（</w:t>
                  </w:r>
                  <w:r>
                    <w:rPr>
                      <w:rFonts w:hint="eastAsia" w:ascii="宋体" w:hAnsi="宋体" w:eastAsia="宋体" w:cs="宋体"/>
                      <w:i/>
                      <w:iCs/>
                      <w:color w:val="auto"/>
                      <w:spacing w:val="-10"/>
                      <w:sz w:val="24"/>
                      <w:szCs w:val="24"/>
                      <w:highlight w:val="none"/>
                      <w:u w:val="single"/>
                      <w:lang w:val="en-US" w:eastAsia="zh-CN" w:bidi="ar-SA"/>
                    </w:rPr>
                    <w:t>满</w:t>
                  </w:r>
                </w:p>
                <w:p w14:paraId="2738044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9"/>
                      <w:sz w:val="24"/>
                      <w:szCs w:val="24"/>
                      <w:highlight w:val="none"/>
                      <w:u w:val="single"/>
                      <w:lang w:val="en-US" w:eastAsia="zh-CN" w:bidi="ar-SA"/>
                    </w:rPr>
                    <w:t>足同城</w:t>
                  </w:r>
                  <w:r>
                    <w:rPr>
                      <w:rFonts w:hint="eastAsia" w:ascii="宋体" w:hAnsi="宋体" w:eastAsia="宋体" w:cs="宋体"/>
                      <w:i/>
                      <w:iCs/>
                      <w:color w:val="auto"/>
                      <w:sz w:val="24"/>
                      <w:szCs w:val="24"/>
                      <w:highlight w:val="none"/>
                      <w:u w:val="single"/>
                      <w:lang w:val="en-US" w:eastAsia="zh-CN" w:bidi="ar-SA"/>
                    </w:rPr>
                    <w:t>4</w:t>
                  </w:r>
                  <w:r>
                    <w:rPr>
                      <w:rFonts w:hint="eastAsia" w:ascii="宋体" w:hAnsi="宋体" w:eastAsia="宋体" w:cs="宋体"/>
                      <w:i/>
                      <w:iCs/>
                      <w:color w:val="auto"/>
                      <w:spacing w:val="-22"/>
                      <w:sz w:val="24"/>
                      <w:szCs w:val="24"/>
                      <w:highlight w:val="none"/>
                      <w:u w:val="single"/>
                      <w:lang w:val="en-US" w:eastAsia="zh-CN" w:bidi="ar-SA"/>
                    </w:rPr>
                    <w:t xml:space="preserve"> 小时、异地</w:t>
                  </w:r>
                  <w:r>
                    <w:rPr>
                      <w:rFonts w:hint="eastAsia" w:ascii="宋体" w:hAnsi="宋体" w:eastAsia="宋体" w:cs="宋体"/>
                      <w:i/>
                      <w:iCs/>
                      <w:color w:val="auto"/>
                      <w:sz w:val="24"/>
                      <w:szCs w:val="24"/>
                      <w:highlight w:val="none"/>
                      <w:u w:val="single"/>
                      <w:lang w:val="en-US" w:eastAsia="zh-CN" w:bidi="ar-SA"/>
                    </w:rPr>
                    <w:t>12</w:t>
                  </w:r>
                  <w:r>
                    <w:rPr>
                      <w:rFonts w:hint="eastAsia" w:ascii="宋体" w:hAnsi="宋体" w:eastAsia="宋体" w:cs="宋体"/>
                      <w:i/>
                      <w:iCs/>
                      <w:color w:val="auto"/>
                      <w:spacing w:val="-9"/>
                      <w:sz w:val="24"/>
                      <w:szCs w:val="24"/>
                      <w:highlight w:val="none"/>
                      <w:u w:val="single"/>
                      <w:lang w:val="en-US" w:eastAsia="zh-CN" w:bidi="ar-SA"/>
                    </w:rPr>
                    <w:t xml:space="preserve"> 小时响应要求</w:t>
                  </w:r>
                  <w:r>
                    <w:rPr>
                      <w:rFonts w:hint="eastAsia" w:ascii="宋体" w:hAnsi="宋体" w:eastAsia="宋体" w:cs="宋体"/>
                      <w:i/>
                      <w:iCs/>
                      <w:color w:val="auto"/>
                      <w:spacing w:val="-53"/>
                      <w:sz w:val="24"/>
                      <w:szCs w:val="24"/>
                      <w:highlight w:val="none"/>
                      <w:u w:val="single"/>
                      <w:lang w:val="en-US" w:eastAsia="zh-CN" w:bidi="ar-SA"/>
                    </w:rPr>
                    <w:t>）；</w:t>
                  </w:r>
                  <w:r>
                    <w:rPr>
                      <w:rFonts w:hint="eastAsia" w:ascii="宋体" w:hAnsi="宋体" w:eastAsia="宋体" w:cs="宋体"/>
                      <w:i/>
                      <w:iCs/>
                      <w:color w:val="auto"/>
                      <w:sz w:val="24"/>
                      <w:szCs w:val="24"/>
                      <w:highlight w:val="none"/>
                      <w:u w:val="single"/>
                      <w:lang w:val="en-US" w:eastAsia="zh-CN" w:bidi="ar-SA"/>
                    </w:rPr>
                    <w:t xml:space="preserve"> b）</w:t>
                  </w:r>
                  <w:r>
                    <w:rPr>
                      <w:rFonts w:hint="eastAsia" w:ascii="宋体" w:hAnsi="宋体" w:eastAsia="宋体" w:cs="宋体"/>
                      <w:i/>
                      <w:iCs/>
                      <w:color w:val="auto"/>
                      <w:spacing w:val="-3"/>
                      <w:sz w:val="24"/>
                      <w:szCs w:val="24"/>
                      <w:highlight w:val="none"/>
                      <w:u w:val="single"/>
                      <w:lang w:val="en-US" w:eastAsia="zh-CN" w:bidi="ar-SA"/>
                    </w:rPr>
                    <w:t xml:space="preserve">提供政企专线 </w:t>
                  </w:r>
                  <w:r>
                    <w:rPr>
                      <w:rFonts w:hint="eastAsia" w:ascii="宋体" w:hAnsi="宋体" w:eastAsia="宋体" w:cs="宋体"/>
                      <w:i/>
                      <w:iCs/>
                      <w:color w:val="auto"/>
                      <w:sz w:val="24"/>
                      <w:szCs w:val="24"/>
                      <w:highlight w:val="none"/>
                      <w:u w:val="single"/>
                      <w:lang w:val="en-US" w:eastAsia="zh-CN" w:bidi="ar-SA"/>
                    </w:rPr>
                    <w:t>7*24</w:t>
                  </w:r>
                  <w:r>
                    <w:rPr>
                      <w:rFonts w:hint="eastAsia" w:ascii="宋体" w:hAnsi="宋体" w:eastAsia="宋体" w:cs="宋体"/>
                      <w:i/>
                      <w:iCs/>
                      <w:color w:val="auto"/>
                      <w:spacing w:val="-5"/>
                      <w:sz w:val="24"/>
                      <w:szCs w:val="24"/>
                      <w:highlight w:val="none"/>
                      <w:u w:val="single"/>
                      <w:lang w:val="en-US" w:eastAsia="zh-CN" w:bidi="ar-SA"/>
                    </w:rPr>
                    <w:t xml:space="preserve"> 在线服务；</w:t>
                  </w:r>
                </w:p>
                <w:p w14:paraId="3FDADD2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c）</w:t>
                  </w:r>
                  <w:r>
                    <w:rPr>
                      <w:rFonts w:hint="eastAsia" w:ascii="宋体" w:hAnsi="宋体" w:eastAsia="宋体" w:cs="宋体"/>
                      <w:i/>
                      <w:iCs/>
                      <w:color w:val="auto"/>
                      <w:spacing w:val="-3"/>
                      <w:sz w:val="24"/>
                      <w:szCs w:val="24"/>
                      <w:highlight w:val="none"/>
                      <w:u w:val="single"/>
                      <w:lang w:val="en-US" w:eastAsia="zh-CN" w:bidi="ar-SA"/>
                    </w:rPr>
                    <w:t>现场保障技术服务团队员，国内上</w:t>
                  </w:r>
                </w:p>
                <w:p w14:paraId="01D120B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 xml:space="preserve">门服务地级市覆盖率达 </w:t>
                  </w:r>
                  <w:r>
                    <w:rPr>
                      <w:rFonts w:hint="eastAsia" w:ascii="宋体" w:hAnsi="宋体" w:eastAsia="宋体" w:cs="宋体"/>
                      <w:i/>
                      <w:iCs/>
                      <w:color w:val="auto"/>
                      <w:spacing w:val="-4"/>
                      <w:sz w:val="24"/>
                      <w:szCs w:val="24"/>
                      <w:highlight w:val="none"/>
                      <w:u w:val="single"/>
                      <w:lang w:val="en-US" w:eastAsia="zh-CN" w:bidi="ar-SA"/>
                    </w:rPr>
                    <w:t>100%</w:t>
                  </w:r>
                </w:p>
              </w:tc>
            </w:tr>
            <w:tr w14:paraId="05047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600" w:type="dxa"/>
                  <w:vAlign w:val="center"/>
                </w:tcPr>
                <w:p w14:paraId="6707356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168</w:t>
                  </w:r>
                </w:p>
              </w:tc>
              <w:tc>
                <w:tcPr>
                  <w:tcW w:w="737" w:type="dxa"/>
                  <w:vAlign w:val="center"/>
                </w:tcPr>
                <w:p w14:paraId="0CAD39B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326F0284">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723FF23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服务周</w:t>
                  </w:r>
                  <w:r>
                    <w:rPr>
                      <w:rFonts w:hint="eastAsia" w:ascii="宋体" w:hAnsi="宋体" w:eastAsia="宋体" w:cs="宋体"/>
                      <w:i w:val="0"/>
                      <w:iCs w:val="0"/>
                      <w:color w:val="auto"/>
                      <w:spacing w:val="-10"/>
                      <w:sz w:val="24"/>
                      <w:szCs w:val="24"/>
                      <w:highlight w:val="none"/>
                      <w:u w:val="none"/>
                      <w:lang w:val="en-US" w:eastAsia="zh-CN" w:bidi="ar-SA"/>
                    </w:rPr>
                    <w:t>期</w:t>
                  </w:r>
                </w:p>
              </w:tc>
              <w:tc>
                <w:tcPr>
                  <w:tcW w:w="3214" w:type="dxa"/>
                  <w:vAlign w:val="center"/>
                </w:tcPr>
                <w:p w14:paraId="32A5925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支持产品延保≥3</w:t>
                  </w:r>
                  <w:r>
                    <w:rPr>
                      <w:rFonts w:hint="eastAsia" w:ascii="宋体" w:hAnsi="宋体" w:eastAsia="宋体" w:cs="宋体"/>
                      <w:i/>
                      <w:iCs/>
                      <w:color w:val="auto"/>
                      <w:spacing w:val="-22"/>
                      <w:sz w:val="24"/>
                      <w:szCs w:val="24"/>
                      <w:highlight w:val="none"/>
                      <w:u w:val="single"/>
                      <w:lang w:val="en-US" w:eastAsia="zh-CN" w:bidi="ar-SA"/>
                    </w:rPr>
                    <w:t xml:space="preserve"> 年</w:t>
                  </w:r>
                  <w:r>
                    <w:rPr>
                      <w:rFonts w:hint="eastAsia" w:ascii="宋体" w:hAnsi="宋体" w:eastAsia="宋体" w:cs="宋体"/>
                      <w:i/>
                      <w:iCs/>
                      <w:color w:val="auto"/>
                      <w:sz w:val="24"/>
                      <w:szCs w:val="24"/>
                      <w:highlight w:val="none"/>
                      <w:u w:val="single"/>
                      <w:lang w:val="en-US" w:eastAsia="zh-CN" w:bidi="ar-SA"/>
                    </w:rPr>
                    <w:t xml:space="preserve"> </w:t>
                  </w:r>
                  <w:r>
                    <w:rPr>
                      <w:rFonts w:hint="eastAsia" w:ascii="宋体" w:hAnsi="宋体" w:eastAsia="宋体" w:cs="宋体"/>
                      <w:i/>
                      <w:iCs/>
                      <w:color w:val="auto"/>
                      <w:spacing w:val="-2"/>
                      <w:sz w:val="24"/>
                      <w:szCs w:val="24"/>
                      <w:highlight w:val="none"/>
                      <w:u w:val="single"/>
                      <w:lang w:val="en-US" w:eastAsia="zh-CN" w:bidi="ar-SA"/>
                    </w:rPr>
                    <w:t>提供每年延保服务报价</w:t>
                  </w:r>
                </w:p>
                <w:p w14:paraId="6AD0D84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提供备件服务能力≥6</w:t>
                  </w:r>
                  <w:r>
                    <w:rPr>
                      <w:rFonts w:hint="eastAsia" w:ascii="宋体" w:hAnsi="宋体" w:eastAsia="宋体" w:cs="宋体"/>
                      <w:i/>
                      <w:iCs/>
                      <w:color w:val="auto"/>
                      <w:spacing w:val="-17"/>
                      <w:sz w:val="24"/>
                      <w:szCs w:val="24"/>
                      <w:highlight w:val="none"/>
                      <w:u w:val="single"/>
                      <w:lang w:val="en-US" w:eastAsia="zh-CN" w:bidi="ar-SA"/>
                    </w:rPr>
                    <w:t xml:space="preserve"> 年</w:t>
                  </w:r>
                  <w:r>
                    <w:rPr>
                      <w:rFonts w:hint="eastAsia" w:ascii="宋体" w:hAnsi="宋体" w:eastAsia="宋体" w:cs="宋体"/>
                      <w:i/>
                      <w:iCs/>
                      <w:color w:val="auto"/>
                      <w:spacing w:val="-2"/>
                      <w:sz w:val="24"/>
                      <w:szCs w:val="24"/>
                      <w:highlight w:val="none"/>
                      <w:u w:val="single"/>
                      <w:lang w:val="en-US" w:eastAsia="zh-CN" w:bidi="ar-SA"/>
                    </w:rPr>
                    <w:t>（</w:t>
                  </w:r>
                  <w:r>
                    <w:rPr>
                      <w:rFonts w:hint="eastAsia" w:ascii="宋体" w:hAnsi="宋体" w:eastAsia="宋体" w:cs="宋体"/>
                      <w:i/>
                      <w:iCs/>
                      <w:color w:val="auto"/>
                      <w:spacing w:val="-4"/>
                      <w:sz w:val="24"/>
                      <w:szCs w:val="24"/>
                      <w:highlight w:val="none"/>
                      <w:u w:val="single"/>
                      <w:lang w:val="en-US" w:eastAsia="zh-CN" w:bidi="ar-SA"/>
                    </w:rPr>
                    <w:t>自购买之日</w:t>
                  </w:r>
                  <w:r>
                    <w:rPr>
                      <w:rFonts w:hint="eastAsia" w:ascii="宋体" w:hAnsi="宋体" w:eastAsia="宋体" w:cs="宋体"/>
                      <w:i/>
                      <w:iCs/>
                      <w:color w:val="auto"/>
                      <w:sz w:val="24"/>
                      <w:szCs w:val="24"/>
                      <w:highlight w:val="none"/>
                      <w:u w:val="single"/>
                      <w:lang w:val="en-US" w:eastAsia="zh-CN" w:bidi="ar-SA"/>
                    </w:rPr>
                    <w:t>起</w:t>
                  </w:r>
                  <w:r>
                    <w:rPr>
                      <w:rFonts w:hint="eastAsia" w:ascii="宋体" w:hAnsi="宋体" w:eastAsia="宋体" w:cs="宋体"/>
                      <w:i/>
                      <w:iCs/>
                      <w:color w:val="auto"/>
                      <w:spacing w:val="-10"/>
                      <w:sz w:val="24"/>
                      <w:szCs w:val="24"/>
                      <w:highlight w:val="none"/>
                      <w:u w:val="single"/>
                      <w:lang w:val="en-US" w:eastAsia="zh-CN" w:bidi="ar-SA"/>
                    </w:rPr>
                    <w:t>）</w:t>
                  </w:r>
                </w:p>
              </w:tc>
            </w:tr>
            <w:tr w14:paraId="5F33B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trPr>
              <w:tc>
                <w:tcPr>
                  <w:tcW w:w="600" w:type="dxa"/>
                  <w:vAlign w:val="center"/>
                </w:tcPr>
                <w:p w14:paraId="4B72019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169</w:t>
                  </w:r>
                </w:p>
              </w:tc>
              <w:tc>
                <w:tcPr>
                  <w:tcW w:w="737" w:type="dxa"/>
                  <w:vAlign w:val="center"/>
                </w:tcPr>
                <w:p w14:paraId="7D1909B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62EC494B">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6248FC8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预装操作系统</w:t>
                  </w:r>
                </w:p>
              </w:tc>
              <w:tc>
                <w:tcPr>
                  <w:tcW w:w="3214" w:type="dxa"/>
                  <w:vAlign w:val="center"/>
                </w:tcPr>
                <w:p w14:paraId="6CB9C9B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预装符合桌面操作系统政府采购需求标准的正版操作系统</w:t>
                  </w:r>
                </w:p>
              </w:tc>
            </w:tr>
            <w:tr w14:paraId="0163A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65565FA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170</w:t>
                  </w:r>
                </w:p>
              </w:tc>
              <w:tc>
                <w:tcPr>
                  <w:tcW w:w="737" w:type="dxa"/>
                  <w:vAlign w:val="center"/>
                </w:tcPr>
                <w:p w14:paraId="0CC69E6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C44B80C">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409922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培训服</w:t>
                  </w:r>
                  <w:r>
                    <w:rPr>
                      <w:rFonts w:hint="eastAsia" w:ascii="宋体" w:hAnsi="宋体" w:eastAsia="宋体" w:cs="宋体"/>
                      <w:i w:val="0"/>
                      <w:iCs w:val="0"/>
                      <w:color w:val="auto"/>
                      <w:spacing w:val="-10"/>
                      <w:sz w:val="24"/>
                      <w:szCs w:val="24"/>
                      <w:highlight w:val="none"/>
                      <w:u w:val="none"/>
                      <w:lang w:val="en-US" w:eastAsia="zh-CN" w:bidi="ar-SA"/>
                    </w:rPr>
                    <w:t>务</w:t>
                  </w:r>
                </w:p>
              </w:tc>
              <w:tc>
                <w:tcPr>
                  <w:tcW w:w="3214" w:type="dxa"/>
                  <w:vAlign w:val="center"/>
                </w:tcPr>
                <w:p w14:paraId="7962D9A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供应商提供培训材料、产品手册、培训</w:t>
                  </w:r>
                  <w:r>
                    <w:rPr>
                      <w:rFonts w:hint="eastAsia" w:ascii="宋体" w:hAnsi="宋体" w:eastAsia="宋体" w:cs="宋体"/>
                      <w:i/>
                      <w:iCs/>
                      <w:color w:val="auto"/>
                      <w:spacing w:val="-2"/>
                      <w:sz w:val="24"/>
                      <w:szCs w:val="24"/>
                      <w:highlight w:val="none"/>
                      <w:u w:val="single"/>
                      <w:lang w:val="en-US" w:eastAsia="zh-CN" w:bidi="ar-SA"/>
                    </w:rPr>
                    <w:t>视频等培训相关内容</w:t>
                  </w:r>
                </w:p>
              </w:tc>
            </w:tr>
            <w:tr w14:paraId="2E5E80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15BCB5C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171</w:t>
                  </w:r>
                </w:p>
              </w:tc>
              <w:tc>
                <w:tcPr>
                  <w:tcW w:w="737" w:type="dxa"/>
                  <w:vAlign w:val="center"/>
                </w:tcPr>
                <w:p w14:paraId="7A47136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431651A2">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11FCCB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典型问题解决手</w:t>
                  </w:r>
                  <w:r>
                    <w:rPr>
                      <w:rFonts w:hint="eastAsia" w:ascii="宋体" w:hAnsi="宋体" w:eastAsia="宋体" w:cs="宋体"/>
                      <w:i w:val="0"/>
                      <w:iCs w:val="0"/>
                      <w:color w:val="auto"/>
                      <w:spacing w:val="-10"/>
                      <w:sz w:val="24"/>
                      <w:szCs w:val="24"/>
                      <w:highlight w:val="none"/>
                      <w:u w:val="none"/>
                      <w:lang w:val="en-US" w:eastAsia="zh-CN" w:bidi="ar-SA"/>
                    </w:rPr>
                    <w:t>册</w:t>
                  </w:r>
                </w:p>
              </w:tc>
              <w:tc>
                <w:tcPr>
                  <w:tcW w:w="3214" w:type="dxa"/>
                  <w:vAlign w:val="center"/>
                </w:tcPr>
                <w:p w14:paraId="30E0F95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供应商提供典型问题解决说明文档或</w:t>
                  </w:r>
                  <w:r>
                    <w:rPr>
                      <w:rFonts w:hint="eastAsia" w:ascii="宋体" w:hAnsi="宋体" w:eastAsia="宋体" w:cs="宋体"/>
                      <w:i/>
                      <w:iCs/>
                      <w:color w:val="auto"/>
                      <w:spacing w:val="-6"/>
                      <w:sz w:val="24"/>
                      <w:szCs w:val="24"/>
                      <w:highlight w:val="none"/>
                      <w:u w:val="single"/>
                      <w:lang w:val="en-US" w:eastAsia="zh-CN" w:bidi="ar-SA"/>
                    </w:rPr>
                    <w:t>视频</w:t>
                  </w:r>
                </w:p>
              </w:tc>
            </w:tr>
            <w:tr w14:paraId="125BA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73BE997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172</w:t>
                  </w:r>
                </w:p>
              </w:tc>
              <w:tc>
                <w:tcPr>
                  <w:tcW w:w="737" w:type="dxa"/>
                  <w:vAlign w:val="center"/>
                </w:tcPr>
                <w:p w14:paraId="4A79C92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69ECB935">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CCB0D8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厂家升级软件与</w:t>
                  </w:r>
                  <w:r>
                    <w:rPr>
                      <w:rFonts w:hint="eastAsia" w:ascii="宋体" w:hAnsi="宋体" w:eastAsia="宋体" w:cs="宋体"/>
                      <w:i w:val="0"/>
                      <w:iCs w:val="0"/>
                      <w:color w:val="auto"/>
                      <w:spacing w:val="-3"/>
                      <w:sz w:val="24"/>
                      <w:szCs w:val="24"/>
                      <w:highlight w:val="none"/>
                      <w:u w:val="none"/>
                      <w:lang w:val="en-US" w:eastAsia="zh-CN" w:bidi="ar-SA"/>
                    </w:rPr>
                    <w:t>扩容服务</w:t>
                  </w:r>
                </w:p>
              </w:tc>
              <w:tc>
                <w:tcPr>
                  <w:tcW w:w="3214" w:type="dxa"/>
                  <w:vAlign w:val="center"/>
                </w:tcPr>
                <w:p w14:paraId="6337377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供应商提供上门升级部件/软件的增值</w:t>
                  </w:r>
                  <w:r>
                    <w:rPr>
                      <w:rFonts w:hint="eastAsia" w:ascii="宋体" w:hAnsi="宋体" w:eastAsia="宋体" w:cs="宋体"/>
                      <w:i/>
                      <w:iCs/>
                      <w:color w:val="auto"/>
                      <w:spacing w:val="-6"/>
                      <w:sz w:val="24"/>
                      <w:szCs w:val="24"/>
                      <w:highlight w:val="none"/>
                      <w:u w:val="single"/>
                      <w:lang w:val="en-US" w:eastAsia="zh-CN" w:bidi="ar-SA"/>
                    </w:rPr>
                    <w:t>服务</w:t>
                  </w:r>
                </w:p>
              </w:tc>
            </w:tr>
            <w:tr w14:paraId="55DB75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50B4C68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173</w:t>
                  </w:r>
                </w:p>
              </w:tc>
              <w:tc>
                <w:tcPr>
                  <w:tcW w:w="737" w:type="dxa"/>
                  <w:vAlign w:val="center"/>
                </w:tcPr>
                <w:p w14:paraId="4427EAC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07F01DBB">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136FB2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整机质量服务要</w:t>
                  </w:r>
                  <w:r>
                    <w:rPr>
                      <w:rFonts w:hint="eastAsia" w:ascii="宋体" w:hAnsi="宋体" w:eastAsia="宋体" w:cs="宋体"/>
                      <w:i w:val="0"/>
                      <w:iCs w:val="0"/>
                      <w:color w:val="auto"/>
                      <w:spacing w:val="-10"/>
                      <w:sz w:val="24"/>
                      <w:szCs w:val="24"/>
                      <w:highlight w:val="none"/>
                      <w:u w:val="none"/>
                      <w:lang w:val="en-US" w:eastAsia="zh-CN" w:bidi="ar-SA"/>
                    </w:rPr>
                    <w:t>求</w:t>
                  </w:r>
                </w:p>
              </w:tc>
              <w:tc>
                <w:tcPr>
                  <w:tcW w:w="3214" w:type="dxa"/>
                  <w:vAlign w:val="center"/>
                </w:tcPr>
                <w:p w14:paraId="6F084D2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6"/>
                      <w:sz w:val="24"/>
                      <w:szCs w:val="24"/>
                      <w:highlight w:val="none"/>
                      <w:u w:val="single"/>
                      <w:lang w:val="en-US" w:eastAsia="zh-CN" w:bidi="ar-SA"/>
                    </w:rPr>
                    <w:t>免费服务周期（含换件和维修）应不小</w:t>
                  </w:r>
                  <w:r>
                    <w:rPr>
                      <w:rFonts w:hint="eastAsia" w:ascii="宋体" w:hAnsi="宋体" w:eastAsia="宋体" w:cs="宋体"/>
                      <w:i/>
                      <w:iCs/>
                      <w:color w:val="auto"/>
                      <w:spacing w:val="-11"/>
                      <w:sz w:val="24"/>
                      <w:szCs w:val="24"/>
                      <w:highlight w:val="none"/>
                      <w:u w:val="single"/>
                      <w:lang w:val="en-US" w:eastAsia="zh-CN" w:bidi="ar-SA"/>
                    </w:rPr>
                    <w:t xml:space="preserve">于 </w:t>
                  </w:r>
                  <w:r>
                    <w:rPr>
                      <w:rFonts w:hint="eastAsia" w:ascii="宋体" w:hAnsi="宋体" w:eastAsia="宋体" w:cs="宋体"/>
                      <w:i/>
                      <w:iCs/>
                      <w:color w:val="auto"/>
                      <w:sz w:val="24"/>
                      <w:szCs w:val="24"/>
                      <w:highlight w:val="none"/>
                      <w:u w:val="single"/>
                      <w:lang w:val="en-US" w:eastAsia="zh-CN" w:bidi="ar-SA"/>
                    </w:rPr>
                    <w:t>3</w:t>
                  </w:r>
                  <w:r>
                    <w:rPr>
                      <w:rFonts w:hint="eastAsia" w:ascii="宋体" w:hAnsi="宋体" w:eastAsia="宋体" w:cs="宋体"/>
                      <w:i/>
                      <w:iCs/>
                      <w:color w:val="auto"/>
                      <w:spacing w:val="-11"/>
                      <w:sz w:val="24"/>
                      <w:szCs w:val="24"/>
                      <w:highlight w:val="none"/>
                      <w:u w:val="single"/>
                      <w:lang w:val="en-US" w:eastAsia="zh-CN" w:bidi="ar-SA"/>
                    </w:rPr>
                    <w:t xml:space="preserve"> 年</w:t>
                  </w:r>
                </w:p>
              </w:tc>
            </w:tr>
            <w:tr w14:paraId="6FE60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0428F95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174</w:t>
                  </w:r>
                </w:p>
              </w:tc>
              <w:tc>
                <w:tcPr>
                  <w:tcW w:w="737" w:type="dxa"/>
                  <w:vAlign w:val="center"/>
                </w:tcPr>
                <w:p w14:paraId="0B6C367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5B2FC5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231A98F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合格证书要求</w:t>
                  </w:r>
                </w:p>
              </w:tc>
              <w:tc>
                <w:tcPr>
                  <w:tcW w:w="3214" w:type="dxa"/>
                  <w:vAlign w:val="center"/>
                </w:tcPr>
                <w:p w14:paraId="3E15EC7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供应商提供产品合格证</w:t>
                  </w:r>
                </w:p>
              </w:tc>
            </w:tr>
            <w:tr w14:paraId="32C76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1DBC4B8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175</w:t>
                  </w:r>
                </w:p>
              </w:tc>
              <w:tc>
                <w:tcPr>
                  <w:tcW w:w="737" w:type="dxa"/>
                  <w:vAlign w:val="center"/>
                </w:tcPr>
                <w:p w14:paraId="572A219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AACAA64">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4815AB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开箱组装/使用</w:t>
                  </w:r>
                  <w:r>
                    <w:rPr>
                      <w:rFonts w:hint="eastAsia" w:ascii="宋体" w:hAnsi="宋体" w:eastAsia="宋体" w:cs="宋体"/>
                      <w:i w:val="0"/>
                      <w:iCs w:val="0"/>
                      <w:color w:val="auto"/>
                      <w:spacing w:val="-3"/>
                      <w:sz w:val="24"/>
                      <w:szCs w:val="24"/>
                      <w:highlight w:val="none"/>
                      <w:u w:val="none"/>
                      <w:lang w:val="en-US" w:eastAsia="zh-CN" w:bidi="ar-SA"/>
                    </w:rPr>
                    <w:t>指导要求</w:t>
                  </w:r>
                </w:p>
              </w:tc>
              <w:tc>
                <w:tcPr>
                  <w:tcW w:w="3214" w:type="dxa"/>
                  <w:vAlign w:val="center"/>
                </w:tcPr>
                <w:p w14:paraId="4EE1E6A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3"/>
                      <w:sz w:val="24"/>
                      <w:szCs w:val="24"/>
                      <w:highlight w:val="none"/>
                      <w:u w:val="single"/>
                      <w:lang w:val="en-US" w:eastAsia="zh-CN" w:bidi="ar-SA"/>
                    </w:rPr>
                    <w:t>供应商提供开箱组装/使用指导</w:t>
                  </w:r>
                </w:p>
              </w:tc>
            </w:tr>
            <w:tr w14:paraId="26492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5D4D164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176</w:t>
                  </w:r>
                </w:p>
              </w:tc>
              <w:tc>
                <w:tcPr>
                  <w:tcW w:w="737" w:type="dxa"/>
                  <w:vAlign w:val="center"/>
                </w:tcPr>
                <w:p w14:paraId="245FD94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122C1C5F">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736F53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驱动下载服务要</w:t>
                  </w:r>
                  <w:r>
                    <w:rPr>
                      <w:rFonts w:hint="eastAsia" w:ascii="宋体" w:hAnsi="宋体" w:eastAsia="宋体" w:cs="宋体"/>
                      <w:i w:val="0"/>
                      <w:iCs w:val="0"/>
                      <w:color w:val="auto"/>
                      <w:spacing w:val="-10"/>
                      <w:sz w:val="24"/>
                      <w:szCs w:val="24"/>
                      <w:highlight w:val="none"/>
                      <w:u w:val="none"/>
                      <w:lang w:val="en-US" w:eastAsia="zh-CN" w:bidi="ar-SA"/>
                    </w:rPr>
                    <w:t>求</w:t>
                  </w:r>
                </w:p>
              </w:tc>
              <w:tc>
                <w:tcPr>
                  <w:tcW w:w="3214" w:type="dxa"/>
                  <w:vAlign w:val="center"/>
                </w:tcPr>
                <w:p w14:paraId="36098E2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供应商提供驱动光盘或下载方式</w:t>
                  </w:r>
                </w:p>
              </w:tc>
            </w:tr>
            <w:tr w14:paraId="26F0D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7558129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177</w:t>
                  </w:r>
                </w:p>
              </w:tc>
              <w:tc>
                <w:tcPr>
                  <w:tcW w:w="737" w:type="dxa"/>
                  <w:vAlign w:val="center"/>
                </w:tcPr>
                <w:p w14:paraId="77A1B5D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F0EAC60">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AB5F7A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兼容适配软件下载服务要</w:t>
                  </w:r>
                  <w:r>
                    <w:rPr>
                      <w:rFonts w:hint="eastAsia" w:ascii="宋体" w:hAnsi="宋体" w:eastAsia="宋体" w:cs="宋体"/>
                      <w:i w:val="0"/>
                      <w:iCs w:val="0"/>
                      <w:color w:val="auto"/>
                      <w:spacing w:val="-10"/>
                      <w:sz w:val="24"/>
                      <w:szCs w:val="24"/>
                      <w:highlight w:val="none"/>
                      <w:u w:val="none"/>
                      <w:lang w:val="en-US" w:eastAsia="zh-CN" w:bidi="ar-SA"/>
                    </w:rPr>
                    <w:t>求</w:t>
                  </w:r>
                </w:p>
              </w:tc>
              <w:tc>
                <w:tcPr>
                  <w:tcW w:w="3214" w:type="dxa"/>
                  <w:vAlign w:val="center"/>
                </w:tcPr>
                <w:p w14:paraId="4F526B4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供应商提供兼容适配软件下载渠道</w:t>
                  </w:r>
                  <w:r>
                    <w:rPr>
                      <w:rFonts w:hint="eastAsia" w:ascii="宋体" w:hAnsi="宋体" w:eastAsia="宋体" w:cs="宋体"/>
                      <w:i/>
                      <w:iCs/>
                      <w:color w:val="auto"/>
                      <w:spacing w:val="-2"/>
                      <w:sz w:val="24"/>
                      <w:szCs w:val="24"/>
                      <w:highlight w:val="none"/>
                      <w:u w:val="single"/>
                      <w:lang w:val="en-US" w:eastAsia="zh-CN" w:bidi="ar-SA"/>
                    </w:rPr>
                    <w:t>（光盘、网站）</w:t>
                  </w:r>
                </w:p>
              </w:tc>
            </w:tr>
            <w:tr w14:paraId="7C8FA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00" w:type="dxa"/>
                  <w:vAlign w:val="center"/>
                </w:tcPr>
                <w:p w14:paraId="2D093C2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178</w:t>
                  </w:r>
                </w:p>
              </w:tc>
              <w:tc>
                <w:tcPr>
                  <w:tcW w:w="737" w:type="dxa"/>
                  <w:vAlign w:val="center"/>
                </w:tcPr>
                <w:p w14:paraId="2E881CF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服务</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B7F06C7">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CE0A7A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跨架构平台应用兼</w:t>
                  </w:r>
                  <w:r>
                    <w:rPr>
                      <w:rFonts w:hint="eastAsia" w:ascii="宋体" w:hAnsi="宋体" w:eastAsia="宋体" w:cs="宋体"/>
                      <w:i w:val="0"/>
                      <w:iCs w:val="0"/>
                      <w:color w:val="auto"/>
                      <w:spacing w:val="-10"/>
                      <w:sz w:val="24"/>
                      <w:szCs w:val="24"/>
                      <w:highlight w:val="none"/>
                      <w:u w:val="none"/>
                      <w:lang w:val="en-US" w:eastAsia="zh-CN" w:bidi="ar-SA"/>
                    </w:rPr>
                    <w:t>容</w:t>
                  </w:r>
                </w:p>
              </w:tc>
              <w:tc>
                <w:tcPr>
                  <w:tcW w:w="3214" w:type="dxa"/>
                  <w:vAlign w:val="center"/>
                </w:tcPr>
                <w:p w14:paraId="5FE7678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供应商提供跨架构平台应用兼容工具，支持一种或者一种以上不同架构平台 </w:t>
                  </w:r>
                  <w:r>
                    <w:rPr>
                      <w:rFonts w:hint="eastAsia" w:ascii="宋体" w:hAnsi="宋体" w:eastAsia="宋体" w:cs="宋体"/>
                      <w:i/>
                      <w:iCs/>
                      <w:color w:val="auto"/>
                      <w:spacing w:val="-4"/>
                      <w:sz w:val="24"/>
                      <w:szCs w:val="24"/>
                      <w:highlight w:val="none"/>
                      <w:u w:val="single"/>
                      <w:lang w:val="en-US" w:eastAsia="zh-CN" w:bidi="ar-SA"/>
                    </w:rPr>
                    <w:t>的应用</w:t>
                  </w:r>
                </w:p>
              </w:tc>
            </w:tr>
            <w:tr w14:paraId="0A337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6F29FCC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179</w:t>
                  </w:r>
                </w:p>
              </w:tc>
              <w:tc>
                <w:tcPr>
                  <w:tcW w:w="737" w:type="dxa"/>
                  <w:vAlign w:val="center"/>
                </w:tcPr>
                <w:p w14:paraId="69A78DA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供应保障</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Align w:val="center"/>
                </w:tcPr>
                <w:p w14:paraId="6B9E444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供应</w:t>
                  </w:r>
                  <w:r>
                    <w:rPr>
                      <w:rFonts w:hint="eastAsia" w:ascii="宋体" w:hAnsi="宋体" w:eastAsia="宋体" w:cs="宋体"/>
                      <w:i w:val="0"/>
                      <w:iCs w:val="0"/>
                      <w:color w:val="auto"/>
                      <w:spacing w:val="-6"/>
                      <w:sz w:val="24"/>
                      <w:szCs w:val="24"/>
                      <w:highlight w:val="none"/>
                      <w:u w:val="none"/>
                      <w:lang w:val="en-US" w:eastAsia="zh-CN" w:bidi="ar-SA"/>
                    </w:rPr>
                    <w:t>链合</w:t>
                  </w:r>
                  <w:r>
                    <w:rPr>
                      <w:rFonts w:hint="eastAsia" w:ascii="宋体" w:hAnsi="宋体" w:eastAsia="宋体" w:cs="宋体"/>
                      <w:i w:val="0"/>
                      <w:iCs w:val="0"/>
                      <w:color w:val="auto"/>
                      <w:spacing w:val="-5"/>
                      <w:sz w:val="24"/>
                      <w:szCs w:val="24"/>
                      <w:highlight w:val="none"/>
                      <w:u w:val="none"/>
                      <w:lang w:val="en-US" w:eastAsia="zh-CN" w:bidi="ar-SA"/>
                    </w:rPr>
                    <w:t>规性</w:t>
                  </w:r>
                </w:p>
              </w:tc>
              <w:tc>
                <w:tcPr>
                  <w:tcW w:w="958" w:type="dxa"/>
                  <w:vAlign w:val="center"/>
                </w:tcPr>
                <w:p w14:paraId="520A451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产品部件保障</w:t>
                  </w:r>
                </w:p>
              </w:tc>
              <w:tc>
                <w:tcPr>
                  <w:tcW w:w="3214" w:type="dxa"/>
                  <w:vAlign w:val="center"/>
                </w:tcPr>
                <w:p w14:paraId="59A0D63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 xml:space="preserve">保障产品主要部件提供 </w:t>
                  </w:r>
                  <w:r>
                    <w:rPr>
                      <w:rFonts w:hint="eastAsia" w:ascii="宋体" w:hAnsi="宋体" w:eastAsia="宋体" w:cs="宋体"/>
                      <w:i/>
                      <w:iCs/>
                      <w:color w:val="auto"/>
                      <w:sz w:val="24"/>
                      <w:szCs w:val="24"/>
                      <w:highlight w:val="none"/>
                      <w:u w:val="single"/>
                      <w:lang w:val="en-US" w:eastAsia="zh-CN" w:bidi="ar-SA"/>
                    </w:rPr>
                    <w:t>6</w:t>
                  </w:r>
                  <w:r>
                    <w:rPr>
                      <w:rFonts w:hint="eastAsia" w:ascii="宋体" w:hAnsi="宋体" w:eastAsia="宋体" w:cs="宋体"/>
                      <w:i/>
                      <w:iCs/>
                      <w:color w:val="auto"/>
                      <w:spacing w:val="-5"/>
                      <w:sz w:val="24"/>
                      <w:szCs w:val="24"/>
                      <w:highlight w:val="none"/>
                      <w:u w:val="single"/>
                      <w:lang w:val="en-US" w:eastAsia="zh-CN" w:bidi="ar-SA"/>
                    </w:rPr>
                    <w:t xml:space="preserve"> 年的备件服</w:t>
                  </w:r>
                  <w:r>
                    <w:rPr>
                      <w:rFonts w:hint="eastAsia" w:ascii="宋体" w:hAnsi="宋体" w:eastAsia="宋体" w:cs="宋体"/>
                      <w:i/>
                      <w:iCs/>
                      <w:color w:val="auto"/>
                      <w:spacing w:val="-4"/>
                      <w:sz w:val="24"/>
                      <w:szCs w:val="24"/>
                      <w:highlight w:val="none"/>
                      <w:u w:val="single"/>
                      <w:lang w:val="en-US" w:eastAsia="zh-CN" w:bidi="ar-SA"/>
                    </w:rPr>
                    <w:t>务能力(自购买之日起)，或提供可兼容</w:t>
                  </w:r>
                  <w:r>
                    <w:rPr>
                      <w:rFonts w:hint="eastAsia" w:ascii="宋体" w:hAnsi="宋体" w:eastAsia="宋体" w:cs="宋体"/>
                      <w:i/>
                      <w:iCs/>
                      <w:color w:val="auto"/>
                      <w:spacing w:val="-2"/>
                      <w:sz w:val="24"/>
                      <w:szCs w:val="24"/>
                      <w:highlight w:val="none"/>
                      <w:u w:val="single"/>
                      <w:lang w:val="en-US" w:eastAsia="zh-CN" w:bidi="ar-SA"/>
                    </w:rPr>
                    <w:t>原设备的升级换代产品</w:t>
                  </w:r>
                </w:p>
              </w:tc>
            </w:tr>
            <w:tr w14:paraId="6DC588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40F2BF9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180</w:t>
                  </w:r>
                </w:p>
              </w:tc>
              <w:tc>
                <w:tcPr>
                  <w:tcW w:w="737" w:type="dxa"/>
                  <w:vAlign w:val="center"/>
                </w:tcPr>
                <w:p w14:paraId="5AD480B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供应保障</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2A109D0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供应链质量</w:t>
                  </w:r>
                </w:p>
              </w:tc>
              <w:tc>
                <w:tcPr>
                  <w:tcW w:w="958" w:type="dxa"/>
                  <w:vAlign w:val="center"/>
                </w:tcPr>
                <w:p w14:paraId="6EBD260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抗干扰</w:t>
                  </w:r>
                  <w:r>
                    <w:rPr>
                      <w:rFonts w:hint="eastAsia" w:ascii="宋体" w:hAnsi="宋体" w:eastAsia="宋体" w:cs="宋体"/>
                      <w:i w:val="0"/>
                      <w:iCs w:val="0"/>
                      <w:color w:val="auto"/>
                      <w:spacing w:val="-10"/>
                      <w:sz w:val="24"/>
                      <w:szCs w:val="24"/>
                      <w:highlight w:val="none"/>
                      <w:u w:val="none"/>
                      <w:lang w:val="en-US" w:eastAsia="zh-CN" w:bidi="ar-SA"/>
                    </w:rPr>
                    <w:t>性</w:t>
                  </w:r>
                </w:p>
              </w:tc>
              <w:tc>
                <w:tcPr>
                  <w:tcW w:w="3214" w:type="dxa"/>
                  <w:vAlign w:val="center"/>
                </w:tcPr>
                <w:p w14:paraId="34567E7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当产品部件出现供应风险时，供应商应</w:t>
                  </w:r>
                  <w:r>
                    <w:rPr>
                      <w:rFonts w:hint="eastAsia" w:ascii="宋体" w:hAnsi="宋体" w:eastAsia="宋体" w:cs="宋体"/>
                      <w:i/>
                      <w:iCs/>
                      <w:color w:val="auto"/>
                      <w:spacing w:val="-2"/>
                      <w:sz w:val="24"/>
                      <w:szCs w:val="24"/>
                      <w:highlight w:val="none"/>
                      <w:u w:val="single"/>
                      <w:lang w:val="en-US" w:eastAsia="zh-CN" w:bidi="ar-SA"/>
                    </w:rPr>
                    <w:t>通知采购人并提供风险应对方案确保产品的服务保障</w:t>
                  </w:r>
                </w:p>
              </w:tc>
            </w:tr>
            <w:tr w14:paraId="2F415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 w:hRule="atLeast"/>
              </w:trPr>
              <w:tc>
                <w:tcPr>
                  <w:tcW w:w="600" w:type="dxa"/>
                  <w:vAlign w:val="center"/>
                </w:tcPr>
                <w:p w14:paraId="4BE15EA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181</w:t>
                  </w:r>
                </w:p>
              </w:tc>
              <w:tc>
                <w:tcPr>
                  <w:tcW w:w="737" w:type="dxa"/>
                  <w:vAlign w:val="center"/>
                </w:tcPr>
                <w:p w14:paraId="34FBCB9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供应保障</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tcBorders>
                    <w:top w:val="nil"/>
                  </w:tcBorders>
                  <w:vAlign w:val="center"/>
                </w:tcPr>
                <w:p w14:paraId="1404EDFD">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532DAF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供应能力证明</w:t>
                  </w:r>
                </w:p>
              </w:tc>
              <w:tc>
                <w:tcPr>
                  <w:tcW w:w="3214" w:type="dxa"/>
                  <w:vAlign w:val="center"/>
                </w:tcPr>
                <w:p w14:paraId="1684C28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7"/>
                      <w:sz w:val="24"/>
                      <w:szCs w:val="24"/>
                      <w:highlight w:val="none"/>
                      <w:u w:val="single"/>
                      <w:lang w:val="en-US" w:eastAsia="zh-CN" w:bidi="ar-SA"/>
                    </w:rPr>
                    <w:t>供应商提供供应链稳定承诺书，确保产</w:t>
                  </w:r>
                  <w:r>
                    <w:rPr>
                      <w:rFonts w:hint="eastAsia" w:ascii="宋体" w:hAnsi="宋体" w:eastAsia="宋体" w:cs="宋体"/>
                      <w:i/>
                      <w:iCs/>
                      <w:color w:val="auto"/>
                      <w:spacing w:val="-2"/>
                      <w:sz w:val="24"/>
                      <w:szCs w:val="24"/>
                      <w:highlight w:val="none"/>
                      <w:u w:val="single"/>
                      <w:lang w:val="en-US" w:eastAsia="zh-CN" w:bidi="ar-SA"/>
                    </w:rPr>
                    <w:t>品的部件在产品服务周期内稳定供货</w:t>
                  </w:r>
                </w:p>
              </w:tc>
            </w:tr>
            <w:tr w14:paraId="2D1DFC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trPr>
              <w:tc>
                <w:tcPr>
                  <w:tcW w:w="600" w:type="dxa"/>
                  <w:vAlign w:val="center"/>
                </w:tcPr>
                <w:p w14:paraId="33BBC44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182</w:t>
                  </w:r>
                </w:p>
              </w:tc>
              <w:tc>
                <w:tcPr>
                  <w:tcW w:w="737" w:type="dxa"/>
                  <w:vAlign w:val="center"/>
                </w:tcPr>
                <w:p w14:paraId="370DBE6F">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安全</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Align w:val="center"/>
                </w:tcPr>
                <w:p w14:paraId="3A407C6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关键</w:t>
                  </w:r>
                  <w:r>
                    <w:rPr>
                      <w:rFonts w:hint="eastAsia" w:ascii="宋体" w:hAnsi="宋体" w:eastAsia="宋体" w:cs="宋体"/>
                      <w:i w:val="0"/>
                      <w:iCs w:val="0"/>
                      <w:color w:val="auto"/>
                      <w:spacing w:val="-6"/>
                      <w:sz w:val="24"/>
                      <w:szCs w:val="24"/>
                      <w:highlight w:val="none"/>
                      <w:u w:val="none"/>
                      <w:lang w:val="en-US" w:eastAsia="zh-CN" w:bidi="ar-SA"/>
                    </w:rPr>
                    <w:t>部件安全</w:t>
                  </w:r>
                  <w:r>
                    <w:rPr>
                      <w:rFonts w:hint="eastAsia" w:ascii="宋体" w:hAnsi="宋体" w:eastAsia="宋体" w:cs="宋体"/>
                      <w:i w:val="0"/>
                      <w:iCs w:val="0"/>
                      <w:color w:val="auto"/>
                      <w:spacing w:val="-5"/>
                      <w:sz w:val="24"/>
                      <w:szCs w:val="24"/>
                      <w:highlight w:val="none"/>
                      <w:u w:val="none"/>
                      <w:lang w:val="en-US" w:eastAsia="zh-CN" w:bidi="ar-SA"/>
                    </w:rPr>
                    <w:t>要求</w:t>
                  </w:r>
                </w:p>
              </w:tc>
              <w:tc>
                <w:tcPr>
                  <w:tcW w:w="958" w:type="dxa"/>
                  <w:vAlign w:val="center"/>
                </w:tcPr>
                <w:p w14:paraId="363265E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关键部件安全要</w:t>
                  </w:r>
                  <w:r>
                    <w:rPr>
                      <w:rFonts w:hint="eastAsia" w:ascii="宋体" w:hAnsi="宋体" w:cs="宋体"/>
                      <w:i w:val="0"/>
                      <w:iCs w:val="0"/>
                      <w:color w:val="auto"/>
                      <w:spacing w:val="-4"/>
                      <w:sz w:val="24"/>
                      <w:szCs w:val="24"/>
                      <w:highlight w:val="none"/>
                      <w:u w:val="none"/>
                      <w:lang w:val="en-US" w:eastAsia="zh-CN" w:bidi="ar-SA"/>
                    </w:rPr>
                    <w:t>求</w:t>
                  </w:r>
                </w:p>
              </w:tc>
              <w:tc>
                <w:tcPr>
                  <w:tcW w:w="3214" w:type="dxa"/>
                  <w:vAlign w:val="center"/>
                </w:tcPr>
                <w:p w14:paraId="4754AC2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CPU</w:t>
                  </w:r>
                  <w:r>
                    <w:rPr>
                      <w:rFonts w:hint="eastAsia" w:ascii="宋体" w:hAnsi="宋体" w:eastAsia="宋体" w:cs="宋体"/>
                      <w:i/>
                      <w:iCs/>
                      <w:color w:val="auto"/>
                      <w:spacing w:val="-10"/>
                      <w:sz w:val="24"/>
                      <w:szCs w:val="24"/>
                      <w:highlight w:val="none"/>
                      <w:u w:val="single"/>
                      <w:lang w:val="en-US" w:eastAsia="zh-CN" w:bidi="ar-SA"/>
                    </w:rPr>
                    <w:t xml:space="preserve"> 和操作系统等关键部件应当符合安</w:t>
                  </w:r>
                  <w:r>
                    <w:rPr>
                      <w:rFonts w:hint="eastAsia" w:ascii="宋体" w:hAnsi="宋体" w:eastAsia="宋体" w:cs="宋体"/>
                      <w:i/>
                      <w:iCs/>
                      <w:color w:val="auto"/>
                      <w:spacing w:val="-2"/>
                      <w:sz w:val="24"/>
                      <w:szCs w:val="24"/>
                      <w:highlight w:val="none"/>
                      <w:u w:val="single"/>
                      <w:lang w:val="en-US" w:eastAsia="zh-CN" w:bidi="ar-SA"/>
                    </w:rPr>
                    <w:t>全可靠测评要求</w:t>
                  </w:r>
                </w:p>
              </w:tc>
            </w:tr>
            <w:tr w14:paraId="3EC734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5" w:hRule="atLeast"/>
              </w:trPr>
              <w:tc>
                <w:tcPr>
                  <w:tcW w:w="600" w:type="dxa"/>
                  <w:vAlign w:val="center"/>
                </w:tcPr>
                <w:p w14:paraId="219AE634">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183</w:t>
                  </w:r>
                </w:p>
              </w:tc>
              <w:tc>
                <w:tcPr>
                  <w:tcW w:w="737" w:type="dxa"/>
                  <w:vAlign w:val="center"/>
                </w:tcPr>
                <w:p w14:paraId="1E868EE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安全</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restart"/>
                  <w:vAlign w:val="center"/>
                </w:tcPr>
                <w:p w14:paraId="06CDEAD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整机</w:t>
                  </w:r>
                  <w:r>
                    <w:rPr>
                      <w:rFonts w:hint="eastAsia" w:ascii="宋体" w:hAnsi="宋体" w:eastAsia="宋体" w:cs="宋体"/>
                      <w:i w:val="0"/>
                      <w:iCs w:val="0"/>
                      <w:color w:val="auto"/>
                      <w:spacing w:val="-5"/>
                      <w:sz w:val="24"/>
                      <w:szCs w:val="24"/>
                      <w:highlight w:val="none"/>
                      <w:u w:val="none"/>
                      <w:lang w:val="en-US" w:eastAsia="zh-CN" w:bidi="ar-SA"/>
                    </w:rPr>
                    <w:t>安全</w:t>
                  </w:r>
                  <w:r>
                    <w:rPr>
                      <w:rFonts w:hint="eastAsia" w:ascii="宋体" w:hAnsi="宋体" w:eastAsia="宋体" w:cs="宋体"/>
                      <w:i w:val="0"/>
                      <w:iCs w:val="0"/>
                      <w:color w:val="auto"/>
                      <w:spacing w:val="-6"/>
                      <w:sz w:val="24"/>
                      <w:szCs w:val="24"/>
                      <w:highlight w:val="none"/>
                      <w:u w:val="none"/>
                      <w:lang w:val="en-US" w:eastAsia="zh-CN" w:bidi="ar-SA"/>
                    </w:rPr>
                    <w:t>性要</w:t>
                  </w:r>
                  <w:r>
                    <w:rPr>
                      <w:rFonts w:hint="eastAsia" w:ascii="宋体" w:hAnsi="宋体" w:eastAsia="宋体" w:cs="宋体"/>
                      <w:i w:val="0"/>
                      <w:iCs w:val="0"/>
                      <w:color w:val="auto"/>
                      <w:spacing w:val="-10"/>
                      <w:sz w:val="24"/>
                      <w:szCs w:val="24"/>
                      <w:highlight w:val="none"/>
                      <w:u w:val="none"/>
                      <w:lang w:val="en-US" w:eastAsia="zh-CN" w:bidi="ar-SA"/>
                    </w:rPr>
                    <w:t>求</w:t>
                  </w:r>
                </w:p>
              </w:tc>
              <w:tc>
                <w:tcPr>
                  <w:tcW w:w="958" w:type="dxa"/>
                  <w:vAlign w:val="center"/>
                </w:tcPr>
                <w:p w14:paraId="17B25203">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密码算法实现</w:t>
                  </w:r>
                </w:p>
              </w:tc>
              <w:tc>
                <w:tcPr>
                  <w:tcW w:w="3214" w:type="dxa"/>
                  <w:vAlign w:val="center"/>
                </w:tcPr>
                <w:p w14:paraId="2DA2E42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z w:val="24"/>
                      <w:szCs w:val="24"/>
                      <w:highlight w:val="none"/>
                      <w:u w:val="single"/>
                      <w:lang w:val="en-US" w:eastAsia="zh-CN" w:bidi="ar-SA"/>
                    </w:rPr>
                    <w:t>CPU</w:t>
                  </w:r>
                  <w:r>
                    <w:rPr>
                      <w:rFonts w:hint="eastAsia" w:ascii="宋体" w:hAnsi="宋体" w:eastAsia="宋体" w:cs="宋体"/>
                      <w:i/>
                      <w:iCs/>
                      <w:color w:val="auto"/>
                      <w:spacing w:val="-10"/>
                      <w:sz w:val="24"/>
                      <w:szCs w:val="24"/>
                      <w:highlight w:val="none"/>
                      <w:u w:val="single"/>
                      <w:lang w:val="en-US" w:eastAsia="zh-CN" w:bidi="ar-SA"/>
                    </w:rPr>
                    <w:t xml:space="preserve"> 芯片应符合</w:t>
                  </w:r>
                  <w:r>
                    <w:rPr>
                      <w:rFonts w:hint="eastAsia" w:ascii="宋体" w:hAnsi="宋体" w:eastAsia="宋体" w:cs="宋体"/>
                      <w:i/>
                      <w:iCs/>
                      <w:color w:val="auto"/>
                      <w:sz w:val="24"/>
                      <w:szCs w:val="24"/>
                      <w:highlight w:val="none"/>
                      <w:u w:val="single"/>
                      <w:lang w:val="en-US" w:eastAsia="zh-CN" w:bidi="ar-SA"/>
                    </w:rPr>
                    <w:t>GM/T</w:t>
                  </w:r>
                  <w:r>
                    <w:rPr>
                      <w:rFonts w:hint="eastAsia" w:ascii="宋体" w:hAnsi="宋体" w:eastAsia="宋体" w:cs="宋体"/>
                      <w:i/>
                      <w:iCs/>
                      <w:color w:val="auto"/>
                      <w:spacing w:val="-44"/>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0008</w:t>
                  </w:r>
                  <w:r>
                    <w:rPr>
                      <w:rFonts w:hint="eastAsia" w:ascii="宋体" w:hAnsi="宋体" w:eastAsia="宋体" w:cs="宋体"/>
                      <w:i/>
                      <w:iCs/>
                      <w:color w:val="auto"/>
                      <w:spacing w:val="-12"/>
                      <w:sz w:val="24"/>
                      <w:szCs w:val="24"/>
                      <w:highlight w:val="none"/>
                      <w:u w:val="single"/>
                      <w:lang w:val="en-US" w:eastAsia="zh-CN" w:bidi="ar-SA"/>
                    </w:rPr>
                    <w:t xml:space="preserve"> 的相关规定，</w:t>
                  </w:r>
                  <w:r>
                    <w:rPr>
                      <w:rFonts w:hint="eastAsia" w:ascii="宋体" w:hAnsi="宋体" w:eastAsia="宋体" w:cs="宋体"/>
                      <w:i/>
                      <w:iCs/>
                      <w:color w:val="auto"/>
                      <w:spacing w:val="-3"/>
                      <w:sz w:val="24"/>
                      <w:szCs w:val="24"/>
                      <w:highlight w:val="none"/>
                      <w:u w:val="single"/>
                      <w:lang w:val="en-US" w:eastAsia="zh-CN" w:bidi="ar-SA"/>
                    </w:rPr>
                    <w:t xml:space="preserve">或芯片密码模块应符合 </w:t>
                  </w:r>
                  <w:r>
                    <w:rPr>
                      <w:rFonts w:hint="eastAsia" w:ascii="宋体" w:hAnsi="宋体" w:eastAsia="宋体" w:cs="宋体"/>
                      <w:i/>
                      <w:iCs/>
                      <w:color w:val="auto"/>
                      <w:sz w:val="24"/>
                      <w:szCs w:val="24"/>
                      <w:highlight w:val="none"/>
                      <w:u w:val="single"/>
                      <w:lang w:val="en-US" w:eastAsia="zh-CN" w:bidi="ar-SA"/>
                    </w:rPr>
                    <w:t>GB/T 37092</w:t>
                  </w:r>
                  <w:r>
                    <w:rPr>
                      <w:rFonts w:hint="eastAsia" w:ascii="宋体" w:hAnsi="宋体" w:eastAsia="宋体" w:cs="宋体"/>
                      <w:i/>
                      <w:iCs/>
                      <w:color w:val="auto"/>
                      <w:spacing w:val="-13"/>
                      <w:sz w:val="24"/>
                      <w:szCs w:val="24"/>
                      <w:highlight w:val="none"/>
                      <w:u w:val="single"/>
                      <w:lang w:val="en-US" w:eastAsia="zh-CN" w:bidi="ar-SA"/>
                    </w:rPr>
                    <w:t xml:space="preserve"> 或</w:t>
                  </w:r>
                  <w:r>
                    <w:rPr>
                      <w:rFonts w:hint="eastAsia" w:ascii="宋体" w:hAnsi="宋体" w:eastAsia="宋体" w:cs="宋体"/>
                      <w:i/>
                      <w:iCs/>
                      <w:color w:val="auto"/>
                      <w:sz w:val="24"/>
                      <w:szCs w:val="24"/>
                      <w:highlight w:val="none"/>
                      <w:u w:val="single"/>
                      <w:lang w:val="en-US" w:eastAsia="zh-CN" w:bidi="ar-SA"/>
                    </w:rPr>
                    <w:t>GM/T</w:t>
                  </w:r>
                  <w:r>
                    <w:rPr>
                      <w:rFonts w:hint="eastAsia" w:ascii="宋体" w:hAnsi="宋体" w:eastAsia="宋体" w:cs="宋体"/>
                      <w:i/>
                      <w:iCs/>
                      <w:color w:val="auto"/>
                      <w:spacing w:val="-6"/>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0028</w:t>
                  </w:r>
                  <w:r>
                    <w:rPr>
                      <w:rFonts w:hint="eastAsia" w:ascii="宋体" w:hAnsi="宋体" w:eastAsia="宋体" w:cs="宋体"/>
                      <w:i/>
                      <w:iCs/>
                      <w:color w:val="auto"/>
                      <w:spacing w:val="-10"/>
                      <w:sz w:val="24"/>
                      <w:szCs w:val="24"/>
                      <w:highlight w:val="none"/>
                      <w:u w:val="single"/>
                      <w:lang w:val="en-US" w:eastAsia="zh-CN" w:bidi="ar-SA"/>
                    </w:rPr>
                    <w:t xml:space="preserve"> 的相关规定</w:t>
                  </w:r>
                </w:p>
              </w:tc>
            </w:tr>
            <w:tr w14:paraId="35AE1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00" w:type="dxa"/>
                  <w:vAlign w:val="center"/>
                </w:tcPr>
                <w:p w14:paraId="41270658">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184</w:t>
                  </w:r>
                </w:p>
              </w:tc>
              <w:tc>
                <w:tcPr>
                  <w:tcW w:w="737" w:type="dxa"/>
                  <w:vAlign w:val="center"/>
                </w:tcPr>
                <w:p w14:paraId="59B08AE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安全</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D2637E0">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464BC87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2"/>
                      <w:sz w:val="24"/>
                      <w:szCs w:val="24"/>
                      <w:highlight w:val="none"/>
                      <w:u w:val="none"/>
                      <w:lang w:val="en-US" w:eastAsia="zh-CN" w:bidi="ar-SA"/>
                    </w:rPr>
                    <w:t>USB</w:t>
                  </w:r>
                  <w:r>
                    <w:rPr>
                      <w:rFonts w:hint="eastAsia" w:ascii="宋体" w:hAnsi="宋体" w:eastAsia="宋体" w:cs="宋体"/>
                      <w:i w:val="0"/>
                      <w:iCs w:val="0"/>
                      <w:color w:val="auto"/>
                      <w:spacing w:val="-17"/>
                      <w:sz w:val="24"/>
                      <w:szCs w:val="24"/>
                      <w:highlight w:val="none"/>
                      <w:u w:val="none"/>
                      <w:lang w:val="en-US" w:eastAsia="zh-CN" w:bidi="ar-SA"/>
                    </w:rPr>
                    <w:t xml:space="preserve"> 端口</w:t>
                  </w:r>
                  <w:r>
                    <w:rPr>
                      <w:rFonts w:hint="eastAsia" w:ascii="宋体" w:hAnsi="宋体" w:eastAsia="宋体" w:cs="宋体"/>
                      <w:i w:val="0"/>
                      <w:iCs w:val="0"/>
                      <w:color w:val="auto"/>
                      <w:spacing w:val="-6"/>
                      <w:sz w:val="24"/>
                      <w:szCs w:val="24"/>
                      <w:highlight w:val="none"/>
                      <w:u w:val="none"/>
                      <w:lang w:val="en-US" w:eastAsia="zh-CN" w:bidi="ar-SA"/>
                    </w:rPr>
                    <w:t>管控</w:t>
                  </w:r>
                </w:p>
              </w:tc>
              <w:tc>
                <w:tcPr>
                  <w:tcW w:w="3214" w:type="dxa"/>
                  <w:vAlign w:val="center"/>
                </w:tcPr>
                <w:p w14:paraId="49593D70">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支持 </w:t>
                  </w:r>
                  <w:r>
                    <w:rPr>
                      <w:rFonts w:hint="eastAsia" w:ascii="宋体" w:hAnsi="宋体" w:eastAsia="宋体" w:cs="宋体"/>
                      <w:i/>
                      <w:iCs/>
                      <w:color w:val="auto"/>
                      <w:spacing w:val="-2"/>
                      <w:sz w:val="24"/>
                      <w:szCs w:val="24"/>
                      <w:highlight w:val="none"/>
                      <w:u w:val="single"/>
                      <w:lang w:val="en-US" w:eastAsia="zh-CN" w:bidi="ar-SA"/>
                    </w:rPr>
                    <w:t>USB</w:t>
                  </w:r>
                  <w:r>
                    <w:rPr>
                      <w:rFonts w:hint="eastAsia" w:ascii="宋体" w:hAnsi="宋体" w:eastAsia="宋体" w:cs="宋体"/>
                      <w:i/>
                      <w:iCs/>
                      <w:color w:val="auto"/>
                      <w:spacing w:val="-11"/>
                      <w:sz w:val="24"/>
                      <w:szCs w:val="24"/>
                      <w:highlight w:val="none"/>
                      <w:u w:val="single"/>
                      <w:lang w:val="en-US" w:eastAsia="zh-CN" w:bidi="ar-SA"/>
                    </w:rPr>
                    <w:t xml:space="preserve"> 端口管控</w:t>
                  </w:r>
                </w:p>
              </w:tc>
            </w:tr>
            <w:tr w14:paraId="39ABED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600" w:type="dxa"/>
                  <w:vAlign w:val="center"/>
                </w:tcPr>
                <w:p w14:paraId="11BF72B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185</w:t>
                  </w:r>
                </w:p>
              </w:tc>
              <w:tc>
                <w:tcPr>
                  <w:tcW w:w="737" w:type="dxa"/>
                  <w:vAlign w:val="center"/>
                </w:tcPr>
                <w:p w14:paraId="3EC77E8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安全</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505C74D2">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A0ECC9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安全物理</w:t>
                  </w:r>
                  <w:r>
                    <w:rPr>
                      <w:rFonts w:hint="eastAsia" w:ascii="宋体" w:hAnsi="宋体" w:eastAsia="宋体" w:cs="宋体"/>
                      <w:i w:val="0"/>
                      <w:iCs w:val="0"/>
                      <w:color w:val="auto"/>
                      <w:spacing w:val="-10"/>
                      <w:sz w:val="24"/>
                      <w:szCs w:val="24"/>
                      <w:highlight w:val="none"/>
                      <w:u w:val="none"/>
                      <w:lang w:val="en-US" w:eastAsia="zh-CN" w:bidi="ar-SA"/>
                    </w:rPr>
                    <w:t>锁</w:t>
                  </w:r>
                </w:p>
              </w:tc>
              <w:tc>
                <w:tcPr>
                  <w:tcW w:w="3214" w:type="dxa"/>
                  <w:vAlign w:val="center"/>
                </w:tcPr>
                <w:p w14:paraId="33A441F9">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p>
                <w:p w14:paraId="5FF1989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支持安全物理锁</w:t>
                  </w:r>
                </w:p>
              </w:tc>
            </w:tr>
            <w:tr w14:paraId="33973D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0" w:hRule="atLeast"/>
              </w:trPr>
              <w:tc>
                <w:tcPr>
                  <w:tcW w:w="600" w:type="dxa"/>
                  <w:vAlign w:val="center"/>
                </w:tcPr>
                <w:p w14:paraId="45562566">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186</w:t>
                  </w:r>
                </w:p>
              </w:tc>
              <w:tc>
                <w:tcPr>
                  <w:tcW w:w="737" w:type="dxa"/>
                  <w:vAlign w:val="center"/>
                </w:tcPr>
                <w:p w14:paraId="6AFBDD5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安全</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0A81235B">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1B80623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信息安全基本要</w:t>
                  </w:r>
                  <w:r>
                    <w:rPr>
                      <w:rFonts w:hint="eastAsia" w:ascii="宋体" w:hAnsi="宋体" w:eastAsia="宋体" w:cs="宋体"/>
                      <w:i w:val="0"/>
                      <w:iCs w:val="0"/>
                      <w:color w:val="auto"/>
                      <w:spacing w:val="-10"/>
                      <w:sz w:val="24"/>
                      <w:szCs w:val="24"/>
                      <w:highlight w:val="none"/>
                      <w:u w:val="none"/>
                      <w:lang w:val="en-US" w:eastAsia="zh-CN" w:bidi="ar-SA"/>
                    </w:rPr>
                    <w:t>求</w:t>
                  </w:r>
                </w:p>
              </w:tc>
              <w:tc>
                <w:tcPr>
                  <w:tcW w:w="3214" w:type="dxa"/>
                  <w:vAlign w:val="center"/>
                </w:tcPr>
                <w:p w14:paraId="522FF182">
                  <w:pPr>
                    <w:keepNext w:val="0"/>
                    <w:keepLines w:val="0"/>
                    <w:pageBreakBefore w:val="0"/>
                    <w:widowControl w:val="0"/>
                    <w:numPr>
                      <w:ilvl w:val="0"/>
                      <w:numId w:val="9"/>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2"/>
                      <w:sz w:val="24"/>
                      <w:szCs w:val="24"/>
                      <w:highlight w:val="none"/>
                      <w:u w:val="single"/>
                      <w:lang w:val="en-US" w:eastAsia="zh-CN" w:bidi="ar-SA"/>
                    </w:rPr>
                    <w:t xml:space="preserve">应符合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10"/>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39276</w:t>
                  </w:r>
                  <w:r>
                    <w:rPr>
                      <w:rFonts w:hint="eastAsia" w:ascii="宋体" w:hAnsi="宋体" w:eastAsia="宋体" w:cs="宋体"/>
                      <w:i/>
                      <w:iCs/>
                      <w:color w:val="auto"/>
                      <w:spacing w:val="-30"/>
                      <w:sz w:val="24"/>
                      <w:szCs w:val="24"/>
                      <w:highlight w:val="none"/>
                      <w:u w:val="single"/>
                      <w:lang w:val="en-US" w:eastAsia="zh-CN" w:bidi="ar-SA"/>
                    </w:rPr>
                    <w:t xml:space="preserve"> 的 </w:t>
                  </w:r>
                  <w:r>
                    <w:rPr>
                      <w:rFonts w:hint="eastAsia" w:ascii="宋体" w:hAnsi="宋体" w:eastAsia="宋体" w:cs="宋体"/>
                      <w:i/>
                      <w:iCs/>
                      <w:color w:val="auto"/>
                      <w:sz w:val="24"/>
                      <w:szCs w:val="24"/>
                      <w:highlight w:val="none"/>
                      <w:u w:val="single"/>
                      <w:lang w:val="en-US" w:eastAsia="zh-CN" w:bidi="ar-SA"/>
                    </w:rPr>
                    <w:t>5.2</w:t>
                  </w:r>
                  <w:r>
                    <w:rPr>
                      <w:rFonts w:hint="eastAsia" w:ascii="宋体" w:hAnsi="宋体" w:eastAsia="宋体" w:cs="宋体"/>
                      <w:i/>
                      <w:iCs/>
                      <w:color w:val="auto"/>
                      <w:spacing w:val="-12"/>
                      <w:sz w:val="24"/>
                      <w:szCs w:val="24"/>
                      <w:highlight w:val="none"/>
                      <w:u w:val="single"/>
                      <w:lang w:val="en-US" w:eastAsia="zh-CN" w:bidi="ar-SA"/>
                    </w:rPr>
                    <w:t xml:space="preserve"> 的规定；</w:t>
                  </w:r>
                </w:p>
                <w:p w14:paraId="4BB3F0F4">
                  <w:pPr>
                    <w:keepNext w:val="0"/>
                    <w:keepLines w:val="0"/>
                    <w:pageBreakBefore w:val="0"/>
                    <w:widowControl w:val="0"/>
                    <w:numPr>
                      <w:ilvl w:val="0"/>
                      <w:numId w:val="9"/>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2"/>
                      <w:sz w:val="24"/>
                      <w:szCs w:val="24"/>
                      <w:highlight w:val="none"/>
                      <w:u w:val="single"/>
                      <w:lang w:val="en-US" w:eastAsia="zh-CN" w:bidi="ar-SA"/>
                    </w:rPr>
                    <w:t>生产厂商应建立漏洞跟踪表，保证产品版本涉及到的漏洞(如驱动程序 等)可查看；</w:t>
                  </w:r>
                </w:p>
                <w:p w14:paraId="6A0F5B8D">
                  <w:pPr>
                    <w:keepNext w:val="0"/>
                    <w:keepLines w:val="0"/>
                    <w:pageBreakBefore w:val="0"/>
                    <w:widowControl w:val="0"/>
                    <w:numPr>
                      <w:ilvl w:val="0"/>
                      <w:numId w:val="9"/>
                    </w:numPr>
                    <w:tabs>
                      <w:tab w:val="left" w:pos="377"/>
                    </w:tabs>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
                      <w:sz w:val="24"/>
                      <w:szCs w:val="24"/>
                      <w:highlight w:val="none"/>
                      <w:u w:val="single"/>
                      <w:lang w:val="en-US" w:eastAsia="zh-CN" w:bidi="ar-SA"/>
                    </w:rPr>
                    <w:t>产品不得包含已知的恶意代码或漏</w:t>
                  </w:r>
                </w:p>
                <w:p w14:paraId="4C7B770E">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5"/>
                      <w:sz w:val="24"/>
                      <w:szCs w:val="24"/>
                      <w:highlight w:val="none"/>
                      <w:u w:val="single"/>
                      <w:lang w:val="en-US" w:eastAsia="zh-CN" w:bidi="ar-SA"/>
                    </w:rPr>
                    <w:t>洞，不存在未声明的指令、功能、接口</w:t>
                  </w:r>
                </w:p>
              </w:tc>
            </w:tr>
            <w:tr w14:paraId="63D9DA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600" w:type="dxa"/>
                  <w:vAlign w:val="center"/>
                </w:tcPr>
                <w:p w14:paraId="23177D8B">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187</w:t>
                  </w:r>
                </w:p>
              </w:tc>
              <w:tc>
                <w:tcPr>
                  <w:tcW w:w="737" w:type="dxa"/>
                  <w:vAlign w:val="center"/>
                </w:tcPr>
                <w:p w14:paraId="07DB4471">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安全</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1BF44B43">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339DCFB5">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固件安全启动</w:t>
                  </w:r>
                </w:p>
              </w:tc>
              <w:tc>
                <w:tcPr>
                  <w:tcW w:w="3214" w:type="dxa"/>
                  <w:vAlign w:val="center"/>
                </w:tcPr>
                <w:p w14:paraId="4EBFB362">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8"/>
                      <w:sz w:val="24"/>
                      <w:szCs w:val="24"/>
                      <w:highlight w:val="none"/>
                      <w:u w:val="single"/>
                      <w:lang w:val="en-US" w:eastAsia="zh-CN" w:bidi="ar-SA"/>
                    </w:rPr>
                    <w:t>支持固件安全启动功能，固件启动过程</w:t>
                  </w:r>
                  <w:r>
                    <w:rPr>
                      <w:rFonts w:hint="eastAsia" w:ascii="宋体" w:hAnsi="宋体" w:eastAsia="宋体" w:cs="宋体"/>
                      <w:i/>
                      <w:iCs/>
                      <w:color w:val="auto"/>
                      <w:spacing w:val="-2"/>
                      <w:sz w:val="24"/>
                      <w:szCs w:val="24"/>
                      <w:highlight w:val="none"/>
                      <w:u w:val="single"/>
                      <w:lang w:val="en-US" w:eastAsia="zh-CN" w:bidi="ar-SA"/>
                    </w:rPr>
                    <w:t>中只有通过启动校验才能正常启动</w:t>
                  </w:r>
                </w:p>
              </w:tc>
            </w:tr>
            <w:tr w14:paraId="2B338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9" w:hRule="atLeast"/>
              </w:trPr>
              <w:tc>
                <w:tcPr>
                  <w:tcW w:w="600" w:type="dxa"/>
                  <w:vAlign w:val="center"/>
                </w:tcPr>
                <w:p w14:paraId="47EA645A">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5"/>
                      <w:sz w:val="24"/>
                      <w:szCs w:val="24"/>
                      <w:highlight w:val="none"/>
                      <w:u w:val="none"/>
                      <w:lang w:val="en-US" w:eastAsia="zh-CN" w:bidi="ar-SA"/>
                    </w:rPr>
                    <w:t>188</w:t>
                  </w:r>
                </w:p>
              </w:tc>
              <w:tc>
                <w:tcPr>
                  <w:tcW w:w="737" w:type="dxa"/>
                  <w:vAlign w:val="center"/>
                </w:tcPr>
                <w:p w14:paraId="3B61E977">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6"/>
                      <w:sz w:val="24"/>
                      <w:szCs w:val="24"/>
                      <w:highlight w:val="none"/>
                      <w:u w:val="none"/>
                      <w:lang w:val="en-US" w:eastAsia="zh-CN" w:bidi="ar-SA"/>
                    </w:rPr>
                    <w:t>安全</w:t>
                  </w:r>
                  <w:r>
                    <w:rPr>
                      <w:rFonts w:hint="eastAsia" w:ascii="宋体" w:hAnsi="宋体" w:eastAsia="宋体" w:cs="宋体"/>
                      <w:i w:val="0"/>
                      <w:iCs w:val="0"/>
                      <w:color w:val="auto"/>
                      <w:spacing w:val="-5"/>
                      <w:sz w:val="24"/>
                      <w:szCs w:val="24"/>
                      <w:highlight w:val="none"/>
                      <w:u w:val="none"/>
                      <w:lang w:val="en-US" w:eastAsia="zh-CN" w:bidi="ar-SA"/>
                    </w:rPr>
                    <w:t>要求</w:t>
                  </w:r>
                </w:p>
              </w:tc>
              <w:tc>
                <w:tcPr>
                  <w:tcW w:w="885" w:type="dxa"/>
                  <w:vMerge w:val="continue"/>
                  <w:vAlign w:val="center"/>
                </w:tcPr>
                <w:p w14:paraId="4E93376D">
                  <w:pPr>
                    <w:keepNext w:val="0"/>
                    <w:keepLines w:val="0"/>
                    <w:pageBreakBefore w:val="0"/>
                    <w:widowControl w:val="0"/>
                    <w:kinsoku/>
                    <w:wordWrap/>
                    <w:overflowPunct/>
                    <w:topLinePunct w:val="0"/>
                    <w:autoSpaceDE/>
                    <w:autoSpaceDN/>
                    <w:bidi w:val="0"/>
                    <w:adjustRightInd/>
                    <w:snapToGrid/>
                    <w:spacing w:line="480" w:lineRule="exact"/>
                    <w:ind w:left="0" w:right="0" w:firstLine="0"/>
                    <w:jc w:val="center"/>
                    <w:textAlignment w:val="auto"/>
                    <w:rPr>
                      <w:rFonts w:hint="eastAsia" w:ascii="宋体" w:hAnsi="宋体" w:eastAsia="宋体" w:cs="宋体"/>
                      <w:i w:val="0"/>
                      <w:iCs w:val="0"/>
                      <w:color w:val="auto"/>
                      <w:sz w:val="24"/>
                      <w:szCs w:val="24"/>
                      <w:highlight w:val="none"/>
                      <w:u w:val="none"/>
                    </w:rPr>
                  </w:pPr>
                </w:p>
              </w:tc>
              <w:tc>
                <w:tcPr>
                  <w:tcW w:w="958" w:type="dxa"/>
                  <w:vAlign w:val="center"/>
                </w:tcPr>
                <w:p w14:paraId="02E15B7C">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center"/>
                    <w:textAlignment w:val="auto"/>
                    <w:rPr>
                      <w:rFonts w:hint="eastAsia" w:ascii="宋体" w:hAnsi="宋体" w:eastAsia="宋体" w:cs="宋体"/>
                      <w:i w:val="0"/>
                      <w:iCs w:val="0"/>
                      <w:color w:val="auto"/>
                      <w:sz w:val="24"/>
                      <w:szCs w:val="24"/>
                      <w:highlight w:val="none"/>
                      <w:u w:val="none"/>
                      <w:lang w:val="en-US" w:eastAsia="zh-CN" w:bidi="ar-SA"/>
                    </w:rPr>
                  </w:pPr>
                  <w:r>
                    <w:rPr>
                      <w:rFonts w:hint="eastAsia" w:ascii="宋体" w:hAnsi="宋体" w:eastAsia="宋体" w:cs="宋体"/>
                      <w:i w:val="0"/>
                      <w:iCs w:val="0"/>
                      <w:color w:val="auto"/>
                      <w:spacing w:val="-4"/>
                      <w:sz w:val="24"/>
                      <w:szCs w:val="24"/>
                      <w:highlight w:val="none"/>
                      <w:u w:val="none"/>
                      <w:lang w:val="en-US" w:eastAsia="zh-CN" w:bidi="ar-SA"/>
                    </w:rPr>
                    <w:t>限用物质的限量</w:t>
                  </w:r>
                  <w:r>
                    <w:rPr>
                      <w:rFonts w:hint="eastAsia" w:ascii="宋体" w:hAnsi="宋体" w:eastAsia="宋体" w:cs="宋体"/>
                      <w:i w:val="0"/>
                      <w:iCs w:val="0"/>
                      <w:color w:val="auto"/>
                      <w:spacing w:val="-6"/>
                      <w:sz w:val="24"/>
                      <w:szCs w:val="24"/>
                      <w:highlight w:val="none"/>
                      <w:u w:val="none"/>
                      <w:lang w:val="en-US" w:eastAsia="zh-CN" w:bidi="ar-SA"/>
                    </w:rPr>
                    <w:t>要求</w:t>
                  </w:r>
                </w:p>
              </w:tc>
              <w:tc>
                <w:tcPr>
                  <w:tcW w:w="3214" w:type="dxa"/>
                  <w:vAlign w:val="center"/>
                </w:tcPr>
                <w:p w14:paraId="6EAA519D">
                  <w:pPr>
                    <w:keepNext w:val="0"/>
                    <w:keepLines w:val="0"/>
                    <w:pageBreakBefore w:val="0"/>
                    <w:widowControl w:val="0"/>
                    <w:kinsoku/>
                    <w:wordWrap/>
                    <w:overflowPunct/>
                    <w:topLinePunct w:val="0"/>
                    <w:autoSpaceDE/>
                    <w:autoSpaceDN/>
                    <w:bidi w:val="0"/>
                    <w:adjustRightInd/>
                    <w:snapToGrid/>
                    <w:spacing w:before="0" w:line="480" w:lineRule="exact"/>
                    <w:ind w:left="0" w:right="0" w:firstLine="0"/>
                    <w:jc w:val="both"/>
                    <w:textAlignment w:val="auto"/>
                    <w:rPr>
                      <w:rFonts w:hint="eastAsia" w:ascii="宋体" w:hAnsi="宋体" w:eastAsia="宋体" w:cs="宋体"/>
                      <w:i/>
                      <w:iCs/>
                      <w:color w:val="auto"/>
                      <w:sz w:val="24"/>
                      <w:szCs w:val="24"/>
                      <w:highlight w:val="none"/>
                      <w:u w:val="single"/>
                      <w:lang w:val="en-US" w:eastAsia="zh-CN" w:bidi="ar-SA"/>
                    </w:rPr>
                  </w:pPr>
                  <w:r>
                    <w:rPr>
                      <w:rFonts w:hint="eastAsia" w:ascii="宋体" w:hAnsi="宋体" w:eastAsia="宋体" w:cs="宋体"/>
                      <w:i/>
                      <w:iCs/>
                      <w:color w:val="auto"/>
                      <w:spacing w:val="-15"/>
                      <w:sz w:val="24"/>
                      <w:szCs w:val="24"/>
                      <w:highlight w:val="none"/>
                      <w:u w:val="single"/>
                      <w:lang w:val="en-US" w:eastAsia="zh-CN" w:bidi="ar-SA"/>
                    </w:rPr>
                    <w:t xml:space="preserve">符合 </w:t>
                  </w:r>
                  <w:r>
                    <w:rPr>
                      <w:rFonts w:hint="eastAsia" w:ascii="宋体" w:hAnsi="宋体" w:eastAsia="宋体" w:cs="宋体"/>
                      <w:i/>
                      <w:iCs/>
                      <w:color w:val="auto"/>
                      <w:sz w:val="24"/>
                      <w:szCs w:val="24"/>
                      <w:highlight w:val="none"/>
                      <w:u w:val="single"/>
                      <w:lang w:val="en-US" w:eastAsia="zh-CN" w:bidi="ar-SA"/>
                    </w:rPr>
                    <w:t>GB/T</w:t>
                  </w:r>
                  <w:r>
                    <w:rPr>
                      <w:rFonts w:hint="eastAsia" w:ascii="宋体" w:hAnsi="宋体" w:eastAsia="宋体" w:cs="宋体"/>
                      <w:i/>
                      <w:iCs/>
                      <w:color w:val="auto"/>
                      <w:spacing w:val="-8"/>
                      <w:sz w:val="24"/>
                      <w:szCs w:val="24"/>
                      <w:highlight w:val="none"/>
                      <w:u w:val="single"/>
                      <w:lang w:val="en-US" w:eastAsia="zh-CN" w:bidi="ar-SA"/>
                    </w:rPr>
                    <w:t xml:space="preserve"> </w:t>
                  </w:r>
                  <w:r>
                    <w:rPr>
                      <w:rFonts w:hint="eastAsia" w:ascii="宋体" w:hAnsi="宋体" w:eastAsia="宋体" w:cs="宋体"/>
                      <w:i/>
                      <w:iCs/>
                      <w:color w:val="auto"/>
                      <w:sz w:val="24"/>
                      <w:szCs w:val="24"/>
                      <w:highlight w:val="none"/>
                      <w:u w:val="single"/>
                      <w:lang w:val="en-US" w:eastAsia="zh-CN" w:bidi="ar-SA"/>
                    </w:rPr>
                    <w:t>26572</w:t>
                  </w:r>
                  <w:r>
                    <w:rPr>
                      <w:rFonts w:hint="eastAsia" w:ascii="宋体" w:hAnsi="宋体" w:eastAsia="宋体" w:cs="宋体"/>
                      <w:i/>
                      <w:iCs/>
                      <w:color w:val="auto"/>
                      <w:spacing w:val="-14"/>
                      <w:sz w:val="24"/>
                      <w:szCs w:val="24"/>
                      <w:highlight w:val="none"/>
                      <w:u w:val="single"/>
                      <w:lang w:val="en-US" w:eastAsia="zh-CN" w:bidi="ar-SA"/>
                    </w:rPr>
                    <w:t xml:space="preserve"> 中规定</w:t>
                  </w:r>
                </w:p>
              </w:tc>
            </w:tr>
          </w:tbl>
          <w:p w14:paraId="47AF4073">
            <w:pPr>
              <w:spacing w:line="440" w:lineRule="exact"/>
              <w:rPr>
                <w:rFonts w:hint="default" w:ascii="Times New Roman" w:hAnsi="Times New Roman" w:eastAsia="宋体" w:cs="Times New Roman"/>
                <w:color w:val="auto"/>
                <w:sz w:val="24"/>
                <w:szCs w:val="24"/>
                <w:highlight w:val="none"/>
                <w:lang w:val="en-US" w:eastAsia="zh-CN" w:bidi="ar-SA"/>
              </w:rPr>
            </w:pPr>
          </w:p>
        </w:tc>
      </w:tr>
      <w:tr w14:paraId="4E4521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restart"/>
            <w:noWrap w:val="0"/>
            <w:vAlign w:val="center"/>
          </w:tcPr>
          <w:p w14:paraId="15119C60">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w:t>
            </w:r>
          </w:p>
        </w:tc>
        <w:tc>
          <w:tcPr>
            <w:tcW w:w="360" w:type="dxa"/>
            <w:vMerge w:val="restart"/>
            <w:noWrap w:val="0"/>
            <w:vAlign w:val="center"/>
          </w:tcPr>
          <w:p w14:paraId="4AEBDE01">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基础设施实施要求</w:t>
            </w:r>
          </w:p>
        </w:tc>
        <w:tc>
          <w:tcPr>
            <w:tcW w:w="8275" w:type="dxa"/>
            <w:noWrap w:val="0"/>
            <w:tcMar>
              <w:top w:w="100" w:type="dxa"/>
              <w:left w:w="108" w:type="dxa"/>
              <w:bottom w:w="100" w:type="dxa"/>
              <w:right w:w="108" w:type="dxa"/>
            </w:tcMar>
            <w:vAlign w:val="center"/>
          </w:tcPr>
          <w:p w14:paraId="2B600FC0">
            <w:pPr>
              <w:widowControl/>
              <w:spacing w:line="440" w:lineRule="exact"/>
              <w:jc w:val="left"/>
              <w:rPr>
                <w:rFonts w:hint="default" w:ascii="Times New Roman" w:hAnsi="Times New Roman" w:eastAsia="宋体" w:cs="Times New Roman"/>
                <w:color w:val="auto"/>
                <w:sz w:val="24"/>
                <w:highlight w:val="none"/>
                <w:lang w:val="zh-CN"/>
              </w:rPr>
            </w:pPr>
            <w:r>
              <w:rPr>
                <w:rFonts w:hint="eastAsia" w:ascii="Times New Roman" w:hAnsi="Times New Roman" w:eastAsia="宋体" w:cs="Times New Roman"/>
                <w:iCs/>
                <w:color w:val="auto"/>
                <w:kern w:val="0"/>
                <w:sz w:val="24"/>
                <w:szCs w:val="24"/>
                <w:highlight w:val="none"/>
                <w:lang w:val="en-US" w:eastAsia="zh-Hans" w:bidi="ar-SA"/>
              </w:rPr>
              <w:t>5.1 管道敷设要求</w:t>
            </w:r>
          </w:p>
        </w:tc>
      </w:tr>
      <w:tr w14:paraId="0900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DAD1EF8">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138757D">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F3FA42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iCs/>
                <w:color w:val="auto"/>
                <w:sz w:val="24"/>
                <w:szCs w:val="24"/>
                <w:highlight w:val="none"/>
                <w:lang w:val="en-US" w:eastAsia="zh-CN" w:bidi="ar-SA"/>
              </w:rPr>
              <w:t xml:space="preserve">5.1.1 </w:t>
            </w:r>
            <w:r>
              <w:rPr>
                <w:rFonts w:ascii="Times New Roman" w:hAnsi="Times New Roman" w:eastAsia="宋体" w:cs="Times New Roman"/>
                <w:color w:val="auto"/>
                <w:sz w:val="24"/>
                <w:szCs w:val="24"/>
                <w:highlight w:val="none"/>
                <w:lang w:val="en-US" w:eastAsia="zh-CN" w:bidi="ar-SA"/>
              </w:rPr>
              <w:t>供电线缆敷设要求</w:t>
            </w:r>
          </w:p>
          <w:p w14:paraId="77DE23B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1、一般要求：运到现场的电缆及材料均应核对其型号、规格符合设计要求，并有合格证。检查电缆及材料外观无损伤和缺陷。卸货和搬运作业时，均不得使设备或外来物体接触到电缆表面。在任何情况下，均不得将电缆盘从所载运的车辆上推到地面上。经切割的电缆两端应立即密封，以避免潮气侵入。</w:t>
            </w:r>
          </w:p>
          <w:p w14:paraId="358B0C45">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2、电缆导管敷设：管口切割以后，内边缘必须锉平。导线管必须冷弯，弯曲半径符合规范要求。在地面上敷设的导管要适当地固定在附近的结构或支架上，接线盒的安装要避免雨水进入。镀锌管锌层剥落处应涂以防腐漆。</w:t>
            </w:r>
          </w:p>
          <w:p w14:paraId="2403DCFB">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3、电缆敷设：</w:t>
            </w:r>
          </w:p>
          <w:p w14:paraId="3CD690CD">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（1）电缆敷设前准备。根据电缆到货长度，敷设长度编制电缆分配表，分列各编号电缆的起点、终点、长度及分配盘号。</w:t>
            </w:r>
          </w:p>
          <w:p w14:paraId="6CCF4934">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（2）根据现场电缆分布情况和电缆分配表，安排电缆敷设顺序，宜先远后近，先集中后分散。</w:t>
            </w:r>
          </w:p>
          <w:p w14:paraId="1C73326E">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（3）电缆敷设前需对每盘电缆进行导通性和绝缘性检查，合格电缆方可敷设，绝缘检查低压电缆用500VM表测试。</w:t>
            </w:r>
          </w:p>
          <w:p w14:paraId="71427DE8">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（4）电缆型号、规格等应符合设计要求，外观良好，保护层无破损。</w:t>
            </w:r>
          </w:p>
          <w:p w14:paraId="7A7C4DE3">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（5）电缆槽/托盘安装完，直埋电缆区域无土方开挖，电缆保护管预埋工作已完成，导管中穿好铁丝。</w:t>
            </w:r>
          </w:p>
          <w:p w14:paraId="1A5C4F58">
            <w:pPr>
              <w:spacing w:line="440" w:lineRule="exact"/>
              <w:rPr>
                <w:rFonts w:ascii="Times New Roman" w:hAnsi="Times New Roman" w:eastAsia="宋体" w:cs="Times New Roman"/>
                <w:iCs/>
                <w:color w:val="auto"/>
                <w:sz w:val="24"/>
                <w:szCs w:val="24"/>
                <w:highlight w:val="none"/>
                <w:u w:val="none"/>
                <w:lang w:val="en-US" w:eastAsia="zh-CN" w:bidi="ar-SA"/>
              </w:rPr>
            </w:pPr>
            <w:r>
              <w:rPr>
                <w:rFonts w:ascii="Times New Roman" w:hAnsi="Times New Roman" w:eastAsia="宋体" w:cs="Times New Roman"/>
                <w:iCs/>
                <w:color w:val="auto"/>
                <w:sz w:val="24"/>
                <w:szCs w:val="24"/>
                <w:highlight w:val="none"/>
                <w:u w:val="none"/>
                <w:lang w:val="en-US" w:eastAsia="zh-CN" w:bidi="ar-SA"/>
              </w:rPr>
              <w:t>（6）设计一个合适的表格，记录每个电缆盘每次提取的电缆数量和剩余的电缆数量。</w:t>
            </w:r>
          </w:p>
          <w:p w14:paraId="12F387F2">
            <w:pPr>
              <w:spacing w:line="440" w:lineRule="exact"/>
              <w:rPr>
                <w:rFonts w:ascii="Times New Roman" w:hAnsi="Times New Roman" w:eastAsia="宋体" w:cs="Times New Roman"/>
                <w:i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iCs/>
                <w:color w:val="auto"/>
                <w:sz w:val="24"/>
                <w:szCs w:val="24"/>
                <w:highlight w:val="none"/>
                <w:lang w:val="en-US" w:eastAsia="zh-CN" w:bidi="ar-SA"/>
              </w:rPr>
              <w:t>4、管内穿线：对穿管敷设的绝缘导线，其额定电压不低于 500V。不同回路、不同电压等级的导线，不穿在同一根管内。同类供电的几个回路可穿入同一根管内，但管内导线总数不多于 8 根。同一交流回路的导线穿于同一钢管内。导线在管内无接头和扭结，接头设在接线盒（箱）内。管内导线包括绝缘层在内的总截面积不大于管子内空截面积的 40％。</w:t>
            </w:r>
          </w:p>
          <w:p w14:paraId="4FAC6708">
            <w:pPr>
              <w:widowControl/>
              <w:spacing w:line="440" w:lineRule="exact"/>
              <w:jc w:val="left"/>
              <w:rPr>
                <w:rFonts w:hint="default" w:ascii="Times New Roman" w:hAnsi="Times New Roman" w:eastAsia="宋体" w:cs="Times New Roman"/>
                <w:i/>
                <w:iCs/>
                <w:color w:val="auto"/>
                <w:sz w:val="24"/>
                <w:highlight w:val="none"/>
                <w:u w:val="single"/>
              </w:rPr>
            </w:pPr>
            <w:r>
              <w:rPr>
                <w:rFonts w:hint="default" w:ascii="Times New Roman" w:hAnsi="Times New Roman" w:eastAsia="宋体" w:cs="Times New Roman"/>
                <w:color w:val="auto"/>
                <w:highlight w:val="none"/>
              </w:rPr>
              <w:t>◆</w:t>
            </w:r>
            <w:r>
              <w:rPr>
                <w:rFonts w:hint="default" w:ascii="Times New Roman" w:hAnsi="Times New Roman" w:eastAsia="宋体" w:cs="Times New Roman"/>
                <w:iCs/>
                <w:color w:val="auto"/>
                <w:sz w:val="24"/>
                <w:highlight w:val="none"/>
              </w:rPr>
              <w:t>5、接头连接和终端连接：电力电缆终端头的制作，必须按制造厂提供的详图由熟悉制作工艺的人员进行。低压电缆终端头采用绝缘胶带包扎密封。电缆在最终连接前，进行导通性和绝缘性测试，中压电缆按 MLD-01-F-60-001 规定做直流耐压试验。</w:t>
            </w:r>
          </w:p>
        </w:tc>
      </w:tr>
      <w:tr w14:paraId="15AE6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721F2DB2">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294EA1B1">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028ADDE2">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5.1.2 通信线缆敷设要求</w:t>
            </w:r>
          </w:p>
          <w:p w14:paraId="0367DB6B">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1、光缆将按实际长度铺设，铺设时不超过光缆厂家规定的牵引张力和弯曲半径的要求。在铺设光缆之前，每个管道要用合适的方法清理。</w:t>
            </w:r>
          </w:p>
          <w:p w14:paraId="48722A10">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2、光缆在人孔外十分清洁的环境中接续。光缆接续采用熔接法，光缆接头应配有单独的接头护套。</w:t>
            </w:r>
          </w:p>
          <w:p w14:paraId="25A8656C">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3、备有备用光缆并装在光缆接头盒的托盘上，放在托盘上的光纤不应产生微弯曲损耗。每根光缆在1310nm波长的接头损耗不超过0.ldB。</w:t>
            </w:r>
          </w:p>
          <w:p w14:paraId="184977F0">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4、在所有光缆需要分歧或分配出与单独终端单元相连的光纤接头应使用接头盒保护；接头盒的设计应易于安装。</w:t>
            </w:r>
          </w:p>
          <w:p w14:paraId="5C59BF58">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5、接头盒应为光缆接头提供一个密闭的、防潮的环境。接头盒应能重新进入，以便维修和满足其它工作要求。接头牢固地安装在每个人孔中。接头应安装在尽可能高处，以免浸水。</w:t>
            </w:r>
          </w:p>
          <w:p w14:paraId="4F6D6A50">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6、每根光缆端接在光缆终端和接线板上，光缆应在每个站端接。接线板的容量足以端接所有室外光纤。进局光缆有标志，以区别其它电缆。</w:t>
            </w:r>
          </w:p>
          <w:p w14:paraId="6403E377">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7、设备侧的光缆长度应作适当预留，一股为10~20m，可存在光端机室或进线室。进局光缆的弯曲半径不应太小，以免产生微弯曲损耗。</w:t>
            </w:r>
          </w:p>
          <w:p w14:paraId="6AE6B961">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8、光缆接续及测试：采用通信光缆接续工艺流程。在接续过程中通过 OTDR 监测，以确保光纤持续质量。中继段测试采用 OTDR 和介入法两种方法测试。</w:t>
            </w:r>
          </w:p>
          <w:p w14:paraId="43304DBB">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9、操作要求：清理场地、塔置防尘帐篷，准备好工具、材料；切断光缆缆芯，但不得用钢锯，必须用电缆剪刀；光缆余留及切割尺寸，弯曲半径等应符合规定；光纤接续操作时，操作人员应穿作业服、戴作业帽、工作手套；将待接续光纤被覆层擦干净，以免弄脏加强保护热熔管和熔接机后面。接续过程中应特别注意清洁，尤其是环境条件及操作人员的双手；用剥除器剥除光纤被覆，用丙酮将裸光纤擦净，用光纤切割器切出端面，端面不合格时需重新切割；监视光纤熔接测定值及仔细观察接续图像有无缺陷情况，如不合格则重新制备光纤端面，再次接续，直到合格为止；接续好的光线从容阶级取出时，注意动作要慢，移动加强保护热熔管位置应适中，收缩后两端应包住光纤的被覆层不小于10mm；光纤收容时注意弯曲半径应不小于40mm；接头盒内壁、密封条、槽等应用酒精擦拭干净，组装时应严格按操作规程进行。</w:t>
            </w:r>
          </w:p>
        </w:tc>
      </w:tr>
      <w:tr w14:paraId="5984D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3C930B44">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1DCA94B">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AEEABF3">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5.2 各类机箱安装要求</w:t>
            </w:r>
          </w:p>
        </w:tc>
      </w:tr>
      <w:tr w14:paraId="3A87B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570B4B2">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3988FBB9">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3E72122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◆1、机箱内部各种线缆应固定可靠。</w:t>
            </w:r>
          </w:p>
          <w:p w14:paraId="402BCAA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◆2、抗外界干扰功能：要求采用防强电磁干扰机箱，并按照相应标准采取密封措施，在24小时全天候的工作时间，能防雨、防尘、防雷、防震和抗电磁干扰，以防止系统因此造成故障。</w:t>
            </w:r>
          </w:p>
          <w:p w14:paraId="013823B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◆3、地面安装的落地箱柜基础应高出地面(200mm)，以免积水。</w:t>
            </w:r>
          </w:p>
          <w:p w14:paraId="1D6ED8A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◆4、进入箱柜内的各类保护管应高出基础底面(100mm)。</w:t>
            </w:r>
          </w:p>
          <w:p w14:paraId="0C743D1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◆5、配电箱与设备箱分开设置，尺寸高度与路口信号箱保持一致。</w:t>
            </w:r>
          </w:p>
        </w:tc>
      </w:tr>
      <w:tr w14:paraId="3F7FC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58B91A1">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5FFEBAAE">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4C1841A">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5.3 立杆安装要求</w:t>
            </w:r>
          </w:p>
        </w:tc>
      </w:tr>
      <w:tr w14:paraId="785432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4F08B1D0">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1F5798F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6119E85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◆1、独立立杆式样应充分考虑美观及与周边环境的协调，立杆横臂长度根据安装点位所要实现的功能而定，须符合道路或场所的整体视觉效果，具体式样及颜色须经采购方确认。</w:t>
            </w:r>
          </w:p>
          <w:p w14:paraId="1B6E3DF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◆2、立杆净高度不低于6米，立杆横臂根据实际需要确定,立杆应满足如下要求：</w:t>
            </w:r>
          </w:p>
          <w:p w14:paraId="6CC7701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底座：采用不低于A3型20mm的钢板。</w:t>
            </w:r>
          </w:p>
          <w:p w14:paraId="0486D5DB">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◆3、立杆采用A3材料，表面涂塑处理，镀层厚度≥60μm，防锈处理为杆件整体热镀锌，后涂塑，达到双重防腐的目的；颜色须经采购单位确认；</w:t>
            </w:r>
          </w:p>
          <w:p w14:paraId="05FA688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◆4、立杆、横臂焊接必须满焊、牢固，不得虚焊，横臂与立杆连接角度应保证91°正负0.5°，务必保证法兰孔尺寸准确，以便于互换。</w:t>
            </w:r>
          </w:p>
          <w:p w14:paraId="4AED68A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◆5、横臂安装与道路纵向垂直，固定牢靠。</w:t>
            </w:r>
          </w:p>
          <w:p w14:paraId="00C322A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◆6、灯具安装纵向中心线和地面垂直，横向中心线和地面平行，而且两组信号灯中心线在一条直线上，间隔分布合理。</w:t>
            </w:r>
          </w:p>
          <w:p w14:paraId="0D756C5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◆7、立柱安装与地面垂直，固定牢靠，立柱根部均应做基础结面。</w:t>
            </w:r>
          </w:p>
          <w:p w14:paraId="53A318E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◆8、金属灯杆均有接地保护措施，接地端子固定牢靠，接地电阻达到技术要求。</w:t>
            </w:r>
          </w:p>
          <w:p w14:paraId="51248E4C">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◆9、所有紧固件必须镀锌，安装时紧固牢靠，避免意外事故发生。</w:t>
            </w:r>
          </w:p>
          <w:p w14:paraId="019B373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◆10、立杆要求抗风等级达到12级</w:t>
            </w:r>
          </w:p>
        </w:tc>
      </w:tr>
      <w:tr w14:paraId="33F033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E711C81">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70A7E1BA">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46320A3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5.4 外场设备通信</w:t>
            </w:r>
          </w:p>
        </w:tc>
      </w:tr>
      <w:tr w14:paraId="0E0BE1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vMerge w:val="continue"/>
            <w:noWrap w:val="0"/>
            <w:vAlign w:val="center"/>
          </w:tcPr>
          <w:p w14:paraId="20674296">
            <w:pPr>
              <w:widowControl/>
              <w:spacing w:line="440" w:lineRule="exact"/>
              <w:jc w:val="left"/>
              <w:rPr>
                <w:rFonts w:hint="default" w:ascii="Times New Roman" w:hAnsi="Times New Roman" w:eastAsia="宋体" w:cs="Times New Roman"/>
                <w:color w:val="auto"/>
                <w:sz w:val="24"/>
                <w:highlight w:val="none"/>
              </w:rPr>
            </w:pPr>
          </w:p>
        </w:tc>
        <w:tc>
          <w:tcPr>
            <w:tcW w:w="360" w:type="dxa"/>
            <w:vMerge w:val="continue"/>
            <w:noWrap w:val="0"/>
            <w:vAlign w:val="center"/>
          </w:tcPr>
          <w:p w14:paraId="63300AF4">
            <w:pPr>
              <w:widowControl/>
              <w:spacing w:line="440" w:lineRule="exact"/>
              <w:jc w:val="left"/>
              <w:rPr>
                <w:rFonts w:hint="default" w:ascii="Times New Roman" w:hAnsi="Times New Roman" w:eastAsia="宋体" w:cs="Times New Roman"/>
                <w:color w:val="auto"/>
                <w:sz w:val="24"/>
                <w:highlight w:val="none"/>
              </w:rPr>
            </w:pPr>
          </w:p>
        </w:tc>
        <w:tc>
          <w:tcPr>
            <w:tcW w:w="8275" w:type="dxa"/>
            <w:noWrap w:val="0"/>
            <w:tcMar>
              <w:top w:w="100" w:type="dxa"/>
              <w:left w:w="108" w:type="dxa"/>
              <w:bottom w:w="100" w:type="dxa"/>
              <w:right w:w="108" w:type="dxa"/>
            </w:tcMar>
            <w:vAlign w:val="center"/>
          </w:tcPr>
          <w:p w14:paraId="143F905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◆1、通信系统的功能主要是为外场设备和控制中心之间提供实时、准确、可靠、安全、灵活的信息沟通通道。</w:t>
            </w:r>
          </w:p>
          <w:p w14:paraId="7A844FC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本项目中，需要接入控制中心的信息主要有：交通信号控制子系统的控制和交通参数信息，视频监控子系统的视频图像信息，流量采集系统的交通参数信息，电子警察抓拍子系统、超级卡口系统、交通诱导发布系统、交通智能广播系统的参数信息，以及实时交通信息发布、设备控制信息、设备状态自检信息等。</w:t>
            </w:r>
          </w:p>
          <w:p w14:paraId="722E4A1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◆3、本项目中在每一个地面交叉口均单独设置了一个交警专用设备箱。综合考虑，本项目中地面道路交叉口和高架道路采用节点汇集+点对点接入的通信方式：</w:t>
            </w:r>
          </w:p>
          <w:p w14:paraId="4B2813C6">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（1）在每个外场交警专用设备内配置1台工业级千兆以太网交换机，外场各子系统设备均汇集至千兆以太网交换机。</w:t>
            </w:r>
          </w:p>
          <w:p w14:paraId="34E702DB">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（2）设备与以太网交换机间距离超过100m的，需要增加网络连接器或采用光缆传输。</w:t>
            </w:r>
          </w:p>
          <w:p w14:paraId="1673E827">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u w:val="none"/>
                <w:lang w:val="en-US" w:eastAsia="zh-CN" w:bidi="ar-SA"/>
              </w:rPr>
              <w:t>（3）采用基于TCP/IP通信协议的支持，在上层按照应用要求建立多通道的直接通信。</w:t>
            </w:r>
          </w:p>
          <w:p w14:paraId="35A4187C">
            <w:pPr>
              <w:spacing w:line="440" w:lineRule="exact"/>
              <w:rPr>
                <w:rFonts w:ascii="Times New Roman" w:hAnsi="Times New Roman" w:eastAsia="宋体" w:cs="Times New Roman"/>
                <w:color w:val="auto"/>
                <w:sz w:val="24"/>
                <w:szCs w:val="24"/>
                <w:highlight w:val="none"/>
                <w:u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color w:val="auto"/>
                <w:sz w:val="24"/>
                <w:szCs w:val="24"/>
                <w:highlight w:val="none"/>
                <w:u w:val="none"/>
                <w:lang w:val="en-US" w:eastAsia="zh-CN" w:bidi="ar-SA"/>
              </w:rPr>
              <w:t>4、远程通信光缆：根据接入方案，地面通信汇集点需要4~8芯光纤，上行速率要求为千兆。经调研，这部分光纤在本项目采用租赁方式。</w:t>
            </w:r>
          </w:p>
          <w:p w14:paraId="4075AB8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◆5、其它说明</w:t>
            </w:r>
          </w:p>
          <w:p w14:paraId="2165FC3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与供电照明专业工作界面：箱变断路器下（出线）桩头至路口交警专用配电箱和用电设备的电缆配线由本项目施工方实施。施工方需将交通智能化的管道与箱变的管道沟通，此部分工作由本项目施工方完成。</w:t>
            </w:r>
          </w:p>
          <w:p w14:paraId="1C47051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本项目中利用路灯杆安装的所有设备，布线及安装所需要的所有附件由本项目施工方完成；</w:t>
            </w:r>
          </w:p>
          <w:p w14:paraId="490EEF1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（2）与原存储系统工作界面：本项目存储系统为系统扩容，本项目施工方需负责存储设备的安装及调试，并要求将新增存储设备接入到原存储系统中。</w:t>
            </w:r>
          </w:p>
          <w:p w14:paraId="1744E36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与主体单位工作界面：主体单位已对交通智能化的监控立杆和门架立杆基础进行预埋，本项目施工方需提供安装立杆和门架所需的所有附件。主体单位已将过路管和路侧主要管道进行预埋，智能化施工单位在进场施工前需对主体单位预埋的管道进行检查，如发现管道不通或未实施等问题，需向建设单位提出，并协商处理。</w:t>
            </w:r>
          </w:p>
          <w:p w14:paraId="6BBB58A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与交安专业工作界面：在高架道路与交安专业门架和标志牌杆件合设的监控和微波设备，杆件由交安专业实施，本项目施工方需提供安装监控和微波所需要的所有附件。要求在6级风力的情况下，摄像机在最大放大倍数的情况下所监视的画面无明显晃动。</w:t>
            </w:r>
          </w:p>
          <w:p w14:paraId="7A82A4E5">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（5）本项目所选用的视频检测高清电子警察设备必须通过公安部《闯红灯自动记录系统通用技术条件》GA/T496-2014标准的检测。</w:t>
            </w:r>
          </w:p>
          <w:p w14:paraId="7CC97BFA">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6</w:t>
            </w:r>
            <w:r>
              <w:rPr>
                <w:rFonts w:ascii="Times New Roman" w:hAnsi="Times New Roman" w:eastAsia="宋体" w:cs="Times New Roman"/>
                <w:color w:val="auto"/>
                <w:sz w:val="24"/>
                <w:szCs w:val="24"/>
                <w:highlight w:val="none"/>
                <w:lang w:val="en-US" w:eastAsia="zh-CN" w:bidi="ar-SA"/>
              </w:rPr>
              <w:t>）本项目采用的监控系统平台、摄像机等软硬件必须符合《公共安全视频监控联网系统信息传输、交换、控制技术要求》GB/T28181-2016，并能提供相应SDK开发包。</w:t>
            </w:r>
          </w:p>
          <w:p w14:paraId="28D213D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7</w:t>
            </w:r>
            <w:r>
              <w:rPr>
                <w:rFonts w:ascii="Times New Roman" w:hAnsi="Times New Roman" w:eastAsia="宋体" w:cs="Times New Roman"/>
                <w:color w:val="auto"/>
                <w:sz w:val="24"/>
                <w:szCs w:val="24"/>
                <w:highlight w:val="none"/>
                <w:lang w:val="en-US" w:eastAsia="zh-CN" w:bidi="ar-SA"/>
              </w:rPr>
              <w:t>）视频监控系统及利用这些系统（或其他方式）采集到的视频、图片进行文字标注的内容和方法必须符合《视频图像文字标注规范》GA/T751-2008的要求。</w:t>
            </w:r>
          </w:p>
          <w:p w14:paraId="59255890">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8</w:t>
            </w:r>
            <w:r>
              <w:rPr>
                <w:rFonts w:ascii="Times New Roman" w:hAnsi="Times New Roman" w:eastAsia="宋体" w:cs="Times New Roman"/>
                <w:color w:val="auto"/>
                <w:sz w:val="24"/>
                <w:szCs w:val="24"/>
                <w:highlight w:val="none"/>
                <w:lang w:val="en-US" w:eastAsia="zh-CN" w:bidi="ar-SA"/>
              </w:rPr>
              <w:t>）设备应进行工作接地、所有配套的外露金属设施构件都应按照IEC 的有关规定进行综合接地处理，接地电阻必须小于设备规定的工作接地和安全接地电阻，综合接地电阻≤4Ω。</w:t>
            </w:r>
          </w:p>
          <w:p w14:paraId="57A2F7D8">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hint="eastAsia" w:ascii="Times New Roman" w:hAnsi="Times New Roman" w:eastAsia="宋体" w:cs="Times New Roman"/>
                <w:color w:val="auto"/>
                <w:sz w:val="24"/>
                <w:szCs w:val="24"/>
                <w:highlight w:val="none"/>
                <w:lang w:val="en-US" w:eastAsia="zh-CN" w:bidi="ar-SA"/>
              </w:rPr>
              <w:t>9</w:t>
            </w:r>
            <w:r>
              <w:rPr>
                <w:rFonts w:ascii="Times New Roman" w:hAnsi="Times New Roman" w:eastAsia="宋体" w:cs="Times New Roman"/>
                <w:color w:val="auto"/>
                <w:sz w:val="24"/>
                <w:szCs w:val="24"/>
                <w:highlight w:val="none"/>
                <w:lang w:val="en-US" w:eastAsia="zh-CN" w:bidi="ar-SA"/>
              </w:rPr>
              <w:t>）所有内外场设备时钟均需与张家港公安局时钟校时服务器同步。</w:t>
            </w:r>
          </w:p>
          <w:p w14:paraId="1054BB3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0</w:t>
            </w:r>
            <w:r>
              <w:rPr>
                <w:rFonts w:ascii="Times New Roman" w:hAnsi="Times New Roman" w:eastAsia="宋体" w:cs="Times New Roman"/>
                <w:color w:val="auto"/>
                <w:sz w:val="24"/>
                <w:szCs w:val="24"/>
                <w:highlight w:val="none"/>
                <w:lang w:val="en-US" w:eastAsia="zh-CN" w:bidi="ar-SA"/>
              </w:rPr>
              <w:t>）提供现场使用、应用培训；提供中文操作手册、维修手册。</w:t>
            </w:r>
          </w:p>
          <w:p w14:paraId="74141A4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1</w:t>
            </w:r>
            <w:r>
              <w:rPr>
                <w:rFonts w:ascii="Times New Roman" w:hAnsi="Times New Roman" w:eastAsia="宋体" w:cs="Times New Roman"/>
                <w:color w:val="auto"/>
                <w:sz w:val="24"/>
                <w:szCs w:val="24"/>
                <w:highlight w:val="none"/>
                <w:lang w:val="en-US" w:eastAsia="zh-CN" w:bidi="ar-SA"/>
              </w:rPr>
              <w:t>）单独申请供电：不低于15KW，含电源计控箱及基础，开关，管道及线缆，开挖及修复，手井、计量表等一切配套设施，按实结算。</w:t>
            </w:r>
          </w:p>
          <w:p w14:paraId="3480B317">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w:t>
            </w:r>
            <w:r>
              <w:rPr>
                <w:rFonts w:hint="eastAsia" w:ascii="Times New Roman" w:hAnsi="Times New Roman" w:eastAsia="宋体" w:cs="Times New Roman"/>
                <w:color w:val="auto"/>
                <w:sz w:val="24"/>
                <w:szCs w:val="24"/>
                <w:highlight w:val="none"/>
                <w:lang w:val="en-US" w:eastAsia="zh-CN" w:bidi="ar-SA"/>
              </w:rPr>
              <w:t>2</w:t>
            </w:r>
            <w:r>
              <w:rPr>
                <w:rFonts w:ascii="Times New Roman" w:hAnsi="Times New Roman" w:eastAsia="宋体" w:cs="Times New Roman"/>
                <w:color w:val="auto"/>
                <w:sz w:val="24"/>
                <w:szCs w:val="24"/>
                <w:highlight w:val="none"/>
                <w:lang w:val="en-US" w:eastAsia="zh-CN" w:bidi="ar-SA"/>
              </w:rPr>
              <w:t>）原设备移位：原设备及杆件拆除、基础重做、设备重新安装调试等。</w:t>
            </w:r>
          </w:p>
        </w:tc>
      </w:tr>
      <w:tr w14:paraId="341BF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vAlign w:val="center"/>
          </w:tcPr>
          <w:p w14:paraId="0EE73951">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6</w:t>
            </w:r>
          </w:p>
        </w:tc>
        <w:tc>
          <w:tcPr>
            <w:tcW w:w="360" w:type="dxa"/>
            <w:noWrap w:val="0"/>
            <w:vAlign w:val="center"/>
          </w:tcPr>
          <w:p w14:paraId="20C34D06">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实施要求</w:t>
            </w:r>
          </w:p>
        </w:tc>
        <w:tc>
          <w:tcPr>
            <w:tcW w:w="8275" w:type="dxa"/>
            <w:noWrap w:val="0"/>
            <w:tcMar>
              <w:top w:w="100" w:type="dxa"/>
              <w:left w:w="108" w:type="dxa"/>
              <w:bottom w:w="100" w:type="dxa"/>
              <w:right w:w="108" w:type="dxa"/>
            </w:tcMar>
            <w:vAlign w:val="center"/>
          </w:tcPr>
          <w:p w14:paraId="6AA60A07">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1、完成配套通信设施、供配电设施、安装支架、立杆等附属设施的建设。</w:t>
            </w:r>
          </w:p>
          <w:p w14:paraId="35C32996">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2、完成张家港市公安局交通警察大队控制中心内硬件设备的扩容，及应用软件接口模块的开发、编制等内容。</w:t>
            </w:r>
          </w:p>
          <w:p w14:paraId="43C2D69E">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3、利用本项目租赁的通信设施，将各类摄像机采集的交通参数、视频、违法数据、设备工作状态等信息接入控制中心。</w:t>
            </w:r>
          </w:p>
          <w:p w14:paraId="334F16DE">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4、通信链路：采用租赁方式，本项目施工方仅负责从出租人处获取相应的通信资源，并实现各点位的通信接入。本项目施工方与通信出租人之间的界面为通信节点工业以太网交换机，工业以太网交换机上行端口及以上为通信出租人实施，工业以太网交换机及其下行端口和以太网配置及管理均由本项目施工方实施。项目竣工时，施工方需提供相应路口网络租赁点的租赁证明材料。</w:t>
            </w:r>
          </w:p>
          <w:p w14:paraId="51FBC921">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5、供配电：本项目地面交叉口均配置了1个交警专用配电箱，上桩头电源由就近的箱变引入，外场监控设备的电源均引自此配电箱，其中快速路上设备的电源由地面专用设备箱经地面和上下匝道护栏内管路传输至高架上设备安装点的分配箱；该配电箱的上桩头供电由就近的箱变引入；箱变断路器下（出线）桩头至路口交警专用配电箱的电缆配线由本项目实施。</w:t>
            </w:r>
          </w:p>
          <w:p w14:paraId="614EB9BB">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6、供电及通信线缆铺设：本项目施工方所负责通信及供配电线路铺设不得损伤线缆外皮，管道中不允许有接头。</w:t>
            </w:r>
          </w:p>
          <w:p w14:paraId="66A45E03">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7、接地：本项目所有外场设施的防雷、接地由本项目施工方负责，确保设备正常使用。</w:t>
            </w:r>
          </w:p>
          <w:p w14:paraId="6D7BBDCD">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8、设备防护：本项目施工方负责所有安装在露天的电气和电子设备的防护，其防护等级至少要达到IP65（另有规定除外）。如设备本身不能满足前述的防护要求，则施工方应无条件提供不低于前述防护要求的补充防护手段。</w:t>
            </w:r>
          </w:p>
          <w:p w14:paraId="68DDED45">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9、设备防撬、防盗：本项目施工方负责所有设备的防撬、防盗工作，系统终验移交建设单位前，任何设备被盗及被破坏所造成的损失由施工方负责。</w:t>
            </w:r>
          </w:p>
        </w:tc>
      </w:tr>
      <w:tr w14:paraId="335919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vAlign w:val="center"/>
          </w:tcPr>
          <w:p w14:paraId="3E50D9E3">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7</w:t>
            </w:r>
          </w:p>
        </w:tc>
        <w:tc>
          <w:tcPr>
            <w:tcW w:w="360" w:type="dxa"/>
            <w:noWrap w:val="0"/>
            <w:vAlign w:val="center"/>
          </w:tcPr>
          <w:p w14:paraId="76ABB4F9">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维护与升级</w:t>
            </w:r>
          </w:p>
        </w:tc>
        <w:tc>
          <w:tcPr>
            <w:tcW w:w="8275" w:type="dxa"/>
            <w:noWrap w:val="0"/>
            <w:tcMar>
              <w:top w:w="100" w:type="dxa"/>
              <w:left w:w="108" w:type="dxa"/>
              <w:bottom w:w="100" w:type="dxa"/>
              <w:right w:w="108" w:type="dxa"/>
            </w:tcMar>
            <w:vAlign w:val="center"/>
          </w:tcPr>
          <w:p w14:paraId="499ECFD6">
            <w:pPr>
              <w:spacing w:line="440" w:lineRule="exact"/>
              <w:rPr>
                <w:rFonts w:ascii="Times New Roman" w:hAnsi="Times New Roman" w:eastAsia="宋体" w:cs="Times New Roman"/>
                <w:bCs/>
                <w:color w:val="auto"/>
                <w:spacing w:val="7"/>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pacing w:val="7"/>
                <w:sz w:val="24"/>
                <w:szCs w:val="24"/>
                <w:highlight w:val="none"/>
                <w:lang w:val="en-US" w:eastAsia="zh-CN" w:bidi="ar-SA"/>
              </w:rPr>
              <w:t>中标人提供的维护保障服务并对以下服务的实施方式做出详细阐述，服务项目包括但不限于：故障修复服务(含远程技术支持、现场技术支持)、版本管理和软件补丁服务、系统巡检服务、重要事件保障服务、应急恢复方案设计与预演服务、辅助故障定位服务等。</w:t>
            </w:r>
          </w:p>
        </w:tc>
      </w:tr>
      <w:tr w14:paraId="2E839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vAlign w:val="center"/>
          </w:tcPr>
          <w:p w14:paraId="312368D2">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8</w:t>
            </w:r>
          </w:p>
        </w:tc>
        <w:tc>
          <w:tcPr>
            <w:tcW w:w="360" w:type="dxa"/>
            <w:noWrap w:val="0"/>
            <w:vAlign w:val="center"/>
          </w:tcPr>
          <w:p w14:paraId="3FB41B9E">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企业要求</w:t>
            </w:r>
          </w:p>
        </w:tc>
        <w:tc>
          <w:tcPr>
            <w:tcW w:w="8275" w:type="dxa"/>
            <w:noWrap w:val="0"/>
            <w:tcMar>
              <w:top w:w="100" w:type="dxa"/>
              <w:left w:w="108" w:type="dxa"/>
              <w:bottom w:w="100" w:type="dxa"/>
              <w:right w:w="108" w:type="dxa"/>
            </w:tcMar>
            <w:vAlign w:val="center"/>
          </w:tcPr>
          <w:p w14:paraId="68E34CE1">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1、投标人要派专人负责与采购人联系协调。</w:t>
            </w:r>
          </w:p>
          <w:p w14:paraId="081C356B">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2、投标人承诺</w:t>
            </w:r>
            <w:r>
              <w:rPr>
                <w:rFonts w:hint="eastAsia" w:ascii="Times New Roman" w:hAnsi="Times New Roman" w:eastAsia="宋体" w:cs="Times New Roman"/>
                <w:bCs/>
                <w:color w:val="auto"/>
                <w:sz w:val="24"/>
                <w:highlight w:val="none"/>
                <w:lang w:val="en-US" w:eastAsia="zh-CN"/>
              </w:rPr>
              <w:t>在质保期内派驻场服务，</w:t>
            </w:r>
            <w:r>
              <w:rPr>
                <w:rFonts w:hint="default" w:ascii="Times New Roman" w:hAnsi="Times New Roman" w:eastAsia="宋体" w:cs="Times New Roman"/>
                <w:bCs/>
                <w:color w:val="auto"/>
                <w:sz w:val="24"/>
                <w:highlight w:val="none"/>
              </w:rPr>
              <w:t>实行全年24小时值班制并设置设施报修专用电话。交通设施遇到故障或损坏时，应派设施维修人员应立即赶赴现场进行抢修。</w:t>
            </w:r>
            <w:r>
              <w:rPr>
                <w:rFonts w:hint="default" w:ascii="Times New Roman" w:hAnsi="Times New Roman" w:eastAsia="宋体" w:cs="Times New Roman"/>
                <w:iCs/>
                <w:color w:val="auto"/>
                <w:spacing w:val="7"/>
                <w:sz w:val="24"/>
                <w:szCs w:val="24"/>
                <w:highlight w:val="none"/>
              </w:rPr>
              <w:t>按照招标文件要求响应维护。维护服务商应在10分钟内响应，1小时内赶到故障现场进行维护服务（包括维修配件到达服务现场），</w:t>
            </w:r>
            <w:r>
              <w:rPr>
                <w:rFonts w:hint="default" w:ascii="Times New Roman" w:hAnsi="Times New Roman" w:eastAsia="宋体" w:cs="Times New Roman"/>
                <w:color w:val="auto"/>
                <w:sz w:val="24"/>
                <w:szCs w:val="24"/>
                <w:highlight w:val="none"/>
              </w:rPr>
              <w:t>交通信号设施应在12小时内修复完成，其余的应在24小时内修复完成</w:t>
            </w:r>
            <w:r>
              <w:rPr>
                <w:rFonts w:hint="eastAsia"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iCs/>
                <w:color w:val="auto"/>
                <w:spacing w:val="7"/>
                <w:sz w:val="24"/>
                <w:szCs w:val="24"/>
                <w:highlight w:val="none"/>
              </w:rPr>
              <w:t>特殊故障的具体解决时间与甲方商定。如设备损坏严重无法修复，应在甲方同意后先采用相关产品替代完成，保障交通正常运行。</w:t>
            </w:r>
          </w:p>
          <w:p w14:paraId="73F8A65B">
            <w:pPr>
              <w:widowControl/>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3、</w:t>
            </w:r>
            <w:r>
              <w:rPr>
                <w:rFonts w:hint="default" w:ascii="Times New Roman" w:hAnsi="Times New Roman" w:eastAsia="宋体" w:cs="Times New Roman"/>
                <w:b w:val="0"/>
                <w:bCs/>
                <w:i/>
                <w:iCs/>
                <w:color w:val="auto"/>
                <w:sz w:val="24"/>
                <w:highlight w:val="none"/>
                <w:u w:val="single"/>
              </w:rPr>
              <w:t>投标人需成立专门的</w:t>
            </w:r>
            <w:r>
              <w:rPr>
                <w:rFonts w:hint="eastAsia" w:ascii="Times New Roman" w:hAnsi="Times New Roman" w:eastAsia="宋体" w:cs="Times New Roman"/>
                <w:b w:val="0"/>
                <w:bCs/>
                <w:i/>
                <w:iCs/>
                <w:color w:val="auto"/>
                <w:sz w:val="24"/>
                <w:highlight w:val="none"/>
                <w:u w:val="single"/>
                <w:lang w:val="en-US" w:eastAsia="zh-CN"/>
              </w:rPr>
              <w:t>项目小组</w:t>
            </w:r>
            <w:r>
              <w:rPr>
                <w:rFonts w:hint="eastAsia" w:ascii="Times New Roman" w:hAnsi="Times New Roman" w:eastAsia="宋体" w:cs="Times New Roman"/>
                <w:b w:val="0"/>
                <w:bCs/>
                <w:i/>
                <w:iCs/>
                <w:color w:val="auto"/>
                <w:sz w:val="24"/>
                <w:highlight w:val="none"/>
                <w:u w:val="single"/>
              </w:rPr>
              <w:t>5</w:t>
            </w:r>
            <w:r>
              <w:rPr>
                <w:rFonts w:hint="default" w:ascii="Times New Roman" w:hAnsi="Times New Roman" w:eastAsia="宋体" w:cs="Times New Roman"/>
                <w:b w:val="0"/>
                <w:bCs/>
                <w:i/>
                <w:iCs/>
                <w:color w:val="auto"/>
                <w:sz w:val="24"/>
                <w:highlight w:val="none"/>
                <w:u w:val="single"/>
              </w:rPr>
              <w:t>人以上（其中项目负责人1名</w:t>
            </w:r>
            <w:r>
              <w:rPr>
                <w:rFonts w:hint="eastAsia" w:ascii="Times New Roman" w:hAnsi="Times New Roman" w:eastAsia="宋体" w:cs="Times New Roman"/>
                <w:b w:val="0"/>
                <w:bCs/>
                <w:i/>
                <w:iCs/>
                <w:color w:val="auto"/>
                <w:sz w:val="24"/>
                <w:highlight w:val="none"/>
                <w:u w:val="single"/>
                <w:lang w:eastAsia="zh-CN"/>
              </w:rPr>
              <w:t>、</w:t>
            </w:r>
            <w:r>
              <w:rPr>
                <w:rFonts w:hint="eastAsia" w:ascii="Times New Roman" w:hAnsi="Times New Roman" w:eastAsia="宋体" w:cs="Times New Roman"/>
                <w:b w:val="0"/>
                <w:bCs/>
                <w:i/>
                <w:iCs/>
                <w:color w:val="auto"/>
                <w:sz w:val="24"/>
                <w:highlight w:val="none"/>
                <w:u w:val="single"/>
                <w:lang w:val="en-US" w:eastAsia="zh-CN"/>
              </w:rPr>
              <w:t>信息安全负责人1名，项目组成员3名</w:t>
            </w:r>
            <w:r>
              <w:rPr>
                <w:rFonts w:hint="default" w:ascii="Times New Roman" w:hAnsi="Times New Roman" w:eastAsia="宋体" w:cs="Times New Roman"/>
                <w:b w:val="0"/>
                <w:bCs/>
                <w:i/>
                <w:iCs/>
                <w:color w:val="auto"/>
                <w:sz w:val="24"/>
                <w:highlight w:val="none"/>
                <w:u w:val="single"/>
              </w:rPr>
              <w:t>）。</w:t>
            </w:r>
          </w:p>
          <w:p w14:paraId="63C1825F">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4、投标人要有较强的责任意识，服务意识，质量意识。能根据采购人的智能交通设施维修要求全面做好智能交通设施维修工作，按时保质保量完成任务。</w:t>
            </w:r>
          </w:p>
          <w:p w14:paraId="4A28FB83">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5、服从采购人安排，积极做好采购人日常智能交通设施的维修工作。遇有抢修突击任务时必须在规定时间内做好设施修复工作，遇重大项目不能及时修复的，必须保证相同质量、相同功能的替代产品应急，且须提前征得采购人的同意。</w:t>
            </w:r>
          </w:p>
          <w:p w14:paraId="617686AE">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6、具有足够的专业技术人员，熟悉系统工作原理和熟练操作各类设备。</w:t>
            </w:r>
          </w:p>
          <w:p w14:paraId="47175E5B">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7、具有相关设施的充足备品配件，保证设施发生故障及时更换修复。维修更换的设备必选保证与原设备品牌、型号一致。若该备品或备件已不生产或严重短缺，则可提供技术指标更优的替代品。替代品必须由采购人确认。</w:t>
            </w:r>
          </w:p>
          <w:p w14:paraId="32F677D3">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8、具有满足维护要求的、足够的升降车辆、其它车辆及维修仪器。</w:t>
            </w:r>
          </w:p>
          <w:p w14:paraId="223C9178">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9、具有严格的现场维护施工安全管理制度与措施，为现场维护施工人员购买意外保险，配备必要的道路作业安全装备（警示灯、桩、反光背心、护栏板等）。</w:t>
            </w:r>
          </w:p>
          <w:p w14:paraId="60E46B54">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bCs/>
                <w:color w:val="auto"/>
                <w:sz w:val="24"/>
                <w:highlight w:val="none"/>
              </w:rPr>
              <w:t>10、所有交通信号设施需接入交通指挥中心的信号控制系统平台，并实现信号配时等功能。对还未接入信号控制系统的设施应配合交警大队按规定接入信号控制系统。</w:t>
            </w:r>
          </w:p>
          <w:p w14:paraId="7CFD01D8">
            <w:pPr>
              <w:spacing w:line="440" w:lineRule="exact"/>
              <w:rPr>
                <w:rFonts w:ascii="Times New Roman" w:hAnsi="Times New Roman" w:eastAsia="宋体" w:cs="Times New Roman"/>
                <w:bCs/>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w:t>
            </w:r>
            <w:r>
              <w:rPr>
                <w:rFonts w:ascii="Times New Roman" w:hAnsi="Times New Roman" w:eastAsia="宋体" w:cs="Times New Roman"/>
                <w:bCs/>
                <w:color w:val="auto"/>
                <w:sz w:val="24"/>
                <w:szCs w:val="24"/>
                <w:highlight w:val="none"/>
                <w:lang w:val="en-US" w:eastAsia="zh-CN" w:bidi="ar-SA"/>
              </w:rPr>
              <w:t>11、所有交通监控设施需接入交通指挥中心的监控系统平台，并实现视频抓</w:t>
            </w:r>
            <w:r>
              <w:rPr>
                <w:rFonts w:ascii="Times New Roman" w:hAnsi="Times New Roman" w:eastAsia="宋体" w:cs="Times New Roman"/>
                <w:color w:val="auto"/>
                <w:sz w:val="24"/>
                <w:szCs w:val="24"/>
                <w:highlight w:val="none"/>
                <w:lang w:val="en-US" w:eastAsia="zh-CN" w:bidi="ar-SA"/>
              </w:rPr>
              <w:t>拍及录像调取等功能。</w:t>
            </w:r>
          </w:p>
          <w:p w14:paraId="44521D44">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◆12、具备建设维护交通信号设施的专业知识，及相应的信号配时、绿波控制、路口渠化等专业知识。</w:t>
            </w:r>
          </w:p>
          <w:p w14:paraId="4DA049C9">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◆13、具备建设维护交通监控系统的专业知识，及相应的网络通讯、视频矩阵控制、监控操控权限划分等专业知识。</w:t>
            </w:r>
          </w:p>
        </w:tc>
      </w:tr>
      <w:tr w14:paraId="392A19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vAlign w:val="center"/>
          </w:tcPr>
          <w:p w14:paraId="5E3C3B17">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9</w:t>
            </w:r>
          </w:p>
        </w:tc>
        <w:tc>
          <w:tcPr>
            <w:tcW w:w="360" w:type="dxa"/>
            <w:noWrap w:val="0"/>
            <w:vAlign w:val="center"/>
          </w:tcPr>
          <w:p w14:paraId="5BE5A941">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保密要求</w:t>
            </w:r>
          </w:p>
        </w:tc>
        <w:tc>
          <w:tcPr>
            <w:tcW w:w="8275" w:type="dxa"/>
            <w:noWrap w:val="0"/>
            <w:tcMar>
              <w:top w:w="100" w:type="dxa"/>
              <w:left w:w="108" w:type="dxa"/>
              <w:bottom w:w="100" w:type="dxa"/>
              <w:right w:w="108" w:type="dxa"/>
            </w:tcMar>
            <w:vAlign w:val="center"/>
          </w:tcPr>
          <w:p w14:paraId="14D03882">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1、中标方必须严格按照投标名单进行维护，不得随意调换。</w:t>
            </w:r>
          </w:p>
          <w:p w14:paraId="603B1B9E">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2、中标人进入涉密机构的技术、维保人员都应当签订保密协议，相关协议在《保密协议》中体现。</w:t>
            </w:r>
          </w:p>
          <w:p w14:paraId="371A2AE4">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3、保密管理相关规定</w:t>
            </w:r>
          </w:p>
          <w:p w14:paraId="635A3E7B">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（1）人员在维修保养中，不得擅自记录、复制、拍摄、摘抄、收藏警务工作秘密和他人隐私。维护公司人员携带的电脑、U盘、手机等设备应按采购人管理规定使用。</w:t>
            </w:r>
          </w:p>
          <w:p w14:paraId="68FB41CC">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（2）不在私人交往和公开场所泄露在工作中涉及到的案件信息或案件进展情况。</w:t>
            </w:r>
          </w:p>
          <w:p w14:paraId="36D8C4DE">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（3）不在私人交往和公开场所泄露公安机关的监控系统布局、监控范围及时段等信息。</w:t>
            </w:r>
          </w:p>
          <w:p w14:paraId="04DF8403">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（4）对于在维护保养中拆换的监控设备及零件全部交由采购人保管，并做好登记。</w:t>
            </w:r>
          </w:p>
          <w:p w14:paraId="1C3B3A9A">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（5）不得浏览与工作无关的公安计算机网络网页。</w:t>
            </w:r>
          </w:p>
          <w:p w14:paraId="17330571">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（6）自觉服从单位管理，经常性参加本部门开展的保密教育活动。</w:t>
            </w:r>
          </w:p>
          <w:p w14:paraId="47F15410">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bCs/>
                <w:i/>
                <w:iCs/>
                <w:color w:val="auto"/>
                <w:sz w:val="24"/>
                <w:highlight w:val="none"/>
                <w:u w:val="single"/>
              </w:rPr>
              <w:t>（7）故意违反保密规定或过失违反保密规定，情节严重构成犯罪的，将依法承担刑事责任。</w:t>
            </w:r>
          </w:p>
          <w:p w14:paraId="5D3B03EA">
            <w:pPr>
              <w:widowControl/>
              <w:spacing w:line="440" w:lineRule="exact"/>
              <w:jc w:val="lef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i/>
                <w:iCs/>
                <w:color w:val="auto"/>
                <w:sz w:val="24"/>
                <w:highlight w:val="none"/>
                <w:u w:val="single"/>
              </w:rPr>
              <w:t>（8）每名技术、维护人员都要本着对公安工作、家庭及自己负责的态度，坚决执行保密规定，凡违反保密规定的，按照相关规定进行处理。</w:t>
            </w:r>
          </w:p>
        </w:tc>
      </w:tr>
      <w:tr w14:paraId="20EED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vAlign w:val="center"/>
          </w:tcPr>
          <w:p w14:paraId="689F192C">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10</w:t>
            </w:r>
          </w:p>
        </w:tc>
        <w:tc>
          <w:tcPr>
            <w:tcW w:w="360" w:type="dxa"/>
            <w:noWrap w:val="0"/>
            <w:vAlign w:val="center"/>
          </w:tcPr>
          <w:p w14:paraId="71F1374F">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其他要求</w:t>
            </w:r>
          </w:p>
        </w:tc>
        <w:tc>
          <w:tcPr>
            <w:tcW w:w="8275" w:type="dxa"/>
            <w:noWrap w:val="0"/>
            <w:tcMar>
              <w:top w:w="100" w:type="dxa"/>
              <w:left w:w="108" w:type="dxa"/>
              <w:bottom w:w="100" w:type="dxa"/>
              <w:right w:w="108" w:type="dxa"/>
            </w:tcMar>
            <w:vAlign w:val="center"/>
          </w:tcPr>
          <w:p w14:paraId="1C91205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1、中标人应具有有效详细的运维管理办法，保障监控基本功能正常运行，并负责故障的全程处理。</w:t>
            </w:r>
          </w:p>
          <w:p w14:paraId="252628E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◆2、</w:t>
            </w:r>
            <w:r>
              <w:rPr>
                <w:rFonts w:hint="eastAsia" w:ascii="Times New Roman" w:hAnsi="Times New Roman" w:eastAsia="宋体" w:cs="Times New Roman"/>
                <w:color w:val="auto"/>
                <w:sz w:val="24"/>
                <w:szCs w:val="24"/>
                <w:highlight w:val="none"/>
                <w:lang w:val="en-US" w:eastAsia="zh-CN" w:bidi="ar-SA"/>
              </w:rPr>
              <w:t>质保期内</w:t>
            </w:r>
            <w:r>
              <w:rPr>
                <w:rFonts w:ascii="Times New Roman" w:hAnsi="Times New Roman" w:eastAsia="宋体" w:cs="Times New Roman"/>
                <w:color w:val="auto"/>
                <w:sz w:val="24"/>
                <w:szCs w:val="24"/>
                <w:highlight w:val="none"/>
                <w:lang w:val="en-US" w:eastAsia="zh-CN" w:bidi="ar-SA"/>
              </w:rPr>
              <w:t>中标人需建立专门运维管理系统平台，能够自动通过该系统平台发现故障并及时排除故障。</w:t>
            </w:r>
          </w:p>
          <w:p w14:paraId="234124E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◆3、中标人应确保整个系统设备完好率不低于97%，镜面清洁率达到98%，无遮挡率达到98%。</w:t>
            </w:r>
          </w:p>
          <w:p w14:paraId="33296FEE">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◆4、中标人应确保整个系统数据库具有积极有效的备份和恢复机制，每周至少进行一次数据库备份。</w:t>
            </w:r>
          </w:p>
          <w:p w14:paraId="60C32EB6">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◆5、系统升级要求：在</w:t>
            </w:r>
            <w:r>
              <w:rPr>
                <w:rFonts w:hint="eastAsia" w:ascii="Times New Roman" w:hAnsi="Times New Roman" w:eastAsia="宋体" w:cs="Times New Roman"/>
                <w:color w:val="auto"/>
                <w:sz w:val="24"/>
                <w:szCs w:val="24"/>
                <w:highlight w:val="none"/>
                <w:lang w:val="en-US" w:eastAsia="zh-CN" w:bidi="ar-SA"/>
              </w:rPr>
              <w:t>质保期</w:t>
            </w:r>
            <w:r>
              <w:rPr>
                <w:rFonts w:ascii="Times New Roman" w:hAnsi="Times New Roman" w:eastAsia="宋体" w:cs="Times New Roman"/>
                <w:color w:val="auto"/>
                <w:sz w:val="24"/>
                <w:szCs w:val="24"/>
                <w:highlight w:val="none"/>
                <w:lang w:val="en-US" w:eastAsia="zh-CN" w:bidi="ar-SA"/>
              </w:rPr>
              <w:t>，系统内各类软、硬件因生产厂家停产、升级导致的无法使用原有型号设备进行维修或更换的，经采购人确认后，中标人可以使用不低于原有型号设备性能的替代产品或使用升级后的产品进行替换，由此引起的原有系统平台以及服务需要更新升级的，采购人不再承担任何费用。中标人在产品升级前应做好充分准备，并以书面的形式提前告知采购人，征得同意后，进行产品升级，同时做好事件记录，每次升级中断服务不得超过2小时。</w:t>
            </w:r>
          </w:p>
          <w:p w14:paraId="7F14182F">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◆6、如采购人要求该系统接入其他平台，中标人应配合完成。</w:t>
            </w:r>
          </w:p>
          <w:p w14:paraId="012B10B3">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◆7、采购人有权要求中标人在不改变系统（或子系统）架构的前提下，在系统服务期内，使用更新的前端监控产品和后端接入平台、算法、软件等，采购人不再承担变更费用。</w:t>
            </w:r>
          </w:p>
          <w:p w14:paraId="70A9A7DD">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◆8、中标人针对本项目应配备能满足服务需求的维修车辆，货车需办理限行区域特别通行证。</w:t>
            </w:r>
          </w:p>
          <w:p w14:paraId="34745721">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9、定期进行镜面清洁，及时进行遮挡树枝的修理，并有相关记录。如遇重大活动和重要保障任务时，接采购人通知时应立即进行巡检和清洁，对系统存在的潜在安全或故障隐患进行分析并提出相应的解决方案加以排除。</w:t>
            </w:r>
          </w:p>
          <w:p w14:paraId="7144D832">
            <w:pPr>
              <w:spacing w:line="440" w:lineRule="exact"/>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10、如出现需移机、移位、换杆、线路改造等情况，中标人应在7个工作日内完成安装和调试，并移交使用，同时纳入考核。由于改造、迁移、被盗和其他建设等原因需要调整的情况，应根据采购人要求进行调整。</w:t>
            </w:r>
          </w:p>
          <w:p w14:paraId="3A5606C3">
            <w:pPr>
              <w:tabs>
                <w:tab w:val="left" w:pos="567"/>
              </w:tabs>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11、针对本项目中的所有前端设备，中标人需在备件库中有高于或等同于本项目设备型号或系列的备品备件，对无法及时修复的设备先行更换。</w:t>
            </w:r>
          </w:p>
          <w:p w14:paraId="3A9ABB32">
            <w:pPr>
              <w:spacing w:line="440" w:lineRule="exact"/>
              <w:rPr>
                <w:rFonts w:hint="default" w:ascii="Times New Roman" w:hAnsi="Times New Roman" w:eastAsia="宋体" w:cs="Times New Roman"/>
                <w:bCs/>
                <w:i/>
                <w:iCs/>
                <w:color w:val="auto"/>
                <w:sz w:val="24"/>
                <w:highlight w:val="none"/>
                <w:u w:val="singl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 w:val="24"/>
                <w:highlight w:val="none"/>
              </w:rPr>
              <w:t>12、建立健全运维建设与管理制度。</w:t>
            </w:r>
          </w:p>
        </w:tc>
      </w:tr>
      <w:tr w14:paraId="1A042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936" w:type="dxa"/>
            <w:noWrap w:val="0"/>
            <w:vAlign w:val="center"/>
          </w:tcPr>
          <w:p w14:paraId="118F19FE">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11</w:t>
            </w:r>
          </w:p>
        </w:tc>
        <w:tc>
          <w:tcPr>
            <w:tcW w:w="360" w:type="dxa"/>
            <w:noWrap w:val="0"/>
            <w:vAlign w:val="center"/>
          </w:tcPr>
          <w:p w14:paraId="0E75E96A">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验收要求</w:t>
            </w:r>
          </w:p>
        </w:tc>
        <w:tc>
          <w:tcPr>
            <w:tcW w:w="8275" w:type="dxa"/>
            <w:noWrap w:val="0"/>
            <w:tcMar>
              <w:top w:w="100" w:type="dxa"/>
              <w:left w:w="108" w:type="dxa"/>
              <w:bottom w:w="100" w:type="dxa"/>
              <w:right w:w="108" w:type="dxa"/>
            </w:tcMar>
            <w:vAlign w:val="center"/>
          </w:tcPr>
          <w:p w14:paraId="0E3C0A7B">
            <w:pPr>
              <w:widowControl/>
              <w:spacing w:line="440" w:lineRule="exact"/>
              <w:jc w:val="lef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1、本项目根据实际情况成立验收小组，验收小组制定方案，对照采购文件、合同、考核细则、乙方提供的</w:t>
            </w:r>
            <w:r>
              <w:rPr>
                <w:rFonts w:hint="eastAsia" w:ascii="Times New Roman" w:hAnsi="Times New Roman" w:eastAsia="宋体" w:cs="Times New Roman"/>
                <w:color w:val="auto"/>
                <w:sz w:val="24"/>
                <w:highlight w:val="none"/>
                <w:lang w:val="en-US" w:eastAsia="zh-CN"/>
              </w:rPr>
              <w:t>相关</w:t>
            </w:r>
            <w:r>
              <w:rPr>
                <w:rFonts w:hint="default" w:ascii="Times New Roman" w:hAnsi="Times New Roman" w:eastAsia="宋体" w:cs="Times New Roman"/>
                <w:color w:val="auto"/>
                <w:sz w:val="24"/>
                <w:highlight w:val="none"/>
              </w:rPr>
              <w:t>资料、考核结果进行验收。</w:t>
            </w:r>
          </w:p>
          <w:p w14:paraId="177B4AF8">
            <w:pPr>
              <w:widowControl/>
              <w:spacing w:line="440" w:lineRule="exact"/>
              <w:jc w:val="left"/>
              <w:rPr>
                <w:rFonts w:hint="default" w:ascii="Times New Roman" w:hAnsi="Times New Roman" w:eastAsia="宋体" w:cs="Times New Roman"/>
                <w:b/>
                <w:color w:val="auto"/>
                <w:sz w:val="24"/>
                <w:highlight w:val="none"/>
              </w:rPr>
            </w:pPr>
            <w:r>
              <w:rPr>
                <w:rFonts w:hint="default" w:ascii="Times New Roman" w:hAnsi="Times New Roman" w:eastAsia="宋体" w:cs="Times New Roman"/>
                <w:color w:val="auto"/>
                <w:sz w:val="24"/>
                <w:highlight w:val="none"/>
              </w:rPr>
              <w:t>2、采购人将依据《关于印发&lt;江苏省政府采购履约验收管理办法&gt;的通知》苏财规【2024】7号文件的相关要求组织验收。</w:t>
            </w:r>
          </w:p>
        </w:tc>
      </w:tr>
      <w:bookmarkEnd w:id="171"/>
    </w:tbl>
    <w:p w14:paraId="138E1B0C">
      <w:pPr>
        <w:rPr>
          <w:rFonts w:hint="default" w:eastAsia="宋体" w:cs="Times New Roman"/>
        </w:rPr>
      </w:pPr>
    </w:p>
    <w:p w14:paraId="0526EF21">
      <w:pPr>
        <w:widowControl w:val="0"/>
        <w:spacing w:line="360" w:lineRule="auto"/>
        <w:ind w:firstLine="480"/>
        <w:jc w:val="left"/>
        <w:rPr>
          <w:rFonts w:ascii="宋体" w:hAnsi="宋体" w:eastAsia="宋体" w:cs="Times New Roman"/>
          <w:sz w:val="24"/>
          <w:szCs w:val="22"/>
          <w:lang w:val="en-US" w:eastAsia="zh-CN" w:bidi="ar-SA"/>
        </w:rPr>
      </w:pPr>
    </w:p>
    <w:p w14:paraId="75C4D938">
      <w:pPr>
        <w:spacing w:before="120" w:after="120" w:line="440" w:lineRule="exact"/>
        <w:rPr>
          <w:rFonts w:hint="default" w:ascii="Times New Roman" w:hAnsi="Times New Roman" w:eastAsia="宋体" w:cs="Times New Roman"/>
          <w:b/>
          <w:sz w:val="28"/>
          <w:szCs w:val="28"/>
          <w:highlight w:val="none"/>
        </w:rPr>
      </w:pPr>
      <w:bookmarkStart w:id="175" w:name="EBb0ab975038a04efd86af0f0eaa5a524b"/>
      <w:bookmarkEnd w:id="175"/>
      <w:r>
        <w:rPr>
          <w:rFonts w:hint="default" w:ascii="Times New Roman" w:hAnsi="Times New Roman" w:eastAsia="宋体" w:cs="Times New Roman"/>
          <w:b/>
          <w:sz w:val="28"/>
          <w:szCs w:val="28"/>
          <w:highlight w:val="none"/>
        </w:rPr>
        <w:t>三、商务条款</w:t>
      </w:r>
    </w:p>
    <w:p w14:paraId="1AFB48DE">
      <w:pPr>
        <w:spacing w:line="440" w:lineRule="exact"/>
        <w:ind w:firstLine="500"/>
        <w:rPr>
          <w:rFonts w:hint="eastAsia" w:ascii="Times New Roman" w:hAnsi="Times New Roman" w:eastAsia="宋体" w:cs="Times New Roman"/>
          <w:b/>
          <w:spacing w:val="7"/>
          <w:sz w:val="24"/>
          <w:szCs w:val="24"/>
          <w:highlight w:val="none"/>
          <w:lang w:val="en-US" w:eastAsia="zh-CN" w:bidi="ar-SA"/>
        </w:rPr>
      </w:pPr>
      <w:r>
        <w:rPr>
          <w:rFonts w:ascii="Times New Roman" w:hAnsi="Times New Roman" w:eastAsia="宋体" w:cs="Times New Roman"/>
          <w:b/>
          <w:spacing w:val="7"/>
          <w:sz w:val="24"/>
          <w:szCs w:val="24"/>
          <w:highlight w:val="none"/>
          <w:lang w:val="en-US" w:eastAsia="zh-CN" w:bidi="ar-SA"/>
        </w:rPr>
        <w:t xml:space="preserve">1 </w:t>
      </w:r>
      <w:r>
        <w:rPr>
          <w:rFonts w:hint="eastAsia" w:ascii="Times New Roman" w:hAnsi="Times New Roman" w:eastAsia="宋体" w:cs="Times New Roman"/>
          <w:b/>
          <w:spacing w:val="7"/>
          <w:sz w:val="24"/>
          <w:szCs w:val="24"/>
          <w:highlight w:val="none"/>
          <w:lang w:val="en-US" w:eastAsia="zh-CN" w:bidi="ar-SA"/>
        </w:rPr>
        <w:t>质保期（含运维）</w:t>
      </w:r>
    </w:p>
    <w:p w14:paraId="3B20A0F4">
      <w:pPr>
        <w:spacing w:line="440" w:lineRule="exact"/>
        <w:ind w:firstLine="500"/>
        <w:rPr>
          <w:rFonts w:hint="eastAsia" w:ascii="Times New Roman" w:hAnsi="Times New Roman" w:eastAsia="宋体" w:cs="Times New Roman"/>
          <w:i/>
          <w:iCs/>
          <w:sz w:val="24"/>
          <w:szCs w:val="24"/>
          <w:highlight w:val="none"/>
          <w:u w:val="single"/>
          <w:lang w:val="en-US" w:eastAsia="zh-CN" w:bidi="ar-SA"/>
        </w:rPr>
      </w:pPr>
      <w:r>
        <w:rPr>
          <w:rFonts w:hint="eastAsia" w:ascii="Times New Roman" w:hAnsi="Times New Roman" w:eastAsia="宋体" w:cs="Times New Roman"/>
          <w:i/>
          <w:iCs/>
          <w:sz w:val="24"/>
          <w:szCs w:val="24"/>
          <w:highlight w:val="none"/>
          <w:u w:val="single"/>
          <w:lang w:val="en-US" w:eastAsia="zh-CN" w:bidi="ar-SA"/>
        </w:rPr>
        <w:t>质保期自物品验收合格（以双方在验收告报签订日期为准），提供5年免费质保服务。终身维修，软件免费升级；使用期内每年免费保养，并确保备品备件的正常供应。免费质保期内，除人为损坏和不可抗拒因素外，供应方对物品进行免费维修或更换。</w:t>
      </w:r>
    </w:p>
    <w:p w14:paraId="6D13C84B">
      <w:pPr>
        <w:spacing w:line="440" w:lineRule="exact"/>
        <w:ind w:firstLine="500"/>
        <w:rPr>
          <w:rFonts w:hint="eastAsia" w:ascii="宋体" w:hAnsi="宋体" w:cs="Times New Roman"/>
          <w:b/>
          <w:color w:val="auto"/>
          <w:spacing w:val="7"/>
          <w:sz w:val="24"/>
          <w:szCs w:val="24"/>
          <w:highlight w:val="none"/>
          <w:lang w:val="en-US" w:eastAsia="zh-CN"/>
        </w:rPr>
      </w:pPr>
      <w:r>
        <w:rPr>
          <w:rFonts w:hint="eastAsia" w:ascii="宋体" w:hAnsi="宋体" w:cs="Times New Roman"/>
          <w:b/>
          <w:color w:val="auto"/>
          <w:spacing w:val="7"/>
          <w:sz w:val="24"/>
          <w:szCs w:val="24"/>
          <w:highlight w:val="none"/>
          <w:lang w:val="en-US" w:eastAsia="zh-CN"/>
        </w:rPr>
        <w:t>2运维期</w:t>
      </w:r>
    </w:p>
    <w:p w14:paraId="3DB138DA">
      <w:pPr>
        <w:spacing w:line="440" w:lineRule="exact"/>
        <w:ind w:firstLine="500"/>
        <w:rPr>
          <w:rFonts w:hint="eastAsia" w:ascii="Times New Roman" w:hAnsi="Times New Roman" w:eastAsia="宋体" w:cs="Times New Roman"/>
          <w:i/>
          <w:iCs/>
          <w:sz w:val="24"/>
          <w:szCs w:val="24"/>
          <w:highlight w:val="none"/>
          <w:u w:val="single"/>
          <w:lang w:val="en-US" w:eastAsia="zh-CN" w:bidi="ar-SA"/>
        </w:rPr>
      </w:pPr>
      <w:r>
        <w:rPr>
          <w:rFonts w:hint="eastAsia" w:ascii="Times New Roman" w:hAnsi="Times New Roman" w:cs="Times New Roman"/>
          <w:i/>
          <w:iCs/>
          <w:sz w:val="24"/>
          <w:szCs w:val="24"/>
          <w:highlight w:val="none"/>
          <w:u w:val="single"/>
          <w:lang w:val="en-US" w:eastAsia="zh-CN" w:bidi="ar-SA"/>
        </w:rPr>
        <w:t>运维期自物品验收合格（</w:t>
      </w:r>
      <w:r>
        <w:rPr>
          <w:rFonts w:hint="eastAsia" w:ascii="Times New Roman" w:hAnsi="Times New Roman" w:eastAsia="宋体" w:cs="Times New Roman"/>
          <w:i/>
          <w:iCs/>
          <w:sz w:val="24"/>
          <w:szCs w:val="24"/>
          <w:highlight w:val="none"/>
          <w:u w:val="single"/>
          <w:lang w:val="en-US" w:eastAsia="zh-CN" w:bidi="ar-SA"/>
        </w:rPr>
        <w:t>以双方在验收告报签订日期为准）</w:t>
      </w:r>
      <w:r>
        <w:rPr>
          <w:rFonts w:hint="eastAsia" w:ascii="Times New Roman" w:hAnsi="Times New Roman" w:cs="Times New Roman"/>
          <w:i/>
          <w:iCs/>
          <w:sz w:val="24"/>
          <w:szCs w:val="24"/>
          <w:highlight w:val="none"/>
          <w:u w:val="single"/>
          <w:lang w:val="en-US" w:eastAsia="zh-CN" w:bidi="ar-SA"/>
        </w:rPr>
        <w:t>，提供5年运维服务，</w:t>
      </w:r>
      <w:r>
        <w:rPr>
          <w:rFonts w:hint="eastAsia" w:ascii="Times New Roman" w:hAnsi="Times New Roman" w:eastAsia="宋体" w:cs="Times New Roman"/>
          <w:i/>
          <w:iCs/>
          <w:sz w:val="24"/>
          <w:szCs w:val="24"/>
          <w:highlight w:val="none"/>
          <w:u w:val="single"/>
          <w:lang w:val="en-US" w:eastAsia="zh-CN" w:bidi="ar-SA"/>
        </w:rPr>
        <w:t>运维期内需定期对物品进行巡检，确保各系统正常运行。</w:t>
      </w:r>
    </w:p>
    <w:p w14:paraId="3DE09024">
      <w:pPr>
        <w:spacing w:line="440" w:lineRule="exact"/>
        <w:ind w:firstLine="500"/>
        <w:rPr>
          <w:rFonts w:hint="default" w:ascii="宋体" w:hAnsi="宋体" w:eastAsia="宋体" w:cs="Times New Roman"/>
          <w:b/>
          <w:color w:val="auto"/>
          <w:spacing w:val="7"/>
          <w:sz w:val="24"/>
          <w:szCs w:val="24"/>
          <w:highlight w:val="none"/>
        </w:rPr>
      </w:pPr>
      <w:r>
        <w:rPr>
          <w:rFonts w:hint="eastAsia" w:ascii="宋体" w:hAnsi="宋体" w:cs="Times New Roman"/>
          <w:b/>
          <w:color w:val="auto"/>
          <w:spacing w:val="7"/>
          <w:sz w:val="24"/>
          <w:szCs w:val="24"/>
          <w:highlight w:val="none"/>
          <w:lang w:val="en-US" w:eastAsia="zh-CN"/>
        </w:rPr>
        <w:t>3</w:t>
      </w:r>
      <w:r>
        <w:rPr>
          <w:rFonts w:hint="default" w:ascii="宋体" w:hAnsi="宋体" w:eastAsia="宋体" w:cs="Times New Roman"/>
          <w:b/>
          <w:color w:val="auto"/>
          <w:spacing w:val="7"/>
          <w:sz w:val="24"/>
          <w:szCs w:val="24"/>
          <w:highlight w:val="none"/>
        </w:rPr>
        <w:t xml:space="preserve"> 交货期、交货方式及交货地点</w:t>
      </w:r>
    </w:p>
    <w:p w14:paraId="29C69978">
      <w:pPr>
        <w:spacing w:line="440" w:lineRule="exact"/>
        <w:ind w:firstLine="500"/>
        <w:rPr>
          <w:rFonts w:hint="default" w:ascii="宋体" w:hAnsi="宋体" w:eastAsia="宋体" w:cs="宋体"/>
          <w:i/>
          <w:color w:val="auto"/>
          <w:spacing w:val="7"/>
          <w:sz w:val="24"/>
          <w:szCs w:val="24"/>
          <w:highlight w:val="none"/>
          <w:u w:val="single"/>
        </w:rPr>
      </w:pPr>
      <w:r>
        <w:rPr>
          <w:rFonts w:hint="eastAsia" w:ascii="宋体" w:hAnsi="宋体" w:cs="宋体"/>
          <w:i/>
          <w:color w:val="auto"/>
          <w:spacing w:val="7"/>
          <w:sz w:val="24"/>
          <w:szCs w:val="24"/>
          <w:highlight w:val="none"/>
          <w:u w:val="single"/>
          <w:lang w:val="en-US" w:eastAsia="zh-CN"/>
        </w:rPr>
        <w:t>3</w:t>
      </w:r>
      <w:r>
        <w:rPr>
          <w:rFonts w:hint="default" w:ascii="宋体" w:hAnsi="宋体" w:eastAsia="宋体" w:cs="宋体"/>
          <w:i/>
          <w:color w:val="auto"/>
          <w:spacing w:val="7"/>
          <w:sz w:val="24"/>
          <w:szCs w:val="24"/>
          <w:highlight w:val="none"/>
          <w:u w:val="single"/>
        </w:rPr>
        <w:t>.1、交货期</w:t>
      </w:r>
    </w:p>
    <w:p w14:paraId="70846509">
      <w:pPr>
        <w:spacing w:line="440" w:lineRule="exact"/>
        <w:ind w:firstLine="500"/>
        <w:rPr>
          <w:rFonts w:hint="default" w:ascii="宋体" w:hAnsi="宋体" w:eastAsia="宋体" w:cs="宋体"/>
          <w:i/>
          <w:color w:val="auto"/>
          <w:spacing w:val="7"/>
          <w:sz w:val="24"/>
          <w:szCs w:val="24"/>
          <w:highlight w:val="none"/>
          <w:u w:val="single"/>
        </w:rPr>
      </w:pPr>
      <w:r>
        <w:rPr>
          <w:rFonts w:hint="eastAsia" w:ascii="宋体" w:hAnsi="宋体" w:eastAsia="宋体" w:cs="宋体"/>
          <w:i/>
          <w:color w:val="auto"/>
          <w:spacing w:val="7"/>
          <w:sz w:val="24"/>
          <w:szCs w:val="24"/>
          <w:highlight w:val="none"/>
          <w:u w:val="single"/>
        </w:rPr>
        <w:t>合同签订生效后</w:t>
      </w:r>
      <w:r>
        <w:rPr>
          <w:rFonts w:hint="eastAsia" w:ascii="宋体" w:hAnsi="宋体" w:cs="宋体"/>
          <w:i/>
          <w:color w:val="auto"/>
          <w:spacing w:val="7"/>
          <w:sz w:val="24"/>
          <w:szCs w:val="24"/>
          <w:highlight w:val="none"/>
          <w:u w:val="single"/>
          <w:lang w:val="en-US" w:eastAsia="zh-CN"/>
        </w:rPr>
        <w:t>90</w:t>
      </w:r>
      <w:r>
        <w:rPr>
          <w:rFonts w:hint="eastAsia" w:ascii="宋体" w:hAnsi="宋体" w:eastAsia="宋体" w:cs="宋体"/>
          <w:i/>
          <w:color w:val="auto"/>
          <w:spacing w:val="7"/>
          <w:sz w:val="24"/>
          <w:szCs w:val="24"/>
          <w:highlight w:val="none"/>
          <w:u w:val="single"/>
        </w:rPr>
        <w:t>日内供货安装调试结束。遇不可抗力原因需延迟交货的，经采购人同意后可适当延期</w:t>
      </w:r>
      <w:r>
        <w:rPr>
          <w:rFonts w:hint="default" w:ascii="宋体" w:hAnsi="宋体" w:eastAsia="宋体" w:cs="宋体"/>
          <w:i/>
          <w:color w:val="auto"/>
          <w:spacing w:val="7"/>
          <w:sz w:val="24"/>
          <w:szCs w:val="24"/>
          <w:highlight w:val="none"/>
          <w:u w:val="single"/>
        </w:rPr>
        <w:t>。</w:t>
      </w:r>
    </w:p>
    <w:p w14:paraId="135B071A">
      <w:pPr>
        <w:spacing w:line="440" w:lineRule="exact"/>
        <w:ind w:firstLine="500"/>
        <w:rPr>
          <w:rFonts w:hint="default" w:ascii="宋体" w:hAnsi="宋体" w:eastAsia="宋体" w:cs="宋体"/>
          <w:i/>
          <w:color w:val="auto"/>
          <w:spacing w:val="7"/>
          <w:sz w:val="24"/>
          <w:szCs w:val="24"/>
          <w:highlight w:val="none"/>
          <w:u w:val="single"/>
        </w:rPr>
      </w:pPr>
      <w:r>
        <w:rPr>
          <w:rFonts w:hint="eastAsia" w:ascii="宋体" w:hAnsi="宋体" w:cs="宋体"/>
          <w:i/>
          <w:color w:val="auto"/>
          <w:spacing w:val="7"/>
          <w:sz w:val="24"/>
          <w:szCs w:val="24"/>
          <w:highlight w:val="none"/>
          <w:u w:val="single"/>
          <w:lang w:val="en-US" w:eastAsia="zh-CN"/>
        </w:rPr>
        <w:t>3</w:t>
      </w:r>
      <w:r>
        <w:rPr>
          <w:rFonts w:hint="default" w:ascii="宋体" w:hAnsi="宋体" w:eastAsia="宋体" w:cs="宋体"/>
          <w:i/>
          <w:color w:val="auto"/>
          <w:spacing w:val="7"/>
          <w:sz w:val="24"/>
          <w:szCs w:val="24"/>
          <w:highlight w:val="none"/>
          <w:u w:val="single"/>
        </w:rPr>
        <w:t>.2、交货方式</w:t>
      </w:r>
    </w:p>
    <w:p w14:paraId="70DB69DA">
      <w:pPr>
        <w:spacing w:line="440" w:lineRule="exact"/>
        <w:ind w:firstLine="500"/>
        <w:rPr>
          <w:rFonts w:hint="default" w:ascii="宋体" w:hAnsi="宋体" w:eastAsia="宋体" w:cs="宋体"/>
          <w:i/>
          <w:color w:val="auto"/>
          <w:spacing w:val="7"/>
          <w:sz w:val="24"/>
          <w:szCs w:val="24"/>
          <w:highlight w:val="none"/>
          <w:u w:val="single"/>
        </w:rPr>
      </w:pPr>
      <w:r>
        <w:rPr>
          <w:rFonts w:hint="default" w:ascii="宋体" w:hAnsi="宋体" w:eastAsia="宋体" w:cs="宋体"/>
          <w:i/>
          <w:color w:val="auto"/>
          <w:spacing w:val="7"/>
          <w:sz w:val="24"/>
          <w:szCs w:val="24"/>
          <w:highlight w:val="none"/>
          <w:u w:val="single"/>
        </w:rPr>
        <w:t>原厂原包装现场交货</w:t>
      </w:r>
    </w:p>
    <w:p w14:paraId="54C1E5F6">
      <w:pPr>
        <w:spacing w:line="440" w:lineRule="exact"/>
        <w:ind w:firstLine="500"/>
        <w:rPr>
          <w:rFonts w:hint="default" w:ascii="宋体" w:hAnsi="宋体" w:eastAsia="宋体" w:cs="宋体"/>
          <w:i/>
          <w:color w:val="auto"/>
          <w:spacing w:val="7"/>
          <w:sz w:val="24"/>
          <w:szCs w:val="24"/>
          <w:highlight w:val="none"/>
          <w:u w:val="single"/>
        </w:rPr>
      </w:pPr>
      <w:r>
        <w:rPr>
          <w:rFonts w:hint="eastAsia" w:ascii="宋体" w:hAnsi="宋体" w:cs="宋体"/>
          <w:i/>
          <w:color w:val="auto"/>
          <w:spacing w:val="7"/>
          <w:sz w:val="24"/>
          <w:szCs w:val="24"/>
          <w:highlight w:val="none"/>
          <w:u w:val="single"/>
          <w:lang w:val="en-US" w:eastAsia="zh-CN"/>
        </w:rPr>
        <w:t>3</w:t>
      </w:r>
      <w:r>
        <w:rPr>
          <w:rFonts w:hint="default" w:ascii="宋体" w:hAnsi="宋体" w:eastAsia="宋体" w:cs="宋体"/>
          <w:i/>
          <w:color w:val="auto"/>
          <w:spacing w:val="7"/>
          <w:sz w:val="24"/>
          <w:szCs w:val="24"/>
          <w:highlight w:val="none"/>
          <w:u w:val="single"/>
        </w:rPr>
        <w:t>.3、交货地点</w:t>
      </w:r>
    </w:p>
    <w:p w14:paraId="668CF9A6">
      <w:pPr>
        <w:spacing w:line="440" w:lineRule="exact"/>
        <w:ind w:firstLine="500"/>
        <w:rPr>
          <w:rFonts w:ascii="Times New Roman" w:hAnsi="Times New Roman" w:eastAsia="宋体" w:cs="Times New Roman"/>
          <w:b/>
          <w:color w:val="auto"/>
          <w:spacing w:val="7"/>
          <w:sz w:val="24"/>
          <w:szCs w:val="24"/>
          <w:highlight w:val="none"/>
          <w:lang w:val="en-US" w:eastAsia="zh-CN" w:bidi="ar-SA"/>
        </w:rPr>
      </w:pPr>
      <w:r>
        <w:rPr>
          <w:rFonts w:hint="default" w:ascii="宋体" w:hAnsi="宋体" w:eastAsia="宋体" w:cs="宋体"/>
          <w:i/>
          <w:color w:val="auto"/>
          <w:spacing w:val="7"/>
          <w:sz w:val="24"/>
          <w:szCs w:val="24"/>
          <w:highlight w:val="none"/>
          <w:u w:val="single"/>
        </w:rPr>
        <w:t>采购人指定地点</w:t>
      </w:r>
    </w:p>
    <w:p w14:paraId="64513724">
      <w:pPr>
        <w:spacing w:line="440" w:lineRule="exact"/>
        <w:ind w:firstLine="500"/>
        <w:rPr>
          <w:rFonts w:ascii="Times New Roman" w:hAnsi="Times New Roman" w:eastAsia="宋体" w:cs="Times New Roman"/>
          <w:b/>
          <w:spacing w:val="7"/>
          <w:sz w:val="24"/>
          <w:szCs w:val="24"/>
          <w:highlight w:val="none"/>
          <w:lang w:val="en-US" w:eastAsia="zh-CN" w:bidi="ar-SA"/>
        </w:rPr>
      </w:pPr>
      <w:r>
        <w:rPr>
          <w:rFonts w:hint="eastAsia" w:ascii="Times New Roman" w:hAnsi="Times New Roman" w:cs="Times New Roman"/>
          <w:b/>
          <w:spacing w:val="7"/>
          <w:sz w:val="24"/>
          <w:szCs w:val="24"/>
          <w:highlight w:val="none"/>
          <w:lang w:val="en-US" w:eastAsia="zh-CN" w:bidi="ar-SA"/>
        </w:rPr>
        <w:t>4</w:t>
      </w:r>
      <w:r>
        <w:rPr>
          <w:rFonts w:ascii="Times New Roman" w:hAnsi="Times New Roman" w:eastAsia="宋体" w:cs="Times New Roman"/>
          <w:b/>
          <w:spacing w:val="7"/>
          <w:sz w:val="24"/>
          <w:szCs w:val="24"/>
          <w:highlight w:val="none"/>
          <w:lang w:val="en-US" w:eastAsia="zh-CN" w:bidi="ar-SA"/>
        </w:rPr>
        <w:t xml:space="preserve"> 货款支付</w:t>
      </w:r>
    </w:p>
    <w:p w14:paraId="72B9EC01">
      <w:pPr>
        <w:spacing w:line="440" w:lineRule="exact"/>
        <w:ind w:firstLine="500"/>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4</w:t>
      </w:r>
      <w:r>
        <w:rPr>
          <w:rFonts w:ascii="Times New Roman" w:hAnsi="Times New Roman" w:eastAsia="宋体" w:cs="Times New Roman"/>
          <w:i/>
          <w:spacing w:val="7"/>
          <w:sz w:val="24"/>
          <w:szCs w:val="24"/>
          <w:highlight w:val="none"/>
          <w:u w:val="single"/>
          <w:lang w:val="en-US" w:eastAsia="zh-CN" w:bidi="ar-SA"/>
        </w:rPr>
        <w:t>.1、结付程序</w:t>
      </w:r>
    </w:p>
    <w:p w14:paraId="7655D5E3">
      <w:pPr>
        <w:spacing w:line="440" w:lineRule="exact"/>
        <w:ind w:firstLine="508"/>
        <w:rPr>
          <w:rFonts w:ascii="Times New Roman" w:hAnsi="Times New Roman" w:eastAsia="宋体" w:cs="Times New Roman"/>
          <w:i/>
          <w:spacing w:val="7"/>
          <w:sz w:val="24"/>
          <w:szCs w:val="24"/>
          <w:highlight w:val="none"/>
          <w:u w:val="single"/>
          <w:lang w:val="en-US" w:eastAsia="zh-CN" w:bidi="ar-SA"/>
        </w:rPr>
      </w:pPr>
      <w:r>
        <w:rPr>
          <w:rFonts w:ascii="Times New Roman" w:hAnsi="Times New Roman" w:eastAsia="宋体" w:cs="Times New Roman"/>
          <w:i/>
          <w:spacing w:val="7"/>
          <w:sz w:val="24"/>
          <w:szCs w:val="24"/>
          <w:highlight w:val="none"/>
          <w:u w:val="single"/>
          <w:lang w:val="en-US" w:eastAsia="zh-CN" w:bidi="ar-SA"/>
        </w:rPr>
        <w:t>供方按本合同内容合格地履行服务义务后，凭验收报告、销售发票到采购单位办理结算手续。</w:t>
      </w:r>
    </w:p>
    <w:p w14:paraId="1B911D4A">
      <w:pPr>
        <w:spacing w:line="440" w:lineRule="exact"/>
        <w:ind w:firstLine="500"/>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4</w:t>
      </w:r>
      <w:r>
        <w:rPr>
          <w:rFonts w:ascii="Times New Roman" w:hAnsi="Times New Roman" w:eastAsia="宋体" w:cs="Times New Roman"/>
          <w:i/>
          <w:spacing w:val="7"/>
          <w:sz w:val="24"/>
          <w:szCs w:val="24"/>
          <w:highlight w:val="none"/>
          <w:u w:val="single"/>
          <w:lang w:val="en-US" w:eastAsia="zh-CN" w:bidi="ar-SA"/>
        </w:rPr>
        <w:t>.2、结付期限</w:t>
      </w:r>
    </w:p>
    <w:p w14:paraId="114FBB3F">
      <w:pPr>
        <w:spacing w:line="440" w:lineRule="exact"/>
        <w:ind w:firstLine="482"/>
        <w:rPr>
          <w:rFonts w:hint="eastAsia" w:ascii="Times New Roman" w:hAnsi="Times New Roman" w:eastAsia="宋体" w:cs="Times New Roman"/>
          <w:i/>
          <w:color w:val="auto"/>
          <w:sz w:val="24"/>
          <w:szCs w:val="24"/>
          <w:highlight w:val="none"/>
          <w:u w:val="single"/>
          <w:lang w:eastAsia="zh-CN"/>
        </w:rPr>
      </w:pPr>
      <w:bookmarkStart w:id="176" w:name="_Hlk204853731"/>
      <w:bookmarkStart w:id="177" w:name="OLE_LINK4"/>
      <w:r>
        <w:rPr>
          <w:rFonts w:hint="default" w:ascii="Cambria Math" w:hAnsi="Cambria Math" w:eastAsia="宋体" w:cs="Cambria Math"/>
          <w:i/>
          <w:color w:val="auto"/>
          <w:sz w:val="24"/>
          <w:szCs w:val="24"/>
          <w:highlight w:val="none"/>
          <w:u w:val="single"/>
        </w:rPr>
        <w:t>①</w:t>
      </w:r>
      <w:r>
        <w:rPr>
          <w:rFonts w:hint="default" w:ascii="Times New Roman" w:hAnsi="Times New Roman" w:eastAsia="宋体" w:cs="Times New Roman"/>
          <w:i/>
          <w:color w:val="auto"/>
          <w:sz w:val="24"/>
          <w:szCs w:val="24"/>
          <w:highlight w:val="none"/>
          <w:u w:val="single"/>
        </w:rPr>
        <w:t>合同签订生效后，采购</w:t>
      </w:r>
      <w:r>
        <w:rPr>
          <w:rFonts w:hint="eastAsia" w:ascii="Times New Roman" w:hAnsi="Times New Roman" w:eastAsia="宋体" w:cs="Times New Roman"/>
          <w:i/>
          <w:color w:val="auto"/>
          <w:sz w:val="24"/>
          <w:szCs w:val="24"/>
          <w:highlight w:val="none"/>
          <w:u w:val="single"/>
        </w:rPr>
        <w:t>人收到中标人开具的发票后1</w:t>
      </w:r>
      <w:r>
        <w:rPr>
          <w:rFonts w:hint="eastAsia" w:ascii="Times New Roman" w:hAnsi="Times New Roman" w:cs="Times New Roman"/>
          <w:i/>
          <w:color w:val="auto"/>
          <w:sz w:val="24"/>
          <w:szCs w:val="24"/>
          <w:highlight w:val="none"/>
          <w:u w:val="single"/>
          <w:lang w:val="en-US" w:eastAsia="zh-CN"/>
        </w:rPr>
        <w:t>0个工作日</w:t>
      </w:r>
      <w:r>
        <w:rPr>
          <w:rFonts w:hint="default" w:ascii="Times New Roman" w:hAnsi="Times New Roman" w:eastAsia="宋体" w:cs="Times New Roman"/>
          <w:i/>
          <w:color w:val="auto"/>
          <w:sz w:val="24"/>
          <w:szCs w:val="24"/>
          <w:highlight w:val="none"/>
          <w:u w:val="single"/>
        </w:rPr>
        <w:t>内支付</w:t>
      </w:r>
      <w:r>
        <w:rPr>
          <w:rFonts w:hint="eastAsia" w:ascii="Times New Roman" w:hAnsi="Times New Roman" w:cs="Times New Roman"/>
          <w:i/>
          <w:color w:val="auto"/>
          <w:sz w:val="24"/>
          <w:szCs w:val="24"/>
          <w:highlight w:val="none"/>
          <w:u w:val="single"/>
          <w:lang w:eastAsia="zh-CN"/>
        </w:rPr>
        <w:t>合同金额</w:t>
      </w:r>
      <w:r>
        <w:rPr>
          <w:rFonts w:hint="eastAsia" w:ascii="Times New Roman" w:hAnsi="Times New Roman" w:eastAsia="宋体" w:cs="Times New Roman"/>
          <w:i/>
          <w:color w:val="auto"/>
          <w:sz w:val="24"/>
          <w:szCs w:val="24"/>
          <w:highlight w:val="none"/>
          <w:u w:val="single"/>
          <w:lang w:val="en-US" w:eastAsia="zh-CN"/>
        </w:rPr>
        <w:t>30</w:t>
      </w:r>
      <w:r>
        <w:rPr>
          <w:rFonts w:hint="default" w:ascii="Times New Roman" w:hAnsi="Times New Roman" w:eastAsia="宋体" w:cs="Times New Roman"/>
          <w:i/>
          <w:color w:val="auto"/>
          <w:sz w:val="24"/>
          <w:szCs w:val="24"/>
          <w:highlight w:val="none"/>
          <w:u w:val="single"/>
        </w:rPr>
        <w:t>%的预付款。</w:t>
      </w:r>
      <w:bookmarkEnd w:id="176"/>
      <w:r>
        <w:rPr>
          <w:rFonts w:hint="eastAsia" w:ascii="Times New Roman" w:hAnsi="Times New Roman" w:eastAsia="宋体" w:cs="Times New Roman"/>
          <w:i/>
          <w:color w:val="auto"/>
          <w:sz w:val="24"/>
          <w:szCs w:val="24"/>
          <w:highlight w:val="none"/>
          <w:u w:val="single"/>
        </w:rPr>
        <w:t>余下经项目完成、验收等工序完成，出具验收报告后30日内支付</w:t>
      </w:r>
      <w:r>
        <w:rPr>
          <w:rFonts w:hint="eastAsia" w:ascii="Times New Roman" w:hAnsi="Times New Roman" w:cs="Times New Roman"/>
          <w:i/>
          <w:color w:val="auto"/>
          <w:sz w:val="24"/>
          <w:szCs w:val="24"/>
          <w:highlight w:val="none"/>
          <w:u w:val="single"/>
          <w:lang w:eastAsia="zh-CN"/>
        </w:rPr>
        <w:t>至合同金额的</w:t>
      </w:r>
      <w:r>
        <w:rPr>
          <w:rFonts w:hint="eastAsia" w:ascii="Times New Roman" w:hAnsi="Times New Roman" w:cs="Times New Roman"/>
          <w:i/>
          <w:color w:val="auto"/>
          <w:sz w:val="24"/>
          <w:szCs w:val="24"/>
          <w:highlight w:val="none"/>
          <w:u w:val="single"/>
          <w:lang w:val="en-US" w:eastAsia="zh-CN"/>
        </w:rPr>
        <w:t>78%。</w:t>
      </w:r>
      <w:r>
        <w:rPr>
          <w:rFonts w:hint="eastAsia" w:ascii="Times New Roman" w:hAnsi="Times New Roman" w:cs="Times New Roman"/>
          <w:i/>
          <w:color w:val="auto"/>
          <w:sz w:val="24"/>
          <w:szCs w:val="24"/>
          <w:highlight w:val="none"/>
          <w:u w:val="single"/>
          <w:lang w:eastAsia="zh-CN"/>
        </w:rPr>
        <w:t>第一</w:t>
      </w:r>
      <w:r>
        <w:rPr>
          <w:rFonts w:hint="eastAsia" w:ascii="Times New Roman" w:hAnsi="Times New Roman" w:eastAsia="宋体" w:cs="Times New Roman"/>
          <w:i/>
          <w:color w:val="auto"/>
          <w:sz w:val="24"/>
          <w:szCs w:val="24"/>
          <w:highlight w:val="none"/>
          <w:u w:val="single"/>
          <w:lang w:eastAsia="zh-CN"/>
        </w:rPr>
        <w:t>年度</w:t>
      </w:r>
      <w:r>
        <w:rPr>
          <w:rFonts w:hint="eastAsia" w:ascii="Times New Roman" w:hAnsi="Times New Roman" w:eastAsia="宋体" w:cs="Times New Roman"/>
          <w:i/>
          <w:color w:val="auto"/>
          <w:sz w:val="24"/>
          <w:szCs w:val="24"/>
          <w:highlight w:val="none"/>
          <w:u w:val="single"/>
          <w:lang w:val="en-US" w:eastAsia="zh-CN"/>
        </w:rPr>
        <w:t>运维服务完成后支付</w:t>
      </w:r>
      <w:r>
        <w:rPr>
          <w:rFonts w:hint="eastAsia" w:ascii="Times New Roman" w:hAnsi="Times New Roman" w:cs="Times New Roman"/>
          <w:i/>
          <w:color w:val="auto"/>
          <w:sz w:val="24"/>
          <w:szCs w:val="24"/>
          <w:highlight w:val="none"/>
          <w:u w:val="single"/>
          <w:lang w:eastAsia="zh-CN"/>
        </w:rPr>
        <w:t>合同金额</w:t>
      </w:r>
      <w:r>
        <w:rPr>
          <w:rFonts w:hint="eastAsia" w:ascii="Times New Roman" w:hAnsi="Times New Roman" w:cs="Times New Roman"/>
          <w:i/>
          <w:color w:val="auto"/>
          <w:sz w:val="24"/>
          <w:szCs w:val="24"/>
          <w:highlight w:val="none"/>
          <w:u w:val="single"/>
          <w:lang w:val="en-US" w:eastAsia="zh-CN"/>
        </w:rPr>
        <w:t>的6</w:t>
      </w:r>
      <w:r>
        <w:rPr>
          <w:rFonts w:hint="eastAsia" w:ascii="Times New Roman" w:hAnsi="Times New Roman" w:eastAsia="宋体" w:cs="Times New Roman"/>
          <w:i/>
          <w:color w:val="auto"/>
          <w:sz w:val="24"/>
          <w:szCs w:val="24"/>
          <w:highlight w:val="none"/>
          <w:u w:val="single"/>
          <w:lang w:val="en-US" w:eastAsia="zh-CN"/>
        </w:rPr>
        <w:t>%，</w:t>
      </w:r>
      <w:r>
        <w:rPr>
          <w:rFonts w:hint="eastAsia" w:ascii="Times New Roman" w:hAnsi="Times New Roman" w:cs="Times New Roman"/>
          <w:i/>
          <w:color w:val="auto"/>
          <w:sz w:val="24"/>
          <w:szCs w:val="24"/>
          <w:highlight w:val="none"/>
          <w:u w:val="single"/>
          <w:lang w:eastAsia="zh-CN"/>
        </w:rPr>
        <w:t>第二</w:t>
      </w:r>
      <w:r>
        <w:rPr>
          <w:rFonts w:hint="eastAsia" w:ascii="Times New Roman" w:hAnsi="Times New Roman" w:eastAsia="宋体" w:cs="Times New Roman"/>
          <w:i/>
          <w:color w:val="auto"/>
          <w:sz w:val="24"/>
          <w:szCs w:val="24"/>
          <w:highlight w:val="none"/>
          <w:u w:val="single"/>
          <w:lang w:eastAsia="zh-CN"/>
        </w:rPr>
        <w:t>年度</w:t>
      </w:r>
      <w:r>
        <w:rPr>
          <w:rFonts w:hint="eastAsia" w:ascii="Times New Roman" w:hAnsi="Times New Roman" w:eastAsia="宋体" w:cs="Times New Roman"/>
          <w:i/>
          <w:color w:val="auto"/>
          <w:sz w:val="24"/>
          <w:szCs w:val="24"/>
          <w:highlight w:val="none"/>
          <w:u w:val="single"/>
          <w:lang w:val="en-US" w:eastAsia="zh-CN"/>
        </w:rPr>
        <w:t>运维服务完成后支付</w:t>
      </w:r>
      <w:r>
        <w:rPr>
          <w:rFonts w:hint="eastAsia" w:ascii="Times New Roman" w:hAnsi="Times New Roman" w:cs="Times New Roman"/>
          <w:i/>
          <w:color w:val="auto"/>
          <w:sz w:val="24"/>
          <w:szCs w:val="24"/>
          <w:highlight w:val="none"/>
          <w:u w:val="single"/>
          <w:lang w:eastAsia="zh-CN"/>
        </w:rPr>
        <w:t>合同金额</w:t>
      </w:r>
      <w:r>
        <w:rPr>
          <w:rFonts w:hint="eastAsia" w:ascii="Times New Roman" w:hAnsi="Times New Roman" w:cs="Times New Roman"/>
          <w:i/>
          <w:color w:val="auto"/>
          <w:sz w:val="24"/>
          <w:szCs w:val="24"/>
          <w:highlight w:val="none"/>
          <w:u w:val="single"/>
          <w:lang w:val="en-US" w:eastAsia="zh-CN"/>
        </w:rPr>
        <w:t>的8</w:t>
      </w:r>
      <w:r>
        <w:rPr>
          <w:rFonts w:hint="eastAsia" w:ascii="Times New Roman" w:hAnsi="Times New Roman" w:eastAsia="宋体" w:cs="Times New Roman"/>
          <w:i/>
          <w:color w:val="auto"/>
          <w:sz w:val="24"/>
          <w:szCs w:val="24"/>
          <w:highlight w:val="none"/>
          <w:u w:val="single"/>
          <w:lang w:val="en-US" w:eastAsia="zh-CN"/>
        </w:rPr>
        <w:t>%</w:t>
      </w:r>
      <w:r>
        <w:rPr>
          <w:rFonts w:hint="eastAsia" w:ascii="Times New Roman" w:hAnsi="Times New Roman" w:cs="Times New Roman"/>
          <w:i/>
          <w:color w:val="auto"/>
          <w:sz w:val="24"/>
          <w:szCs w:val="24"/>
          <w:highlight w:val="none"/>
          <w:u w:val="single"/>
          <w:lang w:val="en-US" w:eastAsia="zh-CN"/>
        </w:rPr>
        <w:t>，第三年度运维服务完成</w:t>
      </w:r>
      <w:r>
        <w:rPr>
          <w:rFonts w:hint="eastAsia" w:ascii="Times New Roman" w:hAnsi="Times New Roman" w:eastAsia="宋体" w:cs="Times New Roman"/>
          <w:i/>
          <w:color w:val="auto"/>
          <w:sz w:val="24"/>
          <w:szCs w:val="24"/>
          <w:highlight w:val="none"/>
          <w:u w:val="single"/>
          <w:lang w:val="en-US" w:eastAsia="zh-CN"/>
        </w:rPr>
        <w:t>后</w:t>
      </w:r>
      <w:r>
        <w:rPr>
          <w:rFonts w:hint="eastAsia" w:ascii="Times New Roman" w:hAnsi="Times New Roman" w:cs="Times New Roman"/>
          <w:i/>
          <w:color w:val="auto"/>
          <w:sz w:val="24"/>
          <w:szCs w:val="24"/>
          <w:highlight w:val="none"/>
          <w:u w:val="single"/>
          <w:lang w:val="en-US" w:eastAsia="zh-CN"/>
        </w:rPr>
        <w:t>付清余款并</w:t>
      </w:r>
      <w:r>
        <w:rPr>
          <w:rFonts w:hint="eastAsia" w:ascii="Times New Roman" w:hAnsi="Times New Roman" w:eastAsia="宋体" w:cs="Times New Roman"/>
          <w:i/>
          <w:color w:val="auto"/>
          <w:sz w:val="24"/>
          <w:szCs w:val="24"/>
          <w:highlight w:val="none"/>
          <w:u w:val="single"/>
        </w:rPr>
        <w:t>退还履约保证金</w:t>
      </w:r>
      <w:r>
        <w:rPr>
          <w:rFonts w:hint="eastAsia" w:ascii="Times New Roman" w:hAnsi="Times New Roman" w:eastAsia="宋体" w:cs="Times New Roman"/>
          <w:i/>
          <w:color w:val="auto"/>
          <w:sz w:val="24"/>
          <w:szCs w:val="24"/>
          <w:highlight w:val="none"/>
          <w:u w:val="single"/>
          <w:lang w:eastAsia="zh-CN"/>
        </w:rPr>
        <w:t>。</w:t>
      </w:r>
    </w:p>
    <w:bookmarkEnd w:id="177"/>
    <w:p w14:paraId="6C841652">
      <w:pPr>
        <w:spacing w:line="440" w:lineRule="exact"/>
        <w:ind w:firstLine="500"/>
        <w:rPr>
          <w:rFonts w:ascii="Times New Roman" w:hAnsi="Times New Roman" w:eastAsia="宋体" w:cs="Times New Roman"/>
          <w:b/>
          <w:color w:val="auto"/>
          <w:spacing w:val="7"/>
          <w:sz w:val="24"/>
          <w:szCs w:val="24"/>
          <w:highlight w:val="none"/>
          <w:lang w:val="en-US" w:eastAsia="zh-CN" w:bidi="ar-SA"/>
        </w:rPr>
      </w:pPr>
      <w:r>
        <w:rPr>
          <w:rFonts w:hint="eastAsia" w:ascii="Times New Roman" w:hAnsi="Times New Roman" w:cs="Times New Roman"/>
          <w:b/>
          <w:color w:val="auto"/>
          <w:spacing w:val="7"/>
          <w:sz w:val="24"/>
          <w:szCs w:val="24"/>
          <w:highlight w:val="none"/>
          <w:lang w:val="en-US" w:eastAsia="zh-CN" w:bidi="ar-SA"/>
        </w:rPr>
        <w:t>5</w:t>
      </w:r>
      <w:r>
        <w:rPr>
          <w:rFonts w:ascii="Times New Roman" w:hAnsi="Times New Roman" w:eastAsia="宋体" w:cs="Times New Roman"/>
          <w:b/>
          <w:color w:val="auto"/>
          <w:spacing w:val="7"/>
          <w:sz w:val="24"/>
          <w:szCs w:val="24"/>
          <w:highlight w:val="none"/>
          <w:lang w:val="en-US" w:eastAsia="zh-CN" w:bidi="ar-SA"/>
        </w:rPr>
        <w:t xml:space="preserve"> 投标货币</w:t>
      </w:r>
    </w:p>
    <w:p w14:paraId="15A428A9">
      <w:pPr>
        <w:spacing w:line="440" w:lineRule="exact"/>
        <w:ind w:firstLine="500"/>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5</w:t>
      </w:r>
      <w:r>
        <w:rPr>
          <w:rFonts w:ascii="Times New Roman" w:hAnsi="Times New Roman" w:eastAsia="宋体" w:cs="Times New Roman"/>
          <w:i/>
          <w:spacing w:val="7"/>
          <w:sz w:val="24"/>
          <w:szCs w:val="24"/>
          <w:highlight w:val="none"/>
          <w:u w:val="single"/>
          <w:lang w:val="en-US" w:eastAsia="zh-CN" w:bidi="ar-SA"/>
        </w:rPr>
        <w:t>.1、投标货币</w:t>
      </w:r>
    </w:p>
    <w:p w14:paraId="33F90341">
      <w:pPr>
        <w:spacing w:line="440" w:lineRule="exact"/>
        <w:ind w:firstLine="500"/>
        <w:rPr>
          <w:rFonts w:ascii="Times New Roman" w:hAnsi="Times New Roman" w:eastAsia="宋体" w:cs="Times New Roman"/>
          <w:i/>
          <w:spacing w:val="7"/>
          <w:sz w:val="24"/>
          <w:szCs w:val="24"/>
          <w:highlight w:val="none"/>
          <w:u w:val="single"/>
          <w:lang w:val="en-US" w:eastAsia="zh-CN" w:bidi="ar-SA"/>
        </w:rPr>
      </w:pPr>
      <w:r>
        <w:rPr>
          <w:rFonts w:ascii="Times New Roman" w:hAnsi="Times New Roman" w:eastAsia="宋体" w:cs="Times New Roman"/>
          <w:i/>
          <w:spacing w:val="7"/>
          <w:sz w:val="24"/>
          <w:szCs w:val="24"/>
          <w:highlight w:val="none"/>
          <w:u w:val="single"/>
          <w:lang w:val="en-US" w:eastAsia="zh-CN" w:bidi="ar-SA"/>
        </w:rPr>
        <w:t>人民币。</w:t>
      </w:r>
    </w:p>
    <w:p w14:paraId="04E42094">
      <w:pPr>
        <w:spacing w:line="440" w:lineRule="exact"/>
        <w:ind w:firstLine="499"/>
        <w:rPr>
          <w:rFonts w:ascii="Times New Roman" w:hAnsi="Times New Roman" w:eastAsia="宋体" w:cs="Times New Roman"/>
          <w:i/>
          <w:spacing w:val="7"/>
          <w:sz w:val="24"/>
          <w:szCs w:val="24"/>
          <w:highlight w:val="none"/>
          <w:u w:val="single"/>
          <w:lang w:val="en-US" w:eastAsia="zh-CN" w:bidi="ar-SA"/>
        </w:rPr>
      </w:pPr>
      <w:bookmarkStart w:id="178" w:name="_Hlk204590348"/>
      <w:r>
        <w:rPr>
          <w:rFonts w:hint="eastAsia" w:ascii="Times New Roman" w:hAnsi="Times New Roman" w:cs="Times New Roman"/>
          <w:b/>
          <w:spacing w:val="7"/>
          <w:sz w:val="24"/>
          <w:szCs w:val="24"/>
          <w:highlight w:val="none"/>
          <w:lang w:val="en-US" w:eastAsia="zh-CN" w:bidi="ar-SA"/>
        </w:rPr>
        <w:t>6</w:t>
      </w:r>
      <w:r>
        <w:rPr>
          <w:rFonts w:ascii="Times New Roman" w:hAnsi="Times New Roman" w:eastAsia="宋体" w:cs="Times New Roman"/>
          <w:b/>
          <w:spacing w:val="7"/>
          <w:sz w:val="24"/>
          <w:szCs w:val="24"/>
          <w:highlight w:val="none"/>
          <w:lang w:val="en-US" w:eastAsia="zh-CN" w:bidi="ar-SA"/>
        </w:rPr>
        <w:t xml:space="preserve"> 备品备件及耗材等要求</w:t>
      </w:r>
    </w:p>
    <w:p w14:paraId="79538EB0">
      <w:pPr>
        <w:spacing w:line="440" w:lineRule="exact"/>
        <w:ind w:firstLine="499"/>
        <w:rPr>
          <w:rFonts w:ascii="Times New Roman" w:hAnsi="Times New Roman" w:eastAsia="宋体" w:cs="Times New Roman"/>
          <w:i/>
          <w:spacing w:val="7"/>
          <w:sz w:val="24"/>
          <w:szCs w:val="24"/>
          <w:highlight w:val="none"/>
          <w:u w:val="single"/>
          <w:lang w:val="en-US" w:eastAsia="zh-CN" w:bidi="ar-SA"/>
        </w:rPr>
      </w:pPr>
      <w:r>
        <w:rPr>
          <w:rFonts w:hint="eastAsia" w:ascii="Times New Roman" w:hAnsi="Times New Roman" w:cs="Times New Roman"/>
          <w:i/>
          <w:spacing w:val="7"/>
          <w:sz w:val="24"/>
          <w:szCs w:val="24"/>
          <w:highlight w:val="none"/>
          <w:u w:val="single"/>
          <w:lang w:val="en-US" w:eastAsia="zh-CN" w:bidi="ar-SA"/>
        </w:rPr>
        <w:t>6</w:t>
      </w:r>
      <w:r>
        <w:rPr>
          <w:rFonts w:ascii="Times New Roman" w:hAnsi="Times New Roman" w:eastAsia="宋体" w:cs="Times New Roman"/>
          <w:i/>
          <w:spacing w:val="7"/>
          <w:sz w:val="24"/>
          <w:szCs w:val="24"/>
          <w:highlight w:val="none"/>
          <w:u w:val="single"/>
          <w:lang w:val="en-US" w:eastAsia="zh-CN" w:bidi="ar-SA"/>
        </w:rPr>
        <w:t>.1、备品备件及耗材等要求</w:t>
      </w:r>
    </w:p>
    <w:p w14:paraId="06912BF5">
      <w:pPr>
        <w:spacing w:line="440" w:lineRule="exact"/>
        <w:ind w:firstLine="499"/>
        <w:rPr>
          <w:rFonts w:ascii="Times New Roman" w:hAnsi="Times New Roman" w:eastAsia="宋体" w:cs="Times New Roman"/>
          <w:i/>
          <w:spacing w:val="7"/>
          <w:sz w:val="24"/>
          <w:szCs w:val="24"/>
          <w:highlight w:val="none"/>
          <w:u w:val="single"/>
          <w:lang w:val="en-US" w:eastAsia="zh-CN" w:bidi="ar-SA"/>
        </w:rPr>
      </w:pPr>
      <w:r>
        <w:rPr>
          <w:rFonts w:ascii="Times New Roman" w:hAnsi="Times New Roman" w:eastAsia="宋体" w:cs="Times New Roman"/>
          <w:i/>
          <w:spacing w:val="7"/>
          <w:sz w:val="24"/>
          <w:szCs w:val="24"/>
          <w:highlight w:val="none"/>
          <w:u w:val="single"/>
          <w:lang w:val="en-US" w:eastAsia="zh-CN" w:bidi="ar-SA"/>
        </w:rPr>
        <w:t>服务期内须备齐所需备品备件及耗材。</w:t>
      </w:r>
      <w:bookmarkEnd w:id="178"/>
    </w:p>
    <w:p w14:paraId="2881E764">
      <w:pPr>
        <w:spacing w:before="120" w:after="120" w:line="440" w:lineRule="exact"/>
        <w:rPr>
          <w:rFonts w:hint="default" w:ascii="Times New Roman" w:hAnsi="Times New Roman" w:eastAsia="宋体" w:cs="Times New Roman"/>
          <w:b/>
          <w:sz w:val="28"/>
          <w:szCs w:val="28"/>
          <w:highlight w:val="none"/>
        </w:rPr>
      </w:pPr>
      <w:r>
        <w:rPr>
          <w:rFonts w:hint="default" w:ascii="Times New Roman" w:hAnsi="Times New Roman" w:eastAsia="宋体" w:cs="Times New Roman"/>
          <w:b/>
          <w:sz w:val="28"/>
          <w:szCs w:val="28"/>
          <w:highlight w:val="none"/>
        </w:rPr>
        <w:t>四、其他要求</w:t>
      </w:r>
    </w:p>
    <w:p w14:paraId="2E3757BD">
      <w:pPr>
        <w:spacing w:line="440" w:lineRule="exact"/>
        <w:ind w:firstLine="482"/>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1、投标方案</w:t>
      </w:r>
    </w:p>
    <w:p w14:paraId="47B8BCA3">
      <w:pPr>
        <w:spacing w:line="440" w:lineRule="exact"/>
        <w:ind w:firstLine="500"/>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（1）投标人根据本项目实际需求，制定实施方案（</w:t>
      </w:r>
      <w:r>
        <w:rPr>
          <w:rFonts w:ascii="Cambria Math" w:hAnsi="Cambria Math" w:eastAsia="宋体" w:cs="Cambria Math"/>
          <w:spacing w:val="7"/>
          <w:sz w:val="24"/>
          <w:szCs w:val="24"/>
          <w:highlight w:val="none"/>
          <w:lang w:val="en-US" w:eastAsia="zh-CN" w:bidi="ar-SA"/>
        </w:rPr>
        <w:t>①</w:t>
      </w:r>
      <w:r>
        <w:rPr>
          <w:rFonts w:ascii="Times New Roman" w:hAnsi="Times New Roman" w:eastAsia="宋体" w:cs="Times New Roman"/>
          <w:spacing w:val="7"/>
          <w:sz w:val="24"/>
          <w:szCs w:val="24"/>
          <w:highlight w:val="none"/>
          <w:lang w:val="en-US" w:eastAsia="zh-CN" w:bidi="ar-SA"/>
        </w:rPr>
        <w:t>实施整体方案、</w:t>
      </w:r>
      <w:r>
        <w:rPr>
          <w:rFonts w:ascii="Cambria Math" w:hAnsi="Cambria Math" w:eastAsia="宋体" w:cs="Cambria Math"/>
          <w:spacing w:val="7"/>
          <w:sz w:val="24"/>
          <w:szCs w:val="24"/>
          <w:highlight w:val="none"/>
          <w:lang w:val="en-US" w:eastAsia="zh-CN" w:bidi="ar-SA"/>
        </w:rPr>
        <w:t>②</w:t>
      </w:r>
      <w:r>
        <w:rPr>
          <w:rFonts w:ascii="Times New Roman" w:hAnsi="Times New Roman" w:eastAsia="宋体" w:cs="Times New Roman"/>
          <w:spacing w:val="7"/>
          <w:sz w:val="24"/>
          <w:szCs w:val="24"/>
          <w:highlight w:val="none"/>
          <w:lang w:val="en-US" w:eastAsia="zh-CN" w:bidi="ar-SA"/>
        </w:rPr>
        <w:t>供货计划、</w:t>
      </w:r>
      <w:r>
        <w:rPr>
          <w:rFonts w:ascii="Cambria Math" w:hAnsi="Cambria Math" w:eastAsia="宋体" w:cs="Cambria Math"/>
          <w:spacing w:val="7"/>
          <w:sz w:val="24"/>
          <w:szCs w:val="24"/>
          <w:highlight w:val="none"/>
          <w:lang w:val="en-US" w:eastAsia="zh-CN" w:bidi="ar-SA"/>
        </w:rPr>
        <w:t>③</w:t>
      </w:r>
      <w:r>
        <w:rPr>
          <w:rFonts w:ascii="Times New Roman" w:hAnsi="Times New Roman" w:eastAsia="宋体" w:cs="Times New Roman"/>
          <w:spacing w:val="7"/>
          <w:sz w:val="24"/>
          <w:szCs w:val="24"/>
          <w:highlight w:val="none"/>
          <w:lang w:val="en-US" w:eastAsia="zh-CN" w:bidi="ar-SA"/>
        </w:rPr>
        <w:t>进度控制方案、</w:t>
      </w:r>
      <w:r>
        <w:rPr>
          <w:rFonts w:ascii="Cambria Math" w:hAnsi="Cambria Math" w:eastAsia="宋体" w:cs="Cambria Math"/>
          <w:spacing w:val="7"/>
          <w:sz w:val="24"/>
          <w:szCs w:val="24"/>
          <w:highlight w:val="none"/>
          <w:lang w:val="en-US" w:eastAsia="zh-CN" w:bidi="ar-SA"/>
        </w:rPr>
        <w:t>④</w:t>
      </w:r>
      <w:r>
        <w:rPr>
          <w:rFonts w:ascii="Times New Roman" w:hAnsi="Times New Roman" w:eastAsia="宋体" w:cs="Times New Roman"/>
          <w:spacing w:val="7"/>
          <w:sz w:val="24"/>
          <w:szCs w:val="24"/>
          <w:highlight w:val="none"/>
          <w:lang w:val="en-US" w:eastAsia="zh-CN" w:bidi="ar-SA"/>
        </w:rPr>
        <w:t>质量保障方案、</w:t>
      </w:r>
      <w:r>
        <w:rPr>
          <w:rFonts w:ascii="Cambria Math" w:hAnsi="Cambria Math" w:eastAsia="宋体" w:cs="Cambria Math"/>
          <w:spacing w:val="7"/>
          <w:sz w:val="24"/>
          <w:szCs w:val="24"/>
          <w:highlight w:val="none"/>
          <w:lang w:val="en-US" w:eastAsia="zh-CN" w:bidi="ar-SA"/>
        </w:rPr>
        <w:t>⑤</w:t>
      </w:r>
      <w:r>
        <w:rPr>
          <w:rFonts w:ascii="Times New Roman" w:hAnsi="Times New Roman" w:eastAsia="宋体" w:cs="Times New Roman"/>
          <w:spacing w:val="7"/>
          <w:sz w:val="24"/>
          <w:szCs w:val="24"/>
          <w:highlight w:val="none"/>
          <w:lang w:val="en-US" w:eastAsia="zh-CN" w:bidi="ar-SA"/>
        </w:rPr>
        <w:t>安全管理方案），请在投标文件中提供相关方案内容（如有）。</w:t>
      </w:r>
    </w:p>
    <w:p w14:paraId="6A3AF9FF">
      <w:pPr>
        <w:spacing w:line="440" w:lineRule="exact"/>
        <w:ind w:firstLine="500"/>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（2）投标人根据本项目实际需求，制定安装调试方案（</w:t>
      </w:r>
      <w:r>
        <w:rPr>
          <w:rFonts w:ascii="Cambria Math" w:hAnsi="Cambria Math" w:eastAsia="宋体" w:cs="Cambria Math"/>
          <w:spacing w:val="7"/>
          <w:sz w:val="24"/>
          <w:szCs w:val="24"/>
          <w:highlight w:val="none"/>
          <w:lang w:val="en-US" w:eastAsia="zh-CN" w:bidi="ar-SA"/>
        </w:rPr>
        <w:t>①</w:t>
      </w:r>
      <w:r>
        <w:rPr>
          <w:rFonts w:ascii="Times New Roman" w:hAnsi="Times New Roman" w:eastAsia="宋体" w:cs="Times New Roman"/>
          <w:spacing w:val="7"/>
          <w:sz w:val="24"/>
          <w:szCs w:val="24"/>
          <w:highlight w:val="none"/>
          <w:lang w:val="en-US" w:eastAsia="zh-CN" w:bidi="ar-SA"/>
        </w:rPr>
        <w:t>各子系统的技术路线、</w:t>
      </w:r>
      <w:r>
        <w:rPr>
          <w:rFonts w:ascii="Cambria Math" w:hAnsi="Cambria Math" w:eastAsia="宋体" w:cs="Cambria Math"/>
          <w:spacing w:val="7"/>
          <w:sz w:val="24"/>
          <w:szCs w:val="24"/>
          <w:highlight w:val="none"/>
          <w:lang w:val="en-US" w:eastAsia="zh-CN" w:bidi="ar-SA"/>
        </w:rPr>
        <w:t>②</w:t>
      </w:r>
      <w:r>
        <w:rPr>
          <w:rFonts w:ascii="Times New Roman" w:hAnsi="Times New Roman" w:eastAsia="宋体" w:cs="Times New Roman"/>
          <w:spacing w:val="7"/>
          <w:sz w:val="24"/>
          <w:szCs w:val="24"/>
          <w:highlight w:val="none"/>
          <w:lang w:val="en-US" w:eastAsia="zh-CN" w:bidi="ar-SA"/>
        </w:rPr>
        <w:t>安装步骤、</w:t>
      </w:r>
      <w:r>
        <w:rPr>
          <w:rFonts w:ascii="Cambria Math" w:hAnsi="Cambria Math" w:eastAsia="宋体" w:cs="Cambria Math"/>
          <w:spacing w:val="7"/>
          <w:sz w:val="24"/>
          <w:szCs w:val="24"/>
          <w:highlight w:val="none"/>
          <w:lang w:val="en-US" w:eastAsia="zh-CN" w:bidi="ar-SA"/>
        </w:rPr>
        <w:t>③</w:t>
      </w:r>
      <w:r>
        <w:rPr>
          <w:rFonts w:ascii="Times New Roman" w:hAnsi="Times New Roman" w:eastAsia="宋体" w:cs="Times New Roman"/>
          <w:spacing w:val="7"/>
          <w:sz w:val="24"/>
          <w:szCs w:val="24"/>
          <w:highlight w:val="none"/>
          <w:lang w:val="en-US" w:eastAsia="zh-CN" w:bidi="ar-SA"/>
        </w:rPr>
        <w:t>注意事项、</w:t>
      </w:r>
      <w:r>
        <w:rPr>
          <w:rFonts w:ascii="Cambria Math" w:hAnsi="Cambria Math" w:eastAsia="宋体" w:cs="Cambria Math"/>
          <w:spacing w:val="7"/>
          <w:sz w:val="24"/>
          <w:szCs w:val="24"/>
          <w:highlight w:val="none"/>
          <w:lang w:val="en-US" w:eastAsia="zh-CN" w:bidi="ar-SA"/>
        </w:rPr>
        <w:t>④</w:t>
      </w:r>
      <w:r>
        <w:rPr>
          <w:rFonts w:ascii="Times New Roman" w:hAnsi="Times New Roman" w:eastAsia="宋体" w:cs="Times New Roman"/>
          <w:spacing w:val="7"/>
          <w:sz w:val="24"/>
          <w:szCs w:val="24"/>
          <w:highlight w:val="none"/>
          <w:lang w:val="en-US" w:eastAsia="zh-CN" w:bidi="ar-SA"/>
        </w:rPr>
        <w:t>调试内容、</w:t>
      </w:r>
      <w:r>
        <w:rPr>
          <w:rFonts w:ascii="Cambria Math" w:hAnsi="Cambria Math" w:eastAsia="宋体" w:cs="Cambria Math"/>
          <w:spacing w:val="7"/>
          <w:sz w:val="24"/>
          <w:szCs w:val="24"/>
          <w:highlight w:val="none"/>
          <w:lang w:val="en-US" w:eastAsia="zh-CN" w:bidi="ar-SA"/>
        </w:rPr>
        <w:t>⑤</w:t>
      </w:r>
      <w:r>
        <w:rPr>
          <w:rFonts w:ascii="Times New Roman" w:hAnsi="Times New Roman" w:eastAsia="宋体" w:cs="Times New Roman"/>
          <w:spacing w:val="7"/>
          <w:sz w:val="24"/>
          <w:szCs w:val="24"/>
          <w:highlight w:val="none"/>
          <w:lang w:val="en-US" w:eastAsia="zh-CN" w:bidi="ar-SA"/>
        </w:rPr>
        <w:t>保障措施），请在投标文件中提供相关方案内容（如有）。</w:t>
      </w:r>
    </w:p>
    <w:p w14:paraId="2C1DAD08">
      <w:pPr>
        <w:spacing w:line="440" w:lineRule="exact"/>
        <w:ind w:firstLine="500"/>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（3）投标人根据本项目实际需求，制定运维方案（</w:t>
      </w:r>
      <w:r>
        <w:rPr>
          <w:rFonts w:ascii="Cambria Math" w:hAnsi="Cambria Math" w:eastAsia="宋体" w:cs="Cambria Math"/>
          <w:spacing w:val="7"/>
          <w:sz w:val="24"/>
          <w:szCs w:val="24"/>
          <w:highlight w:val="none"/>
          <w:lang w:val="en-US" w:eastAsia="zh-CN" w:bidi="ar-SA"/>
        </w:rPr>
        <w:t>①</w:t>
      </w:r>
      <w:r>
        <w:rPr>
          <w:rFonts w:ascii="Times New Roman" w:hAnsi="Times New Roman" w:eastAsia="宋体" w:cs="Times New Roman"/>
          <w:spacing w:val="7"/>
          <w:sz w:val="24"/>
          <w:szCs w:val="24"/>
          <w:highlight w:val="none"/>
          <w:lang w:val="en-US" w:eastAsia="zh-CN" w:bidi="ar-SA"/>
        </w:rPr>
        <w:t>系统运维保障方案、</w:t>
      </w:r>
      <w:r>
        <w:rPr>
          <w:rFonts w:ascii="Cambria Math" w:hAnsi="Cambria Math" w:eastAsia="宋体" w:cs="Cambria Math"/>
          <w:spacing w:val="7"/>
          <w:sz w:val="24"/>
          <w:szCs w:val="24"/>
          <w:highlight w:val="none"/>
          <w:lang w:val="en-US" w:eastAsia="zh-CN" w:bidi="ar-SA"/>
        </w:rPr>
        <w:t>②</w:t>
      </w:r>
      <w:r>
        <w:rPr>
          <w:rFonts w:ascii="Times New Roman" w:hAnsi="Times New Roman" w:eastAsia="宋体" w:cs="Times New Roman"/>
          <w:spacing w:val="7"/>
          <w:sz w:val="24"/>
          <w:szCs w:val="24"/>
          <w:highlight w:val="none"/>
          <w:lang w:val="en-US" w:eastAsia="zh-CN" w:bidi="ar-SA"/>
        </w:rPr>
        <w:t>各硬件设备的运维管理方案、</w:t>
      </w:r>
      <w:r>
        <w:rPr>
          <w:rFonts w:ascii="Cambria Math" w:hAnsi="Cambria Math" w:eastAsia="宋体" w:cs="Cambria Math"/>
          <w:spacing w:val="7"/>
          <w:sz w:val="24"/>
          <w:szCs w:val="24"/>
          <w:highlight w:val="none"/>
          <w:lang w:val="en-US" w:eastAsia="zh-CN" w:bidi="ar-SA"/>
        </w:rPr>
        <w:t>③</w:t>
      </w:r>
      <w:r>
        <w:rPr>
          <w:rFonts w:ascii="Times New Roman" w:hAnsi="Times New Roman" w:eastAsia="宋体" w:cs="Times New Roman"/>
          <w:spacing w:val="7"/>
          <w:sz w:val="24"/>
          <w:szCs w:val="24"/>
          <w:highlight w:val="none"/>
          <w:lang w:val="en-US" w:eastAsia="zh-CN" w:bidi="ar-SA"/>
        </w:rPr>
        <w:t>运营服务保障措施、</w:t>
      </w:r>
      <w:r>
        <w:rPr>
          <w:rFonts w:ascii="Cambria Math" w:hAnsi="Cambria Math" w:eastAsia="宋体" w:cs="Cambria Math"/>
          <w:spacing w:val="7"/>
          <w:sz w:val="24"/>
          <w:szCs w:val="24"/>
          <w:highlight w:val="none"/>
          <w:lang w:val="en-US" w:eastAsia="zh-CN" w:bidi="ar-SA"/>
        </w:rPr>
        <w:t>④</w:t>
      </w:r>
      <w:r>
        <w:rPr>
          <w:rFonts w:ascii="Times New Roman" w:hAnsi="Times New Roman" w:eastAsia="宋体" w:cs="Times New Roman"/>
          <w:spacing w:val="7"/>
          <w:sz w:val="24"/>
          <w:szCs w:val="24"/>
          <w:highlight w:val="none"/>
          <w:lang w:val="en-US" w:eastAsia="zh-CN" w:bidi="ar-SA"/>
        </w:rPr>
        <w:t>运维建设与管理制度），请在投标文件中提供相关方案内容（如有）。</w:t>
      </w:r>
    </w:p>
    <w:p w14:paraId="54D03A6E">
      <w:pPr>
        <w:spacing w:line="440" w:lineRule="exact"/>
        <w:ind w:firstLine="500"/>
        <w:rPr>
          <w:rFonts w:hint="default" w:ascii="Times New Roman" w:hAnsi="Times New Roman" w:eastAsia="宋体" w:cs="Times New Roman"/>
          <w:spacing w:val="7"/>
          <w:sz w:val="24"/>
          <w:szCs w:val="24"/>
          <w:highlight w:val="none"/>
          <w:lang w:val="en-US" w:eastAsia="zh-CN" w:bidi="ar-SA"/>
        </w:rPr>
      </w:pPr>
      <w:r>
        <w:rPr>
          <w:rFonts w:hint="eastAsia" w:ascii="Times New Roman" w:hAnsi="Times New Roman" w:eastAsia="宋体" w:cs="Times New Roman"/>
          <w:spacing w:val="7"/>
          <w:sz w:val="24"/>
          <w:szCs w:val="24"/>
          <w:highlight w:val="none"/>
          <w:lang w:val="en-US" w:eastAsia="zh-CN" w:bidi="ar-SA"/>
        </w:rPr>
        <w:t>（4）投标人根据本项目实际需求，制定停车泊位建设方案（</w:t>
      </w:r>
      <w:r>
        <w:rPr>
          <w:rFonts w:ascii="Cambria Math" w:hAnsi="Cambria Math" w:eastAsia="宋体" w:cs="Cambria Math"/>
          <w:spacing w:val="7"/>
          <w:sz w:val="24"/>
          <w:szCs w:val="24"/>
          <w:highlight w:val="none"/>
          <w:lang w:val="en-US" w:eastAsia="zh-CN" w:bidi="ar-SA"/>
        </w:rPr>
        <w:t>①</w:t>
      </w:r>
      <w:r>
        <w:rPr>
          <w:rFonts w:hint="eastAsia" w:ascii="Cambria Math" w:hAnsi="Cambria Math" w:eastAsia="宋体" w:cs="Cambria Math"/>
          <w:spacing w:val="7"/>
          <w:sz w:val="24"/>
          <w:szCs w:val="24"/>
          <w:highlight w:val="none"/>
          <w:lang w:val="en-US" w:eastAsia="zh-CN" w:bidi="ar-SA"/>
        </w:rPr>
        <w:t>停车泊位道路现状调研分析、</w:t>
      </w:r>
      <w:r>
        <w:rPr>
          <w:rFonts w:ascii="Cambria Math" w:hAnsi="Cambria Math" w:eastAsia="宋体" w:cs="Cambria Math"/>
          <w:spacing w:val="7"/>
          <w:sz w:val="24"/>
          <w:szCs w:val="24"/>
          <w:highlight w:val="none"/>
          <w:lang w:val="en-US" w:eastAsia="zh-CN" w:bidi="ar-SA"/>
        </w:rPr>
        <w:t>②</w:t>
      </w:r>
      <w:r>
        <w:rPr>
          <w:rFonts w:hint="eastAsia" w:ascii="Cambria Math" w:hAnsi="Cambria Math" w:eastAsia="宋体" w:cs="Cambria Math"/>
          <w:spacing w:val="7"/>
          <w:sz w:val="24"/>
          <w:szCs w:val="24"/>
          <w:highlight w:val="none"/>
          <w:lang w:val="en-US" w:eastAsia="zh-CN" w:bidi="ar-SA"/>
        </w:rPr>
        <w:t>智能停车收费前端设备、配套系统建设技术方案、</w:t>
      </w:r>
      <w:r>
        <w:rPr>
          <w:rFonts w:ascii="Cambria Math" w:hAnsi="Cambria Math" w:eastAsia="宋体" w:cs="Cambria Math"/>
          <w:spacing w:val="7"/>
          <w:sz w:val="24"/>
          <w:szCs w:val="24"/>
          <w:highlight w:val="none"/>
          <w:lang w:val="en-US" w:eastAsia="zh-CN" w:bidi="ar-SA"/>
        </w:rPr>
        <w:t>③</w:t>
      </w:r>
      <w:r>
        <w:rPr>
          <w:rFonts w:hint="eastAsia" w:ascii="Cambria Math" w:hAnsi="Cambria Math" w:eastAsia="宋体" w:cs="Cambria Math"/>
          <w:spacing w:val="7"/>
          <w:sz w:val="24"/>
          <w:szCs w:val="24"/>
          <w:highlight w:val="none"/>
          <w:lang w:val="en-US" w:eastAsia="zh-CN" w:bidi="ar-SA"/>
        </w:rPr>
        <w:t>停车收费整体运营思路、商业模式设计、</w:t>
      </w:r>
      <w:r>
        <w:rPr>
          <w:rFonts w:ascii="Cambria Math" w:hAnsi="Cambria Math" w:eastAsia="宋体" w:cs="Cambria Math"/>
          <w:spacing w:val="7"/>
          <w:sz w:val="24"/>
          <w:szCs w:val="24"/>
          <w:highlight w:val="none"/>
          <w:lang w:val="en-US" w:eastAsia="zh-CN" w:bidi="ar-SA"/>
        </w:rPr>
        <w:t>④</w:t>
      </w:r>
      <w:r>
        <w:rPr>
          <w:rFonts w:hint="eastAsia" w:ascii="Cambria Math" w:hAnsi="Cambria Math" w:eastAsia="宋体" w:cs="Cambria Math"/>
          <w:spacing w:val="7"/>
          <w:sz w:val="24"/>
          <w:szCs w:val="24"/>
          <w:highlight w:val="none"/>
          <w:lang w:val="en-US" w:eastAsia="zh-CN" w:bidi="ar-SA"/>
        </w:rPr>
        <w:t>收益成本分析及运营周期规划、</w:t>
      </w:r>
      <w:r>
        <w:rPr>
          <w:rFonts w:ascii="Cambria Math" w:hAnsi="Cambria Math" w:eastAsia="宋体" w:cs="Cambria Math"/>
          <w:spacing w:val="7"/>
          <w:sz w:val="24"/>
          <w:szCs w:val="24"/>
          <w:highlight w:val="none"/>
          <w:lang w:val="en-US" w:eastAsia="zh-CN" w:bidi="ar-SA"/>
        </w:rPr>
        <w:t>⑤</w:t>
      </w:r>
      <w:r>
        <w:rPr>
          <w:rFonts w:hint="eastAsia" w:ascii="Cambria Math" w:hAnsi="Cambria Math" w:eastAsia="宋体" w:cs="Cambria Math"/>
          <w:spacing w:val="7"/>
          <w:sz w:val="24"/>
          <w:szCs w:val="24"/>
          <w:highlight w:val="none"/>
          <w:lang w:val="en-US" w:eastAsia="zh-CN" w:bidi="ar-SA"/>
        </w:rPr>
        <w:t>可持续运营保障措施等</w:t>
      </w:r>
      <w:r>
        <w:rPr>
          <w:rFonts w:hint="eastAsia" w:ascii="Times New Roman" w:hAnsi="Times New Roman" w:eastAsia="宋体" w:cs="Times New Roman"/>
          <w:spacing w:val="7"/>
          <w:sz w:val="24"/>
          <w:szCs w:val="24"/>
          <w:highlight w:val="none"/>
          <w:lang w:val="en-US" w:eastAsia="zh-CN" w:bidi="ar-SA"/>
        </w:rPr>
        <w:t>）</w:t>
      </w:r>
    </w:p>
    <w:p w14:paraId="04B61BFC">
      <w:pPr>
        <w:spacing w:line="440" w:lineRule="exact"/>
        <w:ind w:firstLine="482"/>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2、履约能力</w:t>
      </w:r>
    </w:p>
    <w:p w14:paraId="50A29A7F">
      <w:pPr>
        <w:spacing w:line="440" w:lineRule="exact"/>
        <w:ind w:firstLine="500"/>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（1）投标人承接过自2021年以来（以合同签订时间为准）与本项目类似业绩（如有）。</w:t>
      </w:r>
    </w:p>
    <w:p w14:paraId="256F81CB">
      <w:pPr>
        <w:spacing w:line="440" w:lineRule="exact"/>
        <w:ind w:firstLine="500"/>
        <w:rPr>
          <w:rFonts w:ascii="Times New Roman" w:hAnsi="Times New Roman" w:eastAsia="宋体" w:cs="Times New Roman"/>
          <w:b/>
          <w:bCs/>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（2）项目负责人</w:t>
      </w:r>
      <w:r>
        <w:rPr>
          <w:rFonts w:hint="eastAsia" w:ascii="Cambria Math" w:hAnsi="Cambria Math" w:eastAsia="宋体" w:cs="Cambria Math"/>
          <w:spacing w:val="7"/>
          <w:sz w:val="24"/>
          <w:szCs w:val="24"/>
          <w:highlight w:val="none"/>
          <w:lang w:val="en-US" w:eastAsia="zh-CN" w:bidi="ar-SA"/>
        </w:rPr>
        <w:t>具有信息系统项目管理师证书（高级）</w:t>
      </w:r>
      <w:r>
        <w:rPr>
          <w:rFonts w:ascii="Times New Roman" w:hAnsi="Times New Roman" w:eastAsia="宋体" w:cs="Times New Roman"/>
          <w:color w:val="000000"/>
          <w:spacing w:val="7"/>
          <w:sz w:val="24"/>
          <w:szCs w:val="24"/>
          <w:highlight w:val="none"/>
          <w:lang w:val="en-US" w:eastAsia="zh-CN" w:bidi="ar-SA"/>
        </w:rPr>
        <w:t>（如有）。</w:t>
      </w:r>
    </w:p>
    <w:p w14:paraId="3834FC44">
      <w:pPr>
        <w:spacing w:line="440" w:lineRule="exact"/>
        <w:ind w:firstLine="500"/>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（3）</w:t>
      </w:r>
      <w:r>
        <w:rPr>
          <w:rFonts w:hint="eastAsia" w:ascii="Cambria Math" w:hAnsi="Cambria Math" w:eastAsia="宋体" w:cs="Cambria Math"/>
          <w:spacing w:val="7"/>
          <w:sz w:val="24"/>
          <w:szCs w:val="24"/>
          <w:highlight w:val="none"/>
          <w:lang w:val="en-US" w:eastAsia="zh-CN" w:bidi="ar-SA"/>
        </w:rPr>
        <w:t>信息安全负责人具有注册信息安全工程师(CISE)证书或CISAW信息安全保障人员(安全运维专业)认证证书</w:t>
      </w:r>
      <w:r>
        <w:rPr>
          <w:rFonts w:ascii="Times New Roman" w:hAnsi="Times New Roman" w:eastAsia="宋体" w:cs="Times New Roman"/>
          <w:color w:val="000000"/>
          <w:spacing w:val="7"/>
          <w:sz w:val="24"/>
          <w:szCs w:val="24"/>
          <w:highlight w:val="none"/>
          <w:lang w:val="en-US" w:eastAsia="zh-CN" w:bidi="ar-SA"/>
        </w:rPr>
        <w:t>（如有）。</w:t>
      </w:r>
    </w:p>
    <w:p w14:paraId="2FF42355">
      <w:pPr>
        <w:spacing w:line="440" w:lineRule="exact"/>
        <w:ind w:firstLine="508"/>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（4）项目组配备除项目负责人、信息安全负责人外，应配备不低于</w:t>
      </w:r>
      <w:r>
        <w:rPr>
          <w:rFonts w:hint="eastAsia" w:ascii="Times New Roman" w:hAnsi="Times New Roman" w:eastAsia="宋体" w:cs="Times New Roman"/>
          <w:color w:val="000000"/>
          <w:spacing w:val="7"/>
          <w:sz w:val="24"/>
          <w:szCs w:val="24"/>
          <w:highlight w:val="none"/>
          <w:lang w:val="en-US" w:eastAsia="zh-CN" w:bidi="ar-SA"/>
        </w:rPr>
        <w:t>3</w:t>
      </w:r>
      <w:r>
        <w:rPr>
          <w:rFonts w:ascii="Times New Roman" w:hAnsi="Times New Roman" w:eastAsia="宋体" w:cs="Times New Roman"/>
          <w:color w:val="000000"/>
          <w:spacing w:val="7"/>
          <w:sz w:val="24"/>
          <w:szCs w:val="24"/>
          <w:highlight w:val="none"/>
          <w:lang w:val="en-US" w:eastAsia="zh-CN" w:bidi="ar-SA"/>
        </w:rPr>
        <w:t>人的项目组成员，项目组成员应</w:t>
      </w:r>
      <w:r>
        <w:rPr>
          <w:rFonts w:hint="eastAsia" w:ascii="Cambria Math" w:hAnsi="Cambria Math" w:eastAsia="宋体" w:cs="Cambria Math"/>
          <w:spacing w:val="7"/>
          <w:sz w:val="24"/>
          <w:szCs w:val="24"/>
          <w:highlight w:val="none"/>
          <w:lang w:val="en-US" w:eastAsia="zh-CN" w:bidi="ar-SA"/>
        </w:rPr>
        <w:t>由具有IT服务项目经理（ITSS）证书、网络工程师证书（高级）等人员组成</w:t>
      </w:r>
      <w:r>
        <w:rPr>
          <w:rFonts w:ascii="Times New Roman" w:hAnsi="Times New Roman" w:eastAsia="宋体" w:cs="Times New Roman"/>
          <w:color w:val="000000"/>
          <w:spacing w:val="7"/>
          <w:sz w:val="24"/>
          <w:szCs w:val="24"/>
          <w:highlight w:val="none"/>
          <w:lang w:val="en-US" w:eastAsia="zh-CN" w:bidi="ar-SA"/>
        </w:rPr>
        <w:t>（如有）。</w:t>
      </w:r>
    </w:p>
    <w:p w14:paraId="100E81EA">
      <w:pPr>
        <w:spacing w:line="440" w:lineRule="exact"/>
        <w:ind w:firstLine="508"/>
        <w:rPr>
          <w:rFonts w:hint="default" w:ascii="Times New Roman" w:hAnsi="Times New Roman" w:eastAsia="宋体" w:cs="Times New Roman"/>
          <w:b/>
          <w:bCs/>
          <w:spacing w:val="7"/>
          <w:sz w:val="24"/>
          <w:szCs w:val="24"/>
          <w:highlight w:val="none"/>
        </w:rPr>
      </w:pPr>
      <w:r>
        <w:rPr>
          <w:rFonts w:hint="default" w:ascii="Times New Roman" w:hAnsi="Times New Roman" w:eastAsia="宋体" w:cs="Times New Roman"/>
          <w:b/>
          <w:bCs/>
          <w:spacing w:val="7"/>
          <w:sz w:val="24"/>
          <w:szCs w:val="24"/>
          <w:highlight w:val="none"/>
        </w:rPr>
        <w:t>3、考核要求</w:t>
      </w:r>
    </w:p>
    <w:p w14:paraId="0F393496">
      <w:pPr>
        <w:widowControl/>
        <w:spacing w:line="440" w:lineRule="exact"/>
        <w:ind w:firstLine="48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1</w:t>
      </w:r>
      <w:r>
        <w:rPr>
          <w:rFonts w:hint="default" w:ascii="Times New Roman" w:hAnsi="Times New Roman" w:eastAsia="宋体" w:cs="Times New Roman"/>
          <w:sz w:val="24"/>
          <w:szCs w:val="24"/>
          <w:highlight w:val="none"/>
        </w:rPr>
        <w:t>）中标人接到采购人发出的维修通知后，交通信号设施应在12小时内修复完成，其余的应在24小时内修复完成，规定时间内未修复，</w:t>
      </w:r>
      <w:r>
        <w:rPr>
          <w:rFonts w:hint="eastAsia" w:ascii="Times New Roman" w:hAnsi="Times New Roman" w:eastAsia="宋体" w:cs="Times New Roman"/>
          <w:sz w:val="24"/>
          <w:szCs w:val="24"/>
          <w:highlight w:val="none"/>
          <w:lang w:val="en-US" w:eastAsia="zh-CN"/>
        </w:rPr>
        <w:t>单次扣除故障设备的费用</w:t>
      </w:r>
      <w:r>
        <w:rPr>
          <w:rFonts w:hint="default" w:ascii="Times New Roman" w:hAnsi="Times New Roman" w:eastAsia="宋体" w:cs="Times New Roman"/>
          <w:sz w:val="24"/>
          <w:szCs w:val="24"/>
          <w:highlight w:val="none"/>
        </w:rPr>
        <w:t>。</w:t>
      </w:r>
    </w:p>
    <w:p w14:paraId="3F7506FC">
      <w:pPr>
        <w:widowControl/>
        <w:spacing w:line="440" w:lineRule="exact"/>
        <w:ind w:firstLine="48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2</w:t>
      </w:r>
      <w:r>
        <w:rPr>
          <w:rFonts w:hint="default" w:ascii="Times New Roman" w:hAnsi="Times New Roman" w:eastAsia="宋体" w:cs="Times New Roman"/>
          <w:sz w:val="24"/>
          <w:szCs w:val="24"/>
          <w:highlight w:val="none"/>
        </w:rPr>
        <w:t>）因停电、道路改造、建设施工、交通事故等特殊原因及不可抗力的因素造成相应设施、系统故障的，经采购人确认后，不属于故障范围，不纳入考核。</w:t>
      </w:r>
    </w:p>
    <w:p w14:paraId="45A7E3FB">
      <w:pPr>
        <w:widowControl/>
        <w:spacing w:line="440" w:lineRule="exact"/>
        <w:ind w:firstLine="48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w:t>
      </w:r>
      <w:r>
        <w:rPr>
          <w:rFonts w:hint="eastAsia" w:ascii="Times New Roman" w:hAnsi="Times New Roman" w:eastAsia="宋体" w:cs="Times New Roman"/>
          <w:sz w:val="24"/>
          <w:szCs w:val="24"/>
          <w:highlight w:val="none"/>
          <w:lang w:val="en-US" w:eastAsia="zh-CN"/>
        </w:rPr>
        <w:t>3</w:t>
      </w:r>
      <w:r>
        <w:rPr>
          <w:rFonts w:hint="default" w:ascii="Times New Roman" w:hAnsi="Times New Roman" w:eastAsia="宋体" w:cs="Times New Roman"/>
          <w:sz w:val="24"/>
          <w:szCs w:val="24"/>
          <w:highlight w:val="none"/>
        </w:rPr>
        <w:t>）在智能交通设施更新类中，更换下的废旧设施设备，须按照采购人要求免费运输、存放至指定地点，并由采购人现场书面核准并签收。如发现中标人发生不符合更换条件及弄虚作假的情况，按合同违约责任条款处理。</w:t>
      </w:r>
    </w:p>
    <w:p w14:paraId="05E945BC">
      <w:pPr>
        <w:spacing w:line="440" w:lineRule="exact"/>
        <w:ind w:firstLine="482"/>
        <w:rPr>
          <w:rFonts w:ascii="Times New Roman" w:hAnsi="Times New Roman" w:eastAsia="宋体" w:cs="Times New Roman"/>
          <w:b/>
          <w:bCs/>
          <w:color w:val="auto"/>
          <w:sz w:val="24"/>
          <w:szCs w:val="24"/>
          <w:highlight w:val="none"/>
          <w:lang w:val="en-US" w:eastAsia="zh-CN" w:bidi="ar-SA"/>
        </w:rPr>
      </w:pPr>
      <w:r>
        <w:rPr>
          <w:rFonts w:ascii="Times New Roman" w:hAnsi="Times New Roman" w:eastAsia="宋体" w:cs="Times New Roman"/>
          <w:b/>
          <w:bCs/>
          <w:sz w:val="24"/>
          <w:szCs w:val="24"/>
          <w:highlight w:val="none"/>
          <w:lang w:val="en-US" w:eastAsia="zh-CN" w:bidi="ar-SA"/>
        </w:rPr>
        <w:t>采购人有权在服务期内根据实际情况提出修改考核细则，并经与中标人协商确认</w:t>
      </w:r>
      <w:r>
        <w:rPr>
          <w:rFonts w:ascii="Times New Roman" w:hAnsi="Times New Roman" w:eastAsia="宋体" w:cs="Times New Roman"/>
          <w:b/>
          <w:bCs/>
          <w:color w:val="auto"/>
          <w:sz w:val="24"/>
          <w:szCs w:val="24"/>
          <w:highlight w:val="none"/>
          <w:lang w:val="en-US" w:eastAsia="zh-CN" w:bidi="ar-SA"/>
        </w:rPr>
        <w:t>后，按新的考核细则执行考核。</w:t>
      </w:r>
    </w:p>
    <w:p w14:paraId="3A6F166F">
      <w:pPr>
        <w:spacing w:line="440" w:lineRule="exact"/>
        <w:ind w:firstLine="508"/>
        <w:rPr>
          <w:rFonts w:hint="eastAsia" w:ascii="Times New Roman" w:hAnsi="Times New Roman" w:eastAsia="宋体" w:cs="Times New Roman"/>
          <w:b/>
          <w:bCs/>
          <w:color w:val="auto"/>
          <w:spacing w:val="7"/>
          <w:sz w:val="24"/>
          <w:szCs w:val="24"/>
          <w:highlight w:val="none"/>
          <w:lang w:val="en-US" w:eastAsia="zh-CN"/>
        </w:rPr>
      </w:pPr>
      <w:r>
        <w:rPr>
          <w:rFonts w:hint="eastAsia" w:ascii="Times New Roman" w:hAnsi="Times New Roman" w:eastAsia="宋体" w:cs="Times New Roman"/>
          <w:b/>
          <w:bCs/>
          <w:color w:val="auto"/>
          <w:spacing w:val="7"/>
          <w:sz w:val="24"/>
          <w:szCs w:val="24"/>
          <w:highlight w:val="none"/>
          <w:lang w:val="en-US" w:eastAsia="zh-CN"/>
        </w:rPr>
        <w:t>4、</w:t>
      </w:r>
      <w:r>
        <w:rPr>
          <w:rFonts w:hint="eastAsia" w:ascii="Times New Roman" w:hAnsi="Times New Roman" w:cs="Times New Roman"/>
          <w:b/>
          <w:bCs/>
          <w:color w:val="auto"/>
          <w:spacing w:val="7"/>
          <w:sz w:val="24"/>
          <w:szCs w:val="24"/>
          <w:highlight w:val="none"/>
          <w:lang w:val="en-US" w:eastAsia="zh-CN"/>
        </w:rPr>
        <w:t>本次采购项目其他涉及与第三方系统平台对接的要求明细详见附件。</w:t>
      </w:r>
    </w:p>
    <w:p w14:paraId="70F2B630">
      <w:pPr>
        <w:pStyle w:val="2"/>
        <w:rPr>
          <w:rFonts w:hint="eastAsia"/>
          <w:color w:val="auto"/>
          <w:highlight w:val="none"/>
          <w:lang w:val="en-US" w:eastAsia="zh-CN"/>
        </w:rPr>
      </w:pPr>
      <w:r>
        <w:rPr>
          <w:rFonts w:hint="eastAsia"/>
          <w:color w:val="auto"/>
          <w:highlight w:val="none"/>
          <w:lang w:val="en-US" w:eastAsia="zh-CN"/>
        </w:rPr>
        <w:object>
          <v:shape id="_x0000_i1025" o:spt="75" type="#_x0000_t75" style="height:66pt;width:72.75pt;" o:ole="t" filled="f" o:preferrelative="t" stroked="f" coordsize="21600,21600">
            <v:path/>
            <v:fill on="f" focussize="0,0"/>
            <v:stroke on="f"/>
            <v:imagedata r:id="rId12" o:title=""/>
            <o:lock v:ext="edit" aspectratio="t"/>
            <w10:wrap type="none"/>
            <w10:anchorlock/>
          </v:shape>
          <o:OLEObject Type="Embed" ProgID="Package" ShapeID="_x0000_i1025" DrawAspect="Icon" ObjectID="_1468075725" r:id="rId11">
            <o:LockedField>false</o:LockedField>
          </o:OLEObject>
        </w:object>
      </w:r>
    </w:p>
    <w:p w14:paraId="260A9482">
      <w:pPr>
        <w:pStyle w:val="206"/>
        <w:pageBreakBefore/>
        <w:spacing w:line="360" w:lineRule="auto"/>
        <w:jc w:val="center"/>
        <w:rPr>
          <w:rFonts w:hint="eastAsia" w:ascii="宋体" w:hAnsi="宋体" w:eastAsia="宋体"/>
          <w:color w:val="auto"/>
          <w:highlight w:val="none"/>
        </w:rPr>
      </w:pPr>
      <w:bookmarkStart w:id="179" w:name="_Toc17224"/>
      <w:r>
        <w:rPr>
          <w:rFonts w:hint="eastAsia" w:ascii="宋体" w:hAnsi="宋体" w:eastAsia="宋体"/>
          <w:color w:val="auto"/>
          <w:highlight w:val="none"/>
        </w:rPr>
        <w:t>第五章 评标方法与评标标准</w:t>
      </w:r>
      <w:bookmarkEnd w:id="179"/>
    </w:p>
    <w:p w14:paraId="14AD9EE3">
      <w:pPr>
        <w:pStyle w:val="229"/>
        <w:spacing w:line="440" w:lineRule="exact"/>
        <w:ind w:firstLine="450"/>
        <w:outlineLvl w:val="1"/>
        <w:rPr>
          <w:rStyle w:val="199"/>
          <w:rFonts w:hint="eastAsia"/>
          <w:b/>
          <w:bCs/>
          <w:color w:val="auto"/>
          <w:spacing w:val="7"/>
          <w:sz w:val="24"/>
          <w:szCs w:val="24"/>
          <w:highlight w:val="none"/>
        </w:rPr>
      </w:pPr>
      <w:r>
        <w:rPr>
          <w:rStyle w:val="199"/>
          <w:rFonts w:hint="eastAsia"/>
          <w:b/>
          <w:bCs/>
          <w:color w:val="auto"/>
          <w:spacing w:val="7"/>
          <w:sz w:val="24"/>
          <w:szCs w:val="24"/>
          <w:highlight w:val="none"/>
        </w:rPr>
        <w:t>一、评标方法与定标原则</w:t>
      </w:r>
    </w:p>
    <w:p w14:paraId="1E636CFD">
      <w:pPr>
        <w:pStyle w:val="230"/>
        <w:spacing w:line="440" w:lineRule="exact"/>
        <w:ind w:firstLine="508"/>
        <w:rPr>
          <w:rStyle w:val="199"/>
          <w:rFonts w:hint="eastAsia" w:ascii="宋体" w:hAnsi="宋体" w:eastAsia="宋体" w:cs="宋体"/>
          <w:b w:val="0"/>
          <w:color w:val="auto"/>
          <w:spacing w:val="7"/>
          <w:sz w:val="24"/>
          <w:szCs w:val="24"/>
          <w:highlight w:val="none"/>
          <w:lang w:eastAsia="zh-CN"/>
        </w:rPr>
      </w:pPr>
      <w:r>
        <w:rPr>
          <w:rFonts w:hint="eastAsia" w:ascii="宋体" w:hAnsi="宋体" w:eastAsia="宋体" w:cs="宋体"/>
          <w:color w:val="auto"/>
          <w:spacing w:val="7"/>
          <w:sz w:val="24"/>
          <w:szCs w:val="24"/>
          <w:highlight w:val="none"/>
        </w:rPr>
        <w:t>1</w:t>
      </w:r>
      <w:bookmarkStart w:id="180" w:name="EB62ffe30267be4d9da459adf3124e9fe5"/>
      <w:bookmarkEnd w:id="180"/>
      <w:bookmarkStart w:id="181" w:name="EB7fb355fa72914ecb929ae586b8e28d83"/>
      <w:bookmarkEnd w:id="181"/>
      <w:r>
        <w:rPr>
          <w:rFonts w:hint="eastAsia" w:ascii="宋体" w:hAnsi="宋体" w:eastAsia="宋体" w:cs="宋体"/>
          <w:color w:val="auto"/>
          <w:spacing w:val="7"/>
          <w:sz w:val="24"/>
          <w:szCs w:val="24"/>
          <w:highlight w:val="none"/>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bookmarkStart w:id="182" w:name="EB5665b3cc3ef142c8a0c8bc5d3e5d286b"/>
      <w:bookmarkEnd w:id="182"/>
    </w:p>
    <w:p w14:paraId="5C03DCF2">
      <w:pPr>
        <w:pStyle w:val="230"/>
        <w:spacing w:line="440" w:lineRule="exact"/>
        <w:ind w:firstLine="508"/>
        <w:rPr>
          <w:rFonts w:hint="eastAsia" w:ascii="宋体" w:hAnsi="宋体" w:eastAsia="宋体" w:cs="宋体"/>
          <w:b/>
          <w:bCs/>
          <w:color w:val="auto"/>
          <w:spacing w:val="7"/>
          <w:sz w:val="24"/>
          <w:szCs w:val="24"/>
          <w:highlight w:val="none"/>
        </w:rPr>
      </w:pPr>
      <w:r>
        <w:rPr>
          <w:rFonts w:hint="eastAsia" w:ascii="宋体" w:hAnsi="宋体" w:eastAsia="宋体" w:cs="宋体"/>
          <w:b/>
          <w:bCs/>
          <w:color w:val="auto"/>
          <w:spacing w:val="7"/>
          <w:sz w:val="24"/>
          <w:szCs w:val="24"/>
          <w:highlight w:val="none"/>
          <w:lang w:val="en-US" w:eastAsia="zh-CN"/>
        </w:rPr>
        <w:t>2</w:t>
      </w:r>
      <w:r>
        <w:rPr>
          <w:rFonts w:hint="eastAsia" w:ascii="宋体" w:hAnsi="宋体" w:eastAsia="宋体" w:cs="宋体"/>
          <w:b/>
          <w:bCs/>
          <w:color w:val="auto"/>
          <w:spacing w:val="7"/>
          <w:sz w:val="24"/>
          <w:szCs w:val="24"/>
          <w:highlight w:val="none"/>
        </w:rPr>
        <w:t>、针对中小型企业的评审：</w:t>
      </w:r>
    </w:p>
    <w:p w14:paraId="624053CA">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（1）根据《政府采购促进中小企业发展管理办法》 (财库〔2020〕46号)及《苏州市政府采购促进中小企业发展实施意见》（苏财购〔2022〕16号）的规定，对符合办法规定的小微企业报价给予20% 的扣除，用扣除后的价格参加评审。</w:t>
      </w:r>
    </w:p>
    <w:p w14:paraId="0582C0EB">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注：①中小企业参加政府采购活动，应当出具《中小企业声明函》，否则不得享受相关中小企业扶持政策</w:t>
      </w:r>
      <w:r>
        <w:rPr>
          <w:rFonts w:hint="eastAsia" w:ascii="宋体" w:hAnsi="宋体" w:eastAsia="宋体" w:cs="宋体"/>
          <w:color w:val="auto"/>
          <w:spacing w:val="7"/>
          <w:sz w:val="24"/>
          <w:szCs w:val="24"/>
          <w:highlight w:val="none"/>
          <w:lang w:eastAsia="zh-CN"/>
        </w:rPr>
        <w:t>。</w:t>
      </w:r>
      <w:r>
        <w:rPr>
          <w:rFonts w:hint="eastAsia" w:ascii="宋体" w:hAnsi="宋体" w:eastAsia="宋体" w:cs="宋体"/>
          <w:color w:val="auto"/>
          <w:spacing w:val="7"/>
          <w:sz w:val="24"/>
          <w:szCs w:val="24"/>
          <w:highlight w:val="yellow"/>
        </w:rPr>
        <w:t>②大中型企业与小微型企业（残疾人福利单位、监狱企业）组成联合体，联合协议中约定小微型企业（残疾人福利单位、监狱企业）的合同份额占到合同总金额30%以上的，给予联合体6%的价格扣除，用扣除后的价格参与评审。③联合体各方均为小型、微型企业（残疾人福利单位、监狱企业）的，联合体享受20%价格扣除，用扣除后的价格参与评审。</w:t>
      </w:r>
      <w:r>
        <w:rPr>
          <w:rFonts w:hint="eastAsia" w:ascii="宋体" w:hAnsi="宋体" w:eastAsia="宋体" w:cs="宋体"/>
          <w:color w:val="auto"/>
          <w:spacing w:val="7"/>
          <w:sz w:val="24"/>
          <w:szCs w:val="24"/>
          <w:highlight w:val="none"/>
        </w:rPr>
        <w:t>④以上规定未尽事项，按《政府采购促进中小企业发展管理办法》等有关制度规定执行。</w:t>
      </w:r>
    </w:p>
    <w:p w14:paraId="0050EC46">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（2）根据《关于促进残疾人就业政府采购政策的通知》（财库〔2017〕141号）的通知规定：</w:t>
      </w:r>
    </w:p>
    <w:p w14:paraId="24AA6D3C">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在政府采购活动中，残疾人福利性单位视同小型、微型企业，享受预留份额、评审中价格扣除等促进中小企业发展的政府采购政策。残疾人福利性单位属于小型、微型企业的，不重复享受政策。</w:t>
      </w:r>
    </w:p>
    <w:p w14:paraId="21BC1A43">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3BBE4C55">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中标、成交供应商为残疾人福利性单位的，采购人或者其委托的采购代理机构应当随中标、成交结果同时公告其《残疾人福利性单位声明函》，接受社会监督。</w:t>
      </w:r>
    </w:p>
    <w:p w14:paraId="7A847BD8">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注：投标人如不提供以上声明函的，不得享受相关政府采购政策。</w:t>
      </w:r>
    </w:p>
    <w:p w14:paraId="7C2A5E93">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（3）根据《关于政府采购支持监狱企业发展有关问题的通知》（财库〔2014〕68号）的通知规定：</w:t>
      </w:r>
    </w:p>
    <w:p w14:paraId="68574723">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在政府采购活动中，监狱企业视同小型、微型企业，享受预留份额、评审中价格扣除等促进中小企业发展的政府采购政策。监狱企业属于小型、微型企业的，不重复享受政策。</w:t>
      </w:r>
    </w:p>
    <w:p w14:paraId="3709E308">
      <w:pPr>
        <w:pStyle w:val="230"/>
        <w:spacing w:line="440" w:lineRule="exact"/>
        <w:ind w:firstLine="508"/>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22BC169F">
      <w:pPr>
        <w:spacing w:line="400" w:lineRule="exact"/>
        <w:ind w:firstLine="508"/>
        <w:jc w:val="left"/>
        <w:rPr>
          <w:rFonts w:hint="eastAsia" w:ascii="宋体" w:hAnsi="宋体" w:eastAsia="宋体" w:cs="宋体"/>
          <w:color w:val="auto"/>
          <w:spacing w:val="7"/>
          <w:sz w:val="24"/>
          <w:szCs w:val="24"/>
          <w:highlight w:val="none"/>
        </w:rPr>
      </w:pPr>
      <w:r>
        <w:rPr>
          <w:rFonts w:hint="eastAsia" w:ascii="宋体" w:hAnsi="宋体" w:eastAsia="宋体" w:cs="宋体"/>
          <w:color w:val="auto"/>
          <w:spacing w:val="7"/>
          <w:sz w:val="24"/>
          <w:szCs w:val="24"/>
          <w:highlight w:val="none"/>
        </w:rPr>
        <w:t>注：投标人如不提供以上证明材料的，不得享受相关政府采购政策。</w:t>
      </w:r>
    </w:p>
    <w:p w14:paraId="692CF296">
      <w:pPr>
        <w:pStyle w:val="230"/>
        <w:numPr>
          <w:ilvl w:val="0"/>
          <w:numId w:val="0"/>
        </w:numPr>
        <w:spacing w:line="440" w:lineRule="exact"/>
        <w:ind w:firstLine="510"/>
        <w:rPr>
          <w:rFonts w:hint="eastAsia" w:ascii="宋体" w:hAnsi="宋体" w:eastAsia="宋体" w:cs="宋体"/>
          <w:b/>
          <w:bCs/>
          <w:spacing w:val="7"/>
          <w:highlight w:val="none"/>
          <w:lang w:eastAsia="zh-CN"/>
        </w:rPr>
      </w:pPr>
      <w:r>
        <w:rPr>
          <w:rFonts w:hint="eastAsia" w:ascii="宋体" w:hAnsi="宋体" w:eastAsia="宋体" w:cs="宋体"/>
          <w:b/>
          <w:bCs/>
          <w:spacing w:val="7"/>
          <w:highlight w:val="none"/>
          <w:lang w:val="en-US" w:eastAsia="zh-CN"/>
        </w:rPr>
        <w:t>3、</w:t>
      </w:r>
      <w:r>
        <w:rPr>
          <w:rFonts w:hint="eastAsia" w:ascii="宋体" w:hAnsi="宋体" w:eastAsia="宋体" w:cs="宋体"/>
          <w:b/>
          <w:bCs/>
          <w:spacing w:val="7"/>
          <w:highlight w:val="none"/>
          <w:lang w:eastAsia="zh-CN"/>
        </w:rPr>
        <w:t xml:space="preserve">采购本国产品的支持政策 </w:t>
      </w:r>
    </w:p>
    <w:p w14:paraId="0C74E1DF">
      <w:pPr>
        <w:pStyle w:val="230"/>
        <w:numPr>
          <w:ilvl w:val="0"/>
          <w:numId w:val="0"/>
        </w:numPr>
        <w:spacing w:line="440" w:lineRule="exact"/>
        <w:ind w:firstLine="508"/>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w:t>
      </w:r>
      <w:r>
        <w:rPr>
          <w:rFonts w:hint="eastAsia" w:ascii="Times New Roman" w:hAnsi="Times New Roman" w:eastAsia="宋体" w:cs="Times New Roman"/>
          <w:spacing w:val="7"/>
          <w:lang w:val="en-US" w:eastAsia="zh-CN"/>
        </w:rPr>
        <w:t>1</w:t>
      </w:r>
      <w:r>
        <w:rPr>
          <w:rFonts w:hint="eastAsia" w:ascii="Times New Roman" w:hAnsi="Times New Roman" w:eastAsia="宋体" w:cs="Times New Roman"/>
          <w:spacing w:val="7"/>
          <w:lang w:eastAsia="zh-CN"/>
        </w:rPr>
        <w:t>）本项目政府采购活动中既有本国产品又有非本国产品参与竞争的，依法对本国产品给予价格评审优惠，对本国产品的报价给予20%的价格扣除，用扣除后的价格参与评审。在分产品的中国境内生产组件成本占比要求，以及对特定产品关键组件、关键工序的相关要求实施前，只要是符合在中国境内生产要求的产品，在政府采购活动中即视同本国产品。</w:t>
      </w:r>
    </w:p>
    <w:p w14:paraId="229A8555">
      <w:pPr>
        <w:pStyle w:val="230"/>
        <w:spacing w:line="440" w:lineRule="exact"/>
        <w:ind w:firstLine="508"/>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w:t>
      </w:r>
      <w:r>
        <w:rPr>
          <w:rFonts w:hint="eastAsia" w:ascii="Times New Roman" w:hAnsi="Times New Roman" w:eastAsia="宋体" w:cs="Times New Roman"/>
          <w:spacing w:val="7"/>
          <w:lang w:val="en-US" w:eastAsia="zh-CN"/>
        </w:rPr>
        <w:t>2</w:t>
      </w:r>
      <w:r>
        <w:rPr>
          <w:rFonts w:hint="eastAsia" w:ascii="Times New Roman" w:hAnsi="Times New Roman" w:eastAsia="宋体" w:cs="Times New Roman"/>
          <w:spacing w:val="7"/>
          <w:lang w:eastAsia="zh-CN"/>
        </w:rPr>
        <w:t>）当采购项目或者采购包中含有多种产品，供应商为该采购项目或者采购包提供的符合本国产品标准的产品成本之和占该供应商提供的全部产品成本之和的比例达到80%以上时（供应商需在“第六章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 ”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618A4AE">
      <w:pPr>
        <w:pStyle w:val="230"/>
        <w:spacing w:line="440" w:lineRule="exact"/>
        <w:ind w:firstLine="508"/>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w:t>
      </w:r>
      <w:r>
        <w:rPr>
          <w:rFonts w:hint="eastAsia" w:ascii="Times New Roman" w:hAnsi="Times New Roman" w:eastAsia="宋体" w:cs="Times New Roman"/>
          <w:spacing w:val="7"/>
          <w:lang w:val="en-US" w:eastAsia="zh-CN"/>
        </w:rPr>
        <w:t>3</w:t>
      </w:r>
      <w:r>
        <w:rPr>
          <w:rFonts w:hint="eastAsia" w:ascii="Times New Roman" w:hAnsi="Times New Roman" w:eastAsia="宋体" w:cs="Times New Roman"/>
          <w:spacing w:val="7"/>
          <w:lang w:eastAsia="zh-CN"/>
        </w:rPr>
        <w:t>）供应商需按照招标文件的要求提供《关于符合本国产品标准的声明函》（以下简称《声明函》），如不提供将不享受本国产品价格评审优惠。</w:t>
      </w:r>
    </w:p>
    <w:p w14:paraId="4EB0F756">
      <w:pPr>
        <w:pStyle w:val="230"/>
        <w:spacing w:line="440" w:lineRule="exact"/>
        <w:ind w:firstLine="508"/>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w:t>
      </w:r>
      <w:r>
        <w:rPr>
          <w:rFonts w:hint="eastAsia" w:ascii="Times New Roman" w:hAnsi="Times New Roman" w:eastAsia="宋体" w:cs="Times New Roman"/>
          <w:spacing w:val="7"/>
          <w:lang w:val="en-US" w:eastAsia="zh-CN"/>
        </w:rPr>
        <w:t>4</w:t>
      </w:r>
      <w:r>
        <w:rPr>
          <w:rFonts w:hint="eastAsia" w:ascii="Times New Roman" w:hAnsi="Times New Roman" w:eastAsia="宋体" w:cs="Times New Roman"/>
          <w:spacing w:val="7"/>
          <w:lang w:eastAsia="zh-CN"/>
        </w:rPr>
        <w:t>）供应商需在《声明函》中逐一、准确填写产品名称、厂名、生产厂址三项信息（《声明函》中用斜线划除的地方无需填写），三项信息中任意一项未填写的视为该项产品不符合本国产品标准，不享受本国产品价格评审优惠。</w:t>
      </w:r>
    </w:p>
    <w:p w14:paraId="514E9064">
      <w:pPr>
        <w:pStyle w:val="230"/>
        <w:spacing w:line="440" w:lineRule="exact"/>
        <w:ind w:firstLine="508"/>
        <w:rPr>
          <w:rFonts w:hint="eastAsia" w:ascii="Times New Roman" w:hAnsi="Times New Roman" w:eastAsia="宋体" w:cs="Times New Roman"/>
          <w:spacing w:val="7"/>
          <w:lang w:eastAsia="zh-CN"/>
        </w:rPr>
      </w:pPr>
      <w:r>
        <w:rPr>
          <w:rFonts w:hint="eastAsia" w:ascii="Times New Roman" w:hAnsi="Times New Roman" w:eastAsia="宋体" w:cs="Times New Roman"/>
          <w:spacing w:val="7"/>
          <w:lang w:eastAsia="zh-CN"/>
        </w:rPr>
        <w:t>（</w:t>
      </w:r>
      <w:r>
        <w:rPr>
          <w:rFonts w:hint="eastAsia" w:ascii="Times New Roman" w:hAnsi="Times New Roman" w:eastAsia="宋体" w:cs="Times New Roman"/>
          <w:spacing w:val="7"/>
          <w:lang w:val="en-US" w:eastAsia="zh-CN"/>
        </w:rPr>
        <w:t>5</w:t>
      </w:r>
      <w:r>
        <w:rPr>
          <w:rFonts w:hint="eastAsia" w:ascii="Times New Roman" w:hAnsi="Times New Roman" w:eastAsia="宋体" w:cs="Times New Roman"/>
          <w:spacing w:val="7"/>
          <w:lang w:eastAsia="zh-CN"/>
        </w:rPr>
        <w:t>）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52B3F76">
      <w:pPr>
        <w:pStyle w:val="2"/>
        <w:rPr>
          <w:rFonts w:hint="eastAsia" w:ascii="宋体" w:hAnsi="宋体" w:eastAsia="宋体" w:cs="宋体"/>
          <w:color w:val="auto"/>
          <w:spacing w:val="7"/>
          <w:sz w:val="24"/>
          <w:szCs w:val="24"/>
          <w:highlight w:val="none"/>
        </w:rPr>
      </w:pPr>
    </w:p>
    <w:p w14:paraId="1BF2C205">
      <w:pPr>
        <w:keepNext/>
        <w:keepLines/>
        <w:spacing w:line="440" w:lineRule="exact"/>
        <w:ind w:firstLine="482"/>
        <w:rPr>
          <w:rFonts w:ascii="宋体" w:hAnsi="宋体"/>
          <w:b/>
          <w:color w:val="auto"/>
          <w:sz w:val="24"/>
          <w:szCs w:val="24"/>
          <w:highlight w:val="none"/>
        </w:rPr>
      </w:pPr>
      <w:r>
        <w:rPr>
          <w:rStyle w:val="199"/>
          <w:rFonts w:hint="eastAsia"/>
          <w:b/>
          <w:bCs/>
          <w:color w:val="auto"/>
          <w:spacing w:val="7"/>
          <w:sz w:val="24"/>
          <w:szCs w:val="24"/>
          <w:highlight w:val="none"/>
        </w:rPr>
        <w:t>二、评标标准</w:t>
      </w:r>
    </w:p>
    <w:p w14:paraId="664471FD">
      <w:pPr>
        <w:spacing w:line="440" w:lineRule="exact"/>
        <w:ind w:firstLine="500"/>
        <w:rPr>
          <w:rFonts w:ascii="Times New Roman" w:hAnsi="Times New Roman" w:eastAsia="宋体" w:cs="Times New Roman"/>
          <w:b/>
          <w:spacing w:val="7"/>
          <w:sz w:val="24"/>
          <w:szCs w:val="24"/>
          <w:highlight w:val="none"/>
          <w:lang w:val="en-US" w:eastAsia="zh-CN" w:bidi="ar-SA"/>
        </w:rPr>
      </w:pPr>
      <w:bookmarkStart w:id="183" w:name="_Toc822"/>
      <w:r>
        <w:rPr>
          <w:rFonts w:ascii="Times New Roman" w:hAnsi="Times New Roman" w:eastAsia="宋体" w:cs="Times New Roman"/>
          <w:b/>
          <w:spacing w:val="7"/>
          <w:sz w:val="24"/>
          <w:szCs w:val="24"/>
          <w:highlight w:val="none"/>
          <w:lang w:val="en-US" w:eastAsia="zh-CN" w:bidi="ar-SA"/>
        </w:rPr>
        <w:t>1 价格分</w:t>
      </w:r>
      <w:r>
        <w:rPr>
          <w:rFonts w:hint="eastAsia" w:ascii="Times New Roman" w:hAnsi="Times New Roman" w:eastAsia="宋体" w:cs="Times New Roman"/>
          <w:b/>
          <w:spacing w:val="7"/>
          <w:sz w:val="24"/>
          <w:szCs w:val="24"/>
          <w:highlight w:val="none"/>
          <w:lang w:val="en-US" w:eastAsia="zh-CN" w:bidi="ar-SA"/>
        </w:rPr>
        <w:t>40</w:t>
      </w:r>
      <w:r>
        <w:rPr>
          <w:rFonts w:ascii="Times New Roman" w:hAnsi="Times New Roman" w:eastAsia="宋体" w:cs="Times New Roman"/>
          <w:b/>
          <w:spacing w:val="7"/>
          <w:sz w:val="24"/>
          <w:szCs w:val="24"/>
          <w:highlight w:val="none"/>
          <w:lang w:val="en-US" w:eastAsia="zh-CN" w:bidi="ar-SA"/>
        </w:rPr>
        <w:t>.0 分</w:t>
      </w:r>
    </w:p>
    <w:p w14:paraId="0451F4A5">
      <w:pPr>
        <w:spacing w:line="440" w:lineRule="exact"/>
        <w:ind w:firstLine="500"/>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采用低价优先法计算，即满足招标文件要求且投标价格最低的投标价为评标基准价，其价格分为满分</w:t>
      </w:r>
      <w:r>
        <w:rPr>
          <w:rFonts w:hint="eastAsia" w:ascii="Times New Roman" w:hAnsi="Times New Roman" w:eastAsia="宋体" w:cs="Times New Roman"/>
          <w:spacing w:val="7"/>
          <w:sz w:val="24"/>
          <w:szCs w:val="24"/>
          <w:highlight w:val="none"/>
          <w:lang w:val="en-US" w:eastAsia="zh-CN" w:bidi="ar-SA"/>
        </w:rPr>
        <w:t>40</w:t>
      </w:r>
      <w:r>
        <w:rPr>
          <w:rFonts w:ascii="Times New Roman" w:hAnsi="Times New Roman" w:eastAsia="宋体" w:cs="Times New Roman"/>
          <w:spacing w:val="7"/>
          <w:sz w:val="24"/>
          <w:szCs w:val="24"/>
          <w:highlight w:val="none"/>
          <w:lang w:val="en-US" w:eastAsia="zh-CN" w:bidi="ar-SA"/>
        </w:rPr>
        <w:t>.0分。其他投标人的价格分统一按照下列公式计算：</w:t>
      </w:r>
    </w:p>
    <w:p w14:paraId="5CE6BEB2">
      <w:pPr>
        <w:spacing w:line="440" w:lineRule="exact"/>
        <w:ind w:firstLine="500"/>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 xml:space="preserve">投标报价得分=（评标基准价/投标报价）* </w:t>
      </w:r>
      <w:r>
        <w:rPr>
          <w:rFonts w:hint="eastAsia" w:ascii="Times New Roman" w:hAnsi="Times New Roman" w:eastAsia="宋体" w:cs="Times New Roman"/>
          <w:spacing w:val="7"/>
          <w:sz w:val="24"/>
          <w:szCs w:val="24"/>
          <w:highlight w:val="none"/>
          <w:lang w:val="en-US" w:eastAsia="zh-CN" w:bidi="ar-SA"/>
        </w:rPr>
        <w:t>40</w:t>
      </w:r>
      <w:r>
        <w:rPr>
          <w:rFonts w:ascii="Times New Roman" w:hAnsi="Times New Roman" w:eastAsia="宋体" w:cs="Times New Roman"/>
          <w:spacing w:val="7"/>
          <w:sz w:val="24"/>
          <w:szCs w:val="24"/>
          <w:highlight w:val="none"/>
          <w:lang w:val="en-US" w:eastAsia="zh-CN" w:bidi="ar-SA"/>
        </w:rPr>
        <w:t>.0% * 100（保留二位小数）。</w:t>
      </w:r>
    </w:p>
    <w:p w14:paraId="011FFEBE">
      <w:pPr>
        <w:spacing w:line="440" w:lineRule="exact"/>
        <w:ind w:firstLine="500"/>
        <w:rPr>
          <w:rFonts w:ascii="Times New Roman" w:hAnsi="Times New Roman" w:eastAsia="宋体" w:cs="Times New Roman"/>
          <w:b/>
          <w:spacing w:val="7"/>
          <w:sz w:val="24"/>
          <w:szCs w:val="24"/>
          <w:highlight w:val="none"/>
          <w:lang w:val="en-US" w:eastAsia="zh-CN" w:bidi="ar-SA"/>
        </w:rPr>
      </w:pPr>
      <w:r>
        <w:rPr>
          <w:rFonts w:ascii="Times New Roman" w:hAnsi="Times New Roman" w:eastAsia="宋体" w:cs="Times New Roman"/>
          <w:b/>
          <w:spacing w:val="7"/>
          <w:sz w:val="24"/>
          <w:szCs w:val="24"/>
          <w:highlight w:val="none"/>
          <w:lang w:val="en-US" w:eastAsia="zh-CN" w:bidi="ar-SA"/>
        </w:rPr>
        <w:t>2 性能质量和技术指标30.0 分</w:t>
      </w:r>
    </w:p>
    <w:p w14:paraId="78F3A516">
      <w:pPr>
        <w:spacing w:line="440" w:lineRule="exact"/>
        <w:ind w:firstLine="500"/>
        <w:rPr>
          <w:rFonts w:ascii="Times New Roman" w:hAnsi="Times New Roman" w:eastAsia="宋体" w:cs="Times New Roman"/>
          <w:spacing w:val="7"/>
          <w:sz w:val="24"/>
          <w:szCs w:val="24"/>
          <w:highlight w:val="none"/>
          <w:lang w:val="en-US" w:eastAsia="zh-CN" w:bidi="ar-SA"/>
        </w:rPr>
      </w:pPr>
      <w:bookmarkStart w:id="184" w:name="_Hlk196555824"/>
      <w:bookmarkStart w:id="185" w:name="_Hlk166419597"/>
      <w:r>
        <w:rPr>
          <w:rFonts w:ascii="Times New Roman" w:hAnsi="Times New Roman" w:eastAsia="宋体" w:cs="Times New Roman"/>
          <w:spacing w:val="7"/>
          <w:sz w:val="24"/>
          <w:szCs w:val="24"/>
          <w:highlight w:val="none"/>
          <w:lang w:val="en-US" w:eastAsia="zh-CN" w:bidi="ar-SA"/>
        </w:rPr>
        <w:t>2.1 性能质量和技术指标</w:t>
      </w:r>
    </w:p>
    <w:p w14:paraId="1B1A2D02">
      <w:pPr>
        <w:spacing w:line="440" w:lineRule="exact"/>
        <w:ind w:firstLine="500"/>
        <w:rPr>
          <w:rFonts w:ascii="Times New Roman" w:hAnsi="Times New Roman" w:eastAsia="宋体" w:cs="Times New Roman"/>
          <w:color w:val="auto"/>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根据投标人提供的产品（见招标文件第四章项目需求/二、技术要求/4</w:t>
      </w:r>
      <w:r>
        <w:rPr>
          <w:rFonts w:ascii="Times New Roman" w:hAnsi="Times New Roman" w:eastAsia="宋体" w:cs="Times New Roman"/>
          <w:sz w:val="24"/>
          <w:szCs w:val="24"/>
          <w:highlight w:val="none"/>
          <w:lang w:val="en-US" w:eastAsia="zh-CN" w:bidi="ar-SA"/>
        </w:rPr>
        <w:t>主要系统及设备技术参数要求及施工要求</w:t>
      </w:r>
      <w:r>
        <w:rPr>
          <w:rFonts w:ascii="Times New Roman" w:hAnsi="Times New Roman" w:eastAsia="宋体" w:cs="Times New Roman"/>
          <w:spacing w:val="7"/>
          <w:sz w:val="24"/>
          <w:szCs w:val="24"/>
          <w:highlight w:val="none"/>
          <w:lang w:val="en-US" w:eastAsia="zh-CN" w:bidi="ar-SA"/>
        </w:rPr>
        <w:t>）性能质量、技术指标和系统功能要求进行评定，完全响应</w:t>
      </w:r>
      <w:r>
        <w:rPr>
          <w:rFonts w:ascii="Times New Roman" w:hAnsi="Times New Roman" w:eastAsia="宋体" w:cs="Times New Roman"/>
          <w:color w:val="auto"/>
          <w:spacing w:val="7"/>
          <w:sz w:val="24"/>
          <w:szCs w:val="24"/>
          <w:highlight w:val="none"/>
          <w:lang w:val="en-US" w:eastAsia="zh-CN" w:bidi="ar-SA"/>
        </w:rPr>
        <w:t>招标文件中要求(即完全响应“</w:t>
      </w:r>
      <w:bookmarkStart w:id="186" w:name="OLE_LINK2"/>
      <w:r>
        <w:rPr>
          <w:rFonts w:ascii="Times New Roman" w:hAnsi="Times New Roman" w:eastAsia="宋体" w:cs="Times New Roman"/>
          <w:color w:val="auto"/>
          <w:spacing w:val="7"/>
          <w:sz w:val="24"/>
          <w:szCs w:val="24"/>
          <w:highlight w:val="none"/>
          <w:lang w:val="en-US" w:eastAsia="zh-CN" w:bidi="ar-SA"/>
        </w:rPr>
        <w:t>▲</w:t>
      </w:r>
      <w:bookmarkEnd w:id="186"/>
      <w:r>
        <w:rPr>
          <w:rFonts w:ascii="Times New Roman" w:hAnsi="Times New Roman" w:eastAsia="宋体" w:cs="Times New Roman"/>
          <w:color w:val="auto"/>
          <w:spacing w:val="7"/>
          <w:sz w:val="24"/>
          <w:szCs w:val="24"/>
          <w:highlight w:val="none"/>
          <w:lang w:val="en-US" w:eastAsia="zh-CN" w:bidi="ar-SA"/>
        </w:rPr>
        <w:t>”、“</w:t>
      </w: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pacing w:val="7"/>
          <w:sz w:val="24"/>
          <w:szCs w:val="24"/>
          <w:highlight w:val="none"/>
          <w:lang w:val="en-US" w:eastAsia="zh-CN" w:bidi="ar-SA"/>
        </w:rPr>
        <w:t>”参数项的，得30分；其中“</w:t>
      </w: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pacing w:val="7"/>
          <w:sz w:val="24"/>
          <w:szCs w:val="24"/>
          <w:highlight w:val="none"/>
          <w:lang w:val="en-US" w:eastAsia="zh-CN" w:bidi="ar-SA"/>
        </w:rPr>
        <w:t>”参数项有负偏离的，有一项扣</w:t>
      </w:r>
      <w:r>
        <w:rPr>
          <w:rFonts w:hint="eastAsia" w:ascii="Times New Roman" w:hAnsi="Times New Roman" w:eastAsia="宋体" w:cs="Times New Roman"/>
          <w:color w:val="auto"/>
          <w:spacing w:val="7"/>
          <w:sz w:val="24"/>
          <w:szCs w:val="24"/>
          <w:highlight w:val="none"/>
          <w:lang w:val="en-US" w:eastAsia="zh-CN" w:bidi="ar-SA"/>
        </w:rPr>
        <w:t>0.02</w:t>
      </w:r>
      <w:r>
        <w:rPr>
          <w:rFonts w:ascii="Times New Roman" w:hAnsi="Times New Roman" w:eastAsia="宋体" w:cs="Times New Roman"/>
          <w:color w:val="auto"/>
          <w:spacing w:val="7"/>
          <w:sz w:val="24"/>
          <w:szCs w:val="24"/>
          <w:highlight w:val="none"/>
          <w:lang w:val="en-US" w:eastAsia="zh-CN" w:bidi="ar-SA"/>
        </w:rPr>
        <w:t>分；“▲”参数项有负偏离的，有一项扣</w:t>
      </w:r>
      <w:r>
        <w:rPr>
          <w:rFonts w:hint="eastAsia" w:ascii="Times New Roman" w:hAnsi="Times New Roman" w:eastAsia="宋体" w:cs="Times New Roman"/>
          <w:color w:val="auto"/>
          <w:spacing w:val="7"/>
          <w:sz w:val="24"/>
          <w:szCs w:val="24"/>
          <w:highlight w:val="none"/>
          <w:lang w:val="en-US" w:eastAsia="zh-CN" w:bidi="ar-SA"/>
        </w:rPr>
        <w:t>2</w:t>
      </w:r>
      <w:r>
        <w:rPr>
          <w:rFonts w:ascii="Times New Roman" w:hAnsi="Times New Roman" w:eastAsia="宋体" w:cs="Times New Roman"/>
          <w:color w:val="auto"/>
          <w:spacing w:val="7"/>
          <w:sz w:val="24"/>
          <w:szCs w:val="24"/>
          <w:highlight w:val="none"/>
          <w:lang w:val="en-US" w:eastAsia="zh-CN" w:bidi="ar-SA"/>
        </w:rPr>
        <w:t>分，扣完为止。</w:t>
      </w:r>
      <w:r>
        <w:rPr>
          <w:rFonts w:hint="eastAsia" w:ascii="Times New Roman" w:hAnsi="Times New Roman" w:eastAsia="宋体" w:cs="Times New Roman"/>
          <w:b/>
          <w:bCs/>
          <w:color w:val="auto"/>
          <w:spacing w:val="7"/>
          <w:sz w:val="24"/>
          <w:szCs w:val="24"/>
          <w:highlight w:val="none"/>
          <w:lang w:val="en-US" w:eastAsia="zh-CN" w:bidi="ar-SA"/>
        </w:rPr>
        <w:t>（标注“▲”为重要指标项，须按项目需求中技术参数对应要求提供相关证明材料作为佐证，不提供则视为负偏离。)</w:t>
      </w:r>
      <w:r>
        <w:rPr>
          <w:rFonts w:ascii="Times New Roman" w:hAnsi="Times New Roman" w:eastAsia="宋体" w:cs="Times New Roman"/>
          <w:color w:val="auto"/>
          <w:spacing w:val="7"/>
          <w:sz w:val="24"/>
          <w:szCs w:val="24"/>
          <w:highlight w:val="none"/>
          <w:lang w:val="en-US" w:eastAsia="zh-CN" w:bidi="ar-SA"/>
        </w:rPr>
        <w:t>【0-30】</w:t>
      </w:r>
    </w:p>
    <w:p w14:paraId="724427AD">
      <w:pPr>
        <w:spacing w:line="440" w:lineRule="exact"/>
        <w:ind w:firstLine="500"/>
        <w:rPr>
          <w:rFonts w:ascii="Times New Roman" w:hAnsi="Times New Roman" w:eastAsia="宋体" w:cs="Times New Roman"/>
          <w:color w:val="auto"/>
          <w:sz w:val="24"/>
          <w:szCs w:val="24"/>
          <w:highlight w:val="none"/>
          <w:lang w:val="en-US" w:eastAsia="zh-CN" w:bidi="ar-SA"/>
        </w:rPr>
      </w:pPr>
      <w:r>
        <w:rPr>
          <w:rFonts w:ascii="Times New Roman" w:hAnsi="Times New Roman" w:eastAsia="宋体" w:cs="Times New Roman"/>
          <w:color w:val="auto"/>
          <w:sz w:val="24"/>
          <w:szCs w:val="24"/>
          <w:highlight w:val="none"/>
          <w:lang w:val="en-US" w:eastAsia="zh-CN" w:bidi="ar-SA"/>
        </w:rPr>
        <w:t>常规性指标（除带“</w:t>
      </w:r>
      <w:r>
        <w:rPr>
          <w:rFonts w:ascii="Cambria Math" w:hAnsi="Cambria Math" w:eastAsia="宋体" w:cs="Cambria Math"/>
          <w:color w:val="auto"/>
          <w:sz w:val="24"/>
          <w:szCs w:val="24"/>
          <w:highlight w:val="none"/>
          <w:lang w:val="en-US" w:eastAsia="zh-CN" w:bidi="ar-SA"/>
        </w:rPr>
        <w:t>◆</w:t>
      </w:r>
      <w:r>
        <w:rPr>
          <w:rFonts w:ascii="Times New Roman" w:hAnsi="Times New Roman" w:eastAsia="宋体" w:cs="Times New Roman"/>
          <w:color w:val="auto"/>
          <w:sz w:val="24"/>
          <w:szCs w:val="24"/>
          <w:highlight w:val="none"/>
          <w:lang w:val="en-US" w:eastAsia="zh-CN" w:bidi="ar-SA"/>
        </w:rPr>
        <w:t>”和“▲”条款外）作为产品描述，不作评分项。</w:t>
      </w:r>
      <w:bookmarkEnd w:id="184"/>
    </w:p>
    <w:p w14:paraId="5108790C">
      <w:pPr>
        <w:spacing w:line="440" w:lineRule="exact"/>
        <w:ind w:firstLine="500"/>
        <w:rPr>
          <w:rFonts w:ascii="Times New Roman" w:hAnsi="Times New Roman" w:eastAsia="宋体" w:cs="Times New Roman"/>
          <w:b/>
          <w:spacing w:val="7"/>
          <w:sz w:val="24"/>
          <w:szCs w:val="24"/>
          <w:highlight w:val="none"/>
          <w:lang w:val="en-US" w:eastAsia="zh-CN" w:bidi="ar-SA"/>
        </w:rPr>
      </w:pPr>
      <w:r>
        <w:rPr>
          <w:rFonts w:ascii="Times New Roman" w:hAnsi="Times New Roman" w:eastAsia="宋体" w:cs="Times New Roman"/>
          <w:b/>
          <w:spacing w:val="7"/>
          <w:sz w:val="24"/>
          <w:szCs w:val="24"/>
          <w:highlight w:val="none"/>
          <w:lang w:val="en-US" w:eastAsia="zh-CN" w:bidi="ar-SA"/>
        </w:rPr>
        <w:t>3 服务方案</w:t>
      </w:r>
      <w:r>
        <w:rPr>
          <w:rFonts w:hint="eastAsia" w:ascii="Times New Roman" w:hAnsi="Times New Roman" w:cs="Times New Roman"/>
          <w:b/>
          <w:spacing w:val="7"/>
          <w:sz w:val="24"/>
          <w:szCs w:val="24"/>
          <w:highlight w:val="none"/>
          <w:lang w:val="en-US" w:eastAsia="zh-CN" w:bidi="ar-SA"/>
        </w:rPr>
        <w:t>20.5</w:t>
      </w:r>
      <w:r>
        <w:rPr>
          <w:rFonts w:ascii="Times New Roman" w:hAnsi="Times New Roman" w:eastAsia="宋体" w:cs="Times New Roman"/>
          <w:b/>
          <w:spacing w:val="7"/>
          <w:sz w:val="24"/>
          <w:szCs w:val="24"/>
          <w:highlight w:val="none"/>
          <w:lang w:val="en-US" w:eastAsia="zh-CN" w:bidi="ar-SA"/>
        </w:rPr>
        <w:t>分</w:t>
      </w:r>
    </w:p>
    <w:p w14:paraId="3080D664">
      <w:pPr>
        <w:spacing w:line="440" w:lineRule="exact"/>
        <w:ind w:firstLine="500"/>
        <w:rPr>
          <w:rFonts w:ascii="Times New Roman" w:hAnsi="Times New Roman" w:eastAsia="宋体" w:cs="Times New Roman"/>
          <w:spacing w:val="7"/>
          <w:sz w:val="24"/>
          <w:szCs w:val="24"/>
          <w:highlight w:val="none"/>
          <w:lang w:val="en-US" w:eastAsia="zh-CN" w:bidi="ar-SA"/>
        </w:rPr>
      </w:pPr>
      <w:bookmarkStart w:id="187" w:name="_Hlk196556068"/>
      <w:r>
        <w:rPr>
          <w:rFonts w:ascii="Times New Roman" w:hAnsi="Times New Roman" w:eastAsia="宋体" w:cs="Times New Roman"/>
          <w:spacing w:val="7"/>
          <w:sz w:val="24"/>
          <w:szCs w:val="24"/>
          <w:highlight w:val="none"/>
          <w:lang w:val="en-US" w:eastAsia="zh-CN" w:bidi="ar-SA"/>
        </w:rPr>
        <w:t>3.1 实施方案</w:t>
      </w:r>
    </w:p>
    <w:p w14:paraId="153A4A2A">
      <w:pPr>
        <w:widowControl/>
        <w:spacing w:before="198" w:line="360" w:lineRule="auto"/>
        <w:ind w:left="21" w:right="12" w:firstLine="498"/>
        <w:jc w:val="left"/>
        <w:rPr>
          <w:rFonts w:hint="eastAsia" w:eastAsia="宋体" w:cs="Times New Roman"/>
          <w:spacing w:val="7"/>
          <w:sz w:val="24"/>
          <w:szCs w:val="28"/>
          <w:highlight w:val="none"/>
        </w:rPr>
      </w:pPr>
      <w:r>
        <w:rPr>
          <w:rFonts w:hint="default" w:eastAsia="宋体" w:cs="Times New Roman"/>
          <w:spacing w:val="7"/>
          <w:sz w:val="24"/>
          <w:szCs w:val="28"/>
          <w:highlight w:val="none"/>
        </w:rPr>
        <w:t>根据投标人的实施方案进行综合评定，实施方案应包含：</w:t>
      </w:r>
      <w:r>
        <w:rPr>
          <w:rFonts w:hint="default" w:ascii="Cambria Math" w:hAnsi="Cambria Math" w:eastAsia="宋体" w:cs="Cambria Math"/>
          <w:spacing w:val="7"/>
          <w:sz w:val="24"/>
          <w:szCs w:val="28"/>
          <w:highlight w:val="none"/>
        </w:rPr>
        <w:t>①</w:t>
      </w:r>
      <w:r>
        <w:rPr>
          <w:rFonts w:hint="default" w:eastAsia="宋体" w:cs="Times New Roman"/>
          <w:spacing w:val="7"/>
          <w:sz w:val="24"/>
          <w:szCs w:val="28"/>
          <w:highlight w:val="none"/>
        </w:rPr>
        <w:t>实施整体方案、</w:t>
      </w:r>
      <w:r>
        <w:rPr>
          <w:rFonts w:hint="default" w:ascii="Cambria Math" w:hAnsi="Cambria Math" w:eastAsia="宋体" w:cs="Cambria Math"/>
          <w:spacing w:val="7"/>
          <w:sz w:val="24"/>
          <w:szCs w:val="28"/>
          <w:highlight w:val="none"/>
        </w:rPr>
        <w:t>②</w:t>
      </w:r>
      <w:r>
        <w:rPr>
          <w:rFonts w:hint="default" w:eastAsia="宋体" w:cs="Times New Roman"/>
          <w:spacing w:val="7"/>
          <w:sz w:val="24"/>
          <w:szCs w:val="28"/>
          <w:highlight w:val="none"/>
        </w:rPr>
        <w:t>供货计划、</w:t>
      </w:r>
      <w:r>
        <w:rPr>
          <w:rFonts w:hint="default" w:ascii="Cambria Math" w:hAnsi="Cambria Math" w:eastAsia="宋体" w:cs="Cambria Math"/>
          <w:spacing w:val="7"/>
          <w:sz w:val="24"/>
          <w:szCs w:val="28"/>
          <w:highlight w:val="none"/>
        </w:rPr>
        <w:t>③</w:t>
      </w:r>
      <w:r>
        <w:rPr>
          <w:rFonts w:hint="default" w:eastAsia="宋体" w:cs="Times New Roman"/>
          <w:spacing w:val="7"/>
          <w:sz w:val="24"/>
          <w:szCs w:val="28"/>
          <w:highlight w:val="none"/>
        </w:rPr>
        <w:t>进度控制方案、</w:t>
      </w:r>
      <w:r>
        <w:rPr>
          <w:rFonts w:hint="default" w:ascii="Cambria Math" w:hAnsi="Cambria Math" w:eastAsia="宋体" w:cs="Cambria Math"/>
          <w:spacing w:val="7"/>
          <w:sz w:val="24"/>
          <w:szCs w:val="28"/>
          <w:highlight w:val="none"/>
        </w:rPr>
        <w:t>④</w:t>
      </w:r>
      <w:r>
        <w:rPr>
          <w:rFonts w:hint="default" w:eastAsia="宋体" w:cs="Times New Roman"/>
          <w:spacing w:val="7"/>
          <w:sz w:val="24"/>
          <w:szCs w:val="28"/>
          <w:highlight w:val="none"/>
        </w:rPr>
        <w:t>质量保障方案、</w:t>
      </w:r>
      <w:r>
        <w:rPr>
          <w:rFonts w:hint="default" w:ascii="Cambria Math" w:hAnsi="Cambria Math" w:eastAsia="宋体" w:cs="Cambria Math"/>
          <w:spacing w:val="7"/>
          <w:sz w:val="24"/>
          <w:szCs w:val="28"/>
          <w:highlight w:val="none"/>
        </w:rPr>
        <w:t>⑤</w:t>
      </w:r>
      <w:r>
        <w:rPr>
          <w:rFonts w:hint="default" w:eastAsia="宋体" w:cs="Times New Roman"/>
          <w:spacing w:val="7"/>
          <w:sz w:val="24"/>
          <w:szCs w:val="28"/>
          <w:highlight w:val="none"/>
        </w:rPr>
        <w:t>安全管理方案。</w:t>
      </w:r>
      <w:r>
        <w:rPr>
          <w:rFonts w:hint="eastAsia" w:eastAsia="宋体" w:cs="Times New Roman"/>
          <w:spacing w:val="7"/>
          <w:sz w:val="24"/>
          <w:szCs w:val="28"/>
          <w:highlight w:val="none"/>
        </w:rPr>
        <w:t>方案完全包含上述内容且内容有实质性意义的得</w:t>
      </w:r>
      <w:r>
        <w:rPr>
          <w:rFonts w:hint="eastAsia" w:eastAsia="宋体" w:cs="Times New Roman"/>
          <w:spacing w:val="7"/>
          <w:sz w:val="24"/>
          <w:szCs w:val="28"/>
          <w:highlight w:val="none"/>
          <w:lang w:val="en-US" w:eastAsia="zh-CN"/>
        </w:rPr>
        <w:t>5</w:t>
      </w:r>
      <w:r>
        <w:rPr>
          <w:rFonts w:hint="eastAsia" w:eastAsia="宋体" w:cs="Times New Roman"/>
          <w:spacing w:val="7"/>
          <w:sz w:val="24"/>
          <w:szCs w:val="28"/>
          <w:highlight w:val="none"/>
        </w:rPr>
        <w:t>分；方案内有部分缺少或部分内容无实质性意义，但缺少量不满2项上述内容的，得</w:t>
      </w:r>
      <w:r>
        <w:rPr>
          <w:rFonts w:hint="eastAsia" w:eastAsia="宋体" w:cs="Times New Roman"/>
          <w:spacing w:val="7"/>
          <w:sz w:val="24"/>
          <w:szCs w:val="28"/>
          <w:highlight w:val="none"/>
          <w:lang w:val="en-US" w:eastAsia="zh-CN"/>
        </w:rPr>
        <w:t>3</w:t>
      </w:r>
      <w:r>
        <w:rPr>
          <w:rFonts w:hint="eastAsia" w:eastAsia="宋体" w:cs="Times New Roman"/>
          <w:spacing w:val="7"/>
          <w:sz w:val="24"/>
          <w:szCs w:val="28"/>
          <w:highlight w:val="none"/>
        </w:rPr>
        <w:t>分；方案内有缺少或部分内容无实质性意义，缺少量大于等于</w:t>
      </w:r>
      <w:r>
        <w:rPr>
          <w:rFonts w:hint="eastAsia" w:eastAsia="宋体" w:cs="Times New Roman"/>
          <w:spacing w:val="7"/>
          <w:sz w:val="24"/>
          <w:szCs w:val="28"/>
          <w:highlight w:val="none"/>
          <w:lang w:val="en-US" w:eastAsia="zh-CN"/>
        </w:rPr>
        <w:t>2</w:t>
      </w:r>
      <w:r>
        <w:rPr>
          <w:rFonts w:hint="eastAsia" w:eastAsia="宋体" w:cs="Times New Roman"/>
          <w:spacing w:val="7"/>
          <w:sz w:val="24"/>
          <w:szCs w:val="28"/>
          <w:highlight w:val="none"/>
        </w:rPr>
        <w:t>项上述内容的，只能满足基本要求的，得</w:t>
      </w:r>
      <w:r>
        <w:rPr>
          <w:rFonts w:hint="eastAsia" w:eastAsia="宋体" w:cs="Times New Roman"/>
          <w:spacing w:val="7"/>
          <w:sz w:val="24"/>
          <w:szCs w:val="28"/>
          <w:highlight w:val="none"/>
          <w:lang w:val="en-US" w:eastAsia="zh-CN"/>
        </w:rPr>
        <w:t>1</w:t>
      </w:r>
      <w:r>
        <w:rPr>
          <w:rFonts w:hint="eastAsia" w:eastAsia="宋体" w:cs="Times New Roman"/>
          <w:spacing w:val="7"/>
          <w:sz w:val="24"/>
          <w:szCs w:val="28"/>
          <w:highlight w:val="none"/>
        </w:rPr>
        <w:t>分；方案内容无实质性意义或未提供方案说明的，不得分</w:t>
      </w:r>
      <w:r>
        <w:rPr>
          <w:rFonts w:hint="default" w:eastAsia="宋体" w:cs="Times New Roman"/>
          <w:spacing w:val="7"/>
          <w:sz w:val="24"/>
          <w:szCs w:val="28"/>
          <w:highlight w:val="none"/>
        </w:rPr>
        <w:t>。</w:t>
      </w:r>
      <w:r>
        <w:rPr>
          <w:rFonts w:hint="eastAsia" w:eastAsia="宋体" w:cs="Times New Roman"/>
          <w:spacing w:val="7"/>
          <w:sz w:val="24"/>
          <w:szCs w:val="28"/>
          <w:highlight w:val="none"/>
        </w:rPr>
        <w:t>【0-5】</w:t>
      </w:r>
    </w:p>
    <w:p w14:paraId="0DD6A860">
      <w:pPr>
        <w:spacing w:line="440" w:lineRule="exact"/>
        <w:ind w:firstLine="500"/>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3.2 安装调试方案</w:t>
      </w:r>
    </w:p>
    <w:p w14:paraId="26216872">
      <w:pPr>
        <w:widowControl/>
        <w:spacing w:before="198" w:line="360" w:lineRule="auto"/>
        <w:ind w:left="21" w:right="12" w:firstLine="498"/>
        <w:jc w:val="left"/>
        <w:rPr>
          <w:rFonts w:hint="eastAsia" w:ascii="宋体" w:hAnsi="宋体" w:eastAsia="宋体" w:cs="Times New Roman"/>
          <w:iCs/>
          <w:spacing w:val="7"/>
          <w:sz w:val="24"/>
          <w:szCs w:val="24"/>
        </w:rPr>
      </w:pPr>
      <w:r>
        <w:rPr>
          <w:rFonts w:hint="default" w:eastAsia="宋体" w:cs="Times New Roman"/>
          <w:spacing w:val="7"/>
          <w:sz w:val="24"/>
          <w:szCs w:val="24"/>
          <w:highlight w:val="none"/>
        </w:rPr>
        <w:t>投标人应根据招标文件的要求提供具体详实的安装调试方案。包括</w:t>
      </w:r>
      <w:r>
        <w:rPr>
          <w:rFonts w:hint="default" w:ascii="Cambria Math" w:hAnsi="Cambria Math" w:eastAsia="宋体" w:cs="Cambria Math"/>
          <w:spacing w:val="7"/>
          <w:sz w:val="24"/>
          <w:szCs w:val="24"/>
          <w:highlight w:val="none"/>
        </w:rPr>
        <w:t>①</w:t>
      </w:r>
      <w:r>
        <w:rPr>
          <w:rFonts w:hint="default" w:eastAsia="宋体" w:cs="Times New Roman"/>
          <w:spacing w:val="7"/>
          <w:sz w:val="24"/>
          <w:szCs w:val="24"/>
          <w:highlight w:val="none"/>
        </w:rPr>
        <w:t>各子系统的技术路线、</w:t>
      </w:r>
      <w:r>
        <w:rPr>
          <w:rFonts w:hint="default" w:ascii="Cambria Math" w:hAnsi="Cambria Math" w:eastAsia="宋体" w:cs="Cambria Math"/>
          <w:spacing w:val="7"/>
          <w:sz w:val="24"/>
          <w:szCs w:val="24"/>
          <w:highlight w:val="none"/>
        </w:rPr>
        <w:t>②</w:t>
      </w:r>
      <w:r>
        <w:rPr>
          <w:rFonts w:hint="default" w:eastAsia="宋体" w:cs="Times New Roman"/>
          <w:spacing w:val="7"/>
          <w:sz w:val="24"/>
          <w:szCs w:val="24"/>
          <w:highlight w:val="none"/>
        </w:rPr>
        <w:t>安装步骤、</w:t>
      </w:r>
      <w:r>
        <w:rPr>
          <w:rFonts w:hint="default" w:ascii="Cambria Math" w:hAnsi="Cambria Math" w:eastAsia="宋体" w:cs="Cambria Math"/>
          <w:spacing w:val="7"/>
          <w:sz w:val="24"/>
          <w:szCs w:val="24"/>
          <w:highlight w:val="none"/>
        </w:rPr>
        <w:t>③</w:t>
      </w:r>
      <w:r>
        <w:rPr>
          <w:rFonts w:hint="default" w:eastAsia="宋体" w:cs="Times New Roman"/>
          <w:spacing w:val="7"/>
          <w:sz w:val="24"/>
          <w:szCs w:val="24"/>
          <w:highlight w:val="none"/>
        </w:rPr>
        <w:t>注意事项、</w:t>
      </w:r>
      <w:r>
        <w:rPr>
          <w:rFonts w:hint="default" w:ascii="Cambria Math" w:hAnsi="Cambria Math" w:eastAsia="宋体" w:cs="Cambria Math"/>
          <w:spacing w:val="7"/>
          <w:sz w:val="24"/>
          <w:szCs w:val="24"/>
          <w:highlight w:val="none"/>
        </w:rPr>
        <w:t>④</w:t>
      </w:r>
      <w:r>
        <w:rPr>
          <w:rFonts w:hint="default" w:eastAsia="宋体" w:cs="Times New Roman"/>
          <w:spacing w:val="7"/>
          <w:sz w:val="24"/>
          <w:szCs w:val="24"/>
          <w:highlight w:val="none"/>
        </w:rPr>
        <w:t>调试内容、</w:t>
      </w:r>
      <w:r>
        <w:rPr>
          <w:rFonts w:hint="default" w:ascii="Cambria Math" w:hAnsi="Cambria Math" w:eastAsia="宋体" w:cs="Cambria Math"/>
          <w:spacing w:val="7"/>
          <w:sz w:val="24"/>
          <w:szCs w:val="24"/>
          <w:highlight w:val="none"/>
        </w:rPr>
        <w:t>⑤</w:t>
      </w:r>
      <w:r>
        <w:rPr>
          <w:rFonts w:hint="default" w:eastAsia="宋体" w:cs="Times New Roman"/>
          <w:spacing w:val="7"/>
          <w:sz w:val="24"/>
          <w:szCs w:val="24"/>
          <w:highlight w:val="none"/>
        </w:rPr>
        <w:t>保</w:t>
      </w:r>
      <w:r>
        <w:rPr>
          <w:rFonts w:hint="eastAsia" w:ascii="Cambria Math" w:hAnsi="Cambria Math" w:eastAsia="宋体" w:cs="Cambria Math"/>
          <w:spacing w:val="7"/>
          <w:sz w:val="24"/>
          <w:szCs w:val="24"/>
          <w:highlight w:val="none"/>
          <w:lang w:val="en-US" w:eastAsia="zh-CN"/>
        </w:rPr>
        <w:t>障措施。方案完全包含上述内容且内容有实质性意义的得5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0-5】</w:t>
      </w:r>
    </w:p>
    <w:p w14:paraId="5F9E66AB">
      <w:pPr>
        <w:spacing w:line="440" w:lineRule="exact"/>
        <w:ind w:firstLine="508"/>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spacing w:val="7"/>
          <w:sz w:val="24"/>
          <w:szCs w:val="24"/>
          <w:highlight w:val="none"/>
          <w:lang w:val="en-US" w:eastAsia="zh-CN" w:bidi="ar-SA"/>
        </w:rPr>
        <w:t>3.3 运维方案</w:t>
      </w:r>
    </w:p>
    <w:p w14:paraId="57E2A52A">
      <w:pPr>
        <w:widowControl/>
        <w:spacing w:before="198" w:line="360" w:lineRule="auto"/>
        <w:ind w:left="21" w:right="12" w:firstLine="498"/>
        <w:jc w:val="left"/>
        <w:rPr>
          <w:rFonts w:hint="default" w:eastAsia="宋体" w:cs="Times New Roman"/>
          <w:color w:val="0000FF"/>
          <w:spacing w:val="7"/>
          <w:sz w:val="24"/>
          <w:szCs w:val="28"/>
          <w:highlight w:val="none"/>
        </w:rPr>
      </w:pPr>
      <w:r>
        <w:rPr>
          <w:rFonts w:hint="default" w:eastAsia="宋体" w:cs="Times New Roman"/>
          <w:spacing w:val="7"/>
          <w:sz w:val="24"/>
          <w:szCs w:val="28"/>
          <w:highlight w:val="none"/>
        </w:rPr>
        <w:t>根据本项目对运维的具体要求，投标人制定的运维方案内容包含但不限于</w:t>
      </w:r>
      <w:r>
        <w:rPr>
          <w:rFonts w:hint="default" w:ascii="Cambria Math" w:hAnsi="Cambria Math" w:eastAsia="宋体" w:cs="Cambria Math"/>
          <w:spacing w:val="7"/>
          <w:sz w:val="24"/>
          <w:szCs w:val="28"/>
          <w:highlight w:val="none"/>
        </w:rPr>
        <w:t>①</w:t>
      </w:r>
      <w:r>
        <w:rPr>
          <w:rFonts w:hint="default" w:eastAsia="宋体" w:cs="Times New Roman"/>
          <w:spacing w:val="7"/>
          <w:sz w:val="24"/>
          <w:szCs w:val="28"/>
          <w:highlight w:val="none"/>
        </w:rPr>
        <w:t>系统运维保障方案、</w:t>
      </w:r>
      <w:r>
        <w:rPr>
          <w:rFonts w:hint="default" w:ascii="Cambria Math" w:hAnsi="Cambria Math" w:eastAsia="宋体" w:cs="Cambria Math"/>
          <w:spacing w:val="7"/>
          <w:sz w:val="24"/>
          <w:szCs w:val="28"/>
          <w:highlight w:val="none"/>
        </w:rPr>
        <w:t>②</w:t>
      </w:r>
      <w:r>
        <w:rPr>
          <w:rFonts w:hint="default" w:eastAsia="宋体" w:cs="Times New Roman"/>
          <w:spacing w:val="7"/>
          <w:sz w:val="24"/>
          <w:szCs w:val="28"/>
          <w:highlight w:val="none"/>
        </w:rPr>
        <w:t>各硬件设备的运维</w:t>
      </w:r>
      <w:r>
        <w:rPr>
          <w:rFonts w:hint="eastAsia" w:ascii="Cambria Math" w:hAnsi="Cambria Math" w:eastAsia="宋体" w:cs="Cambria Math"/>
          <w:spacing w:val="7"/>
          <w:sz w:val="24"/>
          <w:szCs w:val="28"/>
          <w:highlight w:val="none"/>
          <w:lang w:val="en-US" w:eastAsia="zh-CN"/>
        </w:rPr>
        <w:t>管理方案、③软件系统运维管理方案、④运营服务保障措施、⑤运维建设与管理制度等。</w:t>
      </w:r>
      <w:bookmarkEnd w:id="185"/>
      <w:bookmarkEnd w:id="187"/>
      <w:r>
        <w:rPr>
          <w:rFonts w:hint="eastAsia" w:ascii="Cambria Math" w:hAnsi="Cambria Math" w:eastAsia="宋体" w:cs="Cambria Math"/>
          <w:spacing w:val="7"/>
          <w:sz w:val="24"/>
          <w:szCs w:val="28"/>
          <w:highlight w:val="none"/>
          <w:lang w:val="en-US" w:eastAsia="zh-CN"/>
        </w:rPr>
        <w:t>方案完全包含上述内容且内容有实质性意义的得5分；方案内有部分缺少或部分内容无实质性意义，但缺少量不满2项上述内容的，得3分；方案内有缺少或部分内容无实质性意义，缺少量大于等于2项上述内容的，只能满足基本要求的，得1分；方案内容无实质性意义或未提供方案说明的，不得分。【0-5】</w:t>
      </w:r>
    </w:p>
    <w:p w14:paraId="42AE79B4">
      <w:pPr>
        <w:spacing w:line="440" w:lineRule="exact"/>
        <w:ind w:firstLine="508"/>
        <w:rPr>
          <w:rFonts w:hint="eastAsia" w:ascii="Times New Roman" w:hAnsi="Times New Roman" w:eastAsia="宋体" w:cs="Times New Roman"/>
          <w:spacing w:val="7"/>
          <w:sz w:val="24"/>
          <w:szCs w:val="24"/>
          <w:highlight w:val="none"/>
          <w:lang w:val="en-US" w:eastAsia="zh-CN" w:bidi="ar-SA"/>
        </w:rPr>
      </w:pPr>
      <w:r>
        <w:rPr>
          <w:rFonts w:hint="eastAsia" w:ascii="Times New Roman" w:hAnsi="Times New Roman" w:eastAsia="宋体" w:cs="Times New Roman"/>
          <w:spacing w:val="7"/>
          <w:sz w:val="24"/>
          <w:szCs w:val="24"/>
          <w:highlight w:val="none"/>
          <w:lang w:val="en-US" w:eastAsia="zh-CN" w:bidi="ar-SA"/>
        </w:rPr>
        <w:t>3.4 停车泊位建设规划方案</w:t>
      </w:r>
    </w:p>
    <w:p w14:paraId="7F57B4C5">
      <w:pPr>
        <w:widowControl/>
        <w:spacing w:before="198" w:line="360" w:lineRule="auto"/>
        <w:ind w:left="21" w:right="12" w:firstLine="498"/>
        <w:jc w:val="left"/>
        <w:rPr>
          <w:rFonts w:ascii="Times New Roman" w:hAnsi="Times New Roman" w:eastAsia="宋体" w:cs="Times New Roman"/>
          <w:spacing w:val="7"/>
          <w:sz w:val="24"/>
          <w:szCs w:val="24"/>
          <w:highlight w:val="none"/>
          <w:lang w:val="en-US" w:eastAsia="zh-CN" w:bidi="ar-SA"/>
        </w:rPr>
      </w:pPr>
      <w:r>
        <w:rPr>
          <w:rFonts w:hint="eastAsia" w:eastAsia="宋体" w:cs="Times New Roman"/>
          <w:spacing w:val="7"/>
          <w:sz w:val="24"/>
          <w:szCs w:val="28"/>
          <w:highlight w:val="none"/>
          <w:lang w:val="en-US" w:eastAsia="zh-CN"/>
        </w:rPr>
        <w:t>投标人根据本项目实际需求，制定停车泊位建设方案（</w:t>
      </w:r>
      <w:r>
        <w:rPr>
          <w:rFonts w:hint="default" w:ascii="Cambria Math" w:hAnsi="Cambria Math" w:eastAsia="宋体" w:cs="Cambria Math"/>
          <w:spacing w:val="7"/>
          <w:sz w:val="24"/>
          <w:szCs w:val="28"/>
          <w:highlight w:val="none"/>
        </w:rPr>
        <w:t>①</w:t>
      </w:r>
      <w:r>
        <w:rPr>
          <w:rFonts w:hint="eastAsia" w:ascii="Cambria Math" w:hAnsi="Cambria Math" w:eastAsia="宋体" w:cs="Cambria Math"/>
          <w:spacing w:val="7"/>
          <w:sz w:val="24"/>
          <w:szCs w:val="28"/>
          <w:highlight w:val="none"/>
          <w:lang w:val="en-US" w:eastAsia="zh-CN"/>
        </w:rPr>
        <w:t>停车泊位道路现状调研分析</w:t>
      </w:r>
      <w:r>
        <w:rPr>
          <w:rFonts w:hint="default" w:ascii="Cambria Math" w:hAnsi="Cambria Math" w:eastAsia="宋体" w:cs="Cambria Math"/>
          <w:spacing w:val="7"/>
          <w:sz w:val="24"/>
          <w:szCs w:val="28"/>
          <w:highlight w:val="none"/>
        </w:rPr>
        <w:t>②</w:t>
      </w:r>
      <w:r>
        <w:rPr>
          <w:rFonts w:hint="eastAsia" w:ascii="Cambria Math" w:hAnsi="Cambria Math" w:eastAsia="宋体" w:cs="Cambria Math"/>
          <w:spacing w:val="7"/>
          <w:sz w:val="24"/>
          <w:szCs w:val="28"/>
          <w:highlight w:val="none"/>
          <w:lang w:val="en-US" w:eastAsia="zh-CN"/>
        </w:rPr>
        <w:t>智能停车收费前端设备、配套系统建设技术方案、</w:t>
      </w:r>
      <w:r>
        <w:rPr>
          <w:rFonts w:hint="default" w:ascii="Cambria Math" w:hAnsi="Cambria Math" w:eastAsia="宋体" w:cs="Cambria Math"/>
          <w:spacing w:val="7"/>
          <w:sz w:val="24"/>
          <w:szCs w:val="28"/>
          <w:highlight w:val="none"/>
        </w:rPr>
        <w:t>③</w:t>
      </w:r>
      <w:r>
        <w:rPr>
          <w:rFonts w:hint="eastAsia" w:ascii="Cambria Math" w:hAnsi="Cambria Math" w:eastAsia="宋体" w:cs="Cambria Math"/>
          <w:spacing w:val="7"/>
          <w:sz w:val="24"/>
          <w:szCs w:val="28"/>
          <w:highlight w:val="none"/>
          <w:lang w:val="en-US" w:eastAsia="zh-CN"/>
        </w:rPr>
        <w:t>停车收费整体运营思路、商业模式设计、</w:t>
      </w:r>
      <w:r>
        <w:rPr>
          <w:rFonts w:hint="default" w:ascii="Cambria Math" w:hAnsi="Cambria Math" w:eastAsia="宋体" w:cs="Cambria Math"/>
          <w:spacing w:val="7"/>
          <w:sz w:val="24"/>
          <w:szCs w:val="28"/>
          <w:highlight w:val="none"/>
        </w:rPr>
        <w:t>④</w:t>
      </w:r>
      <w:r>
        <w:rPr>
          <w:rFonts w:hint="eastAsia" w:ascii="Cambria Math" w:hAnsi="Cambria Math" w:eastAsia="宋体" w:cs="Cambria Math"/>
          <w:spacing w:val="7"/>
          <w:sz w:val="24"/>
          <w:szCs w:val="28"/>
          <w:highlight w:val="none"/>
          <w:lang w:val="en-US" w:eastAsia="zh-CN"/>
        </w:rPr>
        <w:t>收益成本分析及运营周期规划、</w:t>
      </w:r>
      <w:r>
        <w:rPr>
          <w:rFonts w:hint="default" w:ascii="Cambria Math" w:hAnsi="Cambria Math" w:eastAsia="宋体" w:cs="Cambria Math"/>
          <w:spacing w:val="7"/>
          <w:sz w:val="24"/>
          <w:szCs w:val="28"/>
          <w:highlight w:val="none"/>
        </w:rPr>
        <w:t>⑤</w:t>
      </w:r>
      <w:r>
        <w:rPr>
          <w:rFonts w:hint="eastAsia" w:ascii="Cambria Math" w:hAnsi="Cambria Math" w:eastAsia="宋体" w:cs="Cambria Math"/>
          <w:spacing w:val="7"/>
          <w:sz w:val="24"/>
          <w:szCs w:val="28"/>
          <w:highlight w:val="none"/>
          <w:lang w:val="en-US" w:eastAsia="zh-CN"/>
        </w:rPr>
        <w:t>可持续运营保障措施等</w:t>
      </w:r>
      <w:r>
        <w:rPr>
          <w:rFonts w:hint="eastAsia" w:eastAsia="宋体" w:cs="Times New Roman"/>
          <w:spacing w:val="7"/>
          <w:sz w:val="24"/>
          <w:szCs w:val="28"/>
          <w:highlight w:val="none"/>
          <w:lang w:val="en-US" w:eastAsia="zh-CN"/>
        </w:rPr>
        <w:t>）。方案完全包含上述内容且内容有实质性意义的得</w:t>
      </w:r>
      <w:r>
        <w:rPr>
          <w:rFonts w:hint="eastAsia" w:cs="Times New Roman"/>
          <w:spacing w:val="7"/>
          <w:sz w:val="24"/>
          <w:szCs w:val="28"/>
          <w:highlight w:val="none"/>
          <w:lang w:val="en-US" w:eastAsia="zh-CN"/>
        </w:rPr>
        <w:t>5.5</w:t>
      </w:r>
      <w:r>
        <w:rPr>
          <w:rFonts w:hint="eastAsia" w:eastAsia="宋体" w:cs="Times New Roman"/>
          <w:spacing w:val="7"/>
          <w:sz w:val="24"/>
          <w:szCs w:val="28"/>
          <w:highlight w:val="none"/>
          <w:lang w:val="en-US" w:eastAsia="zh-CN"/>
        </w:rPr>
        <w:t>分；方案内有部分缺少或部分内容无实质性意义，但缺少量不满2项上述内容的，得</w:t>
      </w:r>
      <w:r>
        <w:rPr>
          <w:rFonts w:hint="eastAsia" w:cs="Times New Roman"/>
          <w:spacing w:val="7"/>
          <w:sz w:val="24"/>
          <w:szCs w:val="28"/>
          <w:highlight w:val="none"/>
          <w:lang w:val="en-US" w:eastAsia="zh-CN"/>
        </w:rPr>
        <w:t>4</w:t>
      </w:r>
      <w:r>
        <w:rPr>
          <w:rFonts w:hint="eastAsia" w:eastAsia="宋体" w:cs="Times New Roman"/>
          <w:spacing w:val="7"/>
          <w:sz w:val="24"/>
          <w:szCs w:val="28"/>
          <w:highlight w:val="none"/>
          <w:lang w:val="en-US" w:eastAsia="zh-CN"/>
        </w:rPr>
        <w:t>分；方案内有缺少或部分内容无实质性意义，缺少量大于等于2项上述内容的，只能满足基本要求的，得</w:t>
      </w:r>
      <w:r>
        <w:rPr>
          <w:rFonts w:hint="eastAsia" w:cs="Times New Roman"/>
          <w:spacing w:val="7"/>
          <w:sz w:val="24"/>
          <w:szCs w:val="28"/>
          <w:highlight w:val="none"/>
          <w:lang w:val="en-US" w:eastAsia="zh-CN"/>
        </w:rPr>
        <w:t>2</w:t>
      </w:r>
      <w:r>
        <w:rPr>
          <w:rFonts w:hint="eastAsia" w:eastAsia="宋体" w:cs="Times New Roman"/>
          <w:spacing w:val="7"/>
          <w:sz w:val="24"/>
          <w:szCs w:val="28"/>
          <w:highlight w:val="none"/>
          <w:lang w:val="en-US" w:eastAsia="zh-CN"/>
        </w:rPr>
        <w:t>分；方案内容无实质性意义或未提供方案说明的，不得分。【0-</w:t>
      </w:r>
      <w:r>
        <w:rPr>
          <w:rFonts w:hint="eastAsia" w:cs="Times New Roman"/>
          <w:spacing w:val="7"/>
          <w:sz w:val="24"/>
          <w:szCs w:val="28"/>
          <w:highlight w:val="none"/>
          <w:lang w:val="en-US" w:eastAsia="zh-CN"/>
        </w:rPr>
        <w:t>5</w:t>
      </w:r>
      <w:r>
        <w:rPr>
          <w:rFonts w:hint="eastAsia" w:eastAsia="宋体" w:cs="Times New Roman"/>
          <w:spacing w:val="7"/>
          <w:sz w:val="24"/>
          <w:szCs w:val="28"/>
          <w:highlight w:val="none"/>
          <w:lang w:val="en-US" w:eastAsia="zh-CN"/>
        </w:rPr>
        <w:t>.5】</w:t>
      </w:r>
    </w:p>
    <w:p w14:paraId="557102EC">
      <w:pPr>
        <w:spacing w:line="440" w:lineRule="exact"/>
        <w:ind w:firstLine="500"/>
        <w:rPr>
          <w:rFonts w:ascii="Times New Roman" w:hAnsi="Times New Roman" w:eastAsia="宋体" w:cs="Times New Roman"/>
          <w:b/>
          <w:color w:val="000000"/>
          <w:spacing w:val="7"/>
          <w:sz w:val="24"/>
          <w:szCs w:val="24"/>
          <w:highlight w:val="none"/>
          <w:lang w:val="en-US" w:eastAsia="zh-CN" w:bidi="ar-SA"/>
        </w:rPr>
      </w:pPr>
      <w:r>
        <w:rPr>
          <w:rFonts w:ascii="Times New Roman" w:hAnsi="Times New Roman" w:eastAsia="宋体" w:cs="Times New Roman"/>
          <w:b/>
          <w:color w:val="000000"/>
          <w:spacing w:val="7"/>
          <w:sz w:val="24"/>
          <w:szCs w:val="24"/>
          <w:highlight w:val="none"/>
          <w:lang w:val="en-US" w:eastAsia="zh-CN" w:bidi="ar-SA"/>
        </w:rPr>
        <w:t xml:space="preserve">4 履约能力 </w:t>
      </w:r>
      <w:r>
        <w:rPr>
          <w:rFonts w:hint="eastAsia" w:ascii="Times New Roman" w:hAnsi="Times New Roman" w:cs="Times New Roman"/>
          <w:b/>
          <w:color w:val="000000"/>
          <w:spacing w:val="7"/>
          <w:sz w:val="24"/>
          <w:szCs w:val="24"/>
          <w:highlight w:val="none"/>
          <w:lang w:val="en-US" w:eastAsia="zh-CN" w:bidi="ar-SA"/>
        </w:rPr>
        <w:t>6</w:t>
      </w:r>
      <w:r>
        <w:rPr>
          <w:rFonts w:ascii="Times New Roman" w:hAnsi="Times New Roman" w:eastAsia="宋体" w:cs="Times New Roman"/>
          <w:b/>
          <w:color w:val="000000"/>
          <w:spacing w:val="7"/>
          <w:sz w:val="24"/>
          <w:szCs w:val="24"/>
          <w:highlight w:val="none"/>
          <w:lang w:val="en-US" w:eastAsia="zh-CN" w:bidi="ar-SA"/>
        </w:rPr>
        <w:t>分</w:t>
      </w:r>
    </w:p>
    <w:p w14:paraId="1B1FEDC0">
      <w:pPr>
        <w:spacing w:line="440" w:lineRule="exact"/>
        <w:ind w:firstLine="500"/>
        <w:rPr>
          <w:rFonts w:hint="eastAsia" w:ascii="Times New Roman" w:hAnsi="Times New Roman" w:eastAsia="宋体" w:cs="Times New Roman"/>
          <w:b/>
          <w:color w:val="000000"/>
          <w:spacing w:val="7"/>
          <w:sz w:val="24"/>
          <w:szCs w:val="24"/>
          <w:highlight w:val="none"/>
          <w:lang w:val="en-US" w:eastAsia="zh-CN" w:bidi="ar-SA"/>
        </w:rPr>
      </w:pPr>
      <w:r>
        <w:rPr>
          <w:rFonts w:hint="eastAsia" w:ascii="Times New Roman" w:hAnsi="Times New Roman" w:eastAsia="宋体" w:cs="Times New Roman"/>
          <w:b/>
          <w:color w:val="000000"/>
          <w:spacing w:val="7"/>
          <w:sz w:val="24"/>
          <w:szCs w:val="24"/>
          <w:highlight w:val="none"/>
          <w:lang w:val="en-US" w:eastAsia="zh-CN" w:bidi="ar-SA"/>
        </w:rPr>
        <w:t>4.1 项目负责人</w:t>
      </w:r>
    </w:p>
    <w:p w14:paraId="027C4325">
      <w:pPr>
        <w:spacing w:line="440" w:lineRule="exact"/>
        <w:ind w:firstLine="500"/>
        <w:rPr>
          <w:rFonts w:ascii="Times New Roman" w:hAnsi="Times New Roman" w:eastAsia="宋体" w:cs="Times New Roman"/>
          <w:b/>
          <w:bCs/>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项目负责人</w:t>
      </w:r>
      <w:r>
        <w:rPr>
          <w:rFonts w:hint="eastAsia" w:ascii="Cambria Math" w:hAnsi="Cambria Math" w:eastAsia="宋体" w:cs="Cambria Math"/>
          <w:spacing w:val="7"/>
          <w:sz w:val="24"/>
          <w:szCs w:val="24"/>
          <w:highlight w:val="none"/>
          <w:lang w:val="en-US" w:eastAsia="zh-CN" w:bidi="ar-SA"/>
        </w:rPr>
        <w:t>具有信息系统项目管理师证书（高级）的</w:t>
      </w:r>
      <w:r>
        <w:rPr>
          <w:rFonts w:ascii="Times New Roman" w:hAnsi="Times New Roman" w:eastAsia="宋体" w:cs="Times New Roman"/>
          <w:color w:val="000000"/>
          <w:spacing w:val="7"/>
          <w:sz w:val="24"/>
          <w:szCs w:val="24"/>
          <w:highlight w:val="none"/>
          <w:lang w:val="en-US" w:eastAsia="zh-CN" w:bidi="ar-SA"/>
        </w:rPr>
        <w:t>，</w:t>
      </w:r>
      <w:r>
        <w:rPr>
          <w:rFonts w:hint="eastAsia" w:ascii="Times New Roman" w:hAnsi="Times New Roman" w:eastAsia="宋体" w:cs="Times New Roman"/>
          <w:color w:val="000000"/>
          <w:spacing w:val="7"/>
          <w:sz w:val="24"/>
          <w:szCs w:val="24"/>
          <w:highlight w:val="none"/>
          <w:lang w:val="en-US" w:eastAsia="zh-CN" w:bidi="ar-SA"/>
        </w:rPr>
        <w:t>得2</w:t>
      </w:r>
      <w:r>
        <w:rPr>
          <w:rFonts w:ascii="Times New Roman" w:hAnsi="Times New Roman" w:eastAsia="宋体" w:cs="Times New Roman"/>
          <w:color w:val="000000"/>
          <w:spacing w:val="7"/>
          <w:sz w:val="24"/>
          <w:szCs w:val="24"/>
          <w:highlight w:val="none"/>
          <w:lang w:val="en-US" w:eastAsia="zh-CN" w:bidi="ar-SA"/>
        </w:rPr>
        <w:t>分，最高得</w:t>
      </w:r>
      <w:r>
        <w:rPr>
          <w:rFonts w:hint="eastAsia" w:ascii="Times New Roman" w:hAnsi="Times New Roman" w:eastAsia="宋体" w:cs="Times New Roman"/>
          <w:color w:val="000000"/>
          <w:spacing w:val="7"/>
          <w:sz w:val="24"/>
          <w:szCs w:val="24"/>
          <w:highlight w:val="none"/>
          <w:lang w:val="en-US" w:eastAsia="zh-CN" w:bidi="ar-SA"/>
        </w:rPr>
        <w:t>2</w:t>
      </w:r>
      <w:r>
        <w:rPr>
          <w:rFonts w:ascii="Times New Roman" w:hAnsi="Times New Roman" w:eastAsia="宋体" w:cs="Times New Roman"/>
          <w:color w:val="000000"/>
          <w:spacing w:val="7"/>
          <w:sz w:val="24"/>
          <w:szCs w:val="24"/>
          <w:highlight w:val="none"/>
          <w:lang w:val="en-US" w:eastAsia="zh-CN" w:bidi="ar-SA"/>
        </w:rPr>
        <w:t>分。</w:t>
      </w:r>
      <w:r>
        <w:rPr>
          <w:rFonts w:ascii="Times New Roman" w:hAnsi="Times New Roman" w:eastAsia="宋体" w:cs="Times New Roman"/>
          <w:b/>
          <w:bCs/>
          <w:color w:val="000000"/>
          <w:spacing w:val="7"/>
          <w:sz w:val="24"/>
          <w:szCs w:val="24"/>
          <w:highlight w:val="none"/>
          <w:lang w:val="en-US" w:eastAsia="zh-CN" w:bidi="ar-SA"/>
        </w:rPr>
        <w:t>(人员不得兼任，</w:t>
      </w:r>
      <w:r>
        <w:rPr>
          <w:rFonts w:hint="eastAsia" w:ascii="Times New Roman" w:hAnsi="Times New Roman" w:eastAsia="宋体" w:cs="Times New Roman"/>
          <w:b/>
          <w:bCs/>
          <w:color w:val="000000"/>
          <w:spacing w:val="7"/>
          <w:sz w:val="24"/>
          <w:szCs w:val="24"/>
          <w:highlight w:val="none"/>
          <w:lang w:val="en-US" w:eastAsia="zh-CN" w:bidi="ar-SA"/>
        </w:rPr>
        <w:t>一人多证按一证计算。</w:t>
      </w:r>
      <w:r>
        <w:rPr>
          <w:rFonts w:ascii="Times New Roman" w:hAnsi="Times New Roman" w:eastAsia="宋体" w:cs="Times New Roman"/>
          <w:b/>
          <w:bCs/>
          <w:color w:val="000000"/>
          <w:spacing w:val="7"/>
          <w:sz w:val="24"/>
          <w:szCs w:val="24"/>
          <w:highlight w:val="none"/>
          <w:lang w:val="en-US" w:eastAsia="zh-CN" w:bidi="ar-SA"/>
        </w:rPr>
        <w:t>投标文件中需提供相关证书，并附该员工的社保缴费证明材料，不提供或提供不全的不得分)</w:t>
      </w:r>
      <w:r>
        <w:rPr>
          <w:rFonts w:ascii="Times New Roman" w:hAnsi="Times New Roman" w:eastAsia="宋体" w:cs="Times New Roman"/>
          <w:spacing w:val="7"/>
          <w:sz w:val="24"/>
          <w:szCs w:val="24"/>
          <w:highlight w:val="none"/>
          <w:lang w:val="en-US" w:eastAsia="zh-CN" w:bidi="ar-SA"/>
        </w:rPr>
        <w:t>【0</w:t>
      </w:r>
      <w:r>
        <w:rPr>
          <w:rFonts w:hint="eastAsia" w:ascii="Times New Roman" w:hAnsi="Times New Roman" w:eastAsia="宋体" w:cs="Times New Roman"/>
          <w:spacing w:val="7"/>
          <w:sz w:val="24"/>
          <w:szCs w:val="24"/>
          <w:highlight w:val="none"/>
          <w:lang w:val="en-US" w:eastAsia="zh-CN" w:bidi="ar-SA"/>
        </w:rPr>
        <w:t>-2</w:t>
      </w:r>
      <w:r>
        <w:rPr>
          <w:rFonts w:ascii="Times New Roman" w:hAnsi="Times New Roman" w:eastAsia="宋体" w:cs="Times New Roman"/>
          <w:spacing w:val="7"/>
          <w:sz w:val="24"/>
          <w:szCs w:val="24"/>
          <w:highlight w:val="none"/>
          <w:lang w:val="en-US" w:eastAsia="zh-CN" w:bidi="ar-SA"/>
        </w:rPr>
        <w:t>】</w:t>
      </w:r>
    </w:p>
    <w:p w14:paraId="5187ED80">
      <w:pPr>
        <w:spacing w:line="440" w:lineRule="exact"/>
        <w:ind w:firstLine="500"/>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4.</w:t>
      </w:r>
      <w:r>
        <w:rPr>
          <w:rFonts w:hint="eastAsia" w:ascii="Times New Roman" w:hAnsi="Times New Roman" w:eastAsia="宋体" w:cs="Times New Roman"/>
          <w:color w:val="000000"/>
          <w:spacing w:val="7"/>
          <w:sz w:val="24"/>
          <w:szCs w:val="24"/>
          <w:highlight w:val="none"/>
          <w:lang w:val="en-US" w:eastAsia="zh-CN" w:bidi="ar-SA"/>
        </w:rPr>
        <w:t xml:space="preserve">2 </w:t>
      </w:r>
      <w:r>
        <w:rPr>
          <w:rFonts w:ascii="Times New Roman" w:hAnsi="Times New Roman" w:eastAsia="宋体" w:cs="Times New Roman"/>
          <w:color w:val="000000"/>
          <w:spacing w:val="7"/>
          <w:sz w:val="24"/>
          <w:szCs w:val="24"/>
          <w:highlight w:val="none"/>
          <w:lang w:val="en-US" w:eastAsia="zh-CN" w:bidi="ar-SA"/>
        </w:rPr>
        <w:t>信息安全负责人</w:t>
      </w:r>
    </w:p>
    <w:p w14:paraId="4F61CFE4">
      <w:pPr>
        <w:spacing w:line="440" w:lineRule="exact"/>
        <w:ind w:firstLine="500"/>
        <w:rPr>
          <w:rFonts w:ascii="Times New Roman" w:hAnsi="Times New Roman" w:eastAsia="宋体" w:cs="Times New Roman"/>
          <w:color w:val="000000"/>
          <w:spacing w:val="7"/>
          <w:sz w:val="24"/>
          <w:szCs w:val="24"/>
          <w:highlight w:val="none"/>
          <w:lang w:val="en-US" w:eastAsia="zh-CN" w:bidi="ar-SA"/>
        </w:rPr>
      </w:pPr>
      <w:r>
        <w:rPr>
          <w:rFonts w:hint="eastAsia" w:ascii="Cambria Math" w:hAnsi="Cambria Math" w:eastAsia="宋体" w:cs="Cambria Math"/>
          <w:spacing w:val="7"/>
          <w:sz w:val="24"/>
          <w:szCs w:val="24"/>
          <w:highlight w:val="none"/>
          <w:lang w:val="en-US" w:eastAsia="zh-CN" w:bidi="ar-SA"/>
        </w:rPr>
        <w:t>信息安全负责人具有注册信息安全工程师(CISE)证书或CISAW信息安全保障人员(安全运维专业)认证证书，得2分，</w:t>
      </w:r>
      <w:r>
        <w:rPr>
          <w:rFonts w:ascii="Times New Roman" w:hAnsi="Times New Roman" w:eastAsia="宋体" w:cs="Times New Roman"/>
          <w:color w:val="000000"/>
          <w:spacing w:val="7"/>
          <w:sz w:val="24"/>
          <w:szCs w:val="24"/>
          <w:highlight w:val="none"/>
          <w:lang w:val="en-US" w:eastAsia="zh-CN" w:bidi="ar-SA"/>
        </w:rPr>
        <w:t>最高得</w:t>
      </w:r>
      <w:r>
        <w:rPr>
          <w:rFonts w:hint="eastAsia" w:ascii="Times New Roman" w:hAnsi="Times New Roman" w:eastAsia="宋体" w:cs="Times New Roman"/>
          <w:color w:val="000000"/>
          <w:spacing w:val="7"/>
          <w:sz w:val="24"/>
          <w:szCs w:val="24"/>
          <w:highlight w:val="none"/>
          <w:lang w:val="en-US" w:eastAsia="zh-CN" w:bidi="ar-SA"/>
        </w:rPr>
        <w:t>2</w:t>
      </w:r>
      <w:r>
        <w:rPr>
          <w:rFonts w:ascii="Times New Roman" w:hAnsi="Times New Roman" w:eastAsia="宋体" w:cs="Times New Roman"/>
          <w:color w:val="000000"/>
          <w:spacing w:val="7"/>
          <w:sz w:val="24"/>
          <w:szCs w:val="24"/>
          <w:highlight w:val="none"/>
          <w:lang w:val="en-US" w:eastAsia="zh-CN" w:bidi="ar-SA"/>
        </w:rPr>
        <w:t>分</w:t>
      </w:r>
      <w:r>
        <w:rPr>
          <w:rFonts w:hint="eastAsia" w:ascii="Times New Roman" w:hAnsi="Times New Roman" w:eastAsia="宋体" w:cs="Times New Roman"/>
          <w:color w:val="000000"/>
          <w:spacing w:val="7"/>
          <w:sz w:val="24"/>
          <w:szCs w:val="24"/>
          <w:highlight w:val="none"/>
          <w:lang w:val="en-US" w:eastAsia="zh-CN" w:bidi="ar-SA"/>
        </w:rPr>
        <w:t>。</w:t>
      </w:r>
      <w:r>
        <w:rPr>
          <w:rFonts w:ascii="Times New Roman" w:hAnsi="Times New Roman" w:eastAsia="宋体" w:cs="Times New Roman"/>
          <w:b/>
          <w:bCs/>
          <w:color w:val="000000"/>
          <w:spacing w:val="7"/>
          <w:sz w:val="24"/>
          <w:szCs w:val="24"/>
          <w:highlight w:val="none"/>
          <w:lang w:val="en-US" w:eastAsia="zh-CN" w:bidi="ar-SA"/>
        </w:rPr>
        <w:t>(人员不得兼任，</w:t>
      </w:r>
      <w:r>
        <w:rPr>
          <w:rFonts w:hint="eastAsia" w:ascii="Times New Roman" w:hAnsi="Times New Roman" w:eastAsia="宋体" w:cs="Times New Roman"/>
          <w:b/>
          <w:bCs/>
          <w:color w:val="000000"/>
          <w:spacing w:val="7"/>
          <w:sz w:val="24"/>
          <w:szCs w:val="24"/>
          <w:highlight w:val="none"/>
          <w:lang w:val="en-US" w:eastAsia="zh-CN" w:bidi="ar-SA"/>
        </w:rPr>
        <w:t>一人多证按一证计算。</w:t>
      </w:r>
      <w:r>
        <w:rPr>
          <w:rFonts w:ascii="Times New Roman" w:hAnsi="Times New Roman" w:eastAsia="宋体" w:cs="Times New Roman"/>
          <w:b/>
          <w:bCs/>
          <w:color w:val="000000"/>
          <w:spacing w:val="7"/>
          <w:sz w:val="24"/>
          <w:szCs w:val="24"/>
          <w:highlight w:val="none"/>
          <w:lang w:val="en-US" w:eastAsia="zh-CN" w:bidi="ar-SA"/>
        </w:rPr>
        <w:t>请在投标文件中提供相关证书，并附该员工的社保缴费证明材料，不提供或提供不全的不得分)</w:t>
      </w:r>
      <w:r>
        <w:rPr>
          <w:rFonts w:ascii="Times New Roman" w:hAnsi="Times New Roman" w:eastAsia="宋体" w:cs="Times New Roman"/>
          <w:spacing w:val="7"/>
          <w:sz w:val="24"/>
          <w:szCs w:val="24"/>
          <w:highlight w:val="none"/>
          <w:lang w:val="en-US" w:eastAsia="zh-CN" w:bidi="ar-SA"/>
        </w:rPr>
        <w:t>【0-</w:t>
      </w:r>
      <w:r>
        <w:rPr>
          <w:rFonts w:hint="eastAsia" w:ascii="Times New Roman" w:hAnsi="Times New Roman" w:eastAsia="宋体" w:cs="Times New Roman"/>
          <w:spacing w:val="7"/>
          <w:sz w:val="24"/>
          <w:szCs w:val="24"/>
          <w:highlight w:val="none"/>
          <w:lang w:val="en-US" w:eastAsia="zh-CN" w:bidi="ar-SA"/>
        </w:rPr>
        <w:t>2</w:t>
      </w:r>
      <w:r>
        <w:rPr>
          <w:rFonts w:ascii="Times New Roman" w:hAnsi="Times New Roman" w:eastAsia="宋体" w:cs="Times New Roman"/>
          <w:spacing w:val="7"/>
          <w:sz w:val="24"/>
          <w:szCs w:val="24"/>
          <w:highlight w:val="none"/>
          <w:lang w:val="en-US" w:eastAsia="zh-CN" w:bidi="ar-SA"/>
        </w:rPr>
        <w:t>】</w:t>
      </w:r>
    </w:p>
    <w:p w14:paraId="265F9F7B">
      <w:pPr>
        <w:spacing w:line="440" w:lineRule="exact"/>
        <w:ind w:firstLine="500"/>
        <w:rPr>
          <w:rFonts w:ascii="Times New Roman" w:hAnsi="Times New Roman" w:eastAsia="宋体" w:cs="Times New Roman"/>
          <w:color w:val="000000"/>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4.</w:t>
      </w:r>
      <w:r>
        <w:rPr>
          <w:rFonts w:hint="eastAsia" w:ascii="Times New Roman" w:hAnsi="Times New Roman" w:eastAsia="宋体" w:cs="Times New Roman"/>
          <w:color w:val="000000"/>
          <w:spacing w:val="7"/>
          <w:sz w:val="24"/>
          <w:szCs w:val="24"/>
          <w:highlight w:val="none"/>
          <w:lang w:val="en-US" w:eastAsia="zh-CN" w:bidi="ar-SA"/>
        </w:rPr>
        <w:t>3</w:t>
      </w:r>
      <w:r>
        <w:rPr>
          <w:rFonts w:ascii="Times New Roman" w:hAnsi="Times New Roman" w:eastAsia="宋体" w:cs="Times New Roman"/>
          <w:color w:val="000000"/>
          <w:spacing w:val="7"/>
          <w:sz w:val="24"/>
          <w:szCs w:val="24"/>
          <w:highlight w:val="none"/>
          <w:lang w:val="en-US" w:eastAsia="zh-CN" w:bidi="ar-SA"/>
        </w:rPr>
        <w:t xml:space="preserve"> 项目人员</w:t>
      </w:r>
    </w:p>
    <w:p w14:paraId="41E0B3CE">
      <w:pPr>
        <w:spacing w:line="440" w:lineRule="exact"/>
        <w:ind w:firstLine="500"/>
        <w:rPr>
          <w:rFonts w:ascii="Times New Roman" w:hAnsi="Times New Roman" w:eastAsia="宋体" w:cs="Times New Roman"/>
          <w:spacing w:val="7"/>
          <w:sz w:val="24"/>
          <w:szCs w:val="24"/>
          <w:highlight w:val="none"/>
          <w:lang w:val="en-US" w:eastAsia="zh-CN" w:bidi="ar-SA"/>
        </w:rPr>
      </w:pPr>
      <w:r>
        <w:rPr>
          <w:rFonts w:ascii="Times New Roman" w:hAnsi="Times New Roman" w:eastAsia="宋体" w:cs="Times New Roman"/>
          <w:color w:val="000000"/>
          <w:spacing w:val="7"/>
          <w:sz w:val="24"/>
          <w:szCs w:val="24"/>
          <w:highlight w:val="none"/>
          <w:lang w:val="en-US" w:eastAsia="zh-CN" w:bidi="ar-SA"/>
        </w:rPr>
        <w:t>拟投入本项目的项目组配备除项目负责人、信息安全负责人外，应配备不低于</w:t>
      </w:r>
      <w:r>
        <w:rPr>
          <w:rFonts w:hint="eastAsia" w:ascii="Times New Roman" w:hAnsi="Times New Roman" w:eastAsia="宋体" w:cs="Times New Roman"/>
          <w:color w:val="000000"/>
          <w:spacing w:val="7"/>
          <w:sz w:val="24"/>
          <w:szCs w:val="24"/>
          <w:highlight w:val="none"/>
          <w:lang w:val="en-US" w:eastAsia="zh-CN" w:bidi="ar-SA"/>
        </w:rPr>
        <w:t>3</w:t>
      </w:r>
      <w:r>
        <w:rPr>
          <w:rFonts w:ascii="Times New Roman" w:hAnsi="Times New Roman" w:eastAsia="宋体" w:cs="Times New Roman"/>
          <w:color w:val="000000"/>
          <w:spacing w:val="7"/>
          <w:sz w:val="24"/>
          <w:szCs w:val="24"/>
          <w:highlight w:val="none"/>
          <w:lang w:val="en-US" w:eastAsia="zh-CN" w:bidi="ar-SA"/>
        </w:rPr>
        <w:t>人的项目组成员，项目组成员应</w:t>
      </w:r>
      <w:r>
        <w:rPr>
          <w:rFonts w:hint="eastAsia" w:ascii="Cambria Math" w:hAnsi="Cambria Math" w:eastAsia="宋体" w:cs="Cambria Math"/>
          <w:spacing w:val="7"/>
          <w:sz w:val="24"/>
          <w:szCs w:val="24"/>
          <w:highlight w:val="none"/>
          <w:lang w:val="en-US" w:eastAsia="zh-CN" w:bidi="ar-SA"/>
        </w:rPr>
        <w:t>由具有IT服务项目经理（ITSS）证书、</w:t>
      </w:r>
      <w:r>
        <w:rPr>
          <w:rFonts w:hint="eastAsia" w:ascii="Cambria Math" w:hAnsi="Cambria Math" w:eastAsia="宋体" w:cs="Cambria Math"/>
          <w:color w:val="auto"/>
          <w:spacing w:val="7"/>
          <w:sz w:val="24"/>
          <w:szCs w:val="24"/>
          <w:highlight w:val="none"/>
          <w:lang w:val="en-US" w:eastAsia="zh-CN" w:bidi="ar-SA"/>
        </w:rPr>
        <w:t>网络工程师证书（高级）等人员组成，以上人员</w:t>
      </w:r>
      <w:r>
        <w:rPr>
          <w:rFonts w:hint="eastAsia" w:ascii="Cambria Math" w:hAnsi="Cambria Math" w:cs="Cambria Math"/>
          <w:color w:val="auto"/>
          <w:spacing w:val="7"/>
          <w:sz w:val="24"/>
          <w:szCs w:val="24"/>
          <w:highlight w:val="none"/>
          <w:lang w:val="en-US" w:eastAsia="zh-CN" w:bidi="ar-SA"/>
        </w:rPr>
        <w:t>每提供一份证书得1分</w:t>
      </w:r>
      <w:r>
        <w:rPr>
          <w:rFonts w:hint="eastAsia" w:ascii="Cambria Math" w:hAnsi="Cambria Math" w:eastAsia="宋体" w:cs="Cambria Math"/>
          <w:color w:val="auto"/>
          <w:spacing w:val="7"/>
          <w:sz w:val="24"/>
          <w:szCs w:val="24"/>
          <w:highlight w:val="none"/>
          <w:lang w:val="en-US" w:eastAsia="zh-CN" w:bidi="ar-SA"/>
        </w:rPr>
        <w:t>，</w:t>
      </w:r>
      <w:r>
        <w:rPr>
          <w:rFonts w:hint="eastAsia" w:ascii="Cambria Math" w:hAnsi="Cambria Math" w:cs="Cambria Math"/>
          <w:color w:val="auto"/>
          <w:spacing w:val="7"/>
          <w:sz w:val="24"/>
          <w:szCs w:val="24"/>
          <w:highlight w:val="none"/>
          <w:lang w:val="en-US" w:eastAsia="zh-CN" w:bidi="ar-SA"/>
        </w:rPr>
        <w:t>最高得2分</w:t>
      </w:r>
      <w:r>
        <w:rPr>
          <w:rFonts w:ascii="Times New Roman" w:hAnsi="Times New Roman" w:eastAsia="宋体" w:cs="Times New Roman"/>
          <w:color w:val="000000"/>
          <w:spacing w:val="7"/>
          <w:sz w:val="24"/>
          <w:szCs w:val="24"/>
          <w:highlight w:val="none"/>
          <w:lang w:val="en-US" w:eastAsia="zh-CN" w:bidi="ar-SA"/>
        </w:rPr>
        <w:t>。</w:t>
      </w:r>
      <w:r>
        <w:rPr>
          <w:rFonts w:hint="eastAsia" w:ascii="Cambria Math" w:hAnsi="Cambria Math" w:eastAsia="宋体" w:cs="Cambria Math"/>
          <w:color w:val="auto"/>
          <w:spacing w:val="7"/>
          <w:sz w:val="24"/>
          <w:szCs w:val="24"/>
          <w:highlight w:val="none"/>
          <w:lang w:val="en-US" w:eastAsia="zh-CN" w:bidi="ar-SA"/>
        </w:rPr>
        <w:t>一人多证</w:t>
      </w:r>
      <w:r>
        <w:rPr>
          <w:rFonts w:hint="eastAsia" w:ascii="Cambria Math" w:hAnsi="Cambria Math" w:cs="Cambria Math"/>
          <w:color w:val="auto"/>
          <w:spacing w:val="7"/>
          <w:sz w:val="24"/>
          <w:szCs w:val="24"/>
          <w:highlight w:val="none"/>
          <w:lang w:val="en-US" w:eastAsia="zh-CN" w:bidi="ar-SA"/>
        </w:rPr>
        <w:t>或提供相同证书</w:t>
      </w:r>
      <w:r>
        <w:rPr>
          <w:rFonts w:hint="eastAsia" w:ascii="Cambria Math" w:hAnsi="Cambria Math" w:eastAsia="宋体" w:cs="Cambria Math"/>
          <w:color w:val="auto"/>
          <w:spacing w:val="7"/>
          <w:sz w:val="24"/>
          <w:szCs w:val="24"/>
          <w:highlight w:val="none"/>
          <w:lang w:val="en-US" w:eastAsia="zh-CN" w:bidi="ar-SA"/>
        </w:rPr>
        <w:t>按一证计算。</w:t>
      </w:r>
      <w:r>
        <w:rPr>
          <w:rFonts w:ascii="Times New Roman" w:hAnsi="Times New Roman" w:eastAsia="宋体" w:cs="Times New Roman"/>
          <w:b/>
          <w:bCs/>
          <w:color w:val="000000"/>
          <w:spacing w:val="7"/>
          <w:sz w:val="24"/>
          <w:szCs w:val="24"/>
          <w:highlight w:val="none"/>
          <w:lang w:val="en-US" w:eastAsia="zh-CN" w:bidi="ar-SA"/>
        </w:rPr>
        <w:t>（请在投标文件中提供相关证书，并附该员工的社保缴费证明材料，不提供或提供不全的不得分）</w:t>
      </w:r>
      <w:r>
        <w:rPr>
          <w:rFonts w:ascii="Times New Roman" w:hAnsi="Times New Roman" w:eastAsia="宋体" w:cs="Times New Roman"/>
          <w:spacing w:val="7"/>
          <w:sz w:val="24"/>
          <w:szCs w:val="24"/>
          <w:highlight w:val="none"/>
          <w:lang w:val="en-US" w:eastAsia="zh-CN" w:bidi="ar-SA"/>
        </w:rPr>
        <w:t>【0-</w:t>
      </w:r>
      <w:r>
        <w:rPr>
          <w:rFonts w:hint="eastAsia" w:ascii="Times New Roman" w:hAnsi="Times New Roman" w:cs="Times New Roman"/>
          <w:spacing w:val="7"/>
          <w:sz w:val="24"/>
          <w:szCs w:val="24"/>
          <w:highlight w:val="none"/>
          <w:lang w:val="en-US" w:eastAsia="zh-CN" w:bidi="ar-SA"/>
        </w:rPr>
        <w:t>2</w:t>
      </w:r>
      <w:r>
        <w:rPr>
          <w:rFonts w:ascii="Times New Roman" w:hAnsi="Times New Roman" w:eastAsia="宋体" w:cs="Times New Roman"/>
          <w:spacing w:val="7"/>
          <w:sz w:val="24"/>
          <w:szCs w:val="24"/>
          <w:highlight w:val="none"/>
          <w:lang w:val="en-US" w:eastAsia="zh-CN" w:bidi="ar-SA"/>
        </w:rPr>
        <w:t>】</w:t>
      </w:r>
    </w:p>
    <w:p w14:paraId="20D8273B">
      <w:pPr>
        <w:widowControl/>
        <w:spacing w:before="201" w:line="480" w:lineRule="exact"/>
        <w:ind w:left="21" w:firstLine="501"/>
        <w:jc w:val="left"/>
        <w:rPr>
          <w:rFonts w:hint="default" w:ascii="宋体" w:hAnsi="宋体" w:eastAsia="宋体" w:cs="Times New Roman"/>
          <w:spacing w:val="13"/>
          <w:sz w:val="24"/>
          <w:szCs w:val="24"/>
        </w:rPr>
      </w:pPr>
      <w:r>
        <w:rPr>
          <w:rFonts w:hint="eastAsia" w:ascii="宋体" w:hAnsi="宋体" w:eastAsia="宋体" w:cs="Times New Roman"/>
          <w:b/>
          <w:spacing w:val="4"/>
          <w:sz w:val="24"/>
          <w:szCs w:val="24"/>
        </w:rPr>
        <w:t>5其他分3.</w:t>
      </w:r>
      <w:r>
        <w:rPr>
          <w:rFonts w:hint="eastAsia" w:ascii="宋体" w:hAnsi="宋体" w:cs="Times New Roman"/>
          <w:b/>
          <w:spacing w:val="4"/>
          <w:sz w:val="24"/>
          <w:szCs w:val="24"/>
          <w:lang w:val="en-US" w:eastAsia="zh-CN"/>
        </w:rPr>
        <w:t>5</w:t>
      </w:r>
      <w:r>
        <w:rPr>
          <w:rFonts w:hint="eastAsia" w:ascii="宋体" w:hAnsi="宋体" w:eastAsia="宋体" w:cs="Times New Roman"/>
          <w:b/>
          <w:spacing w:val="4"/>
          <w:sz w:val="24"/>
          <w:szCs w:val="24"/>
        </w:rPr>
        <w:t>分</w:t>
      </w:r>
    </w:p>
    <w:p w14:paraId="40A30AD5">
      <w:pPr>
        <w:widowControl/>
        <w:spacing w:before="201" w:line="360" w:lineRule="auto"/>
        <w:ind w:left="21" w:firstLine="501"/>
        <w:jc w:val="left"/>
        <w:rPr>
          <w:rFonts w:hint="default" w:ascii="宋体" w:hAnsi="宋体" w:eastAsia="宋体" w:cs="Times New Roman"/>
          <w:spacing w:val="13"/>
          <w:sz w:val="24"/>
          <w:szCs w:val="24"/>
        </w:rPr>
      </w:pPr>
      <w:r>
        <w:rPr>
          <w:rFonts w:hint="eastAsia" w:ascii="宋体" w:hAnsi="宋体" w:eastAsia="宋体" w:cs="Times New Roman"/>
          <w:spacing w:val="13"/>
          <w:sz w:val="24"/>
          <w:szCs w:val="24"/>
        </w:rPr>
        <w:t>5.1</w:t>
      </w:r>
      <w:r>
        <w:rPr>
          <w:rFonts w:hint="default" w:ascii="宋体" w:hAnsi="宋体" w:eastAsia="宋体" w:cs="Times New Roman"/>
          <w:spacing w:val="13"/>
          <w:sz w:val="24"/>
          <w:szCs w:val="24"/>
        </w:rPr>
        <w:t>环境标志产品</w:t>
      </w:r>
    </w:p>
    <w:p w14:paraId="6CAA681B">
      <w:pPr>
        <w:widowControl/>
        <w:spacing w:before="201" w:line="360" w:lineRule="auto"/>
        <w:ind w:left="21" w:firstLine="501"/>
        <w:jc w:val="left"/>
        <w:rPr>
          <w:rFonts w:hint="default" w:ascii="宋体" w:hAnsi="宋体" w:eastAsia="宋体" w:cs="Times New Roman"/>
          <w:spacing w:val="13"/>
          <w:sz w:val="24"/>
          <w:szCs w:val="24"/>
        </w:rPr>
      </w:pPr>
      <w:r>
        <w:rPr>
          <w:rFonts w:hint="eastAsia" w:ascii="宋体" w:hAnsi="宋体" w:eastAsia="宋体" w:cs="Times New Roman"/>
          <w:spacing w:val="13"/>
          <w:sz w:val="24"/>
          <w:szCs w:val="24"/>
        </w:rPr>
        <w:t>评委根据其投报产品是否属于环境标志产品政府采购品目清单进行评分，有一个得</w:t>
      </w:r>
      <w:r>
        <w:rPr>
          <w:rFonts w:hint="eastAsia" w:ascii="宋体" w:hAnsi="宋体" w:eastAsia="宋体" w:cs="Times New Roman"/>
          <w:spacing w:val="13"/>
          <w:sz w:val="24"/>
          <w:szCs w:val="24"/>
          <w:lang w:val="en-US" w:eastAsia="zh-CN"/>
        </w:rPr>
        <w:t>0.5</w:t>
      </w:r>
      <w:r>
        <w:rPr>
          <w:rFonts w:hint="eastAsia" w:ascii="宋体" w:hAnsi="宋体" w:eastAsia="宋体" w:cs="Times New Roman"/>
          <w:spacing w:val="13"/>
          <w:sz w:val="24"/>
          <w:szCs w:val="24"/>
        </w:rPr>
        <w:t>分，最多得</w:t>
      </w:r>
      <w:r>
        <w:rPr>
          <w:rFonts w:hint="eastAsia" w:ascii="宋体" w:hAnsi="宋体" w:eastAsia="宋体" w:cs="Times New Roman"/>
          <w:spacing w:val="13"/>
          <w:sz w:val="24"/>
          <w:szCs w:val="24"/>
          <w:lang w:val="en-US" w:eastAsia="zh-CN"/>
        </w:rPr>
        <w:t>3.5</w:t>
      </w:r>
      <w:r>
        <w:rPr>
          <w:rFonts w:hint="eastAsia" w:ascii="宋体" w:hAnsi="宋体" w:eastAsia="宋体" w:cs="Times New Roman"/>
          <w:spacing w:val="13"/>
          <w:sz w:val="24"/>
          <w:szCs w:val="24"/>
        </w:rPr>
        <w:t>分（请在投标文件中提供国家确定的认证机构出具的、处于有效期之内的环境标志产品认证证书（若证书有附件（附录）的，附件（附录）须随证书一起提供），不提供的不得分）。</w:t>
      </w:r>
      <w:r>
        <w:rPr>
          <w:rFonts w:hint="default" w:ascii="Times New Roman" w:hAnsi="Times New Roman" w:eastAsia="宋体" w:cs="Times New Roman"/>
          <w:spacing w:val="7"/>
          <w:sz w:val="24"/>
          <w:szCs w:val="24"/>
          <w:highlight w:val="none"/>
          <w:lang w:val="en-US" w:eastAsia="zh-CN" w:bidi="ar-SA"/>
        </w:rPr>
        <w:t>【0-</w:t>
      </w:r>
      <w:r>
        <w:rPr>
          <w:rFonts w:hint="eastAsia" w:ascii="Times New Roman" w:hAnsi="Times New Roman" w:eastAsia="宋体" w:cs="Times New Roman"/>
          <w:spacing w:val="7"/>
          <w:sz w:val="24"/>
          <w:szCs w:val="24"/>
          <w:highlight w:val="none"/>
          <w:lang w:val="en-US" w:eastAsia="zh-CN" w:bidi="ar-SA"/>
        </w:rPr>
        <w:t>3.5</w:t>
      </w:r>
      <w:r>
        <w:rPr>
          <w:rFonts w:hint="default" w:ascii="Times New Roman" w:hAnsi="Times New Roman" w:eastAsia="宋体" w:cs="Times New Roman"/>
          <w:spacing w:val="7"/>
          <w:sz w:val="24"/>
          <w:szCs w:val="24"/>
          <w:highlight w:val="none"/>
          <w:lang w:val="en-US" w:eastAsia="zh-CN" w:bidi="ar-SA"/>
        </w:rPr>
        <w:t>】</w:t>
      </w:r>
    </w:p>
    <w:p w14:paraId="00C3A068">
      <w:pPr>
        <w:spacing w:line="440" w:lineRule="atLeast"/>
        <w:ind w:firstLine="482"/>
        <w:rPr>
          <w:rFonts w:hint="default" w:ascii="Times New Roman" w:hAnsi="Times New Roman" w:eastAsia="宋体" w:cs="Times New Roman"/>
          <w:b/>
          <w:bCs/>
          <w:sz w:val="24"/>
          <w:highlight w:val="none"/>
        </w:rPr>
      </w:pPr>
      <w:r>
        <w:rPr>
          <w:rFonts w:hint="default" w:ascii="Times New Roman" w:hAnsi="Times New Roman" w:eastAsia="宋体" w:cs="Times New Roman"/>
          <w:b/>
          <w:bCs/>
          <w:sz w:val="24"/>
          <w:highlight w:val="none"/>
        </w:rPr>
        <w:t>注:</w:t>
      </w:r>
    </w:p>
    <w:p w14:paraId="3B62B0D3">
      <w:pPr>
        <w:spacing w:line="440" w:lineRule="atLeast"/>
        <w:ind w:firstLine="482"/>
        <w:rPr>
          <w:rFonts w:hint="default" w:ascii="Times New Roman" w:hAnsi="Times New Roman" w:eastAsia="宋体" w:cs="Times New Roman"/>
          <w:sz w:val="24"/>
          <w:highlight w:val="none"/>
        </w:rPr>
      </w:pPr>
      <w:r>
        <w:rPr>
          <w:rFonts w:hint="default" w:ascii="Times New Roman" w:hAnsi="Times New Roman" w:eastAsia="宋体" w:cs="Times New Roman"/>
          <w:b/>
          <w:bCs/>
          <w:sz w:val="24"/>
          <w:highlight w:val="none"/>
        </w:rPr>
        <w:t>以上证明材料，不提供不得分。</w:t>
      </w:r>
      <w:bookmarkStart w:id="188" w:name="EBeb5e011c94484d45bc78085f792444b0"/>
      <w:bookmarkEnd w:id="188"/>
    </w:p>
    <w:p w14:paraId="5B4A76E6">
      <w:pPr>
        <w:widowControl/>
        <w:tabs>
          <w:tab w:val="left" w:pos="420"/>
        </w:tabs>
        <w:spacing w:line="360" w:lineRule="auto"/>
        <w:ind w:firstLine="508"/>
        <w:contextualSpacing/>
        <w:jc w:val="left"/>
        <w:rPr>
          <w:rFonts w:hint="default" w:ascii="宋体" w:hAnsi="宋体" w:eastAsia="宋体" w:cs="宋体"/>
          <w:spacing w:val="7"/>
          <w:sz w:val="24"/>
          <w:szCs w:val="24"/>
        </w:rPr>
      </w:pPr>
    </w:p>
    <w:p w14:paraId="4A8600F2">
      <w:pPr>
        <w:pStyle w:val="206"/>
        <w:pageBreakBefore/>
        <w:spacing w:line="360" w:lineRule="auto"/>
        <w:rPr>
          <w:rFonts w:hint="eastAsia" w:ascii="宋体" w:hAnsi="宋体" w:eastAsia="宋体"/>
          <w:color w:val="auto"/>
          <w:highlight w:val="none"/>
        </w:rPr>
      </w:pPr>
      <w:r>
        <w:rPr>
          <w:rFonts w:hint="eastAsia" w:ascii="宋体" w:hAnsi="宋体" w:eastAsia="宋体"/>
          <w:color w:val="auto"/>
          <w:highlight w:val="none"/>
        </w:rPr>
        <w:t>第六章 投标文件格式</w:t>
      </w:r>
      <w:bookmarkEnd w:id="183"/>
    </w:p>
    <w:p w14:paraId="1518290C">
      <w:pPr>
        <w:spacing w:line="360" w:lineRule="auto"/>
        <w:rPr>
          <w:rFonts w:ascii="宋体" w:hAnsi="宋体"/>
          <w:b/>
          <w:bCs/>
          <w:color w:val="auto"/>
          <w:sz w:val="32"/>
          <w:szCs w:val="32"/>
          <w:highlight w:val="none"/>
        </w:rPr>
      </w:pPr>
    </w:p>
    <w:p w14:paraId="074C426E">
      <w:pPr>
        <w:pStyle w:val="233"/>
        <w:spacing w:after="400"/>
        <w:jc w:val="center"/>
        <w:outlineLvl w:val="0"/>
        <w:rPr>
          <w:rStyle w:val="199"/>
          <w:rFonts w:ascii="宋体" w:hAnsi="宋体"/>
          <w:color w:val="auto"/>
          <w:sz w:val="40"/>
          <w:szCs w:val="40"/>
          <w:highlight w:val="none"/>
        </w:rPr>
      </w:pPr>
      <w:bookmarkStart w:id="189" w:name="_Toc290"/>
      <w:bookmarkStart w:id="190" w:name="_Toc18049"/>
      <w:bookmarkStart w:id="191" w:name="_Toc29010"/>
      <w:bookmarkStart w:id="192" w:name="_Toc653"/>
      <w:r>
        <w:rPr>
          <w:rStyle w:val="199"/>
          <w:rFonts w:ascii="宋体" w:hAnsi="宋体"/>
          <w:color w:val="auto"/>
          <w:sz w:val="40"/>
          <w:szCs w:val="40"/>
          <w:highlight w:val="none"/>
        </w:rPr>
        <w:t>投标主要文件目录</w:t>
      </w:r>
      <w:bookmarkEnd w:id="189"/>
      <w:bookmarkEnd w:id="190"/>
      <w:bookmarkEnd w:id="191"/>
      <w:bookmarkEnd w:id="192"/>
    </w:p>
    <w:p w14:paraId="4C9B7E04">
      <w:pPr>
        <w:pStyle w:val="233"/>
        <w:spacing w:before="240" w:after="240" w:line="200" w:lineRule="atLeast"/>
        <w:outlineLvl w:val="0"/>
        <w:rPr>
          <w:rStyle w:val="199"/>
          <w:rFonts w:ascii="宋体" w:hAnsi="宋体"/>
          <w:color w:val="auto"/>
          <w:sz w:val="24"/>
          <w:szCs w:val="24"/>
          <w:highlight w:val="none"/>
        </w:rPr>
      </w:pPr>
      <w:bookmarkStart w:id="193" w:name="_Toc14924"/>
      <w:bookmarkStart w:id="194" w:name="_Toc8210"/>
      <w:bookmarkStart w:id="195" w:name="_Toc15242"/>
      <w:r>
        <w:rPr>
          <w:rStyle w:val="199"/>
          <w:rFonts w:ascii="宋体" w:hAnsi="宋体"/>
          <w:color w:val="auto"/>
          <w:sz w:val="24"/>
          <w:szCs w:val="24"/>
          <w:highlight w:val="none"/>
        </w:rPr>
        <w:t>一、封面</w:t>
      </w:r>
      <w:bookmarkEnd w:id="193"/>
      <w:bookmarkEnd w:id="194"/>
      <w:bookmarkEnd w:id="195"/>
    </w:p>
    <w:p w14:paraId="70E7DBDF">
      <w:pPr>
        <w:pStyle w:val="233"/>
        <w:spacing w:before="240" w:after="240" w:line="200" w:lineRule="atLeast"/>
        <w:outlineLvl w:val="0"/>
        <w:rPr>
          <w:rStyle w:val="199"/>
          <w:rFonts w:ascii="宋体" w:hAnsi="宋体"/>
          <w:color w:val="auto"/>
          <w:sz w:val="24"/>
          <w:szCs w:val="24"/>
          <w:highlight w:val="none"/>
        </w:rPr>
      </w:pPr>
      <w:bookmarkStart w:id="196" w:name="_Toc9750"/>
      <w:bookmarkStart w:id="197" w:name="_Toc10768"/>
      <w:bookmarkStart w:id="198" w:name="_Toc8337"/>
      <w:r>
        <w:rPr>
          <w:rStyle w:val="199"/>
          <w:rFonts w:ascii="宋体" w:hAnsi="宋体"/>
          <w:color w:val="auto"/>
          <w:sz w:val="24"/>
          <w:szCs w:val="24"/>
          <w:highlight w:val="none"/>
        </w:rPr>
        <w:t>二、投标函</w:t>
      </w:r>
      <w:bookmarkEnd w:id="196"/>
      <w:bookmarkEnd w:id="197"/>
      <w:bookmarkEnd w:id="198"/>
    </w:p>
    <w:p w14:paraId="38B6AAE5">
      <w:pPr>
        <w:pStyle w:val="233"/>
        <w:spacing w:before="240" w:after="240" w:line="200" w:lineRule="atLeast"/>
        <w:outlineLvl w:val="0"/>
        <w:rPr>
          <w:rStyle w:val="199"/>
          <w:rFonts w:ascii="宋体" w:hAnsi="宋体"/>
          <w:color w:val="auto"/>
          <w:sz w:val="24"/>
          <w:szCs w:val="24"/>
          <w:highlight w:val="none"/>
        </w:rPr>
      </w:pPr>
      <w:bookmarkStart w:id="199" w:name="_Toc1247"/>
      <w:bookmarkStart w:id="200" w:name="_Toc31912"/>
      <w:bookmarkStart w:id="201" w:name="_Toc5193"/>
      <w:r>
        <w:rPr>
          <w:rStyle w:val="199"/>
          <w:rFonts w:ascii="宋体" w:hAnsi="宋体"/>
          <w:color w:val="auto"/>
          <w:sz w:val="24"/>
          <w:szCs w:val="24"/>
          <w:highlight w:val="none"/>
        </w:rPr>
        <w:t>三、开标一览表</w:t>
      </w:r>
      <w:bookmarkEnd w:id="199"/>
      <w:bookmarkEnd w:id="200"/>
      <w:bookmarkEnd w:id="201"/>
    </w:p>
    <w:p w14:paraId="626AC085">
      <w:pPr>
        <w:pStyle w:val="233"/>
        <w:spacing w:before="240" w:after="240" w:line="200" w:lineRule="atLeast"/>
        <w:outlineLvl w:val="0"/>
        <w:rPr>
          <w:rStyle w:val="199"/>
          <w:rFonts w:ascii="宋体" w:hAnsi="宋体"/>
          <w:color w:val="auto"/>
          <w:sz w:val="24"/>
          <w:szCs w:val="24"/>
          <w:highlight w:val="none"/>
        </w:rPr>
      </w:pPr>
      <w:bookmarkStart w:id="202" w:name="_Toc25567"/>
      <w:bookmarkStart w:id="203" w:name="_Toc26828"/>
      <w:bookmarkStart w:id="204" w:name="_Toc12064"/>
      <w:r>
        <w:rPr>
          <w:rStyle w:val="199"/>
          <w:rFonts w:ascii="宋体" w:hAnsi="宋体"/>
          <w:color w:val="auto"/>
          <w:sz w:val="24"/>
          <w:szCs w:val="24"/>
          <w:highlight w:val="none"/>
        </w:rPr>
        <w:t>四、资格证明文件</w:t>
      </w:r>
      <w:bookmarkEnd w:id="202"/>
      <w:bookmarkEnd w:id="203"/>
      <w:bookmarkEnd w:id="204"/>
    </w:p>
    <w:p w14:paraId="1326E66D">
      <w:pPr>
        <w:pStyle w:val="234"/>
        <w:spacing w:before="240" w:after="240" w:line="200" w:lineRule="atLeast"/>
        <w:rPr>
          <w:rFonts w:ascii="宋体" w:hAnsi="宋体" w:eastAsia="宋体"/>
          <w:color w:val="auto"/>
          <w:highlight w:val="none"/>
        </w:rPr>
      </w:pPr>
      <w:r>
        <w:rPr>
          <w:rFonts w:ascii="宋体" w:hAnsi="宋体" w:eastAsia="宋体"/>
          <w:color w:val="auto"/>
          <w:highlight w:val="none"/>
        </w:rPr>
        <w:t>五、</w:t>
      </w:r>
      <w:r>
        <w:rPr>
          <w:rStyle w:val="199"/>
          <w:rFonts w:ascii="宋体" w:hAnsi="宋体"/>
          <w:color w:val="auto"/>
          <w:sz w:val="24"/>
          <w:szCs w:val="24"/>
          <w:highlight w:val="none"/>
        </w:rPr>
        <w:t>第四章项目需求中实质性要求响应对照表</w:t>
      </w:r>
    </w:p>
    <w:p w14:paraId="7895551B">
      <w:pPr>
        <w:pStyle w:val="233"/>
        <w:spacing w:before="240" w:after="240" w:line="200" w:lineRule="atLeast"/>
        <w:outlineLvl w:val="0"/>
        <w:rPr>
          <w:rStyle w:val="199"/>
          <w:rFonts w:hint="eastAsia" w:ascii="宋体" w:hAnsi="宋体"/>
          <w:color w:val="auto"/>
          <w:sz w:val="24"/>
          <w:szCs w:val="24"/>
          <w:highlight w:val="none"/>
        </w:rPr>
      </w:pPr>
      <w:bookmarkStart w:id="205" w:name="_Toc10544"/>
      <w:bookmarkStart w:id="206" w:name="_Toc1004"/>
      <w:r>
        <w:rPr>
          <w:rStyle w:val="199"/>
          <w:rFonts w:hint="eastAsia" w:ascii="宋体" w:hAnsi="宋体"/>
          <w:color w:val="auto"/>
          <w:sz w:val="24"/>
          <w:szCs w:val="24"/>
          <w:highlight w:val="none"/>
        </w:rPr>
        <w:t>六、投标配置及分项报价表</w:t>
      </w:r>
      <w:bookmarkEnd w:id="205"/>
      <w:bookmarkEnd w:id="206"/>
    </w:p>
    <w:p w14:paraId="26A42F0C">
      <w:pPr>
        <w:pStyle w:val="233"/>
        <w:spacing w:before="240" w:after="240" w:line="200" w:lineRule="atLeast"/>
        <w:outlineLvl w:val="0"/>
        <w:rPr>
          <w:rStyle w:val="199"/>
          <w:rFonts w:hint="eastAsia" w:ascii="宋体" w:hAnsi="宋体"/>
          <w:color w:val="auto"/>
          <w:sz w:val="24"/>
          <w:szCs w:val="24"/>
          <w:highlight w:val="none"/>
        </w:rPr>
      </w:pPr>
      <w:bookmarkStart w:id="207" w:name="_Toc5514"/>
      <w:bookmarkStart w:id="208" w:name="_Toc12806"/>
      <w:r>
        <w:rPr>
          <w:rStyle w:val="199"/>
          <w:rFonts w:hint="eastAsia" w:ascii="宋体" w:hAnsi="宋体"/>
          <w:color w:val="auto"/>
          <w:sz w:val="24"/>
          <w:szCs w:val="24"/>
          <w:highlight w:val="none"/>
        </w:rPr>
        <w:t>七、常用零件及耗材报价表</w:t>
      </w:r>
      <w:bookmarkEnd w:id="207"/>
      <w:bookmarkEnd w:id="208"/>
    </w:p>
    <w:p w14:paraId="70D83321">
      <w:pPr>
        <w:pStyle w:val="233"/>
        <w:spacing w:before="240" w:after="240" w:line="200" w:lineRule="atLeast"/>
        <w:outlineLvl w:val="0"/>
        <w:rPr>
          <w:rStyle w:val="199"/>
          <w:rFonts w:hint="eastAsia" w:ascii="宋体" w:hAnsi="宋体" w:eastAsia="宋体"/>
          <w:color w:val="auto"/>
          <w:sz w:val="24"/>
          <w:szCs w:val="24"/>
          <w:highlight w:val="none"/>
        </w:rPr>
      </w:pPr>
      <w:bookmarkStart w:id="209" w:name="_Toc25418"/>
      <w:bookmarkStart w:id="210" w:name="_Toc5199"/>
      <w:r>
        <w:rPr>
          <w:rStyle w:val="199"/>
          <w:rFonts w:hint="eastAsia" w:ascii="宋体" w:hAnsi="宋体" w:eastAsia="宋体"/>
          <w:color w:val="auto"/>
          <w:sz w:val="24"/>
          <w:szCs w:val="24"/>
          <w:highlight w:val="none"/>
        </w:rPr>
        <w:t>八、技术参数响应及偏离表</w:t>
      </w:r>
      <w:bookmarkEnd w:id="209"/>
      <w:bookmarkEnd w:id="210"/>
    </w:p>
    <w:p w14:paraId="1FA88CE1">
      <w:pPr>
        <w:pStyle w:val="233"/>
        <w:spacing w:before="240" w:after="240" w:line="200" w:lineRule="atLeast"/>
        <w:outlineLvl w:val="0"/>
        <w:rPr>
          <w:rStyle w:val="199"/>
          <w:rFonts w:hint="eastAsia" w:ascii="宋体" w:hAnsi="宋体"/>
          <w:color w:val="auto"/>
          <w:sz w:val="24"/>
          <w:szCs w:val="24"/>
          <w:highlight w:val="none"/>
        </w:rPr>
      </w:pPr>
      <w:bookmarkStart w:id="211" w:name="_Toc27270"/>
      <w:bookmarkStart w:id="212" w:name="_Toc3301"/>
      <w:r>
        <w:rPr>
          <w:rStyle w:val="199"/>
          <w:rFonts w:hint="eastAsia" w:ascii="宋体" w:hAnsi="宋体"/>
          <w:color w:val="auto"/>
          <w:sz w:val="24"/>
          <w:szCs w:val="24"/>
          <w:highlight w:val="none"/>
        </w:rPr>
        <w:t>九、服务方案</w:t>
      </w:r>
      <w:bookmarkEnd w:id="211"/>
      <w:bookmarkEnd w:id="212"/>
    </w:p>
    <w:p w14:paraId="58806131">
      <w:pPr>
        <w:pStyle w:val="233"/>
        <w:spacing w:before="240" w:after="240" w:line="200" w:lineRule="atLeast"/>
        <w:outlineLvl w:val="0"/>
        <w:rPr>
          <w:rStyle w:val="199"/>
          <w:rFonts w:hint="eastAsia" w:ascii="宋体" w:hAnsi="宋体"/>
          <w:color w:val="auto"/>
          <w:sz w:val="24"/>
          <w:szCs w:val="24"/>
          <w:highlight w:val="none"/>
        </w:rPr>
      </w:pPr>
      <w:bookmarkStart w:id="213" w:name="_Toc14133"/>
      <w:bookmarkStart w:id="214" w:name="_Toc12514"/>
      <w:r>
        <w:rPr>
          <w:rStyle w:val="199"/>
          <w:rFonts w:hint="eastAsia" w:ascii="宋体" w:hAnsi="宋体"/>
          <w:color w:val="auto"/>
          <w:sz w:val="24"/>
          <w:szCs w:val="24"/>
          <w:highlight w:val="none"/>
        </w:rPr>
        <w:t>十、投标人情况介绍</w:t>
      </w:r>
      <w:bookmarkEnd w:id="213"/>
      <w:bookmarkEnd w:id="214"/>
    </w:p>
    <w:p w14:paraId="752409B6">
      <w:pPr>
        <w:pStyle w:val="233"/>
        <w:spacing w:before="240" w:after="240" w:line="200" w:lineRule="atLeast"/>
        <w:outlineLvl w:val="0"/>
        <w:rPr>
          <w:rStyle w:val="199"/>
          <w:rFonts w:hint="eastAsia" w:ascii="宋体" w:hAnsi="宋体"/>
          <w:color w:val="auto"/>
          <w:sz w:val="24"/>
          <w:szCs w:val="24"/>
          <w:highlight w:val="none"/>
        </w:rPr>
      </w:pPr>
      <w:bookmarkStart w:id="215" w:name="_Toc113"/>
      <w:bookmarkStart w:id="216" w:name="_Toc11742"/>
      <w:r>
        <w:rPr>
          <w:rStyle w:val="199"/>
          <w:rFonts w:hint="eastAsia" w:ascii="宋体" w:hAnsi="宋体"/>
          <w:color w:val="auto"/>
          <w:sz w:val="24"/>
          <w:szCs w:val="24"/>
          <w:highlight w:val="none"/>
        </w:rPr>
        <w:t>十一、中小企业声明函等</w:t>
      </w:r>
      <w:bookmarkEnd w:id="215"/>
      <w:bookmarkEnd w:id="216"/>
    </w:p>
    <w:p w14:paraId="481E85B5">
      <w:pPr>
        <w:pStyle w:val="233"/>
        <w:spacing w:before="240" w:after="240" w:line="200" w:lineRule="atLeast"/>
        <w:outlineLvl w:val="0"/>
        <w:rPr>
          <w:rStyle w:val="199"/>
          <w:rFonts w:hint="eastAsia" w:ascii="宋体" w:hAnsi="宋体"/>
          <w:sz w:val="24"/>
          <w:szCs w:val="24"/>
        </w:rPr>
      </w:pPr>
      <w:r>
        <w:rPr>
          <w:rStyle w:val="199"/>
          <w:rFonts w:hint="eastAsia" w:ascii="宋体" w:hAnsi="宋体"/>
          <w:sz w:val="24"/>
          <w:szCs w:val="24"/>
        </w:rPr>
        <w:t>十二、关于符合本国产品标准的声明函</w:t>
      </w:r>
    </w:p>
    <w:p w14:paraId="6D837978">
      <w:pPr>
        <w:pStyle w:val="233"/>
        <w:spacing w:before="240" w:after="240" w:line="200" w:lineRule="atLeast"/>
        <w:outlineLvl w:val="0"/>
        <w:rPr>
          <w:rStyle w:val="199"/>
          <w:rFonts w:hint="eastAsia" w:ascii="宋体" w:hAnsi="宋体"/>
          <w:color w:val="auto"/>
          <w:sz w:val="24"/>
          <w:szCs w:val="24"/>
          <w:highlight w:val="none"/>
        </w:rPr>
      </w:pPr>
    </w:p>
    <w:p w14:paraId="3DB92CD2">
      <w:pPr>
        <w:pStyle w:val="235"/>
        <w:outlineLvl w:val="0"/>
        <w:rPr>
          <w:rStyle w:val="199"/>
          <w:color w:val="auto"/>
          <w:highlight w:val="none"/>
        </w:rPr>
      </w:pPr>
      <w:r>
        <w:rPr>
          <w:rStyle w:val="199"/>
          <w:color w:val="auto"/>
          <w:highlight w:val="none"/>
        </w:rPr>
        <w:br w:type="page" w:clear="all"/>
      </w:r>
      <w:bookmarkStart w:id="217" w:name="_Toc21398"/>
      <w:bookmarkStart w:id="218" w:name="_Toc11328"/>
      <w:bookmarkStart w:id="219" w:name="_Toc1406"/>
      <w:bookmarkStart w:id="220" w:name="_Toc28279"/>
      <w:bookmarkStart w:id="221" w:name="_Toc795"/>
      <w:r>
        <w:rPr>
          <w:rStyle w:val="199"/>
          <w:rFonts w:ascii="宋体" w:hAnsi="宋体"/>
          <w:b/>
          <w:color w:val="auto"/>
          <w:sz w:val="32"/>
          <w:highlight w:val="none"/>
        </w:rPr>
        <w:t>一、封面</w:t>
      </w:r>
      <w:bookmarkEnd w:id="217"/>
      <w:bookmarkEnd w:id="218"/>
      <w:bookmarkEnd w:id="219"/>
      <w:bookmarkEnd w:id="220"/>
      <w:bookmarkEnd w:id="221"/>
    </w:p>
    <w:p w14:paraId="350EC4F6">
      <w:pPr>
        <w:pStyle w:val="236"/>
        <w:spacing w:line="440" w:lineRule="exact"/>
        <w:rPr>
          <w:rStyle w:val="199"/>
          <w:rFonts w:ascii="宋体" w:hAnsi="宋体"/>
          <w:color w:val="auto"/>
          <w:highlight w:val="none"/>
        </w:rPr>
      </w:pPr>
      <w:r>
        <w:rPr>
          <w:rStyle w:val="199"/>
          <w:rFonts w:ascii="宋体" w:hAnsi="宋体"/>
          <w:color w:val="auto"/>
          <w:highlight w:val="none"/>
        </w:rPr>
        <w:t xml:space="preserve">﻿ </w:t>
      </w:r>
    </w:p>
    <w:p w14:paraId="52673A26">
      <w:pPr>
        <w:pStyle w:val="236"/>
        <w:spacing w:before="540" w:after="540"/>
        <w:jc w:val="center"/>
        <w:outlineLvl w:val="1"/>
        <w:rPr>
          <w:rStyle w:val="199"/>
          <w:rFonts w:ascii="宋体" w:hAnsi="宋体"/>
          <w:color w:val="auto"/>
          <w:sz w:val="54"/>
          <w:szCs w:val="54"/>
          <w:highlight w:val="none"/>
        </w:rPr>
      </w:pPr>
      <w:bookmarkStart w:id="222" w:name="_Toc5639"/>
      <w:r>
        <w:rPr>
          <w:rStyle w:val="199"/>
          <w:rFonts w:ascii="宋体" w:hAnsi="宋体"/>
          <w:color w:val="auto"/>
          <w:sz w:val="54"/>
          <w:szCs w:val="54"/>
          <w:highlight w:val="none"/>
        </w:rPr>
        <w:t>投 标 文 件</w:t>
      </w:r>
      <w:bookmarkEnd w:id="222"/>
    </w:p>
    <w:p w14:paraId="0AFB4521">
      <w:pPr>
        <w:pStyle w:val="236"/>
        <w:spacing w:before="240" w:after="240"/>
        <w:rPr>
          <w:rStyle w:val="199"/>
          <w:rFonts w:ascii="宋体" w:hAnsi="宋体"/>
          <w:color w:val="auto"/>
          <w:highlight w:val="none"/>
        </w:rPr>
      </w:pPr>
      <w:r>
        <w:rPr>
          <w:rStyle w:val="199"/>
          <w:rFonts w:ascii="宋体" w:hAnsi="宋体"/>
          <w:color w:val="auto"/>
          <w:highlight w:val="none"/>
        </w:rPr>
        <w:t> </w:t>
      </w:r>
    </w:p>
    <w:p w14:paraId="5D6CD848">
      <w:pPr>
        <w:pStyle w:val="236"/>
        <w:spacing w:before="400" w:after="400"/>
        <w:jc w:val="center"/>
        <w:rPr>
          <w:rStyle w:val="199"/>
          <w:rFonts w:ascii="宋体" w:hAnsi="宋体"/>
          <w:color w:val="auto"/>
          <w:sz w:val="40"/>
          <w:szCs w:val="40"/>
          <w:highlight w:val="none"/>
        </w:rPr>
      </w:pPr>
      <w:r>
        <w:rPr>
          <w:rStyle w:val="199"/>
          <w:rFonts w:ascii="宋体" w:hAnsi="宋体"/>
          <w:color w:val="auto"/>
          <w:sz w:val="40"/>
          <w:szCs w:val="40"/>
          <w:highlight w:val="none"/>
        </w:rPr>
        <w:t> </w:t>
      </w:r>
    </w:p>
    <w:p w14:paraId="5C566D45">
      <w:pPr>
        <w:pStyle w:val="236"/>
        <w:spacing w:before="240" w:after="240"/>
        <w:rPr>
          <w:rStyle w:val="199"/>
          <w:rFonts w:ascii="宋体" w:hAnsi="宋体"/>
          <w:color w:val="auto"/>
          <w:highlight w:val="none"/>
        </w:rPr>
      </w:pPr>
      <w:r>
        <w:rPr>
          <w:rStyle w:val="199"/>
          <w:rFonts w:ascii="宋体" w:hAnsi="宋体"/>
          <w:color w:val="auto"/>
          <w:highlight w:val="none"/>
        </w:rPr>
        <w:t> </w:t>
      </w:r>
    </w:p>
    <w:p w14:paraId="77668F92">
      <w:pPr>
        <w:pStyle w:val="236"/>
        <w:spacing w:before="360" w:after="360"/>
        <w:jc w:val="center"/>
        <w:outlineLvl w:val="1"/>
        <w:rPr>
          <w:rStyle w:val="199"/>
          <w:rFonts w:ascii="宋体" w:hAnsi="宋体"/>
          <w:color w:val="auto"/>
          <w:sz w:val="36"/>
          <w:szCs w:val="36"/>
          <w:highlight w:val="none"/>
        </w:rPr>
      </w:pPr>
      <w:bookmarkStart w:id="223" w:name="_Toc26027"/>
      <w:r>
        <w:rPr>
          <w:rStyle w:val="199"/>
          <w:rFonts w:ascii="宋体" w:hAnsi="宋体"/>
          <w:color w:val="auto"/>
          <w:sz w:val="36"/>
          <w:szCs w:val="36"/>
          <w:highlight w:val="none"/>
        </w:rPr>
        <w:t>项目名称：   </w:t>
      </w:r>
      <w:bookmarkEnd w:id="223"/>
    </w:p>
    <w:p w14:paraId="08DF2C0A">
      <w:pPr>
        <w:pStyle w:val="236"/>
        <w:spacing w:before="360" w:after="360"/>
        <w:jc w:val="center"/>
        <w:outlineLvl w:val="1"/>
        <w:rPr>
          <w:rStyle w:val="199"/>
          <w:rFonts w:ascii="宋体" w:hAnsi="宋体"/>
          <w:color w:val="auto"/>
          <w:sz w:val="36"/>
          <w:szCs w:val="36"/>
          <w:highlight w:val="none"/>
        </w:rPr>
      </w:pPr>
      <w:bookmarkStart w:id="224" w:name="_Toc5574"/>
      <w:r>
        <w:rPr>
          <w:rStyle w:val="199"/>
          <w:rFonts w:ascii="宋体" w:hAnsi="宋体"/>
          <w:color w:val="auto"/>
          <w:sz w:val="36"/>
          <w:szCs w:val="36"/>
          <w:highlight w:val="none"/>
        </w:rPr>
        <w:t>招标编号：   </w:t>
      </w:r>
      <w:bookmarkEnd w:id="224"/>
    </w:p>
    <w:p w14:paraId="7B11CDC4">
      <w:pPr>
        <w:pStyle w:val="236"/>
        <w:spacing w:before="360" w:after="360"/>
        <w:jc w:val="center"/>
        <w:rPr>
          <w:rStyle w:val="199"/>
          <w:rFonts w:ascii="宋体" w:hAnsi="宋体"/>
          <w:color w:val="auto"/>
          <w:sz w:val="36"/>
          <w:szCs w:val="36"/>
          <w:highlight w:val="none"/>
        </w:rPr>
      </w:pPr>
      <w:r>
        <w:rPr>
          <w:rStyle w:val="199"/>
          <w:rFonts w:ascii="宋体" w:hAnsi="宋体"/>
          <w:color w:val="auto"/>
          <w:sz w:val="36"/>
          <w:szCs w:val="36"/>
          <w:highlight w:val="none"/>
        </w:rPr>
        <w:t> </w:t>
      </w:r>
    </w:p>
    <w:p w14:paraId="17B5E009">
      <w:pPr>
        <w:pStyle w:val="236"/>
        <w:spacing w:before="360" w:after="360"/>
        <w:jc w:val="center"/>
        <w:rPr>
          <w:rStyle w:val="199"/>
          <w:rFonts w:ascii="宋体" w:hAnsi="宋体"/>
          <w:color w:val="auto"/>
          <w:sz w:val="36"/>
          <w:szCs w:val="36"/>
          <w:highlight w:val="none"/>
        </w:rPr>
      </w:pPr>
      <w:r>
        <w:rPr>
          <w:rStyle w:val="199"/>
          <w:rFonts w:ascii="宋体" w:hAnsi="宋体"/>
          <w:color w:val="auto"/>
          <w:sz w:val="36"/>
          <w:szCs w:val="36"/>
          <w:highlight w:val="none"/>
        </w:rPr>
        <w:t> </w:t>
      </w:r>
    </w:p>
    <w:p w14:paraId="1B85E170">
      <w:pPr>
        <w:pStyle w:val="236"/>
        <w:spacing w:before="360" w:after="360"/>
        <w:jc w:val="center"/>
        <w:outlineLvl w:val="1"/>
        <w:rPr>
          <w:rStyle w:val="199"/>
          <w:rFonts w:ascii="宋体" w:hAnsi="宋体"/>
          <w:color w:val="auto"/>
          <w:sz w:val="36"/>
          <w:szCs w:val="36"/>
          <w:highlight w:val="none"/>
        </w:rPr>
      </w:pPr>
      <w:bookmarkStart w:id="225" w:name="_Toc5779"/>
      <w:r>
        <w:rPr>
          <w:rStyle w:val="199"/>
          <w:rFonts w:ascii="宋体" w:hAnsi="宋体"/>
          <w:color w:val="auto"/>
          <w:sz w:val="36"/>
          <w:szCs w:val="36"/>
          <w:highlight w:val="none"/>
        </w:rPr>
        <w:t>投标人名称：   </w:t>
      </w:r>
      <w:bookmarkEnd w:id="225"/>
    </w:p>
    <w:p w14:paraId="7D8BCA5F">
      <w:pPr>
        <w:pStyle w:val="236"/>
        <w:spacing w:before="360" w:after="360"/>
        <w:jc w:val="center"/>
        <w:outlineLvl w:val="1"/>
        <w:rPr>
          <w:rStyle w:val="199"/>
          <w:rFonts w:ascii="宋体" w:hAnsi="宋体"/>
          <w:color w:val="auto"/>
          <w:sz w:val="36"/>
          <w:szCs w:val="36"/>
          <w:highlight w:val="none"/>
        </w:rPr>
      </w:pPr>
      <w:bookmarkStart w:id="226" w:name="_Toc22080"/>
      <w:r>
        <w:rPr>
          <w:rStyle w:val="199"/>
          <w:rFonts w:ascii="宋体" w:hAnsi="宋体"/>
          <w:color w:val="auto"/>
          <w:sz w:val="36"/>
          <w:szCs w:val="36"/>
          <w:highlight w:val="none"/>
        </w:rPr>
        <w:t>日期：   </w:t>
      </w:r>
      <w:bookmarkEnd w:id="226"/>
    </w:p>
    <w:p w14:paraId="1D405AD8">
      <w:pPr>
        <w:pStyle w:val="236"/>
        <w:spacing w:before="360" w:after="360"/>
        <w:jc w:val="center"/>
        <w:rPr>
          <w:rStyle w:val="199"/>
          <w:rFonts w:ascii="宋体" w:hAnsi="宋体"/>
          <w:color w:val="auto"/>
          <w:sz w:val="36"/>
          <w:szCs w:val="36"/>
          <w:highlight w:val="none"/>
        </w:rPr>
      </w:pPr>
      <w:r>
        <w:rPr>
          <w:rStyle w:val="199"/>
          <w:rFonts w:ascii="宋体" w:hAnsi="宋体"/>
          <w:color w:val="auto"/>
          <w:sz w:val="36"/>
          <w:szCs w:val="36"/>
          <w:highlight w:val="none"/>
        </w:rPr>
        <w:t> </w:t>
      </w:r>
    </w:p>
    <w:p w14:paraId="054DF44B">
      <w:pPr>
        <w:pStyle w:val="236"/>
        <w:spacing w:before="240" w:after="240"/>
        <w:rPr>
          <w:rStyle w:val="199"/>
          <w:rFonts w:ascii="宋体" w:hAnsi="宋体"/>
          <w:color w:val="auto"/>
          <w:highlight w:val="none"/>
        </w:rPr>
      </w:pPr>
      <w:r>
        <w:rPr>
          <w:rStyle w:val="199"/>
          <w:rFonts w:ascii="宋体" w:hAnsi="宋体"/>
          <w:color w:val="auto"/>
          <w:highlight w:val="none"/>
        </w:rPr>
        <w:t> </w:t>
      </w:r>
    </w:p>
    <w:p w14:paraId="2B721A05">
      <w:pPr>
        <w:pStyle w:val="237"/>
        <w:outlineLvl w:val="0"/>
        <w:rPr>
          <w:rStyle w:val="199"/>
          <w:color w:val="auto"/>
          <w:highlight w:val="none"/>
        </w:rPr>
      </w:pPr>
      <w:r>
        <w:rPr>
          <w:rStyle w:val="199"/>
          <w:color w:val="auto"/>
          <w:highlight w:val="none"/>
        </w:rPr>
        <w:br w:type="page" w:clear="all"/>
      </w:r>
      <w:bookmarkStart w:id="227" w:name="_Toc13967"/>
      <w:bookmarkStart w:id="228" w:name="_Toc22409"/>
      <w:bookmarkStart w:id="229" w:name="_Toc12462"/>
      <w:bookmarkStart w:id="230" w:name="_Toc15138"/>
      <w:bookmarkStart w:id="231" w:name="_Toc24046"/>
      <w:r>
        <w:rPr>
          <w:rStyle w:val="199"/>
          <w:rFonts w:ascii="宋体" w:hAnsi="宋体"/>
          <w:b/>
          <w:color w:val="auto"/>
          <w:sz w:val="32"/>
          <w:highlight w:val="none"/>
        </w:rPr>
        <w:t>二、投标函格式</w:t>
      </w:r>
      <w:bookmarkEnd w:id="227"/>
      <w:bookmarkEnd w:id="228"/>
      <w:bookmarkEnd w:id="229"/>
      <w:bookmarkEnd w:id="230"/>
      <w:bookmarkEnd w:id="231"/>
    </w:p>
    <w:p w14:paraId="0808C04F">
      <w:pPr>
        <w:pStyle w:val="238"/>
        <w:spacing w:line="440" w:lineRule="exact"/>
        <w:rPr>
          <w:rStyle w:val="199"/>
          <w:rFonts w:ascii="宋体" w:hAnsi="宋体"/>
          <w:color w:val="auto"/>
          <w:highlight w:val="none"/>
        </w:rPr>
      </w:pPr>
      <w:r>
        <w:rPr>
          <w:rStyle w:val="199"/>
          <w:rFonts w:ascii="宋体" w:hAnsi="宋体"/>
          <w:color w:val="auto"/>
          <w:highlight w:val="none"/>
        </w:rPr>
        <w:t xml:space="preserve">﻿ </w:t>
      </w:r>
    </w:p>
    <w:p w14:paraId="4BA6AC12">
      <w:pPr>
        <w:pStyle w:val="238"/>
        <w:spacing w:before="320" w:after="320"/>
        <w:ind w:firstLine="420"/>
        <w:jc w:val="center"/>
        <w:rPr>
          <w:rStyle w:val="199"/>
          <w:rFonts w:ascii="宋体" w:hAnsi="宋体"/>
          <w:b/>
          <w:bCs/>
          <w:color w:val="auto"/>
          <w:sz w:val="32"/>
          <w:szCs w:val="32"/>
          <w:highlight w:val="none"/>
        </w:rPr>
      </w:pPr>
      <w:r>
        <w:rPr>
          <w:rStyle w:val="199"/>
          <w:rFonts w:ascii="宋体" w:hAnsi="宋体"/>
          <w:b/>
          <w:bCs/>
          <w:color w:val="auto"/>
          <w:sz w:val="32"/>
          <w:szCs w:val="32"/>
          <w:highlight w:val="none"/>
        </w:rPr>
        <w:t>投标函</w:t>
      </w:r>
    </w:p>
    <w:p w14:paraId="6AB6E0C2">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致</w:t>
      </w:r>
      <w:r>
        <w:rPr>
          <w:rStyle w:val="199"/>
          <w:rFonts w:ascii="宋体" w:hAnsi="宋体"/>
          <w:color w:val="auto"/>
          <w:sz w:val="24"/>
          <w:szCs w:val="24"/>
          <w:highlight w:val="none"/>
          <w:u w:val="single"/>
        </w:rPr>
        <w:t>：   </w:t>
      </w:r>
      <w:r>
        <w:rPr>
          <w:rStyle w:val="199"/>
          <w:rFonts w:ascii="宋体" w:hAnsi="宋体"/>
          <w:color w:val="auto"/>
          <w:sz w:val="24"/>
          <w:szCs w:val="24"/>
          <w:highlight w:val="none"/>
        </w:rPr>
        <w:t>：</w:t>
      </w:r>
    </w:p>
    <w:p w14:paraId="406D3D3F">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根据贵方的</w:t>
      </w:r>
      <w:r>
        <w:rPr>
          <w:rStyle w:val="199"/>
          <w:rFonts w:ascii="宋体" w:hAnsi="宋体"/>
          <w:color w:val="auto"/>
          <w:sz w:val="24"/>
          <w:szCs w:val="24"/>
          <w:highlight w:val="none"/>
          <w:u w:val="single"/>
        </w:rPr>
        <w:t>   </w:t>
      </w:r>
      <w:r>
        <w:rPr>
          <w:rStyle w:val="199"/>
          <w:rFonts w:ascii="宋体" w:hAnsi="宋体"/>
          <w:color w:val="auto"/>
          <w:sz w:val="24"/>
          <w:szCs w:val="24"/>
          <w:highlight w:val="none"/>
        </w:rPr>
        <w:t>号招标文件，正式授权下述签字人</w:t>
      </w:r>
      <w:r>
        <w:rPr>
          <w:rStyle w:val="199"/>
          <w:rFonts w:ascii="宋体" w:hAnsi="宋体"/>
          <w:color w:val="auto"/>
          <w:sz w:val="24"/>
          <w:szCs w:val="24"/>
          <w:highlight w:val="none"/>
          <w:u w:val="single"/>
        </w:rPr>
        <w:t>     </w:t>
      </w:r>
      <w:r>
        <w:rPr>
          <w:rStyle w:val="199"/>
          <w:rFonts w:ascii="宋体" w:hAnsi="宋体"/>
          <w:color w:val="auto"/>
          <w:sz w:val="24"/>
          <w:szCs w:val="24"/>
          <w:highlight w:val="none"/>
        </w:rPr>
        <w:t> (姓名和职务)代表我方</w:t>
      </w:r>
      <w:r>
        <w:rPr>
          <w:rStyle w:val="199"/>
          <w:rFonts w:ascii="宋体" w:hAnsi="宋体"/>
          <w:color w:val="auto"/>
          <w:sz w:val="24"/>
          <w:szCs w:val="24"/>
          <w:highlight w:val="none"/>
          <w:u w:val="single"/>
        </w:rPr>
        <w:t>   </w:t>
      </w:r>
      <w:r>
        <w:rPr>
          <w:rStyle w:val="199"/>
          <w:rFonts w:ascii="宋体" w:hAnsi="宋体"/>
          <w:color w:val="auto"/>
          <w:sz w:val="24"/>
          <w:szCs w:val="24"/>
          <w:highlight w:val="none"/>
        </w:rPr>
        <w:t xml:space="preserve">（投标人的名称），全权处理本次项目投标的有关事宜。 </w:t>
      </w:r>
    </w:p>
    <w:p w14:paraId="47068E76">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据此函，签字人兹宣布同意如下： </w:t>
      </w:r>
    </w:p>
    <w:p w14:paraId="6BC406A8">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1、同意向贵方提供贵方可能另外要求的与投标有关的任何证据或资料； </w:t>
      </w:r>
    </w:p>
    <w:p w14:paraId="33B26F7D">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2、我们完全理解贵方不一定将合同授予最低报价的投标人； </w:t>
      </w:r>
    </w:p>
    <w:p w14:paraId="4B999E60">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3、我们已详细审核全部招标文件及其有效补充文件，我们知道必须放弃提出含糊不清或误解问题的权利； </w:t>
      </w:r>
    </w:p>
    <w:p w14:paraId="5F89446D">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4、一旦我方中标，我们将根据招标文件的规定，严格履行合同条款的责任和义务，并保证按照合同条款提供服务； </w:t>
      </w:r>
    </w:p>
    <w:p w14:paraId="0490F276">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5、与本投标有关的正式通讯地址为： </w:t>
      </w:r>
    </w:p>
    <w:p w14:paraId="15A83ADE">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地址：    </w:t>
      </w:r>
    </w:p>
    <w:p w14:paraId="4E493D97">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邮编：    </w:t>
      </w:r>
    </w:p>
    <w:p w14:paraId="1D9E5636">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电话：    </w:t>
      </w:r>
    </w:p>
    <w:p w14:paraId="72A8B578">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传真：    </w:t>
      </w:r>
    </w:p>
    <w:p w14:paraId="0D012D49">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投标单位代表姓名：    </w:t>
      </w:r>
    </w:p>
    <w:p w14:paraId="47F7DFB1">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xml:space="preserve">投标单位名称：    </w:t>
      </w:r>
    </w:p>
    <w:p w14:paraId="4AD8DD58">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公章：</w:t>
      </w:r>
    </w:p>
    <w:p w14:paraId="4C0B7F4E">
      <w:pPr>
        <w:pStyle w:val="238"/>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日期：   </w:t>
      </w:r>
    </w:p>
    <w:p w14:paraId="5BF7BAD1">
      <w:pPr>
        <w:spacing w:before="156" w:beforeLines="50" w:after="156" w:afterLines="50" w:line="360" w:lineRule="auto"/>
        <w:rPr>
          <w:rFonts w:hint="default" w:ascii="宋体" w:hAnsi="宋体" w:eastAsia="宋体" w:cs="宋体"/>
          <w:kern w:val="2"/>
          <w:sz w:val="24"/>
          <w:szCs w:val="24"/>
          <w:highlight w:val="yellow"/>
        </w:rPr>
      </w:pPr>
      <w:r>
        <w:rPr>
          <w:rFonts w:hint="eastAsia" w:ascii="宋体" w:hAnsi="宋体" w:eastAsia="宋体" w:cs="宋体"/>
          <w:kern w:val="2"/>
          <w:sz w:val="24"/>
          <w:szCs w:val="24"/>
          <w:highlight w:val="yellow"/>
        </w:rPr>
        <w:t>采用联合体方式投标的，由联合体牵头方提供。</w:t>
      </w:r>
    </w:p>
    <w:p w14:paraId="1D5398E4">
      <w:pPr>
        <w:pStyle w:val="238"/>
        <w:spacing w:before="240" w:after="240"/>
        <w:rPr>
          <w:rStyle w:val="199"/>
          <w:rFonts w:ascii="宋体" w:hAnsi="宋体"/>
          <w:color w:val="auto"/>
          <w:highlight w:val="none"/>
        </w:rPr>
      </w:pPr>
    </w:p>
    <w:p w14:paraId="764FE2CA">
      <w:pPr>
        <w:pStyle w:val="239"/>
        <w:outlineLvl w:val="0"/>
        <w:rPr>
          <w:rStyle w:val="199"/>
          <w:color w:val="auto"/>
          <w:highlight w:val="none"/>
        </w:rPr>
      </w:pPr>
      <w:r>
        <w:rPr>
          <w:rStyle w:val="199"/>
          <w:color w:val="auto"/>
          <w:highlight w:val="none"/>
        </w:rPr>
        <w:br w:type="page" w:clear="all"/>
      </w:r>
      <w:bookmarkStart w:id="232" w:name="_Toc689"/>
      <w:bookmarkStart w:id="233" w:name="_Toc20603"/>
      <w:bookmarkStart w:id="234" w:name="_Toc24631"/>
      <w:bookmarkStart w:id="235" w:name="_Toc30137"/>
      <w:bookmarkStart w:id="236" w:name="_Toc30201"/>
      <w:r>
        <w:rPr>
          <w:rStyle w:val="199"/>
          <w:rFonts w:ascii="宋体" w:hAnsi="宋体"/>
          <w:b/>
          <w:color w:val="auto"/>
          <w:sz w:val="32"/>
          <w:highlight w:val="none"/>
        </w:rPr>
        <w:t>三、开标一览表</w:t>
      </w:r>
      <w:bookmarkEnd w:id="232"/>
      <w:bookmarkEnd w:id="233"/>
      <w:bookmarkEnd w:id="234"/>
      <w:bookmarkEnd w:id="235"/>
      <w:bookmarkEnd w:id="236"/>
    </w:p>
    <w:p w14:paraId="662C88A6">
      <w:pPr>
        <w:pStyle w:val="240"/>
        <w:spacing w:line="440" w:lineRule="exact"/>
        <w:jc w:val="center"/>
        <w:rPr>
          <w:rStyle w:val="199"/>
          <w:rFonts w:ascii="宋体" w:hAnsi="宋体"/>
          <w:color w:val="auto"/>
          <w:sz w:val="24"/>
          <w:szCs w:val="24"/>
          <w:highlight w:val="none"/>
        </w:rPr>
      </w:pPr>
      <w:r>
        <w:rPr>
          <w:rStyle w:val="199"/>
          <w:rFonts w:ascii="宋体" w:hAnsi="宋体"/>
          <w:color w:val="auto"/>
          <w:sz w:val="24"/>
          <w:szCs w:val="24"/>
          <w:highlight w:val="none"/>
        </w:rPr>
        <w:t xml:space="preserve">﻿ </w:t>
      </w:r>
      <w:r>
        <w:rPr>
          <w:rStyle w:val="199"/>
          <w:rFonts w:hint="eastAsia" w:ascii="宋体" w:hAnsi="宋体"/>
          <w:color w:val="auto"/>
          <w:sz w:val="24"/>
          <w:szCs w:val="24"/>
          <w:highlight w:val="none"/>
        </w:rPr>
        <w:t>开标一览表（总报价）</w:t>
      </w:r>
    </w:p>
    <w:p w14:paraId="2BC51BFF">
      <w:pPr>
        <w:pStyle w:val="240"/>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投标</w:t>
      </w:r>
      <w:r>
        <w:rPr>
          <w:rStyle w:val="199"/>
          <w:rFonts w:hint="eastAsia" w:ascii="宋体" w:hAnsi="宋体"/>
          <w:color w:val="auto"/>
          <w:sz w:val="24"/>
          <w:szCs w:val="24"/>
          <w:highlight w:val="none"/>
        </w:rPr>
        <w:t>人</w:t>
      </w:r>
      <w:r>
        <w:rPr>
          <w:rStyle w:val="199"/>
          <w:rFonts w:ascii="宋体" w:hAnsi="宋体"/>
          <w:color w:val="auto"/>
          <w:sz w:val="24"/>
          <w:szCs w:val="24"/>
          <w:highlight w:val="none"/>
        </w:rPr>
        <w:t>全称（加盖公章）：</w:t>
      </w:r>
    </w:p>
    <w:p w14:paraId="7A6AC3A2">
      <w:pPr>
        <w:pStyle w:val="240"/>
        <w:spacing w:before="240" w:after="240"/>
        <w:rPr>
          <w:rStyle w:val="199"/>
          <w:rFonts w:hint="eastAsia" w:ascii="宋体" w:hAnsi="宋体"/>
          <w:color w:val="auto"/>
          <w:sz w:val="24"/>
          <w:szCs w:val="24"/>
          <w:highlight w:val="none"/>
        </w:rPr>
      </w:pPr>
      <w:r>
        <w:rPr>
          <w:rStyle w:val="199"/>
          <w:rFonts w:hint="eastAsia" w:ascii="宋体" w:hAnsi="宋体"/>
          <w:color w:val="auto"/>
          <w:sz w:val="24"/>
          <w:szCs w:val="24"/>
          <w:highlight w:val="none"/>
        </w:rPr>
        <w:t>项目编号：</w:t>
      </w:r>
      <w:r>
        <w:rPr>
          <w:rStyle w:val="199"/>
          <w:rFonts w:ascii="宋体" w:hAnsi="宋体"/>
          <w:color w:val="auto"/>
          <w:sz w:val="24"/>
          <w:szCs w:val="24"/>
          <w:highlight w:val="none"/>
        </w:rPr>
        <w:t xml:space="preserve">    </w:t>
      </w:r>
    </w:p>
    <w:p w14:paraId="4D058787">
      <w:pPr>
        <w:pStyle w:val="240"/>
        <w:spacing w:before="240" w:after="240"/>
        <w:rPr>
          <w:rStyle w:val="199"/>
          <w:rFonts w:hint="eastAsia" w:ascii="宋体" w:hAnsi="宋体"/>
          <w:color w:val="auto"/>
          <w:sz w:val="24"/>
          <w:szCs w:val="24"/>
          <w:highlight w:val="none"/>
        </w:rPr>
      </w:pPr>
      <w:r>
        <w:rPr>
          <w:rStyle w:val="199"/>
          <w:rFonts w:hint="eastAsia" w:ascii="宋体" w:hAnsi="宋体"/>
          <w:color w:val="auto"/>
          <w:sz w:val="24"/>
          <w:szCs w:val="24"/>
          <w:highlight w:val="none"/>
        </w:rPr>
        <w:t>分包号：</w:t>
      </w:r>
    </w:p>
    <w:tbl>
      <w:tblPr>
        <w:tblStyle w:val="31"/>
        <w:tblW w:w="8985" w:type="dxa"/>
        <w:tblInd w:w="16"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3728"/>
        <w:gridCol w:w="5257"/>
      </w:tblGrid>
      <w:tr w14:paraId="161132F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660" w:hRule="atLeast"/>
        </w:trPr>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C7357EA">
            <w:pPr>
              <w:pStyle w:val="240"/>
              <w:jc w:val="both"/>
              <w:rPr>
                <w:rStyle w:val="199"/>
                <w:rFonts w:ascii="宋体" w:hAnsi="宋体"/>
                <w:color w:val="auto"/>
                <w:sz w:val="24"/>
                <w:szCs w:val="24"/>
                <w:highlight w:val="none"/>
              </w:rPr>
            </w:pPr>
            <w:r>
              <w:rPr>
                <w:rStyle w:val="199"/>
                <w:rFonts w:ascii="宋体" w:hAnsi="宋体"/>
                <w:color w:val="auto"/>
                <w:sz w:val="24"/>
                <w:szCs w:val="24"/>
                <w:highlight w:val="none"/>
              </w:rPr>
              <w:t xml:space="preserve">项目名称 </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CEC592">
            <w:pPr>
              <w:pStyle w:val="240"/>
              <w:jc w:val="both"/>
              <w:rPr>
                <w:rStyle w:val="199"/>
                <w:rFonts w:hint="eastAsia" w:ascii="宋体" w:hAnsi="宋体"/>
                <w:color w:val="auto"/>
                <w:sz w:val="24"/>
                <w:szCs w:val="24"/>
                <w:highlight w:val="none"/>
              </w:rPr>
            </w:pPr>
            <w:r>
              <w:rPr>
                <w:rStyle w:val="199"/>
                <w:rFonts w:hint="eastAsia" w:ascii="宋体" w:hAnsi="宋体"/>
                <w:color w:val="auto"/>
                <w:sz w:val="24"/>
                <w:szCs w:val="24"/>
                <w:highlight w:val="none"/>
              </w:rPr>
              <w:t>投标总报价</w:t>
            </w:r>
            <w:r>
              <w:rPr>
                <w:rStyle w:val="199"/>
                <w:rFonts w:ascii="宋体" w:hAnsi="宋体"/>
                <w:color w:val="auto"/>
                <w:sz w:val="24"/>
                <w:szCs w:val="24"/>
                <w:highlight w:val="none"/>
              </w:rPr>
              <w:t xml:space="preserve">（元） </w:t>
            </w:r>
          </w:p>
        </w:tc>
      </w:tr>
      <w:tr w14:paraId="733959F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85BF88E">
            <w:pPr>
              <w:pStyle w:val="240"/>
              <w:jc w:val="both"/>
              <w:rPr>
                <w:rStyle w:val="199"/>
                <w:rFonts w:ascii="宋体" w:hAnsi="宋体"/>
                <w:color w:val="auto"/>
                <w:sz w:val="24"/>
                <w:szCs w:val="24"/>
                <w:highlight w:val="none"/>
              </w:rPr>
            </w:pP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21D766D">
            <w:pPr>
              <w:pStyle w:val="240"/>
              <w:rPr>
                <w:rStyle w:val="199"/>
                <w:rFonts w:ascii="宋体" w:hAnsi="宋体"/>
                <w:color w:val="auto"/>
                <w:sz w:val="24"/>
                <w:szCs w:val="24"/>
                <w:highlight w:val="none"/>
              </w:rPr>
            </w:pPr>
            <w:r>
              <w:rPr>
                <w:rStyle w:val="199"/>
                <w:rFonts w:ascii="宋体" w:hAnsi="宋体"/>
                <w:color w:val="auto"/>
                <w:sz w:val="24"/>
                <w:szCs w:val="24"/>
                <w:highlight w:val="none"/>
              </w:rPr>
              <w:t>  </w:t>
            </w:r>
          </w:p>
          <w:p w14:paraId="3A8E4BF3">
            <w:pPr>
              <w:pStyle w:val="240"/>
              <w:rPr>
                <w:rStyle w:val="199"/>
                <w:rFonts w:hint="eastAsia" w:ascii="宋体" w:hAnsi="宋体"/>
                <w:color w:val="auto"/>
                <w:sz w:val="24"/>
                <w:szCs w:val="24"/>
                <w:highlight w:val="none"/>
              </w:rPr>
            </w:pPr>
            <w:r>
              <w:rPr>
                <w:rStyle w:val="199"/>
                <w:rFonts w:hint="eastAsia" w:ascii="宋体" w:hAnsi="宋体"/>
                <w:color w:val="auto"/>
                <w:sz w:val="24"/>
                <w:szCs w:val="24"/>
                <w:highlight w:val="none"/>
              </w:rPr>
              <w:t>小写：      （元人民币）</w:t>
            </w:r>
          </w:p>
          <w:p w14:paraId="53F82BA8">
            <w:pPr>
              <w:pStyle w:val="240"/>
              <w:rPr>
                <w:rStyle w:val="199"/>
                <w:rFonts w:ascii="宋体" w:hAnsi="宋体"/>
                <w:color w:val="auto"/>
                <w:sz w:val="24"/>
                <w:szCs w:val="24"/>
                <w:highlight w:val="none"/>
              </w:rPr>
            </w:pPr>
            <w:r>
              <w:rPr>
                <w:rStyle w:val="199"/>
                <w:rFonts w:ascii="宋体" w:hAnsi="宋体"/>
                <w:color w:val="auto"/>
                <w:sz w:val="24"/>
                <w:szCs w:val="24"/>
                <w:highlight w:val="none"/>
              </w:rPr>
              <w:t>     </w:t>
            </w:r>
          </w:p>
        </w:tc>
      </w:tr>
      <w:tr w14:paraId="0A55B2F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706" w:hRule="atLeast"/>
        </w:trPr>
        <w:tc>
          <w:tcPr>
            <w:tcW w:w="3728"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494889">
            <w:pPr>
              <w:pStyle w:val="240"/>
              <w:rPr>
                <w:rStyle w:val="199"/>
                <w:rFonts w:ascii="宋体" w:hAnsi="宋体"/>
                <w:color w:val="auto"/>
                <w:sz w:val="24"/>
                <w:szCs w:val="24"/>
                <w:highlight w:val="none"/>
              </w:rPr>
            </w:pPr>
            <w:r>
              <w:rPr>
                <w:rStyle w:val="199"/>
                <w:rFonts w:ascii="宋体" w:hAnsi="宋体"/>
                <w:color w:val="auto"/>
                <w:sz w:val="24"/>
                <w:szCs w:val="24"/>
                <w:highlight w:val="none"/>
              </w:rPr>
              <w:t>投标</w:t>
            </w:r>
            <w:r>
              <w:rPr>
                <w:rStyle w:val="199"/>
                <w:rFonts w:hint="eastAsia" w:ascii="宋体" w:hAnsi="宋体"/>
                <w:color w:val="auto"/>
                <w:sz w:val="24"/>
                <w:szCs w:val="24"/>
                <w:highlight w:val="none"/>
              </w:rPr>
              <w:t>报价大写金额</w:t>
            </w:r>
          </w:p>
        </w:tc>
        <w:tc>
          <w:tcPr>
            <w:tcW w:w="525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4883C1">
            <w:pPr>
              <w:pStyle w:val="240"/>
              <w:rPr>
                <w:rStyle w:val="199"/>
                <w:rFonts w:ascii="宋体" w:hAnsi="宋体"/>
                <w:color w:val="auto"/>
                <w:sz w:val="24"/>
                <w:szCs w:val="24"/>
                <w:highlight w:val="none"/>
              </w:rPr>
            </w:pPr>
            <w:r>
              <w:rPr>
                <w:rStyle w:val="199"/>
                <w:rFonts w:ascii="宋体" w:hAnsi="宋体"/>
                <w:color w:val="auto"/>
                <w:sz w:val="24"/>
                <w:szCs w:val="24"/>
                <w:highlight w:val="none"/>
              </w:rPr>
              <w:t xml:space="preserve">  </w:t>
            </w:r>
            <w:r>
              <w:rPr>
                <w:rStyle w:val="199"/>
                <w:rFonts w:hint="eastAsia" w:ascii="宋体" w:hAnsi="宋体"/>
                <w:color w:val="auto"/>
                <w:sz w:val="24"/>
                <w:szCs w:val="24"/>
                <w:highlight w:val="none"/>
              </w:rPr>
              <w:t>金额大写</w:t>
            </w:r>
            <w:r>
              <w:rPr>
                <w:rStyle w:val="199"/>
                <w:rFonts w:ascii="宋体" w:hAnsi="宋体"/>
                <w:color w:val="auto"/>
                <w:sz w:val="24"/>
                <w:szCs w:val="24"/>
                <w:highlight w:val="none"/>
              </w:rPr>
              <w:t>  </w:t>
            </w:r>
          </w:p>
        </w:tc>
      </w:tr>
    </w:tbl>
    <w:p w14:paraId="01B298C2">
      <w:pPr>
        <w:pStyle w:val="240"/>
        <w:spacing w:before="240" w:after="240"/>
        <w:rPr>
          <w:rStyle w:val="199"/>
          <w:rFonts w:ascii="宋体" w:hAnsi="宋体"/>
          <w:color w:val="auto"/>
          <w:sz w:val="24"/>
          <w:szCs w:val="24"/>
          <w:highlight w:val="none"/>
        </w:rPr>
      </w:pPr>
      <w:r>
        <w:rPr>
          <w:rStyle w:val="199"/>
          <w:rFonts w:ascii="宋体" w:hAnsi="宋体"/>
          <w:color w:val="auto"/>
          <w:sz w:val="24"/>
          <w:szCs w:val="24"/>
          <w:highlight w:val="none"/>
        </w:rPr>
        <w:t> </w:t>
      </w:r>
      <w:r>
        <w:rPr>
          <w:rStyle w:val="199"/>
          <w:rFonts w:hint="eastAsia" w:ascii="宋体" w:hAnsi="宋体"/>
          <w:color w:val="auto"/>
          <w:sz w:val="24"/>
          <w:szCs w:val="24"/>
          <w:highlight w:val="none"/>
        </w:rPr>
        <w:t xml:space="preserve">                                           日期：  年   月   日</w:t>
      </w:r>
    </w:p>
    <w:p w14:paraId="799BF492">
      <w:pPr>
        <w:pStyle w:val="241"/>
        <w:outlineLvl w:val="0"/>
        <w:rPr>
          <w:rStyle w:val="199"/>
          <w:rFonts w:hint="eastAsia"/>
          <w:color w:val="auto"/>
          <w:sz w:val="24"/>
          <w:szCs w:val="28"/>
          <w:highlight w:val="none"/>
        </w:rPr>
      </w:pPr>
      <w:bookmarkStart w:id="237" w:name="_Toc1415"/>
      <w:bookmarkStart w:id="238" w:name="_Toc15499"/>
      <w:bookmarkStart w:id="239" w:name="_Toc30336"/>
      <w:r>
        <w:rPr>
          <w:rStyle w:val="199"/>
          <w:rFonts w:hint="eastAsia"/>
          <w:color w:val="auto"/>
          <w:sz w:val="24"/>
          <w:szCs w:val="28"/>
          <w:highlight w:val="none"/>
        </w:rPr>
        <w:t>填写说明：</w:t>
      </w:r>
      <w:bookmarkEnd w:id="237"/>
      <w:bookmarkEnd w:id="238"/>
      <w:bookmarkEnd w:id="239"/>
    </w:p>
    <w:p w14:paraId="0D9A0684">
      <w:pPr>
        <w:pStyle w:val="241"/>
        <w:keepNext w:val="0"/>
        <w:keepLines w:val="0"/>
        <w:pageBreakBefore w:val="0"/>
        <w:widowControl/>
        <w:numPr>
          <w:ilvl w:val="0"/>
          <w:numId w:val="10"/>
        </w:numPr>
        <w:spacing w:line="440" w:lineRule="exact"/>
        <w:outlineLvl w:val="0"/>
        <w:rPr>
          <w:rStyle w:val="199"/>
          <w:rFonts w:hint="eastAsia"/>
          <w:i/>
          <w:iCs/>
          <w:color w:val="auto"/>
          <w:sz w:val="24"/>
          <w:szCs w:val="28"/>
          <w:highlight w:val="none"/>
          <w:u w:val="single"/>
        </w:rPr>
      </w:pPr>
      <w:bookmarkStart w:id="240" w:name="_Toc18256"/>
      <w:bookmarkStart w:id="241" w:name="_Toc24830"/>
      <w:bookmarkStart w:id="242" w:name="_Toc5584"/>
      <w:r>
        <w:rPr>
          <w:rStyle w:val="199"/>
          <w:rFonts w:hint="eastAsia"/>
          <w:i/>
          <w:iCs/>
          <w:color w:val="auto"/>
          <w:sz w:val="24"/>
          <w:szCs w:val="28"/>
          <w:highlight w:val="none"/>
          <w:u w:val="single"/>
        </w:rPr>
        <w:t>开标一览表必须加盖投标人公章（复印件无效）。</w:t>
      </w:r>
      <w:bookmarkEnd w:id="240"/>
      <w:bookmarkEnd w:id="241"/>
      <w:bookmarkEnd w:id="242"/>
    </w:p>
    <w:p w14:paraId="76212073">
      <w:pPr>
        <w:pStyle w:val="241"/>
        <w:keepNext w:val="0"/>
        <w:keepLines w:val="0"/>
        <w:pageBreakBefore w:val="0"/>
        <w:widowControl/>
        <w:numPr>
          <w:ilvl w:val="0"/>
          <w:numId w:val="10"/>
        </w:numPr>
        <w:spacing w:line="440" w:lineRule="exact"/>
        <w:outlineLvl w:val="0"/>
        <w:rPr>
          <w:rStyle w:val="199"/>
          <w:rFonts w:hint="eastAsia"/>
          <w:i/>
          <w:iCs/>
          <w:color w:val="auto"/>
          <w:sz w:val="24"/>
          <w:szCs w:val="28"/>
          <w:highlight w:val="none"/>
          <w:u w:val="single"/>
        </w:rPr>
      </w:pPr>
      <w:bookmarkStart w:id="243" w:name="_Toc30690"/>
      <w:bookmarkStart w:id="244" w:name="_Toc30436"/>
      <w:bookmarkStart w:id="245" w:name="_Toc1241"/>
      <w:r>
        <w:rPr>
          <w:rStyle w:val="199"/>
          <w:rFonts w:hint="eastAsia"/>
          <w:i/>
          <w:iCs/>
          <w:color w:val="auto"/>
          <w:sz w:val="24"/>
          <w:szCs w:val="28"/>
          <w:highlight w:val="none"/>
          <w:u w:val="single"/>
        </w:rPr>
        <w:t>如有分包，投标人投任何一个包的标的，都需单独填写开标一览表。</w:t>
      </w:r>
      <w:bookmarkEnd w:id="243"/>
      <w:bookmarkEnd w:id="244"/>
      <w:bookmarkEnd w:id="245"/>
    </w:p>
    <w:p w14:paraId="5D54EE52">
      <w:pPr>
        <w:pStyle w:val="241"/>
        <w:keepNext w:val="0"/>
        <w:keepLines w:val="0"/>
        <w:pageBreakBefore w:val="0"/>
        <w:widowControl/>
        <w:numPr>
          <w:ilvl w:val="0"/>
          <w:numId w:val="10"/>
        </w:numPr>
        <w:spacing w:line="440" w:lineRule="exact"/>
        <w:outlineLvl w:val="0"/>
        <w:rPr>
          <w:rStyle w:val="199"/>
          <w:rFonts w:hint="eastAsia" w:cs="Times New Roman"/>
          <w:i/>
          <w:iCs/>
          <w:color w:val="auto"/>
          <w:sz w:val="24"/>
          <w:szCs w:val="28"/>
          <w:highlight w:val="yellow"/>
          <w:u w:val="single"/>
        </w:rPr>
      </w:pPr>
      <w:r>
        <w:rPr>
          <w:rStyle w:val="199"/>
          <w:rFonts w:hint="eastAsia" w:cs="Times New Roman"/>
          <w:i/>
          <w:iCs/>
          <w:color w:val="auto"/>
          <w:sz w:val="24"/>
          <w:szCs w:val="28"/>
          <w:highlight w:val="yellow"/>
          <w:u w:val="single"/>
        </w:rPr>
        <w:t>若为联合体，则投标</w:t>
      </w:r>
      <w:r>
        <w:rPr>
          <w:rStyle w:val="199"/>
          <w:rFonts w:hint="eastAsia" w:cs="Times New Roman"/>
          <w:i/>
          <w:iCs/>
          <w:color w:val="auto"/>
          <w:sz w:val="24"/>
          <w:szCs w:val="28"/>
          <w:highlight w:val="yellow"/>
          <w:u w:val="single"/>
          <w:lang w:eastAsia="zh-CN"/>
        </w:rPr>
        <w:t>人全称</w:t>
      </w:r>
      <w:r>
        <w:rPr>
          <w:rStyle w:val="199"/>
          <w:rFonts w:hint="eastAsia" w:cs="Times New Roman"/>
          <w:i/>
          <w:iCs/>
          <w:color w:val="auto"/>
          <w:sz w:val="24"/>
          <w:szCs w:val="28"/>
          <w:highlight w:val="yellow"/>
          <w:u w:val="single"/>
        </w:rPr>
        <w:t>处须加盖联合体牵头方公章。</w:t>
      </w:r>
    </w:p>
    <w:p w14:paraId="08E309FC">
      <w:pPr>
        <w:pStyle w:val="241"/>
        <w:outlineLvl w:val="0"/>
        <w:rPr>
          <w:rStyle w:val="199"/>
          <w:color w:val="auto"/>
          <w:highlight w:val="none"/>
        </w:rPr>
      </w:pPr>
      <w:r>
        <w:rPr>
          <w:rStyle w:val="199"/>
          <w:color w:val="auto"/>
          <w:highlight w:val="none"/>
        </w:rPr>
        <w:br w:type="page" w:clear="all"/>
      </w:r>
      <w:bookmarkStart w:id="246" w:name="_Toc25301"/>
      <w:bookmarkStart w:id="247" w:name="_Toc10307"/>
      <w:bookmarkStart w:id="248" w:name="_Toc4776"/>
      <w:bookmarkStart w:id="249" w:name="_Toc13295"/>
      <w:bookmarkStart w:id="250" w:name="_Toc32613"/>
      <w:r>
        <w:rPr>
          <w:rStyle w:val="199"/>
          <w:rFonts w:ascii="宋体" w:hAnsi="宋体"/>
          <w:b/>
          <w:color w:val="auto"/>
          <w:sz w:val="32"/>
          <w:highlight w:val="none"/>
        </w:rPr>
        <w:t>四、资格证明文件</w:t>
      </w:r>
      <w:bookmarkEnd w:id="246"/>
      <w:bookmarkEnd w:id="247"/>
      <w:bookmarkEnd w:id="248"/>
      <w:bookmarkEnd w:id="249"/>
      <w:bookmarkEnd w:id="250"/>
    </w:p>
    <w:p w14:paraId="121034AC">
      <w:pPr>
        <w:pStyle w:val="242"/>
        <w:numPr>
          <w:ilvl w:val="0"/>
          <w:numId w:val="0"/>
        </w:numPr>
        <w:spacing w:line="400" w:lineRule="exact"/>
        <w:ind w:left="105" w:firstLine="482"/>
        <w:rPr>
          <w:rFonts w:hint="eastAsia"/>
          <w:b/>
          <w:bCs/>
          <w:i/>
          <w:color w:val="auto"/>
          <w:sz w:val="24"/>
          <w:szCs w:val="24"/>
          <w:highlight w:val="none"/>
          <w:u w:val="single"/>
        </w:rPr>
      </w:pPr>
      <w:r>
        <w:rPr>
          <w:rFonts w:hint="eastAsia"/>
          <w:b/>
          <w:bCs/>
          <w:i/>
          <w:color w:val="auto"/>
          <w:sz w:val="24"/>
          <w:szCs w:val="24"/>
          <w:highlight w:val="none"/>
          <w:u w:val="single"/>
        </w:rPr>
        <w:t>投标人必须在投标文件提交截止时间之前递交以下资格证明文件：</w:t>
      </w:r>
    </w:p>
    <w:p w14:paraId="160042C6">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bCs/>
          <w:i/>
          <w:color w:val="auto"/>
          <w:sz w:val="24"/>
          <w:szCs w:val="24"/>
          <w:highlight w:val="none"/>
          <w:u w:val="single"/>
          <w:lang w:eastAsia="zh-CN"/>
        </w:rPr>
        <w:t>；</w:t>
      </w:r>
      <w:r>
        <w:rPr>
          <w:rFonts w:hint="eastAsia"/>
          <w:bCs/>
          <w:i/>
          <w:color w:val="auto"/>
          <w:sz w:val="24"/>
          <w:szCs w:val="24"/>
          <w:highlight w:val="yellow"/>
          <w:u w:val="single"/>
          <w:lang w:eastAsia="zh-CN"/>
        </w:rPr>
        <w:t>如为联合体，则联合体成员均须提供</w:t>
      </w:r>
      <w:r>
        <w:rPr>
          <w:rFonts w:hint="eastAsia"/>
          <w:bCs/>
          <w:i/>
          <w:color w:val="auto"/>
          <w:sz w:val="24"/>
          <w:szCs w:val="24"/>
          <w:highlight w:val="none"/>
          <w:u w:val="single"/>
        </w:rPr>
        <w:t>）；</w:t>
      </w:r>
    </w:p>
    <w:p w14:paraId="3EFEBCBE">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2、财务状况报告（成立不满一年不需要提供</w:t>
      </w:r>
      <w:r>
        <w:rPr>
          <w:rFonts w:hint="eastAsia"/>
          <w:bCs/>
          <w:i/>
          <w:color w:val="auto"/>
          <w:sz w:val="24"/>
          <w:szCs w:val="24"/>
          <w:highlight w:val="none"/>
          <w:u w:val="single"/>
          <w:lang w:eastAsia="zh-CN"/>
        </w:rPr>
        <w:t>；</w:t>
      </w:r>
      <w:r>
        <w:rPr>
          <w:rFonts w:hint="eastAsia"/>
          <w:bCs/>
          <w:i/>
          <w:color w:val="auto"/>
          <w:sz w:val="24"/>
          <w:szCs w:val="24"/>
          <w:highlight w:val="yellow"/>
          <w:u w:val="single"/>
          <w:lang w:eastAsia="zh-CN"/>
        </w:rPr>
        <w:t>如为联合体，则联合体成员均须提供</w:t>
      </w:r>
      <w:r>
        <w:rPr>
          <w:rFonts w:hint="eastAsia"/>
          <w:bCs/>
          <w:i/>
          <w:color w:val="auto"/>
          <w:sz w:val="24"/>
          <w:szCs w:val="24"/>
          <w:highlight w:val="none"/>
          <w:u w:val="single"/>
        </w:rPr>
        <w:t>）；</w:t>
      </w:r>
    </w:p>
    <w:p w14:paraId="4422095D">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3、依法缴纳税收和社会保障资金的相关材料（如依法享受缓缴、免缴税收、社会保障资金的，应提供相关证明材料</w:t>
      </w:r>
      <w:r>
        <w:rPr>
          <w:rFonts w:hint="eastAsia"/>
          <w:bCs/>
          <w:i/>
          <w:color w:val="auto"/>
          <w:sz w:val="24"/>
          <w:szCs w:val="24"/>
          <w:highlight w:val="none"/>
          <w:u w:val="single"/>
          <w:lang w:eastAsia="zh-CN"/>
        </w:rPr>
        <w:t>；</w:t>
      </w:r>
      <w:r>
        <w:rPr>
          <w:rFonts w:hint="eastAsia"/>
          <w:i/>
          <w:iCs/>
          <w:sz w:val="24"/>
          <w:szCs w:val="24"/>
          <w:highlight w:val="yellow"/>
          <w:u w:val="single"/>
        </w:rPr>
        <w:t>如为联合体，则联合体成员均须提供</w:t>
      </w:r>
      <w:r>
        <w:rPr>
          <w:rFonts w:hint="eastAsia"/>
          <w:bCs/>
          <w:i/>
          <w:color w:val="auto"/>
          <w:sz w:val="24"/>
          <w:szCs w:val="24"/>
          <w:highlight w:val="none"/>
          <w:u w:val="single"/>
        </w:rPr>
        <w:t>）；</w:t>
      </w:r>
    </w:p>
    <w:p w14:paraId="0ECD93EA">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4、具备履行合同所必需的设备和专业技术能力的书面声明（格式见后）</w:t>
      </w:r>
      <w:r>
        <w:rPr>
          <w:rFonts w:hint="eastAsia"/>
          <w:bCs/>
          <w:i/>
          <w:color w:val="auto"/>
          <w:sz w:val="24"/>
          <w:szCs w:val="24"/>
          <w:highlight w:val="yellow"/>
          <w:u w:val="single"/>
        </w:rPr>
        <w:t>（如为联合体，则联合体成员均须提供</w:t>
      </w:r>
      <w:r>
        <w:rPr>
          <w:rFonts w:hint="eastAsia"/>
          <w:bCs/>
          <w:i/>
          <w:color w:val="auto"/>
          <w:sz w:val="24"/>
          <w:szCs w:val="24"/>
          <w:highlight w:val="none"/>
          <w:u w:val="single"/>
        </w:rPr>
        <w:t>）；</w:t>
      </w:r>
    </w:p>
    <w:p w14:paraId="5280C653">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5、参加政府采购活动前3年内在经营活动中没有重大违法记录的书面声明（格式见后）（</w:t>
      </w:r>
      <w:r>
        <w:rPr>
          <w:rFonts w:hint="eastAsia"/>
          <w:bCs/>
          <w:i/>
          <w:color w:val="auto"/>
          <w:sz w:val="24"/>
          <w:szCs w:val="24"/>
          <w:highlight w:val="yellow"/>
          <w:u w:val="single"/>
        </w:rPr>
        <w:t>如为联合体，则联合体成员均须提供</w:t>
      </w:r>
      <w:r>
        <w:rPr>
          <w:rFonts w:hint="eastAsia"/>
          <w:bCs/>
          <w:i/>
          <w:color w:val="auto"/>
          <w:sz w:val="24"/>
          <w:szCs w:val="24"/>
          <w:highlight w:val="none"/>
          <w:u w:val="single"/>
        </w:rPr>
        <w:t>）；</w:t>
      </w:r>
    </w:p>
    <w:p w14:paraId="34B5F21E">
      <w:pPr>
        <w:pStyle w:val="242"/>
        <w:numPr>
          <w:ilvl w:val="0"/>
          <w:numId w:val="0"/>
        </w:numPr>
        <w:spacing w:line="440" w:lineRule="exact"/>
        <w:ind w:left="105" w:firstLine="480"/>
        <w:rPr>
          <w:rFonts w:hint="eastAsia"/>
          <w:bCs/>
          <w:i/>
          <w:color w:val="auto"/>
          <w:sz w:val="24"/>
          <w:szCs w:val="24"/>
          <w:highlight w:val="none"/>
          <w:u w:val="single"/>
        </w:rPr>
      </w:pPr>
      <w:r>
        <w:rPr>
          <w:rFonts w:hint="eastAsia"/>
          <w:bCs/>
          <w:i/>
          <w:color w:val="auto"/>
          <w:sz w:val="24"/>
          <w:szCs w:val="24"/>
          <w:highlight w:val="none"/>
          <w:u w:val="single"/>
        </w:rPr>
        <w:t>6、提供授权委托书（被授权人非法定代表人的，应提供授权委托书；被授权人是法定代表人的，应提供授权委托书或法定代表人身份证明书。</w:t>
      </w:r>
      <w:r>
        <w:rPr>
          <w:rFonts w:hint="eastAsia"/>
          <w:bCs/>
          <w:i/>
          <w:color w:val="auto"/>
          <w:sz w:val="24"/>
          <w:szCs w:val="24"/>
          <w:highlight w:val="none"/>
          <w:u w:val="single"/>
          <w:lang w:eastAsia="zh-CN"/>
        </w:rPr>
        <w:t>（</w:t>
      </w:r>
      <w:r>
        <w:rPr>
          <w:rFonts w:hint="eastAsia"/>
          <w:bCs/>
          <w:i/>
          <w:color w:val="auto"/>
          <w:sz w:val="24"/>
          <w:szCs w:val="24"/>
          <w:highlight w:val="none"/>
          <w:u w:val="single"/>
        </w:rPr>
        <w:t>格式见后）（</w:t>
      </w:r>
      <w:r>
        <w:rPr>
          <w:rFonts w:hint="eastAsia"/>
          <w:bCs/>
          <w:i/>
          <w:color w:val="auto"/>
          <w:sz w:val="24"/>
          <w:szCs w:val="24"/>
          <w:highlight w:val="yellow"/>
          <w:u w:val="single"/>
        </w:rPr>
        <w:t>如为联合体，则联合体牵头方须提供</w:t>
      </w:r>
      <w:r>
        <w:rPr>
          <w:rFonts w:hint="eastAsia"/>
          <w:bCs/>
          <w:i/>
          <w:color w:val="auto"/>
          <w:sz w:val="24"/>
          <w:szCs w:val="24"/>
          <w:highlight w:val="none"/>
          <w:u w:val="single"/>
        </w:rPr>
        <w:t>）；</w:t>
      </w:r>
    </w:p>
    <w:p w14:paraId="74FC4D79">
      <w:pPr>
        <w:pStyle w:val="242"/>
        <w:numPr>
          <w:ilvl w:val="0"/>
          <w:numId w:val="0"/>
        </w:numPr>
        <w:spacing w:line="440" w:lineRule="exact"/>
        <w:ind w:left="105" w:firstLine="480"/>
        <w:rPr>
          <w:rFonts w:hint="eastAsia"/>
          <w:bCs/>
          <w:i/>
          <w:color w:val="auto"/>
          <w:sz w:val="24"/>
          <w:szCs w:val="24"/>
          <w:highlight w:val="none"/>
          <w:u w:val="single"/>
          <w:lang w:eastAsia="zh-CN"/>
        </w:rPr>
      </w:pPr>
      <w:r>
        <w:rPr>
          <w:rFonts w:hint="eastAsia"/>
          <w:bCs/>
          <w:i/>
          <w:color w:val="auto"/>
          <w:sz w:val="24"/>
          <w:szCs w:val="24"/>
          <w:highlight w:val="none"/>
          <w:u w:val="single"/>
        </w:rPr>
        <w:t>7、关于资格证明文件的书面承诺（格式见后）（</w:t>
      </w:r>
      <w:r>
        <w:rPr>
          <w:rFonts w:hint="eastAsia"/>
          <w:bCs/>
          <w:i/>
          <w:color w:val="auto"/>
          <w:sz w:val="24"/>
          <w:szCs w:val="24"/>
          <w:highlight w:val="yellow"/>
          <w:u w:val="single"/>
        </w:rPr>
        <w:t>如为联合体，则联合体成员均须提供</w:t>
      </w:r>
      <w:r>
        <w:rPr>
          <w:rFonts w:hint="eastAsia"/>
          <w:bCs/>
          <w:i/>
          <w:color w:val="auto"/>
          <w:sz w:val="24"/>
          <w:szCs w:val="24"/>
          <w:highlight w:val="none"/>
          <w:u w:val="single"/>
        </w:rPr>
        <w:t>）</w:t>
      </w:r>
      <w:r>
        <w:rPr>
          <w:rFonts w:hint="eastAsia"/>
          <w:bCs/>
          <w:i/>
          <w:color w:val="auto"/>
          <w:sz w:val="24"/>
          <w:szCs w:val="24"/>
          <w:highlight w:val="none"/>
          <w:u w:val="single"/>
          <w:lang w:eastAsia="zh-CN"/>
        </w:rPr>
        <w:t>；</w:t>
      </w:r>
    </w:p>
    <w:p w14:paraId="49AE22F8">
      <w:pPr>
        <w:pStyle w:val="242"/>
        <w:numPr>
          <w:ilvl w:val="0"/>
          <w:numId w:val="0"/>
        </w:numPr>
        <w:spacing w:line="440" w:lineRule="exact"/>
        <w:ind w:left="105" w:firstLine="480"/>
        <w:rPr>
          <w:rFonts w:hint="default"/>
          <w:bCs/>
          <w:i/>
          <w:color w:val="auto"/>
          <w:sz w:val="24"/>
          <w:szCs w:val="24"/>
          <w:highlight w:val="none"/>
          <w:u w:val="single"/>
          <w:lang w:val="en-US" w:eastAsia="zh-CN"/>
        </w:rPr>
      </w:pPr>
      <w:r>
        <w:rPr>
          <w:rFonts w:hint="eastAsia"/>
          <w:bCs/>
          <w:i/>
          <w:color w:val="auto"/>
          <w:sz w:val="24"/>
          <w:szCs w:val="24"/>
          <w:highlight w:val="none"/>
          <w:u w:val="single"/>
          <w:lang w:val="en-US" w:eastAsia="zh-CN"/>
        </w:rPr>
        <w:t>8、</w:t>
      </w:r>
      <w:r>
        <w:rPr>
          <w:rFonts w:hint="eastAsia"/>
          <w:bCs/>
          <w:i/>
          <w:color w:val="auto"/>
          <w:sz w:val="24"/>
          <w:szCs w:val="24"/>
          <w:highlight w:val="yellow"/>
          <w:u w:val="single"/>
          <w:lang w:val="en-US" w:eastAsia="zh-CN"/>
        </w:rPr>
        <w:t>如为联合体，还须提供联合体协议书及联合体授权委托书（格式见后）</w:t>
      </w:r>
      <w:r>
        <w:rPr>
          <w:rFonts w:hint="eastAsia"/>
          <w:bCs/>
          <w:i/>
          <w:color w:val="auto"/>
          <w:sz w:val="24"/>
          <w:szCs w:val="24"/>
          <w:highlight w:val="none"/>
          <w:u w:val="single"/>
          <w:lang w:val="en-US" w:eastAsia="zh-CN"/>
        </w:rPr>
        <w:t>。</w:t>
      </w:r>
    </w:p>
    <w:p w14:paraId="4F50A3BA">
      <w:pPr>
        <w:pStyle w:val="243"/>
        <w:spacing w:before="240" w:after="240" w:line="360" w:lineRule="auto"/>
        <w:rPr>
          <w:rStyle w:val="199"/>
          <w:rFonts w:ascii="宋体" w:hAnsi="宋体"/>
          <w:b/>
          <w:color w:val="auto"/>
          <w:sz w:val="28"/>
          <w:highlight w:val="none"/>
        </w:rPr>
      </w:pPr>
    </w:p>
    <w:p w14:paraId="57754064">
      <w:pPr>
        <w:pStyle w:val="243"/>
        <w:spacing w:before="240" w:after="240" w:line="360" w:lineRule="auto"/>
        <w:rPr>
          <w:rStyle w:val="199"/>
          <w:rFonts w:ascii="宋体" w:hAnsi="宋体"/>
          <w:b/>
          <w:color w:val="auto"/>
          <w:sz w:val="28"/>
          <w:highlight w:val="none"/>
        </w:rPr>
      </w:pPr>
    </w:p>
    <w:p w14:paraId="50A95662">
      <w:pPr>
        <w:pStyle w:val="243"/>
        <w:spacing w:before="240" w:after="240" w:line="360" w:lineRule="auto"/>
        <w:rPr>
          <w:rStyle w:val="199"/>
          <w:rFonts w:ascii="宋体" w:hAnsi="宋体"/>
          <w:b/>
          <w:color w:val="auto"/>
          <w:sz w:val="28"/>
          <w:highlight w:val="none"/>
        </w:rPr>
      </w:pPr>
    </w:p>
    <w:p w14:paraId="2F8C1611">
      <w:pPr>
        <w:pStyle w:val="243"/>
        <w:spacing w:before="240" w:after="240" w:line="360" w:lineRule="auto"/>
        <w:rPr>
          <w:rStyle w:val="199"/>
          <w:rFonts w:ascii="宋体" w:hAnsi="宋体"/>
          <w:b/>
          <w:color w:val="auto"/>
          <w:sz w:val="28"/>
          <w:highlight w:val="none"/>
        </w:rPr>
      </w:pPr>
    </w:p>
    <w:p w14:paraId="6676EF93">
      <w:pPr>
        <w:pStyle w:val="243"/>
        <w:spacing w:before="240" w:after="240" w:line="360" w:lineRule="auto"/>
        <w:rPr>
          <w:rStyle w:val="199"/>
          <w:rFonts w:ascii="宋体" w:hAnsi="宋体"/>
          <w:b/>
          <w:color w:val="auto"/>
          <w:sz w:val="28"/>
          <w:highlight w:val="none"/>
        </w:rPr>
      </w:pPr>
    </w:p>
    <w:p w14:paraId="55A9AFE5">
      <w:pPr>
        <w:pStyle w:val="243"/>
        <w:spacing w:before="240" w:after="240" w:line="360" w:lineRule="auto"/>
        <w:rPr>
          <w:rStyle w:val="199"/>
          <w:rFonts w:ascii="宋体" w:hAnsi="宋体"/>
          <w:b/>
          <w:color w:val="auto"/>
          <w:sz w:val="28"/>
          <w:highlight w:val="none"/>
        </w:rPr>
      </w:pPr>
    </w:p>
    <w:p w14:paraId="42F20D66">
      <w:pPr>
        <w:spacing w:line="440" w:lineRule="exact"/>
        <w:rPr>
          <w:rFonts w:ascii="Times New Roman" w:hAnsi="Times New Roman" w:eastAsia="Times New Roman" w:cs="Times New Roman"/>
          <w:color w:val="auto"/>
          <w:spacing w:val="7"/>
          <w:sz w:val="24"/>
          <w:szCs w:val="24"/>
          <w:highlight w:val="yellow"/>
          <w:lang w:val="en-US" w:eastAsia="zh-CN" w:bidi="ar-SA"/>
        </w:rPr>
      </w:pPr>
      <w:r>
        <w:rPr>
          <w:rFonts w:ascii="Times New Roman" w:hAnsi="Times New Roman" w:eastAsia="宋体" w:cs="Times New Roman"/>
          <w:color w:val="auto"/>
          <w:sz w:val="24"/>
          <w:szCs w:val="24"/>
          <w:lang w:val="en-US" w:eastAsia="zh-CN" w:bidi="ar-SA"/>
        </w:rPr>
        <w:t xml:space="preserve">﻿ </w:t>
      </w:r>
      <w:r>
        <w:rPr>
          <w:rFonts w:hint="eastAsia" w:ascii="Times New Roman" w:hAnsi="Times New Roman" w:eastAsia="宋体" w:cs="Times New Roman"/>
          <w:color w:val="auto"/>
          <w:sz w:val="24"/>
          <w:szCs w:val="24"/>
          <w:highlight w:val="yellow"/>
          <w:lang w:val="en-US" w:eastAsia="zh-CN" w:bidi="ar-SA"/>
        </w:rPr>
        <w:t>（如为联合体，则联合体成员均须提供）</w:t>
      </w:r>
    </w:p>
    <w:p w14:paraId="14AE8BEE">
      <w:pPr>
        <w:pStyle w:val="243"/>
        <w:spacing w:before="240" w:after="240" w:line="360" w:lineRule="auto"/>
        <w:rPr>
          <w:rStyle w:val="199"/>
          <w:rFonts w:ascii="宋体" w:hAnsi="宋体"/>
          <w:b/>
          <w:color w:val="auto"/>
          <w:sz w:val="28"/>
          <w:highlight w:val="none"/>
        </w:rPr>
      </w:pPr>
    </w:p>
    <w:p w14:paraId="4E49E1CE">
      <w:pPr>
        <w:pStyle w:val="244"/>
        <w:spacing w:line="440" w:lineRule="exact"/>
        <w:rPr>
          <w:rStyle w:val="199"/>
          <w:color w:val="auto"/>
          <w:highlight w:val="none"/>
        </w:rPr>
      </w:pPr>
      <w:r>
        <w:rPr>
          <w:rStyle w:val="199"/>
          <w:color w:val="auto"/>
          <w:highlight w:val="none"/>
        </w:rPr>
        <w:t xml:space="preserve">﻿ </w:t>
      </w:r>
    </w:p>
    <w:p w14:paraId="41E648E9">
      <w:pPr>
        <w:pStyle w:val="245"/>
        <w:spacing w:before="320" w:after="320"/>
        <w:ind w:firstLine="420"/>
        <w:jc w:val="center"/>
        <w:outlineLvl w:val="1"/>
        <w:rPr>
          <w:rStyle w:val="199"/>
          <w:rFonts w:ascii="宋体" w:hAnsi="宋体"/>
          <w:b/>
          <w:bCs/>
          <w:color w:val="auto"/>
          <w:sz w:val="32"/>
          <w:szCs w:val="32"/>
          <w:highlight w:val="none"/>
        </w:rPr>
      </w:pPr>
      <w:bookmarkStart w:id="251" w:name="_Toc27904"/>
      <w:bookmarkStart w:id="252" w:name="OLE_LINK5"/>
      <w:bookmarkStart w:id="253" w:name="OLE_LINK9"/>
      <w:r>
        <w:rPr>
          <w:rStyle w:val="199"/>
          <w:rFonts w:ascii="宋体" w:hAnsi="宋体"/>
          <w:b/>
          <w:bCs/>
          <w:color w:val="auto"/>
          <w:sz w:val="32"/>
          <w:szCs w:val="32"/>
          <w:highlight w:val="none"/>
        </w:rPr>
        <w:t>具备履行合同所必需的设备和专业技术能力的书面声明</w:t>
      </w:r>
      <w:bookmarkEnd w:id="251"/>
    </w:p>
    <w:p w14:paraId="51CA1627">
      <w:pPr>
        <w:pStyle w:val="245"/>
        <w:spacing w:before="240" w:after="240"/>
        <w:ind w:firstLine="420"/>
        <w:rPr>
          <w:rStyle w:val="199"/>
          <w:rFonts w:ascii="宋体" w:hAnsi="宋体"/>
          <w:color w:val="auto"/>
          <w:highlight w:val="none"/>
        </w:rPr>
      </w:pPr>
      <w:r>
        <w:rPr>
          <w:rStyle w:val="199"/>
          <w:rFonts w:ascii="宋体" w:hAnsi="宋体"/>
          <w:color w:val="auto"/>
          <w:highlight w:val="none"/>
        </w:rPr>
        <w:t> </w:t>
      </w:r>
    </w:p>
    <w:p w14:paraId="64D896ED">
      <w:pPr>
        <w:pStyle w:val="245"/>
        <w:spacing w:before="320" w:after="320"/>
        <w:ind w:firstLine="420"/>
        <w:rPr>
          <w:rStyle w:val="199"/>
          <w:rFonts w:ascii="宋体" w:hAnsi="宋体"/>
          <w:color w:val="auto"/>
          <w:sz w:val="24"/>
          <w:szCs w:val="24"/>
          <w:highlight w:val="none"/>
        </w:rPr>
      </w:pPr>
      <w:r>
        <w:rPr>
          <w:rStyle w:val="199"/>
          <w:rFonts w:ascii="宋体" w:hAnsi="宋体"/>
          <w:color w:val="auto"/>
          <w:sz w:val="24"/>
          <w:szCs w:val="24"/>
          <w:highlight w:val="none"/>
        </w:rPr>
        <w:t xml:space="preserve">我单位郑重声明： </w:t>
      </w:r>
    </w:p>
    <w:p w14:paraId="5BDC9141">
      <w:pPr>
        <w:pStyle w:val="245"/>
        <w:spacing w:before="320" w:after="320"/>
        <w:ind w:firstLine="420"/>
        <w:rPr>
          <w:rStyle w:val="199"/>
          <w:rFonts w:ascii="宋体" w:hAnsi="宋体"/>
          <w:color w:val="auto"/>
          <w:sz w:val="24"/>
          <w:szCs w:val="24"/>
          <w:highlight w:val="none"/>
        </w:rPr>
      </w:pPr>
      <w:r>
        <w:rPr>
          <w:rStyle w:val="199"/>
          <w:rFonts w:ascii="宋体" w:hAnsi="宋体"/>
          <w:color w:val="auto"/>
          <w:sz w:val="24"/>
          <w:szCs w:val="24"/>
          <w:highlight w:val="none"/>
        </w:rPr>
        <w:t xml:space="preserve">我单位具备履行本项采购合同所必需的设备和专业技术能力。 </w:t>
      </w:r>
    </w:p>
    <w:p w14:paraId="351EBEAC">
      <w:pPr>
        <w:pStyle w:val="245"/>
        <w:spacing w:before="360" w:after="360"/>
        <w:ind w:firstLine="420"/>
        <w:rPr>
          <w:rStyle w:val="199"/>
          <w:rFonts w:ascii="宋体" w:hAnsi="宋体"/>
          <w:color w:val="auto"/>
          <w:highlight w:val="none"/>
        </w:rPr>
      </w:pPr>
      <w:r>
        <w:rPr>
          <w:rStyle w:val="199"/>
          <w:rFonts w:ascii="宋体" w:hAnsi="宋体"/>
          <w:color w:val="auto"/>
          <w:highlight w:val="none"/>
        </w:rPr>
        <w:t> </w:t>
      </w:r>
    </w:p>
    <w:p w14:paraId="5796A55F">
      <w:pPr>
        <w:pStyle w:val="245"/>
        <w:spacing w:before="360" w:after="360"/>
        <w:ind w:firstLine="420"/>
        <w:jc w:val="center"/>
        <w:outlineLvl w:val="1"/>
        <w:rPr>
          <w:rStyle w:val="199"/>
          <w:rFonts w:ascii="宋体" w:hAnsi="宋体"/>
          <w:color w:val="auto"/>
          <w:sz w:val="36"/>
          <w:szCs w:val="36"/>
          <w:highlight w:val="none"/>
        </w:rPr>
      </w:pPr>
      <w:bookmarkStart w:id="254" w:name="_Toc419"/>
      <w:r>
        <w:rPr>
          <w:rStyle w:val="199"/>
          <w:rFonts w:ascii="宋体" w:hAnsi="宋体"/>
          <w:color w:val="auto"/>
          <w:sz w:val="36"/>
          <w:szCs w:val="36"/>
          <w:highlight w:val="none"/>
        </w:rPr>
        <w:t> </w:t>
      </w:r>
      <w:r>
        <w:rPr>
          <w:rFonts w:hint="eastAsia" w:hAnsi="宋体"/>
          <w:color w:val="auto"/>
          <w:highlight w:val="none"/>
        </w:rPr>
        <w:t xml:space="preserve">    供应商名称（加盖公章）：</w:t>
      </w:r>
      <w:bookmarkEnd w:id="254"/>
    </w:p>
    <w:bookmarkEnd w:id="252"/>
    <w:p w14:paraId="5916D261">
      <w:pPr>
        <w:pStyle w:val="246"/>
        <w:rPr>
          <w:rStyle w:val="199"/>
          <w:rFonts w:ascii="宋体" w:hAnsi="宋体"/>
          <w:color w:val="auto"/>
          <w:sz w:val="36"/>
          <w:szCs w:val="36"/>
          <w:highlight w:val="none"/>
        </w:rPr>
      </w:pPr>
      <w:r>
        <w:rPr>
          <w:rStyle w:val="199"/>
          <w:rFonts w:ascii="宋体" w:hAnsi="宋体"/>
          <w:color w:val="auto"/>
          <w:sz w:val="36"/>
          <w:szCs w:val="36"/>
          <w:highlight w:val="none"/>
        </w:rPr>
        <w:t> </w:t>
      </w:r>
    </w:p>
    <w:bookmarkEnd w:id="253"/>
    <w:p w14:paraId="58633C39">
      <w:pPr>
        <w:pStyle w:val="246"/>
        <w:rPr>
          <w:rStyle w:val="199"/>
          <w:rFonts w:ascii="宋体" w:hAnsi="宋体"/>
          <w:color w:val="auto"/>
          <w:sz w:val="36"/>
          <w:szCs w:val="36"/>
          <w:highlight w:val="none"/>
        </w:rPr>
      </w:pPr>
    </w:p>
    <w:p w14:paraId="06DF669A">
      <w:pPr>
        <w:pStyle w:val="246"/>
        <w:rPr>
          <w:rStyle w:val="199"/>
          <w:rFonts w:ascii="宋体" w:hAnsi="宋体"/>
          <w:color w:val="auto"/>
          <w:sz w:val="36"/>
          <w:szCs w:val="36"/>
          <w:highlight w:val="none"/>
        </w:rPr>
      </w:pPr>
    </w:p>
    <w:p w14:paraId="14D145FA">
      <w:pPr>
        <w:pStyle w:val="246"/>
        <w:rPr>
          <w:rStyle w:val="199"/>
          <w:rFonts w:ascii="宋体" w:hAnsi="宋体"/>
          <w:color w:val="auto"/>
          <w:sz w:val="36"/>
          <w:szCs w:val="36"/>
          <w:highlight w:val="none"/>
        </w:rPr>
      </w:pPr>
    </w:p>
    <w:p w14:paraId="5E4B3A85">
      <w:pPr>
        <w:pStyle w:val="246"/>
        <w:rPr>
          <w:rStyle w:val="199"/>
          <w:rFonts w:ascii="宋体" w:hAnsi="宋体"/>
          <w:color w:val="auto"/>
          <w:sz w:val="36"/>
          <w:szCs w:val="36"/>
          <w:highlight w:val="none"/>
        </w:rPr>
      </w:pPr>
    </w:p>
    <w:p w14:paraId="3DE41848">
      <w:pPr>
        <w:pStyle w:val="246"/>
        <w:rPr>
          <w:rStyle w:val="199"/>
          <w:rFonts w:ascii="宋体" w:hAnsi="宋体"/>
          <w:color w:val="auto"/>
          <w:sz w:val="36"/>
          <w:szCs w:val="36"/>
          <w:highlight w:val="none"/>
        </w:rPr>
      </w:pPr>
    </w:p>
    <w:p w14:paraId="205223DC">
      <w:pPr>
        <w:pStyle w:val="246"/>
        <w:rPr>
          <w:rStyle w:val="199"/>
          <w:rFonts w:ascii="宋体" w:hAnsi="宋体"/>
          <w:color w:val="auto"/>
          <w:sz w:val="36"/>
          <w:szCs w:val="36"/>
          <w:highlight w:val="none"/>
        </w:rPr>
      </w:pPr>
    </w:p>
    <w:p w14:paraId="0525E4D7">
      <w:pPr>
        <w:pStyle w:val="246"/>
        <w:rPr>
          <w:rStyle w:val="199"/>
          <w:rFonts w:ascii="宋体" w:hAnsi="宋体"/>
          <w:color w:val="auto"/>
          <w:sz w:val="36"/>
          <w:szCs w:val="36"/>
          <w:highlight w:val="none"/>
        </w:rPr>
      </w:pPr>
    </w:p>
    <w:p w14:paraId="6D8392AF">
      <w:pPr>
        <w:pStyle w:val="246"/>
        <w:rPr>
          <w:rStyle w:val="199"/>
          <w:rFonts w:ascii="宋体" w:hAnsi="宋体"/>
          <w:color w:val="auto"/>
          <w:sz w:val="36"/>
          <w:szCs w:val="36"/>
          <w:highlight w:val="none"/>
        </w:rPr>
      </w:pPr>
    </w:p>
    <w:p w14:paraId="49BE2C17">
      <w:pPr>
        <w:pStyle w:val="246"/>
        <w:rPr>
          <w:rStyle w:val="199"/>
          <w:rFonts w:ascii="宋体" w:hAnsi="宋体"/>
          <w:color w:val="auto"/>
          <w:sz w:val="36"/>
          <w:szCs w:val="36"/>
          <w:highlight w:val="none"/>
        </w:rPr>
      </w:pPr>
    </w:p>
    <w:p w14:paraId="402FBB77">
      <w:pPr>
        <w:pStyle w:val="246"/>
        <w:rPr>
          <w:rStyle w:val="199"/>
          <w:rFonts w:ascii="宋体" w:hAnsi="宋体"/>
          <w:color w:val="auto"/>
          <w:sz w:val="36"/>
          <w:szCs w:val="36"/>
          <w:highlight w:val="none"/>
        </w:rPr>
      </w:pPr>
    </w:p>
    <w:p w14:paraId="509DA50B">
      <w:pPr>
        <w:pStyle w:val="246"/>
        <w:rPr>
          <w:rStyle w:val="199"/>
          <w:rFonts w:ascii="宋体" w:hAnsi="宋体"/>
          <w:color w:val="auto"/>
          <w:sz w:val="36"/>
          <w:szCs w:val="36"/>
          <w:highlight w:val="none"/>
        </w:rPr>
      </w:pPr>
    </w:p>
    <w:p w14:paraId="797D025B">
      <w:pPr>
        <w:pStyle w:val="246"/>
        <w:rPr>
          <w:rStyle w:val="199"/>
          <w:rFonts w:ascii="宋体" w:hAnsi="宋体"/>
          <w:color w:val="auto"/>
          <w:sz w:val="36"/>
          <w:szCs w:val="36"/>
          <w:highlight w:val="none"/>
        </w:rPr>
      </w:pPr>
    </w:p>
    <w:p w14:paraId="5045AF86">
      <w:pPr>
        <w:pStyle w:val="246"/>
        <w:rPr>
          <w:rStyle w:val="199"/>
          <w:rFonts w:ascii="宋体" w:hAnsi="宋体"/>
          <w:color w:val="auto"/>
          <w:sz w:val="36"/>
          <w:szCs w:val="36"/>
          <w:highlight w:val="none"/>
        </w:rPr>
      </w:pPr>
    </w:p>
    <w:p w14:paraId="6751524A">
      <w:pPr>
        <w:pStyle w:val="246"/>
        <w:rPr>
          <w:rStyle w:val="199"/>
          <w:rFonts w:ascii="宋体" w:hAnsi="宋体"/>
          <w:color w:val="auto"/>
          <w:sz w:val="36"/>
          <w:szCs w:val="36"/>
          <w:highlight w:val="none"/>
        </w:rPr>
      </w:pPr>
    </w:p>
    <w:p w14:paraId="73E8BD51">
      <w:pPr>
        <w:pStyle w:val="246"/>
        <w:rPr>
          <w:rStyle w:val="199"/>
          <w:rFonts w:ascii="宋体" w:hAnsi="宋体"/>
          <w:color w:val="auto"/>
          <w:sz w:val="36"/>
          <w:szCs w:val="36"/>
          <w:highlight w:val="none"/>
        </w:rPr>
      </w:pPr>
    </w:p>
    <w:p w14:paraId="7DF621CD">
      <w:pPr>
        <w:pStyle w:val="246"/>
        <w:rPr>
          <w:rStyle w:val="199"/>
          <w:rFonts w:ascii="宋体" w:hAnsi="宋体"/>
          <w:color w:val="auto"/>
          <w:sz w:val="36"/>
          <w:szCs w:val="36"/>
          <w:highlight w:val="none"/>
        </w:rPr>
      </w:pPr>
    </w:p>
    <w:p w14:paraId="165AD2C7">
      <w:pPr>
        <w:spacing w:line="440" w:lineRule="exact"/>
        <w:rPr>
          <w:rFonts w:ascii="Times New Roman" w:hAnsi="Times New Roman" w:eastAsia="Times New Roman" w:cs="Times New Roman"/>
          <w:color w:val="auto"/>
          <w:spacing w:val="7"/>
          <w:sz w:val="24"/>
          <w:szCs w:val="24"/>
          <w:highlight w:val="yellow"/>
          <w:lang w:val="en-US" w:eastAsia="zh-CN" w:bidi="ar-SA"/>
        </w:rPr>
      </w:pPr>
      <w:r>
        <w:rPr>
          <w:rFonts w:ascii="Times New Roman" w:hAnsi="Times New Roman" w:eastAsia="宋体" w:cs="Times New Roman"/>
          <w:color w:val="auto"/>
          <w:sz w:val="24"/>
          <w:szCs w:val="24"/>
          <w:lang w:val="en-US" w:eastAsia="zh-CN" w:bidi="ar-SA"/>
        </w:rPr>
        <w:t xml:space="preserve">﻿ </w:t>
      </w:r>
      <w:r>
        <w:rPr>
          <w:rFonts w:hint="eastAsia" w:ascii="Times New Roman" w:hAnsi="Times New Roman" w:eastAsia="宋体" w:cs="Times New Roman"/>
          <w:color w:val="auto"/>
          <w:sz w:val="24"/>
          <w:szCs w:val="24"/>
          <w:highlight w:val="yellow"/>
          <w:lang w:val="en-US" w:eastAsia="zh-CN" w:bidi="ar-SA"/>
        </w:rPr>
        <w:t>（如为联合体，则联合体成员均须提供）</w:t>
      </w:r>
    </w:p>
    <w:p w14:paraId="00663434">
      <w:pPr>
        <w:pStyle w:val="247"/>
        <w:spacing w:line="440" w:lineRule="exact"/>
        <w:rPr>
          <w:rStyle w:val="199"/>
          <w:rFonts w:ascii="宋体" w:hAnsi="宋体"/>
          <w:color w:val="auto"/>
          <w:highlight w:val="none"/>
        </w:rPr>
      </w:pPr>
    </w:p>
    <w:p w14:paraId="51B072BF">
      <w:pPr>
        <w:spacing w:line="560" w:lineRule="exact"/>
        <w:ind w:firstLine="480"/>
        <w:jc w:val="center"/>
        <w:outlineLvl w:val="1"/>
        <w:rPr>
          <w:rFonts w:hint="eastAsia" w:ascii="宋体" w:hAnsi="宋体"/>
          <w:b/>
          <w:color w:val="auto"/>
          <w:sz w:val="32"/>
          <w:szCs w:val="32"/>
          <w:highlight w:val="none"/>
        </w:rPr>
      </w:pPr>
      <w:bookmarkStart w:id="255" w:name="_Toc18420"/>
      <w:bookmarkStart w:id="256" w:name="OLE_LINK10"/>
      <w:bookmarkStart w:id="257" w:name="OLE_LINK29"/>
      <w:r>
        <w:rPr>
          <w:rFonts w:hint="eastAsia" w:ascii="宋体" w:hAnsi="宋体"/>
          <w:b/>
          <w:color w:val="auto"/>
          <w:sz w:val="32"/>
          <w:szCs w:val="32"/>
          <w:highlight w:val="none"/>
        </w:rPr>
        <w:t>参加政府采购活动前3年内在经营活动中没有重大违法记录的书面声明</w:t>
      </w:r>
      <w:bookmarkEnd w:id="255"/>
    </w:p>
    <w:p w14:paraId="2B1C8D6A">
      <w:pPr>
        <w:spacing w:line="360" w:lineRule="auto"/>
        <w:rPr>
          <w:color w:val="auto"/>
          <w:highlight w:val="none"/>
        </w:rPr>
      </w:pPr>
    </w:p>
    <w:p w14:paraId="6B3F95CD">
      <w:pPr>
        <w:spacing w:line="360" w:lineRule="auto"/>
        <w:jc w:val="center"/>
        <w:rPr>
          <w:rFonts w:hint="eastAsia"/>
          <w:b/>
          <w:color w:val="auto"/>
          <w:sz w:val="48"/>
          <w:szCs w:val="48"/>
          <w:highlight w:val="none"/>
        </w:rPr>
      </w:pPr>
      <w:r>
        <w:rPr>
          <w:rFonts w:hint="eastAsia"/>
          <w:b/>
          <w:color w:val="auto"/>
          <w:sz w:val="48"/>
          <w:szCs w:val="48"/>
          <w:highlight w:val="none"/>
        </w:rPr>
        <w:t>声明</w:t>
      </w:r>
    </w:p>
    <w:p w14:paraId="13CCE95E">
      <w:pPr>
        <w:spacing w:line="360" w:lineRule="auto"/>
        <w:ind w:firstLine="480"/>
        <w:rPr>
          <w:color w:val="auto"/>
          <w:sz w:val="24"/>
          <w:highlight w:val="none"/>
        </w:rPr>
      </w:pPr>
    </w:p>
    <w:p w14:paraId="657F8A03">
      <w:pPr>
        <w:spacing w:line="440" w:lineRule="exact"/>
        <w:ind w:firstLine="480"/>
        <w:rPr>
          <w:rFonts w:hint="eastAsia" w:ascii="宋体" w:hAnsi="宋体"/>
          <w:color w:val="auto"/>
          <w:sz w:val="24"/>
          <w:highlight w:val="none"/>
        </w:rPr>
      </w:pPr>
      <w:r>
        <w:rPr>
          <w:rFonts w:hint="eastAsia" w:ascii="宋体" w:hAnsi="宋体"/>
          <w:color w:val="auto"/>
          <w:sz w:val="24"/>
          <w:highlight w:val="none"/>
        </w:rPr>
        <w:t>我单位郑重声明：参加本次政府采购活动前3年内，我单位在经营活动中没有因违法经营受到刑事处罚或者责令停产停业、吊销许可证或者执照、较大数额罚款等行政处罚。</w:t>
      </w:r>
    </w:p>
    <w:p w14:paraId="78135255">
      <w:pPr>
        <w:spacing w:line="360" w:lineRule="auto"/>
        <w:ind w:firstLine="480"/>
        <w:rPr>
          <w:color w:val="auto"/>
          <w:sz w:val="24"/>
          <w:highlight w:val="none"/>
        </w:rPr>
      </w:pPr>
    </w:p>
    <w:p w14:paraId="75432AC3">
      <w:pPr>
        <w:spacing w:line="360" w:lineRule="auto"/>
        <w:ind w:firstLine="480"/>
        <w:rPr>
          <w:color w:val="auto"/>
          <w:sz w:val="24"/>
          <w:highlight w:val="none"/>
        </w:rPr>
      </w:pPr>
    </w:p>
    <w:p w14:paraId="599B4F4E">
      <w:pPr>
        <w:spacing w:line="360" w:lineRule="auto"/>
        <w:ind w:firstLine="480"/>
        <w:rPr>
          <w:rFonts w:hint="eastAsia"/>
          <w:color w:val="auto"/>
          <w:sz w:val="24"/>
          <w:highlight w:val="none"/>
        </w:rPr>
      </w:pPr>
      <w:r>
        <w:rPr>
          <w:rFonts w:hint="eastAsia"/>
          <w:color w:val="auto"/>
          <w:sz w:val="24"/>
          <w:highlight w:val="none"/>
        </w:rPr>
        <w:t xml:space="preserve"> </w:t>
      </w:r>
    </w:p>
    <w:p w14:paraId="20D49E15">
      <w:pPr>
        <w:spacing w:line="360" w:lineRule="auto"/>
        <w:ind w:firstLine="480"/>
        <w:rPr>
          <w:rFonts w:hint="eastAsia"/>
          <w:color w:val="auto"/>
          <w:sz w:val="24"/>
          <w:highlight w:val="none"/>
        </w:rPr>
      </w:pPr>
      <w:r>
        <w:rPr>
          <w:rFonts w:hint="eastAsia"/>
          <w:color w:val="auto"/>
          <w:sz w:val="24"/>
          <w:highlight w:val="none"/>
        </w:rPr>
        <w:t xml:space="preserve">                                供应商名称（加盖公章）：</w:t>
      </w:r>
    </w:p>
    <w:bookmarkEnd w:id="256"/>
    <w:p w14:paraId="4604F5DA">
      <w:pPr>
        <w:pStyle w:val="247"/>
        <w:spacing w:before="240" w:after="240"/>
        <w:rPr>
          <w:rStyle w:val="199"/>
          <w:rFonts w:ascii="宋体" w:hAnsi="宋体"/>
          <w:color w:val="auto"/>
          <w:highlight w:val="none"/>
        </w:rPr>
      </w:pPr>
      <w:r>
        <w:rPr>
          <w:rStyle w:val="199"/>
          <w:rFonts w:ascii="宋体" w:hAnsi="宋体"/>
          <w:color w:val="auto"/>
          <w:highlight w:val="none"/>
        </w:rPr>
        <w:t> </w:t>
      </w:r>
    </w:p>
    <w:bookmarkEnd w:id="257"/>
    <w:p w14:paraId="5859839A">
      <w:pPr>
        <w:spacing w:line="360" w:lineRule="auto"/>
        <w:ind w:firstLine="420"/>
        <w:jc w:val="center"/>
        <w:rPr>
          <w:rStyle w:val="199"/>
          <w:rFonts w:ascii="Times New Roman" w:hAnsi="Times New Roman" w:eastAsia="Times New Roman"/>
          <w:color w:val="auto"/>
          <w:highlight w:val="none"/>
        </w:rPr>
      </w:pPr>
      <w:r>
        <w:rPr>
          <w:rStyle w:val="199"/>
          <w:rFonts w:ascii="Times New Roman" w:hAnsi="Times New Roman" w:eastAsia="Times New Roman"/>
          <w:color w:val="auto"/>
          <w:highlight w:val="none"/>
        </w:rPr>
        <w:br w:type="page" w:clear="all"/>
      </w:r>
    </w:p>
    <w:p w14:paraId="4360F446">
      <w:pPr>
        <w:pStyle w:val="244"/>
        <w:spacing w:line="440" w:lineRule="exact"/>
        <w:rPr>
          <w:rStyle w:val="199"/>
          <w:color w:val="auto"/>
          <w:spacing w:val="7"/>
          <w:sz w:val="24"/>
          <w:szCs w:val="28"/>
          <w:highlight w:val="yellow"/>
        </w:rPr>
      </w:pPr>
      <w:bookmarkStart w:id="258" w:name="OLE_LINK7"/>
      <w:r>
        <w:rPr>
          <w:rStyle w:val="199"/>
          <w:color w:val="auto"/>
          <w:sz w:val="24"/>
          <w:szCs w:val="28"/>
        </w:rPr>
        <w:t>﻿</w:t>
      </w:r>
      <w:r>
        <w:rPr>
          <w:rStyle w:val="199"/>
          <w:rFonts w:hint="eastAsia"/>
          <w:color w:val="auto"/>
          <w:sz w:val="24"/>
          <w:szCs w:val="28"/>
          <w:highlight w:val="yellow"/>
        </w:rPr>
        <w:t>（如为联合体，则联合体成员均须提供）</w:t>
      </w:r>
    </w:p>
    <w:p w14:paraId="7F6A927F">
      <w:pPr>
        <w:spacing w:line="360" w:lineRule="auto"/>
        <w:ind w:firstLine="420"/>
        <w:jc w:val="center"/>
        <w:rPr>
          <w:rStyle w:val="199"/>
          <w:rFonts w:ascii="Times New Roman" w:hAnsi="Times New Roman" w:eastAsia="Times New Roman"/>
          <w:color w:val="auto"/>
          <w:highlight w:val="none"/>
        </w:rPr>
      </w:pPr>
    </w:p>
    <w:p w14:paraId="31D86AD5">
      <w:pPr>
        <w:spacing w:line="360" w:lineRule="auto"/>
        <w:ind w:firstLine="420"/>
        <w:jc w:val="center"/>
        <w:rPr>
          <w:rStyle w:val="199"/>
          <w:rFonts w:ascii="Times New Roman" w:hAnsi="Times New Roman" w:eastAsia="Times New Roman"/>
          <w:color w:val="auto"/>
          <w:highlight w:val="none"/>
        </w:rPr>
      </w:pPr>
    </w:p>
    <w:p w14:paraId="30D37555">
      <w:pPr>
        <w:spacing w:line="360" w:lineRule="auto"/>
        <w:ind w:firstLine="562"/>
        <w:jc w:val="center"/>
        <w:outlineLvl w:val="1"/>
        <w:rPr>
          <w:rStyle w:val="199"/>
          <w:rFonts w:ascii="宋体" w:hAnsi="宋体"/>
          <w:b/>
          <w:color w:val="auto"/>
          <w:sz w:val="28"/>
          <w:highlight w:val="none"/>
        </w:rPr>
      </w:pPr>
      <w:bookmarkStart w:id="259" w:name="OLE_LINK6"/>
      <w:bookmarkStart w:id="260" w:name="OLE_LINK11"/>
      <w:r>
        <w:rPr>
          <w:rStyle w:val="199"/>
          <w:rFonts w:ascii="宋体" w:hAnsi="宋体"/>
          <w:b/>
          <w:color w:val="auto"/>
          <w:sz w:val="28"/>
          <w:highlight w:val="none"/>
        </w:rPr>
        <w:t xml:space="preserve">  </w:t>
      </w:r>
      <w:bookmarkStart w:id="261" w:name="_Toc13190"/>
      <w:r>
        <w:rPr>
          <w:rFonts w:hint="eastAsia"/>
          <w:b/>
          <w:color w:val="auto"/>
          <w:sz w:val="32"/>
          <w:szCs w:val="32"/>
          <w:highlight w:val="none"/>
        </w:rPr>
        <w:t>关于资格证明文件</w:t>
      </w:r>
      <w:r>
        <w:rPr>
          <w:rFonts w:hint="eastAsia" w:ascii="宋体" w:hAnsi="宋体"/>
          <w:b/>
          <w:color w:val="auto"/>
          <w:sz w:val="32"/>
          <w:szCs w:val="32"/>
          <w:highlight w:val="none"/>
        </w:rPr>
        <w:t>的书面承诺</w:t>
      </w:r>
      <w:bookmarkEnd w:id="261"/>
    </w:p>
    <w:p w14:paraId="2C10E7EA">
      <w:pPr>
        <w:spacing w:line="360" w:lineRule="auto"/>
        <w:ind w:firstLine="643"/>
        <w:jc w:val="center"/>
        <w:rPr>
          <w:rFonts w:ascii="宋体" w:hAnsi="宋体"/>
          <w:b/>
          <w:color w:val="auto"/>
          <w:sz w:val="32"/>
          <w:szCs w:val="32"/>
          <w:highlight w:val="none"/>
        </w:rPr>
      </w:pPr>
    </w:p>
    <w:p w14:paraId="3ADD7CB4">
      <w:pPr>
        <w:pStyle w:val="248"/>
        <w:spacing w:line="440" w:lineRule="exact"/>
        <w:ind w:firstLine="480"/>
        <w:rPr>
          <w:rFonts w:hint="eastAsia" w:ascii="宋体" w:hAnsi="宋体"/>
          <w:color w:val="auto"/>
          <w:sz w:val="24"/>
          <w:highlight w:val="none"/>
        </w:rPr>
      </w:pPr>
      <w:r>
        <w:rPr>
          <w:rFonts w:hint="eastAsia" w:ascii="宋体" w:hAnsi="宋体"/>
          <w:color w:val="auto"/>
          <w:sz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p>
    <w:p w14:paraId="2FEAF98C">
      <w:pPr>
        <w:spacing w:line="360" w:lineRule="auto"/>
        <w:ind w:firstLine="480"/>
        <w:rPr>
          <w:rFonts w:ascii="宋体" w:hAnsi="宋体"/>
          <w:color w:val="auto"/>
          <w:sz w:val="24"/>
          <w:highlight w:val="none"/>
        </w:rPr>
      </w:pPr>
    </w:p>
    <w:p w14:paraId="39DD1D15">
      <w:pPr>
        <w:spacing w:line="360" w:lineRule="auto"/>
        <w:ind w:firstLine="643"/>
        <w:jc w:val="center"/>
        <w:rPr>
          <w:b/>
          <w:color w:val="auto"/>
          <w:sz w:val="32"/>
          <w:szCs w:val="32"/>
          <w:highlight w:val="none"/>
        </w:rPr>
      </w:pPr>
    </w:p>
    <w:p w14:paraId="2FF4B449">
      <w:pPr>
        <w:spacing w:line="360" w:lineRule="auto"/>
        <w:ind w:firstLine="480"/>
        <w:jc w:val="center"/>
        <w:outlineLvl w:val="1"/>
        <w:rPr>
          <w:rFonts w:hint="eastAsia" w:ascii="宋体" w:hAnsi="宋体"/>
          <w:color w:val="auto"/>
          <w:sz w:val="24"/>
          <w:highlight w:val="none"/>
        </w:rPr>
      </w:pPr>
      <w:r>
        <w:rPr>
          <w:rFonts w:hint="eastAsia" w:ascii="宋体" w:hAnsi="宋体"/>
          <w:color w:val="auto"/>
          <w:sz w:val="24"/>
          <w:highlight w:val="none"/>
        </w:rPr>
        <w:t xml:space="preserve">         </w:t>
      </w:r>
      <w:bookmarkStart w:id="262" w:name="_Toc5040"/>
      <w:r>
        <w:rPr>
          <w:rFonts w:hint="eastAsia" w:ascii="宋体" w:hAnsi="宋体"/>
          <w:color w:val="auto"/>
          <w:sz w:val="24"/>
          <w:highlight w:val="none"/>
        </w:rPr>
        <w:t>供应商名称（加盖公章）：</w:t>
      </w:r>
      <w:bookmarkEnd w:id="262"/>
    </w:p>
    <w:bookmarkEnd w:id="258"/>
    <w:bookmarkEnd w:id="259"/>
    <w:p w14:paraId="61EB8F7D">
      <w:pPr>
        <w:pStyle w:val="249"/>
        <w:rPr>
          <w:rStyle w:val="199"/>
          <w:rFonts w:ascii="宋体" w:hAnsi="宋体"/>
          <w:b/>
          <w:color w:val="auto"/>
          <w:sz w:val="28"/>
          <w:highlight w:val="none"/>
        </w:rPr>
      </w:pPr>
    </w:p>
    <w:bookmarkEnd w:id="260"/>
    <w:p w14:paraId="3F3C4A55">
      <w:pPr>
        <w:rPr>
          <w:rFonts w:hint="eastAsia" w:ascii="Times New Roman" w:hAnsi="Times New Roman" w:eastAsia="Times New Roman"/>
          <w:bCs/>
          <w:i/>
          <w:color w:val="auto"/>
          <w:sz w:val="24"/>
          <w:szCs w:val="24"/>
          <w:highlight w:val="none"/>
          <w:u w:val="single"/>
        </w:rPr>
      </w:pPr>
      <w:r>
        <w:rPr>
          <w:rStyle w:val="199"/>
          <w:rFonts w:ascii="宋体" w:hAnsi="宋体"/>
          <w:b/>
          <w:color w:val="auto"/>
          <w:sz w:val="28"/>
          <w:highlight w:val="none"/>
        </w:rPr>
        <w:br w:type="page" w:clear="all"/>
      </w:r>
      <w:bookmarkStart w:id="263" w:name="OLE_LINK12"/>
    </w:p>
    <w:p w14:paraId="2B46D501">
      <w:pPr>
        <w:spacing w:before="320" w:after="320"/>
        <w:jc w:val="left"/>
        <w:outlineLvl w:val="1"/>
        <w:rPr>
          <w:rFonts w:hint="eastAsia" w:ascii="Times New Roman" w:hAnsi="Times New Roman" w:eastAsia="宋体" w:cs="Times New Roman"/>
          <w:b/>
          <w:bCs/>
          <w:sz w:val="32"/>
          <w:szCs w:val="32"/>
          <w:highlight w:val="yellow"/>
          <w:lang w:val="en-US" w:eastAsia="zh-CN" w:bidi="ar-SA"/>
        </w:rPr>
      </w:pPr>
      <w:r>
        <w:rPr>
          <w:rFonts w:hint="eastAsia" w:ascii="Times New Roman" w:hAnsi="Times New Roman" w:eastAsia="Times New Roman"/>
          <w:bCs/>
          <w:i/>
          <w:color w:val="auto"/>
          <w:sz w:val="24"/>
          <w:szCs w:val="24"/>
          <w:highlight w:val="none"/>
          <w:u w:val="single"/>
        </w:rPr>
        <w:t>（被授权人非法定代表人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被授权人是法定代表人</w:t>
      </w:r>
      <w:r>
        <w:rPr>
          <w:rFonts w:hint="eastAsia" w:ascii="Times New Roman" w:hAnsi="Times New Roman"/>
          <w:bCs/>
          <w:i/>
          <w:color w:val="auto"/>
          <w:sz w:val="24"/>
          <w:szCs w:val="24"/>
          <w:highlight w:val="none"/>
          <w:u w:val="single"/>
        </w:rPr>
        <w:t>的</w:t>
      </w:r>
      <w:r>
        <w:rPr>
          <w:rFonts w:hint="eastAsia" w:ascii="Times New Roman" w:hAnsi="Times New Roman" w:eastAsia="Times New Roman"/>
          <w:bCs/>
          <w:i/>
          <w:color w:val="auto"/>
          <w:sz w:val="24"/>
          <w:szCs w:val="24"/>
          <w:highlight w:val="none"/>
          <w:u w:val="single"/>
        </w:rPr>
        <w:t>，应提供授权委托书或法定代表人身份证明书</w:t>
      </w:r>
      <w:r>
        <w:rPr>
          <w:rFonts w:hint="eastAsia" w:ascii="Times New Roman" w:hAnsi="Times New Roman"/>
          <w:bCs/>
          <w:i/>
          <w:color w:val="auto"/>
          <w:sz w:val="24"/>
          <w:szCs w:val="24"/>
          <w:highlight w:val="none"/>
          <w:u w:val="single"/>
        </w:rPr>
        <w:t>。</w:t>
      </w:r>
      <w:r>
        <w:rPr>
          <w:rFonts w:hint="eastAsia" w:ascii="Times New Roman" w:hAnsi="Times New Roman" w:eastAsia="Times New Roman"/>
          <w:bCs/>
          <w:i/>
          <w:color w:val="auto"/>
          <w:sz w:val="24"/>
          <w:szCs w:val="24"/>
          <w:highlight w:val="none"/>
          <w:u w:val="single"/>
        </w:rPr>
        <w:t>）</w:t>
      </w:r>
      <w:r>
        <w:rPr>
          <w:rFonts w:hint="eastAsia" w:ascii="Times New Roman" w:hAnsi="Times New Roman" w:eastAsia="Times New Roman" w:cs="Times New Roman"/>
          <w:bCs/>
          <w:i/>
          <w:sz w:val="24"/>
          <w:szCs w:val="24"/>
          <w:highlight w:val="yellow"/>
          <w:u w:val="single"/>
          <w:lang w:val="en-US" w:eastAsia="zh-CN" w:bidi="ar-SA"/>
        </w:rPr>
        <w:t>（如为联合体，则联合体牵头方须提供）</w:t>
      </w:r>
    </w:p>
    <w:p w14:paraId="4202DE4C">
      <w:pPr>
        <w:spacing w:before="320" w:after="320"/>
        <w:jc w:val="left"/>
        <w:outlineLvl w:val="1"/>
        <w:rPr>
          <w:rFonts w:hint="eastAsia" w:ascii="Times New Roman" w:hAnsi="Times New Roman" w:eastAsia="Times New Roman"/>
          <w:bCs/>
          <w:i/>
          <w:color w:val="auto"/>
          <w:sz w:val="24"/>
          <w:szCs w:val="24"/>
          <w:highlight w:val="none"/>
          <w:u w:val="single"/>
        </w:rPr>
      </w:pPr>
    </w:p>
    <w:p w14:paraId="3DFDA152">
      <w:pPr>
        <w:spacing w:before="320" w:after="320"/>
        <w:jc w:val="center"/>
        <w:outlineLvl w:val="1"/>
        <w:rPr>
          <w:rFonts w:hint="eastAsia"/>
          <w:b/>
          <w:bCs/>
          <w:color w:val="auto"/>
          <w:sz w:val="32"/>
          <w:szCs w:val="32"/>
          <w:highlight w:val="none"/>
        </w:rPr>
      </w:pPr>
    </w:p>
    <w:p w14:paraId="7439CABD">
      <w:pPr>
        <w:spacing w:before="320" w:after="320"/>
        <w:jc w:val="center"/>
        <w:outlineLvl w:val="1"/>
        <w:rPr>
          <w:rFonts w:hint="eastAsia"/>
          <w:b/>
          <w:bCs/>
          <w:color w:val="auto"/>
          <w:sz w:val="32"/>
          <w:szCs w:val="32"/>
          <w:highlight w:val="none"/>
        </w:rPr>
      </w:pPr>
      <w:r>
        <w:rPr>
          <w:rFonts w:hint="eastAsia"/>
          <w:b/>
          <w:bCs/>
          <w:color w:val="auto"/>
          <w:sz w:val="32"/>
          <w:szCs w:val="32"/>
          <w:highlight w:val="none"/>
        </w:rPr>
        <w:t>1、</w:t>
      </w:r>
      <w:r>
        <w:rPr>
          <w:b/>
          <w:bCs/>
          <w:color w:val="auto"/>
          <w:sz w:val="32"/>
          <w:szCs w:val="32"/>
          <w:highlight w:val="none"/>
        </w:rPr>
        <w:t>授权委托书</w:t>
      </w:r>
    </w:p>
    <w:p w14:paraId="478758C4">
      <w:pPr>
        <w:spacing w:before="240" w:after="240"/>
        <w:ind w:firstLine="500"/>
        <w:rPr>
          <w:color w:val="auto"/>
          <w:sz w:val="24"/>
          <w:szCs w:val="24"/>
          <w:highlight w:val="none"/>
        </w:rPr>
      </w:pPr>
      <w:r>
        <w:rPr>
          <w:color w:val="auto"/>
          <w:sz w:val="24"/>
          <w:szCs w:val="24"/>
          <w:highlight w:val="none"/>
        </w:rPr>
        <w:t>本授权书声明：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w:t>
      </w:r>
      <w:r>
        <w:rPr>
          <w:color w:val="auto"/>
          <w:sz w:val="24"/>
          <w:szCs w:val="24"/>
          <w:highlight w:val="none"/>
        </w:rPr>
        <w:t>名称）授权</w:t>
      </w:r>
      <w:bookmarkStart w:id="264" w:name="sys_STR"/>
      <w:bookmarkEnd w:id="264"/>
      <w:r>
        <w:rPr>
          <w:rFonts w:hint="eastAsia"/>
          <w:color w:val="auto"/>
          <w:sz w:val="24"/>
          <w:szCs w:val="24"/>
          <w:highlight w:val="none"/>
          <w:u w:val="single"/>
        </w:rPr>
        <w:t xml:space="preserve">        </w:t>
      </w:r>
      <w:r>
        <w:rPr>
          <w:color w:val="auto"/>
          <w:sz w:val="24"/>
          <w:szCs w:val="24"/>
          <w:highlight w:val="none"/>
        </w:rPr>
        <w:t>(被授权人的姓名)（</w:t>
      </w:r>
      <w:r>
        <w:rPr>
          <w:rFonts w:hint="eastAsia"/>
          <w:color w:val="auto"/>
          <w:sz w:val="24"/>
          <w:szCs w:val="24"/>
          <w:highlight w:val="none"/>
        </w:rPr>
        <w:t>被授权人身份证号码</w:t>
      </w:r>
      <w:r>
        <w:rPr>
          <w:rFonts w:hint="eastAsia"/>
          <w:color w:val="auto"/>
          <w:sz w:val="24"/>
          <w:szCs w:val="24"/>
          <w:highlight w:val="none"/>
          <w:u w:val="single"/>
        </w:rPr>
        <w:t xml:space="preserve">：         </w:t>
      </w:r>
      <w:r>
        <w:rPr>
          <w:color w:val="auto"/>
          <w:sz w:val="24"/>
          <w:szCs w:val="24"/>
          <w:highlight w:val="none"/>
        </w:rPr>
        <w:t>）为我方就</w:t>
      </w:r>
      <w:r>
        <w:rPr>
          <w:rFonts w:hint="eastAsia"/>
          <w:color w:val="auto"/>
          <w:sz w:val="24"/>
          <w:szCs w:val="24"/>
          <w:highlight w:val="none"/>
          <w:u w:val="single"/>
        </w:rPr>
        <w:t xml:space="preserve">              （项目编号：     ）</w:t>
      </w:r>
      <w:r>
        <w:rPr>
          <w:color w:val="auto"/>
          <w:sz w:val="24"/>
          <w:szCs w:val="24"/>
          <w:highlight w:val="none"/>
        </w:rPr>
        <w:t>项目采购活动的合法代理人，以本单位名义全权处理一切与该项目采购有关的事务</w:t>
      </w:r>
      <w:r>
        <w:rPr>
          <w:rFonts w:hint="eastAsia"/>
          <w:color w:val="auto"/>
          <w:sz w:val="24"/>
          <w:szCs w:val="24"/>
          <w:highlight w:val="none"/>
        </w:rPr>
        <w:t>，其代表本单位处理相关事项所产生的一切责任由本单位承担。</w:t>
      </w:r>
    </w:p>
    <w:p w14:paraId="635A077C">
      <w:pPr>
        <w:spacing w:before="240" w:after="240"/>
        <w:ind w:firstLine="500"/>
        <w:rPr>
          <w:color w:val="auto"/>
          <w:sz w:val="24"/>
          <w:szCs w:val="24"/>
          <w:highlight w:val="none"/>
        </w:rPr>
      </w:pPr>
      <w:r>
        <w:rPr>
          <w:color w:val="auto"/>
          <w:sz w:val="24"/>
          <w:szCs w:val="24"/>
          <w:highlight w:val="none"/>
        </w:rPr>
        <w:t>本授权书于</w:t>
      </w:r>
      <w:r>
        <w:rPr>
          <w:rFonts w:hint="eastAsia"/>
          <w:color w:val="auto"/>
          <w:sz w:val="24"/>
          <w:szCs w:val="24"/>
          <w:highlight w:val="none"/>
          <w:u w:val="single"/>
        </w:rPr>
        <w:t xml:space="preserve">   年  月   日</w:t>
      </w:r>
      <w:r>
        <w:rPr>
          <w:color w:val="auto"/>
          <w:sz w:val="24"/>
          <w:szCs w:val="24"/>
          <w:highlight w:val="none"/>
        </w:rPr>
        <w:t xml:space="preserve">起生效，特此声明。  </w:t>
      </w:r>
    </w:p>
    <w:p w14:paraId="686B6DC2">
      <w:pPr>
        <w:spacing w:before="240" w:after="240"/>
        <w:rPr>
          <w:rFonts w:ascii="Times New Roman" w:hAnsi="Times New Roman" w:eastAsia="Times New Roman"/>
          <w:color w:val="auto"/>
          <w:sz w:val="24"/>
          <w:szCs w:val="24"/>
          <w:highlight w:val="none"/>
        </w:rPr>
      </w:pPr>
    </w:p>
    <w:p w14:paraId="2CE810AE">
      <w:pPr>
        <w:spacing w:before="240" w:after="240"/>
        <w:ind w:firstLine="3570"/>
        <w:rPr>
          <w:color w:val="auto"/>
          <w:sz w:val="24"/>
          <w:szCs w:val="24"/>
          <w:highlight w:val="none"/>
        </w:rPr>
      </w:pPr>
      <w:r>
        <w:rPr>
          <w:color w:val="auto"/>
          <w:sz w:val="24"/>
          <w:szCs w:val="24"/>
          <w:highlight w:val="none"/>
        </w:rPr>
        <w:t>被授权人联系电话：（手机）   </w:t>
      </w:r>
    </w:p>
    <w:p w14:paraId="51142567">
      <w:pPr>
        <w:spacing w:before="240" w:after="240"/>
        <w:ind w:firstLine="3570"/>
        <w:rPr>
          <w:color w:val="auto"/>
          <w:sz w:val="24"/>
          <w:szCs w:val="24"/>
          <w:highlight w:val="none"/>
        </w:rPr>
      </w:pPr>
      <w:r>
        <w:rPr>
          <w:color w:val="auto"/>
          <w:sz w:val="24"/>
          <w:szCs w:val="24"/>
          <w:highlight w:val="none"/>
        </w:rPr>
        <w:t>授权单位名称：   （加盖公章）</w:t>
      </w:r>
    </w:p>
    <w:p w14:paraId="058C4F06">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6C35D8EC">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p>
    <w:p w14:paraId="6536CB4E">
      <w:pPr>
        <w:widowControl/>
        <w:jc w:val="left"/>
        <w:rPr>
          <w:rFonts w:ascii="宋体" w:hAnsi="宋体"/>
          <w:color w:val="auto"/>
          <w:szCs w:val="21"/>
          <w:highlight w:val="none"/>
        </w:rPr>
      </w:pPr>
    </w:p>
    <w:p w14:paraId="0A9856F1">
      <w:pPr>
        <w:spacing w:before="240" w:after="240"/>
        <w:jc w:val="center"/>
        <w:rPr>
          <w:rFonts w:hint="eastAsia"/>
          <w:b/>
          <w:bCs/>
          <w:color w:val="auto"/>
          <w:sz w:val="32"/>
          <w:szCs w:val="32"/>
          <w:highlight w:val="none"/>
        </w:rPr>
      </w:pPr>
      <w:r>
        <w:rPr>
          <w:rFonts w:hint="eastAsia"/>
          <w:b/>
          <w:bCs/>
          <w:color w:val="auto"/>
          <w:sz w:val="32"/>
          <w:szCs w:val="32"/>
          <w:highlight w:val="none"/>
        </w:rPr>
        <w:t>2、法定代表人身份证明书</w:t>
      </w:r>
    </w:p>
    <w:p w14:paraId="381D6652">
      <w:pPr>
        <w:spacing w:before="240" w:after="240"/>
        <w:ind w:firstLine="500"/>
        <w:rPr>
          <w:rFonts w:hint="eastAsia"/>
          <w:color w:val="auto"/>
          <w:sz w:val="24"/>
          <w:szCs w:val="24"/>
          <w:highlight w:val="none"/>
        </w:rPr>
      </w:pPr>
      <w:r>
        <w:rPr>
          <w:rFonts w:hint="eastAsia"/>
          <w:color w:val="auto"/>
          <w:sz w:val="24"/>
          <w:szCs w:val="24"/>
          <w:highlight w:val="none"/>
        </w:rPr>
        <w:t>兹证明</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姓名</w:t>
      </w:r>
      <w:r>
        <w:rPr>
          <w:color w:val="auto"/>
          <w:sz w:val="24"/>
          <w:szCs w:val="24"/>
          <w:highlight w:val="none"/>
        </w:rPr>
        <w:t>）（</w:t>
      </w:r>
      <w:r>
        <w:rPr>
          <w:rFonts w:hint="eastAsia"/>
          <w:color w:val="auto"/>
          <w:sz w:val="24"/>
          <w:szCs w:val="24"/>
          <w:highlight w:val="none"/>
        </w:rPr>
        <w:t>法定代表人身份证号码</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担任</w:t>
      </w:r>
      <w:r>
        <w:rPr>
          <w:rFonts w:hint="eastAsia"/>
          <w:color w:val="auto"/>
          <w:sz w:val="24"/>
          <w:szCs w:val="24"/>
          <w:highlight w:val="none"/>
          <w:u w:val="single"/>
        </w:rPr>
        <w:t xml:space="preserve">            </w:t>
      </w:r>
      <w:r>
        <w:rPr>
          <w:color w:val="auto"/>
          <w:sz w:val="24"/>
          <w:szCs w:val="24"/>
          <w:highlight w:val="none"/>
        </w:rPr>
        <w:t>(</w:t>
      </w:r>
      <w:r>
        <w:rPr>
          <w:rFonts w:hint="eastAsia"/>
          <w:color w:val="auto"/>
          <w:sz w:val="24"/>
          <w:szCs w:val="24"/>
          <w:highlight w:val="none"/>
        </w:rPr>
        <w:t>供应商名称</w:t>
      </w:r>
      <w:r>
        <w:rPr>
          <w:color w:val="auto"/>
          <w:sz w:val="24"/>
          <w:szCs w:val="24"/>
          <w:highlight w:val="none"/>
        </w:rPr>
        <w:t>)</w:t>
      </w:r>
      <w:r>
        <w:rPr>
          <w:rFonts w:hint="eastAsia"/>
          <w:color w:val="auto"/>
          <w:sz w:val="24"/>
          <w:szCs w:val="24"/>
          <w:highlight w:val="none"/>
          <w:u w:val="single"/>
        </w:rPr>
        <w:t xml:space="preserve">      （职位 ）</w:t>
      </w:r>
      <w:r>
        <w:rPr>
          <w:rFonts w:hint="eastAsia"/>
          <w:color w:val="auto"/>
          <w:sz w:val="24"/>
          <w:szCs w:val="24"/>
          <w:highlight w:val="none"/>
        </w:rPr>
        <w:t>，是我单位的法定代表人</w:t>
      </w:r>
      <w:r>
        <w:rPr>
          <w:color w:val="auto"/>
          <w:sz w:val="24"/>
          <w:szCs w:val="24"/>
          <w:highlight w:val="none"/>
        </w:rPr>
        <w:t xml:space="preserve">。 </w:t>
      </w:r>
    </w:p>
    <w:p w14:paraId="389E0AEC">
      <w:pPr>
        <w:spacing w:before="240" w:after="240"/>
        <w:ind w:firstLine="500"/>
        <w:rPr>
          <w:color w:val="auto"/>
          <w:sz w:val="24"/>
          <w:szCs w:val="24"/>
          <w:highlight w:val="none"/>
        </w:rPr>
      </w:pPr>
      <w:r>
        <w:rPr>
          <w:color w:val="auto"/>
          <w:sz w:val="24"/>
          <w:szCs w:val="24"/>
          <w:highlight w:val="none"/>
        </w:rPr>
        <w:t>特此</w:t>
      </w:r>
      <w:r>
        <w:rPr>
          <w:rFonts w:hint="eastAsia"/>
          <w:color w:val="auto"/>
          <w:sz w:val="24"/>
          <w:szCs w:val="24"/>
          <w:highlight w:val="none"/>
        </w:rPr>
        <w:t>证</w:t>
      </w:r>
      <w:r>
        <w:rPr>
          <w:color w:val="auto"/>
          <w:sz w:val="24"/>
          <w:szCs w:val="24"/>
          <w:highlight w:val="none"/>
        </w:rPr>
        <w:t xml:space="preserve">明。  </w:t>
      </w:r>
    </w:p>
    <w:p w14:paraId="5AA9A363">
      <w:pPr>
        <w:spacing w:before="240" w:after="240"/>
        <w:ind w:firstLine="500"/>
        <w:rPr>
          <w:rFonts w:ascii="Times New Roman" w:hAnsi="Times New Roman" w:eastAsia="Times New Roman"/>
          <w:color w:val="auto"/>
          <w:sz w:val="24"/>
          <w:szCs w:val="24"/>
          <w:highlight w:val="none"/>
        </w:rPr>
      </w:pPr>
    </w:p>
    <w:p w14:paraId="6077B256">
      <w:pPr>
        <w:spacing w:before="240" w:after="240"/>
        <w:ind w:firstLine="240"/>
        <w:rPr>
          <w:color w:val="auto"/>
          <w:sz w:val="24"/>
          <w:szCs w:val="24"/>
          <w:highlight w:val="none"/>
        </w:rPr>
      </w:pPr>
      <w:r>
        <w:rPr>
          <w:color w:val="auto"/>
          <w:sz w:val="24"/>
          <w:szCs w:val="24"/>
          <w:highlight w:val="none"/>
        </w:rPr>
        <w:t> </w:t>
      </w:r>
      <w:r>
        <w:rPr>
          <w:rFonts w:hint="eastAsia"/>
          <w:color w:val="auto"/>
          <w:sz w:val="24"/>
          <w:szCs w:val="24"/>
          <w:highlight w:val="none"/>
        </w:rPr>
        <w:t xml:space="preserve">                       </w:t>
      </w:r>
    </w:p>
    <w:p w14:paraId="41E794AE">
      <w:pPr>
        <w:spacing w:before="240" w:after="240"/>
        <w:ind w:firstLine="3570"/>
        <w:rPr>
          <w:rFonts w:hint="eastAsia"/>
          <w:color w:val="auto"/>
          <w:sz w:val="24"/>
          <w:szCs w:val="24"/>
          <w:highlight w:val="none"/>
        </w:rPr>
      </w:pPr>
      <w:r>
        <w:rPr>
          <w:rFonts w:hint="eastAsia"/>
          <w:color w:val="auto"/>
          <w:sz w:val="24"/>
          <w:szCs w:val="24"/>
          <w:highlight w:val="none"/>
        </w:rPr>
        <w:t>法定代表人</w:t>
      </w:r>
      <w:r>
        <w:rPr>
          <w:color w:val="auto"/>
          <w:sz w:val="24"/>
          <w:szCs w:val="24"/>
          <w:highlight w:val="none"/>
        </w:rPr>
        <w:t>联系电话：（手机）   </w:t>
      </w:r>
    </w:p>
    <w:p w14:paraId="4683EFD2">
      <w:pPr>
        <w:spacing w:before="240" w:after="240"/>
        <w:ind w:firstLine="3570"/>
        <w:rPr>
          <w:color w:val="auto"/>
          <w:sz w:val="24"/>
          <w:szCs w:val="24"/>
          <w:highlight w:val="none"/>
        </w:rPr>
      </w:pPr>
      <w:r>
        <w:rPr>
          <w:color w:val="auto"/>
          <w:sz w:val="24"/>
          <w:szCs w:val="24"/>
          <w:highlight w:val="none"/>
        </w:rPr>
        <w:t>单位名称：   （加盖公章）</w:t>
      </w:r>
    </w:p>
    <w:p w14:paraId="3FFD1A55">
      <w:pPr>
        <w:spacing w:before="240" w:after="240"/>
        <w:ind w:firstLine="3570"/>
        <w:rPr>
          <w:color w:val="auto"/>
          <w:sz w:val="24"/>
          <w:szCs w:val="24"/>
          <w:highlight w:val="none"/>
        </w:rPr>
      </w:pPr>
      <w:r>
        <w:rPr>
          <w:color w:val="auto"/>
          <w:sz w:val="24"/>
          <w:szCs w:val="24"/>
          <w:highlight w:val="none"/>
        </w:rPr>
        <w:t>单位地址：   </w:t>
      </w:r>
      <w:r>
        <w:rPr>
          <w:rFonts w:hint="eastAsia"/>
          <w:color w:val="auto"/>
          <w:sz w:val="24"/>
          <w:szCs w:val="24"/>
          <w:highlight w:val="none"/>
        </w:rPr>
        <w:t xml:space="preserve"> </w:t>
      </w:r>
    </w:p>
    <w:p w14:paraId="719853F9">
      <w:pPr>
        <w:spacing w:before="240" w:after="240"/>
        <w:ind w:firstLine="3600"/>
        <w:rPr>
          <w:color w:val="auto"/>
          <w:sz w:val="24"/>
          <w:szCs w:val="24"/>
          <w:highlight w:val="none"/>
        </w:rPr>
      </w:pPr>
      <w:r>
        <w:rPr>
          <w:color w:val="auto"/>
          <w:sz w:val="24"/>
          <w:szCs w:val="24"/>
          <w:highlight w:val="none"/>
        </w:rPr>
        <w:t>日期：   </w:t>
      </w:r>
      <w:r>
        <w:rPr>
          <w:rFonts w:hint="eastAsia"/>
          <w:color w:val="auto"/>
          <w:sz w:val="24"/>
          <w:szCs w:val="24"/>
          <w:highlight w:val="none"/>
        </w:rPr>
        <w:t>年   月   日</w:t>
      </w:r>
    </w:p>
    <w:bookmarkEnd w:id="263"/>
    <w:p w14:paraId="0B6C4487">
      <w:pPr>
        <w:rPr>
          <w:rStyle w:val="199"/>
          <w:rFonts w:ascii="宋体" w:hAnsi="宋体"/>
          <w:b/>
          <w:color w:val="auto"/>
          <w:sz w:val="28"/>
          <w:highlight w:val="none"/>
        </w:rPr>
      </w:pPr>
    </w:p>
    <w:p w14:paraId="198E912F">
      <w:pPr>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
          <w:bCs/>
          <w:kern w:val="2"/>
          <w:sz w:val="32"/>
          <w:szCs w:val="32"/>
        </w:rPr>
      </w:pPr>
      <w:r>
        <w:rPr>
          <w:rFonts w:hint="eastAsia" w:ascii="宋体" w:hAnsi="宋体" w:eastAsia="宋体"/>
          <w:b/>
          <w:bCs/>
          <w:kern w:val="2"/>
          <w:sz w:val="32"/>
          <w:szCs w:val="32"/>
        </w:rPr>
        <w:t>联合体协议书及联合体授权委托书</w:t>
      </w:r>
      <w:r>
        <w:rPr>
          <w:rFonts w:hint="eastAsia" w:ascii="宋体" w:hAnsi="宋体" w:eastAsia="宋体"/>
          <w:b/>
          <w:bCs/>
          <w:kern w:val="2"/>
          <w:sz w:val="32"/>
          <w:szCs w:val="32"/>
          <w:highlight w:val="yellow"/>
        </w:rPr>
        <w:t>（如为联合体，才须提供）</w:t>
      </w:r>
    </w:p>
    <w:p w14:paraId="1ACC9F1D">
      <w:pPr>
        <w:keepNext/>
        <w:keepLines/>
        <w:pageBreakBefore w:val="0"/>
        <w:widowControl w:val="0"/>
        <w:kinsoku/>
        <w:wordWrap/>
        <w:overflowPunct/>
        <w:topLinePunct w:val="0"/>
        <w:autoSpaceDE/>
        <w:autoSpaceDN/>
        <w:bidi w:val="0"/>
        <w:adjustRightInd/>
        <w:snapToGrid/>
        <w:spacing w:line="400" w:lineRule="exact"/>
        <w:ind w:firstLine="643" w:firstLineChars="200"/>
        <w:jc w:val="center"/>
        <w:textAlignment w:val="auto"/>
        <w:outlineLvl w:val="3"/>
        <w:rPr>
          <w:rFonts w:ascii="Times New Roman" w:hAnsi="Times New Roman" w:eastAsia="宋体"/>
          <w:b/>
          <w:bCs/>
          <w:kern w:val="2"/>
          <w:sz w:val="32"/>
          <w:szCs w:val="32"/>
        </w:rPr>
      </w:pPr>
      <w:r>
        <w:rPr>
          <w:rFonts w:ascii="Times New Roman" w:hAnsi="Times New Roman" w:eastAsia="宋体"/>
          <w:b/>
          <w:bCs/>
          <w:kern w:val="2"/>
          <w:sz w:val="32"/>
          <w:szCs w:val="32"/>
        </w:rPr>
        <w:t>联合</w:t>
      </w:r>
      <w:r>
        <w:rPr>
          <w:rFonts w:hint="eastAsia" w:ascii="Times New Roman" w:hAnsi="Times New Roman" w:eastAsia="宋体"/>
          <w:b/>
          <w:bCs/>
          <w:kern w:val="2"/>
          <w:sz w:val="32"/>
          <w:szCs w:val="32"/>
        </w:rPr>
        <w:t>体</w:t>
      </w:r>
      <w:r>
        <w:rPr>
          <w:rFonts w:ascii="Times New Roman" w:hAnsi="Times New Roman" w:eastAsia="宋体"/>
          <w:b/>
          <w:bCs/>
          <w:kern w:val="2"/>
          <w:sz w:val="32"/>
          <w:szCs w:val="32"/>
        </w:rPr>
        <w:t>协议书</w:t>
      </w:r>
    </w:p>
    <w:p w14:paraId="3FBDBDBD">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甲方：</w:t>
      </w:r>
    </w:p>
    <w:p w14:paraId="667EBCD7">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乙方：</w:t>
      </w:r>
    </w:p>
    <w:p w14:paraId="46D27B6B">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各方经协商，就响应</w:t>
      </w:r>
      <w:r>
        <w:rPr>
          <w:rFonts w:hint="eastAsia" w:ascii="宋体" w:hAnsi="宋体" w:eastAsia="宋体" w:cs="宋体"/>
          <w:b/>
          <w:bCs/>
          <w:kern w:val="2"/>
          <w:sz w:val="24"/>
          <w:szCs w:val="24"/>
          <w:u w:val="single"/>
          <w:lang w:val="en-US" w:eastAsia="zh-CN" w:bidi="ar-SA"/>
        </w:rPr>
        <w:t>西环快速路数智交通智能化设施</w:t>
      </w:r>
      <w:r>
        <w:rPr>
          <w:rFonts w:ascii="Times New Roman" w:hAnsi="Times New Roman" w:eastAsia="宋体"/>
          <w:kern w:val="2"/>
          <w:sz w:val="24"/>
          <w:szCs w:val="24"/>
        </w:rPr>
        <w:t>招标活动联合进行投标之事宜，达成如下协议：</w:t>
      </w:r>
    </w:p>
    <w:p w14:paraId="2A075C29">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一、各方一致决定，以</w:t>
      </w:r>
      <w:r>
        <w:rPr>
          <w:rFonts w:ascii="Times New Roman" w:hAnsi="Times New Roman" w:eastAsia="宋体"/>
          <w:kern w:val="2"/>
          <w:sz w:val="24"/>
          <w:szCs w:val="24"/>
          <w:u w:val="single"/>
        </w:rPr>
        <w:t xml:space="preserve">                        </w:t>
      </w:r>
      <w:r>
        <w:rPr>
          <w:rFonts w:ascii="Times New Roman" w:hAnsi="Times New Roman" w:eastAsia="宋体"/>
          <w:kern w:val="2"/>
          <w:sz w:val="24"/>
          <w:szCs w:val="24"/>
        </w:rPr>
        <w:t>为</w:t>
      </w:r>
      <w:r>
        <w:rPr>
          <w:rFonts w:hint="eastAsia" w:ascii="Times New Roman" w:hAnsi="Times New Roman" w:eastAsia="宋体"/>
          <w:kern w:val="2"/>
          <w:sz w:val="24"/>
          <w:szCs w:val="24"/>
        </w:rPr>
        <w:t>牵头</w:t>
      </w:r>
      <w:r>
        <w:rPr>
          <w:rFonts w:ascii="Times New Roman" w:hAnsi="Times New Roman" w:eastAsia="宋体"/>
          <w:kern w:val="2"/>
          <w:sz w:val="24"/>
          <w:szCs w:val="24"/>
        </w:rPr>
        <w:t>方（即联合体投标人代表）进行投标，并按照招标文件的规定提交资格文件。</w:t>
      </w:r>
    </w:p>
    <w:p w14:paraId="776368A3">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二、在本次投标过程中，</w:t>
      </w:r>
      <w:r>
        <w:rPr>
          <w:rFonts w:hint="eastAsia" w:ascii="Times New Roman" w:hAnsi="Times New Roman" w:eastAsia="宋体"/>
          <w:kern w:val="2"/>
          <w:sz w:val="24"/>
          <w:szCs w:val="24"/>
        </w:rPr>
        <w:t>牵头</w:t>
      </w:r>
      <w:r>
        <w:rPr>
          <w:rFonts w:ascii="Times New Roman" w:hAnsi="Times New Roman" w:eastAsia="宋体"/>
          <w:kern w:val="2"/>
          <w:sz w:val="24"/>
          <w:szCs w:val="24"/>
        </w:rPr>
        <w:t>方的法定代表人（负责人）或授权代理人根据招标文件规定及投标内容而对招标采购单位所作的任何合法承诺，包括书面澄清及响应等均对联合投标各方产生约束力。如果中标并签订合同，则联合投标各方将共同履行对招标采购单位所负有的全部义务并就采购合同约定的事项对采购人承担连带责任。</w:t>
      </w:r>
    </w:p>
    <w:p w14:paraId="774A111F">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三、联合投标其余各方保证对牵头方为响应本次招标而提供的产品和服务提供全部质量保证及售后服务支持。</w:t>
      </w:r>
    </w:p>
    <w:p w14:paraId="380B8363">
      <w:pPr>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Times New Roman" w:hAnsi="Times New Roman" w:eastAsia="宋体"/>
          <w:b w:val="0"/>
          <w:bCs w:val="0"/>
          <w:kern w:val="2"/>
          <w:sz w:val="24"/>
          <w:szCs w:val="24"/>
          <w:lang w:eastAsia="zh-CN"/>
        </w:rPr>
      </w:pPr>
      <w:r>
        <w:rPr>
          <w:rFonts w:ascii="Times New Roman" w:hAnsi="Times New Roman" w:eastAsia="宋体"/>
          <w:kern w:val="2"/>
          <w:sz w:val="24"/>
          <w:szCs w:val="24"/>
          <w:highlight w:val="yellow"/>
        </w:rPr>
        <w:t>四、本次联合投标中</w:t>
      </w:r>
      <w:r>
        <w:rPr>
          <w:rFonts w:hint="eastAsia" w:ascii="Times New Roman" w:hAnsi="Times New Roman" w:eastAsia="宋体"/>
          <w:kern w:val="2"/>
          <w:sz w:val="24"/>
          <w:szCs w:val="24"/>
          <w:highlight w:val="yellow"/>
          <w:lang w:eastAsia="zh-CN"/>
        </w:rPr>
        <w:t>（</w:t>
      </w:r>
      <w:r>
        <w:rPr>
          <w:rFonts w:hint="eastAsia" w:ascii="Times New Roman" w:hAnsi="Times New Roman" w:eastAsia="宋体"/>
          <w:b w:val="0"/>
          <w:bCs w:val="0"/>
          <w:kern w:val="2"/>
          <w:sz w:val="24"/>
          <w:szCs w:val="24"/>
          <w:highlight w:val="yellow"/>
          <w:u w:val="none"/>
          <w:lang w:eastAsia="zh-CN"/>
        </w:rPr>
        <w:t>工作内容包括：</w:t>
      </w:r>
      <w:r>
        <w:rPr>
          <w:rFonts w:hint="eastAsia" w:ascii="宋体" w:hAnsi="宋体" w:eastAsia="Times New Roman" w:cs="宋体"/>
          <w:b w:val="0"/>
          <w:bCs w:val="0"/>
          <w:iCs/>
          <w:kern w:val="0"/>
          <w:sz w:val="24"/>
          <w:szCs w:val="24"/>
          <w:highlight w:val="yellow"/>
        </w:rPr>
        <w:t>智能交通设施建设，系统接入，设备运维</w:t>
      </w:r>
      <w:r>
        <w:rPr>
          <w:rFonts w:hint="eastAsia" w:ascii="宋体" w:hAnsi="宋体" w:eastAsia="宋体" w:cs="宋体"/>
          <w:b w:val="0"/>
          <w:bCs w:val="0"/>
          <w:iCs/>
          <w:kern w:val="0"/>
          <w:sz w:val="24"/>
          <w:szCs w:val="24"/>
          <w:highlight w:val="yellow"/>
          <w:lang w:eastAsia="zh-CN"/>
        </w:rPr>
        <w:t>）</w:t>
      </w:r>
    </w:p>
    <w:p w14:paraId="1AB72D1F">
      <w:pPr>
        <w:pageBreakBefore w:val="0"/>
        <w:widowControl w:val="0"/>
        <w:kinsoku/>
        <w:wordWrap/>
        <w:overflowPunct/>
        <w:topLinePunct w:val="0"/>
        <w:autoSpaceDE/>
        <w:autoSpaceDN/>
        <w:bidi w:val="0"/>
        <w:adjustRightInd/>
        <w:snapToGrid/>
        <w:spacing w:line="400" w:lineRule="exact"/>
        <w:ind w:firstLine="482" w:firstLineChars="200"/>
        <w:textAlignment w:val="auto"/>
        <w:rPr>
          <w:rFonts w:ascii="Times New Roman" w:hAnsi="Times New Roman" w:eastAsia="宋体"/>
          <w:b/>
          <w:bCs/>
          <w:kern w:val="2"/>
          <w:sz w:val="24"/>
          <w:szCs w:val="24"/>
        </w:rPr>
      </w:pPr>
      <w:r>
        <w:rPr>
          <w:rFonts w:ascii="Times New Roman" w:hAnsi="Times New Roman" w:eastAsia="宋体"/>
          <w:b/>
          <w:bCs/>
          <w:kern w:val="2"/>
          <w:sz w:val="24"/>
          <w:szCs w:val="24"/>
        </w:rPr>
        <w:t>甲方承担的工作和义务为：</w:t>
      </w:r>
      <w:r>
        <w:rPr>
          <w:rFonts w:ascii="Times New Roman" w:hAnsi="Times New Roman" w:eastAsia="宋体"/>
          <w:b w:val="0"/>
          <w:bCs w:val="0"/>
          <w:kern w:val="2"/>
          <w:sz w:val="24"/>
          <w:szCs w:val="24"/>
          <w:u w:val="single"/>
        </w:rPr>
        <w:t xml:space="preserve">                                                </w:t>
      </w:r>
      <w:r>
        <w:rPr>
          <w:rFonts w:ascii="Times New Roman" w:hAnsi="Times New Roman" w:eastAsia="宋体"/>
          <w:b w:val="0"/>
          <w:bCs w:val="0"/>
          <w:kern w:val="2"/>
          <w:sz w:val="24"/>
          <w:szCs w:val="24"/>
        </w:rPr>
        <w:t xml:space="preserve"> </w:t>
      </w:r>
    </w:p>
    <w:p w14:paraId="35D5CF7A">
      <w:pPr>
        <w:pageBreakBefore w:val="0"/>
        <w:widowControl w:val="0"/>
        <w:kinsoku/>
        <w:wordWrap/>
        <w:overflowPunct/>
        <w:topLinePunct w:val="0"/>
        <w:autoSpaceDE/>
        <w:autoSpaceDN/>
        <w:bidi w:val="0"/>
        <w:adjustRightInd/>
        <w:snapToGrid/>
        <w:spacing w:line="400" w:lineRule="exact"/>
        <w:ind w:firstLine="482" w:firstLineChars="200"/>
        <w:textAlignment w:val="auto"/>
        <w:rPr>
          <w:rFonts w:ascii="Times New Roman" w:hAnsi="Times New Roman" w:eastAsia="宋体"/>
          <w:b/>
          <w:bCs/>
          <w:kern w:val="2"/>
          <w:sz w:val="24"/>
          <w:szCs w:val="24"/>
        </w:rPr>
      </w:pPr>
      <w:r>
        <w:rPr>
          <w:rFonts w:ascii="Times New Roman" w:hAnsi="Times New Roman" w:eastAsia="宋体"/>
          <w:b/>
          <w:bCs/>
          <w:kern w:val="2"/>
          <w:sz w:val="24"/>
          <w:szCs w:val="24"/>
        </w:rPr>
        <w:t>乙方承担的工作和义务为：</w:t>
      </w:r>
      <w:r>
        <w:rPr>
          <w:rFonts w:ascii="Times New Roman" w:hAnsi="Times New Roman" w:eastAsia="宋体"/>
          <w:b w:val="0"/>
          <w:bCs w:val="0"/>
          <w:kern w:val="2"/>
          <w:sz w:val="24"/>
          <w:szCs w:val="24"/>
          <w:u w:val="single"/>
        </w:rPr>
        <w:t xml:space="preserve">                                               </w:t>
      </w:r>
      <w:r>
        <w:rPr>
          <w:rFonts w:ascii="Times New Roman" w:hAnsi="Times New Roman" w:eastAsia="宋体"/>
          <w:b/>
          <w:bCs/>
          <w:kern w:val="2"/>
          <w:sz w:val="24"/>
          <w:szCs w:val="24"/>
        </w:rPr>
        <w:t xml:space="preserve">  </w:t>
      </w:r>
    </w:p>
    <w:p w14:paraId="52B29C69">
      <w:pPr>
        <w:pageBreakBefore w:val="0"/>
        <w:widowControl w:val="0"/>
        <w:kinsoku/>
        <w:wordWrap/>
        <w:overflowPunct/>
        <w:topLinePunct w:val="0"/>
        <w:autoSpaceDE/>
        <w:autoSpaceDN/>
        <w:bidi w:val="0"/>
        <w:adjustRightInd/>
        <w:snapToGrid/>
        <w:spacing w:line="400" w:lineRule="exact"/>
        <w:ind w:firstLine="482" w:firstLineChars="200"/>
        <w:textAlignment w:val="auto"/>
        <w:rPr>
          <w:rFonts w:hint="default" w:ascii="Times New Roman" w:hAnsi="Times New Roman" w:eastAsia="宋体"/>
          <w:b/>
          <w:bCs/>
          <w:kern w:val="2"/>
          <w:sz w:val="24"/>
          <w:szCs w:val="24"/>
          <w:lang w:val="en-US" w:eastAsia="zh-CN"/>
        </w:rPr>
      </w:pPr>
      <w:r>
        <w:rPr>
          <w:rFonts w:hint="eastAsia" w:ascii="Times New Roman" w:hAnsi="Times New Roman" w:eastAsia="宋体"/>
          <w:b/>
          <w:bCs/>
          <w:kern w:val="2"/>
          <w:sz w:val="24"/>
          <w:szCs w:val="24"/>
        </w:rPr>
        <w:t>小微型企业（残疾人福利单位、监狱企业）的合同份额占到合同总金额</w:t>
      </w:r>
      <w:r>
        <w:rPr>
          <w:rFonts w:hint="eastAsia" w:ascii="Times New Roman" w:hAnsi="Times New Roman" w:eastAsia="宋体"/>
          <w:b/>
          <w:bCs/>
          <w:kern w:val="2"/>
          <w:sz w:val="24"/>
          <w:szCs w:val="24"/>
          <w:lang w:val="en-US" w:eastAsia="zh-CN"/>
        </w:rPr>
        <w:t xml:space="preserve"> </w:t>
      </w:r>
      <w:r>
        <w:rPr>
          <w:rFonts w:hint="eastAsia" w:ascii="Times New Roman" w:hAnsi="Times New Roman" w:eastAsia="宋体"/>
          <w:b w:val="0"/>
          <w:bCs w:val="0"/>
          <w:kern w:val="2"/>
          <w:sz w:val="24"/>
          <w:szCs w:val="24"/>
          <w:u w:val="single"/>
          <w:lang w:val="en-US" w:eastAsia="zh-CN"/>
        </w:rPr>
        <w:t xml:space="preserve">       </w:t>
      </w:r>
      <w:r>
        <w:rPr>
          <w:rFonts w:hint="eastAsia" w:ascii="Times New Roman" w:hAnsi="Times New Roman" w:eastAsia="宋体"/>
          <w:b/>
          <w:bCs/>
          <w:kern w:val="2"/>
          <w:sz w:val="24"/>
          <w:szCs w:val="24"/>
          <w:lang w:val="en-US" w:eastAsia="zh-CN"/>
        </w:rPr>
        <w:t xml:space="preserve">  </w:t>
      </w:r>
    </w:p>
    <w:p w14:paraId="10B1310F">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u w:val="single"/>
        </w:rPr>
      </w:pPr>
      <w:r>
        <w:rPr>
          <w:rFonts w:ascii="Times New Roman" w:hAnsi="Times New Roman" w:eastAsia="宋体"/>
          <w:kern w:val="2"/>
          <w:sz w:val="24"/>
          <w:szCs w:val="24"/>
        </w:rPr>
        <w:t>五、有关本次联合投标的其他事宜：</w:t>
      </w:r>
      <w:r>
        <w:rPr>
          <w:rFonts w:ascii="Times New Roman" w:hAnsi="Times New Roman" w:eastAsia="宋体"/>
          <w:kern w:val="2"/>
          <w:sz w:val="24"/>
          <w:szCs w:val="24"/>
          <w:u w:val="single"/>
        </w:rPr>
        <w:t xml:space="preserve">                                         </w:t>
      </w:r>
    </w:p>
    <w:p w14:paraId="750402E3">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六、本协议提交招标方后，联合投标各方不得以任何形式对上述实质内容进行修改或撤销。</w:t>
      </w:r>
    </w:p>
    <w:p w14:paraId="690CC1D1">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highlight w:val="none"/>
        </w:rPr>
      </w:pPr>
      <w:r>
        <w:rPr>
          <w:rFonts w:ascii="Times New Roman" w:hAnsi="Times New Roman" w:eastAsia="宋体"/>
          <w:kern w:val="2"/>
          <w:sz w:val="24"/>
          <w:szCs w:val="24"/>
          <w:highlight w:val="none"/>
        </w:rPr>
        <w:t>七、本协议一式</w:t>
      </w:r>
      <w:r>
        <w:rPr>
          <w:rFonts w:ascii="Times New Roman" w:hAnsi="Times New Roman" w:eastAsia="宋体"/>
          <w:kern w:val="2"/>
          <w:sz w:val="24"/>
          <w:szCs w:val="24"/>
          <w:highlight w:val="none"/>
          <w:u w:val="single"/>
        </w:rPr>
        <w:t xml:space="preserve">   </w:t>
      </w:r>
      <w:r>
        <w:rPr>
          <w:rFonts w:ascii="Times New Roman" w:hAnsi="Times New Roman" w:eastAsia="宋体"/>
          <w:kern w:val="2"/>
          <w:sz w:val="24"/>
          <w:szCs w:val="24"/>
          <w:highlight w:val="none"/>
        </w:rPr>
        <w:t>份，签约各方各持一份，</w:t>
      </w:r>
      <w:r>
        <w:rPr>
          <w:rFonts w:hint="eastAsia" w:ascii="Times New Roman" w:hAnsi="Times New Roman"/>
          <w:kern w:val="2"/>
          <w:sz w:val="24"/>
          <w:szCs w:val="24"/>
          <w:highlight w:val="none"/>
          <w:lang w:eastAsia="zh-CN"/>
        </w:rPr>
        <w:t>中标后</w:t>
      </w:r>
      <w:r>
        <w:rPr>
          <w:rFonts w:ascii="Times New Roman" w:hAnsi="Times New Roman" w:eastAsia="宋体"/>
          <w:kern w:val="2"/>
          <w:sz w:val="24"/>
          <w:szCs w:val="24"/>
          <w:highlight w:val="none"/>
        </w:rPr>
        <w:t>交采购人一份</w:t>
      </w:r>
      <w:r>
        <w:rPr>
          <w:rFonts w:hint="eastAsia" w:ascii="Times New Roman" w:hAnsi="Times New Roman"/>
          <w:kern w:val="2"/>
          <w:sz w:val="24"/>
          <w:szCs w:val="24"/>
          <w:highlight w:val="none"/>
          <w:lang w:eastAsia="zh-CN"/>
        </w:rPr>
        <w:t>备案</w:t>
      </w:r>
      <w:r>
        <w:rPr>
          <w:rFonts w:ascii="Times New Roman" w:hAnsi="Times New Roman" w:eastAsia="宋体"/>
          <w:kern w:val="2"/>
          <w:sz w:val="24"/>
          <w:szCs w:val="24"/>
          <w:highlight w:val="none"/>
        </w:rPr>
        <w:t>。</w:t>
      </w:r>
    </w:p>
    <w:p w14:paraId="0209AA7A">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p>
    <w:p w14:paraId="0E38897E">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甲方单位：   （公章）</w:t>
      </w:r>
      <w:r>
        <w:rPr>
          <w:rFonts w:hint="eastAsia" w:ascii="Times New Roman" w:hAnsi="Times New Roman" w:eastAsia="宋体"/>
          <w:kern w:val="2"/>
          <w:sz w:val="24"/>
          <w:szCs w:val="24"/>
        </w:rPr>
        <w:t xml:space="preserve">                    </w:t>
      </w:r>
      <w:r>
        <w:rPr>
          <w:rFonts w:ascii="Times New Roman" w:hAnsi="Times New Roman" w:eastAsia="宋体"/>
          <w:kern w:val="2"/>
          <w:sz w:val="24"/>
          <w:szCs w:val="24"/>
        </w:rPr>
        <w:t>乙方单位：   （公章）</w:t>
      </w:r>
    </w:p>
    <w:p w14:paraId="06075CD4">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法定代表人（负责人）：（签章）</w:t>
      </w:r>
      <w:r>
        <w:rPr>
          <w:rFonts w:hint="eastAsia" w:ascii="Times New Roman" w:hAnsi="Times New Roman" w:eastAsia="宋体"/>
          <w:kern w:val="2"/>
          <w:sz w:val="24"/>
          <w:szCs w:val="24"/>
        </w:rPr>
        <w:t xml:space="preserve">           </w:t>
      </w:r>
      <w:r>
        <w:rPr>
          <w:rFonts w:ascii="Times New Roman" w:hAnsi="Times New Roman" w:eastAsia="宋体"/>
          <w:kern w:val="2"/>
          <w:sz w:val="24"/>
          <w:szCs w:val="24"/>
        </w:rPr>
        <w:t>法定代表人（负责人）：（签章）</w:t>
      </w:r>
    </w:p>
    <w:p w14:paraId="5A9E5ACC">
      <w:pPr>
        <w:pageBreakBefore w:val="0"/>
        <w:widowControl w:val="0"/>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u w:val="single"/>
        </w:rPr>
        <w:t xml:space="preserve">     </w:t>
      </w:r>
      <w:r>
        <w:rPr>
          <w:rFonts w:ascii="Times New Roman" w:hAnsi="Times New Roman" w:eastAsia="宋体"/>
          <w:kern w:val="2"/>
          <w:sz w:val="24"/>
          <w:szCs w:val="24"/>
        </w:rPr>
        <w:t>年</w:t>
      </w:r>
      <w:r>
        <w:rPr>
          <w:rFonts w:ascii="Times New Roman" w:hAnsi="Times New Roman" w:eastAsia="宋体"/>
          <w:kern w:val="2"/>
          <w:sz w:val="24"/>
          <w:szCs w:val="24"/>
          <w:u w:val="single"/>
        </w:rPr>
        <w:t xml:space="preserve">    </w:t>
      </w:r>
      <w:r>
        <w:rPr>
          <w:rFonts w:ascii="Times New Roman" w:hAnsi="Times New Roman" w:eastAsia="宋体"/>
          <w:kern w:val="2"/>
          <w:sz w:val="24"/>
          <w:szCs w:val="24"/>
        </w:rPr>
        <w:t>月</w:t>
      </w:r>
      <w:r>
        <w:rPr>
          <w:rFonts w:ascii="Times New Roman" w:hAnsi="Times New Roman" w:eastAsia="宋体"/>
          <w:kern w:val="2"/>
          <w:sz w:val="24"/>
          <w:szCs w:val="24"/>
          <w:u w:val="single"/>
        </w:rPr>
        <w:t xml:space="preserve">    </w:t>
      </w:r>
      <w:r>
        <w:rPr>
          <w:rFonts w:ascii="Times New Roman" w:hAnsi="Times New Roman" w:eastAsia="宋体"/>
          <w:kern w:val="2"/>
          <w:sz w:val="24"/>
          <w:szCs w:val="24"/>
        </w:rPr>
        <w:t>日</w:t>
      </w:r>
      <w:r>
        <w:rPr>
          <w:rFonts w:hint="eastAsia" w:ascii="Times New Roman" w:hAnsi="Times New Roman" w:eastAsia="宋体"/>
          <w:kern w:val="2"/>
          <w:sz w:val="24"/>
          <w:szCs w:val="24"/>
        </w:rPr>
        <w:t xml:space="preserve">                            </w:t>
      </w:r>
      <w:r>
        <w:rPr>
          <w:rFonts w:ascii="Times New Roman" w:hAnsi="Times New Roman" w:eastAsia="宋体"/>
          <w:kern w:val="2"/>
          <w:sz w:val="24"/>
          <w:szCs w:val="24"/>
          <w:u w:val="single"/>
        </w:rPr>
        <w:t xml:space="preserve">     </w:t>
      </w:r>
      <w:r>
        <w:rPr>
          <w:rFonts w:ascii="Times New Roman" w:hAnsi="Times New Roman" w:eastAsia="宋体"/>
          <w:kern w:val="2"/>
          <w:sz w:val="24"/>
          <w:szCs w:val="24"/>
        </w:rPr>
        <w:t>年</w:t>
      </w:r>
      <w:r>
        <w:rPr>
          <w:rFonts w:ascii="Times New Roman" w:hAnsi="Times New Roman" w:eastAsia="宋体"/>
          <w:kern w:val="2"/>
          <w:sz w:val="24"/>
          <w:szCs w:val="24"/>
          <w:u w:val="single"/>
        </w:rPr>
        <w:t xml:space="preserve">    </w:t>
      </w:r>
      <w:r>
        <w:rPr>
          <w:rFonts w:ascii="Times New Roman" w:hAnsi="Times New Roman" w:eastAsia="宋体"/>
          <w:kern w:val="2"/>
          <w:sz w:val="24"/>
          <w:szCs w:val="24"/>
        </w:rPr>
        <w:t>月</w:t>
      </w:r>
      <w:r>
        <w:rPr>
          <w:rFonts w:ascii="Times New Roman" w:hAnsi="Times New Roman" w:eastAsia="宋体"/>
          <w:kern w:val="2"/>
          <w:sz w:val="24"/>
          <w:szCs w:val="24"/>
          <w:u w:val="single"/>
        </w:rPr>
        <w:t xml:space="preserve">    </w:t>
      </w:r>
      <w:r>
        <w:rPr>
          <w:rFonts w:ascii="Times New Roman" w:hAnsi="Times New Roman" w:eastAsia="宋体"/>
          <w:kern w:val="2"/>
          <w:sz w:val="24"/>
          <w:szCs w:val="24"/>
        </w:rPr>
        <w:t>日</w:t>
      </w:r>
    </w:p>
    <w:p w14:paraId="03742B4C">
      <w:pPr>
        <w:pageBreakBefore w:val="0"/>
        <w:widowControl w:val="0"/>
        <w:tabs>
          <w:tab w:val="left" w:pos="4643"/>
        </w:tabs>
        <w:kinsoku/>
        <w:wordWrap/>
        <w:overflowPunct/>
        <w:topLinePunct w:val="0"/>
        <w:autoSpaceDE/>
        <w:autoSpaceDN/>
        <w:bidi w:val="0"/>
        <w:adjustRightInd/>
        <w:snapToGrid/>
        <w:spacing w:line="400" w:lineRule="exact"/>
        <w:ind w:firstLine="480" w:firstLineChars="200"/>
        <w:textAlignment w:val="auto"/>
        <w:rPr>
          <w:rFonts w:ascii="Times New Roman" w:hAnsi="Times New Roman" w:eastAsia="宋体"/>
          <w:kern w:val="2"/>
          <w:sz w:val="24"/>
          <w:szCs w:val="24"/>
        </w:rPr>
      </w:pPr>
      <w:r>
        <w:rPr>
          <w:rFonts w:ascii="Times New Roman" w:hAnsi="Times New Roman" w:eastAsia="宋体"/>
          <w:kern w:val="2"/>
          <w:sz w:val="24"/>
          <w:szCs w:val="24"/>
        </w:rPr>
        <w:tab/>
      </w:r>
      <w:r>
        <w:rPr>
          <w:rFonts w:ascii="Times New Roman" w:hAnsi="Times New Roman" w:eastAsia="宋体"/>
          <w:kern w:val="2"/>
          <w:sz w:val="24"/>
          <w:szCs w:val="24"/>
        </w:rPr>
        <w:t xml:space="preserve">       </w:t>
      </w:r>
    </w:p>
    <w:p w14:paraId="3FEFCB0A">
      <w:pPr>
        <w:pageBreakBefore w:val="0"/>
        <w:widowControl w:val="0"/>
        <w:kinsoku/>
        <w:wordWrap/>
        <w:overflowPunct/>
        <w:topLinePunct w:val="0"/>
        <w:autoSpaceDE/>
        <w:autoSpaceDN/>
        <w:bidi w:val="0"/>
        <w:adjustRightInd/>
        <w:snapToGrid/>
        <w:spacing w:line="400" w:lineRule="exact"/>
        <w:ind w:firstLine="482" w:firstLineChars="200"/>
        <w:textAlignment w:val="auto"/>
        <w:rPr>
          <w:rFonts w:ascii="Times New Roman" w:hAnsi="Times New Roman" w:eastAsia="宋体"/>
          <w:b/>
          <w:bCs/>
          <w:kern w:val="2"/>
          <w:sz w:val="24"/>
          <w:szCs w:val="24"/>
          <w:highlight w:val="yellow"/>
        </w:rPr>
      </w:pPr>
      <w:r>
        <w:rPr>
          <w:rFonts w:ascii="Times New Roman" w:hAnsi="Times New Roman" w:eastAsia="宋体"/>
          <w:b/>
          <w:bCs/>
          <w:kern w:val="2"/>
          <w:sz w:val="24"/>
          <w:szCs w:val="24"/>
          <w:highlight w:val="yellow"/>
        </w:rPr>
        <w:t>注：联合体协议书须由联合体各方法定代表人签字或盖章，并加盖联合体各方公章，否则按无效投标处理。</w:t>
      </w:r>
    </w:p>
    <w:p w14:paraId="57FA2E05">
      <w:pPr>
        <w:rPr>
          <w:rFonts w:ascii="Times New Roman" w:hAnsi="Times New Roman" w:eastAsia="宋体"/>
          <w:b/>
          <w:bCs/>
          <w:kern w:val="2"/>
          <w:sz w:val="24"/>
          <w:szCs w:val="24"/>
          <w:highlight w:val="yellow"/>
        </w:rPr>
      </w:pPr>
      <w:r>
        <w:rPr>
          <w:rFonts w:ascii="Times New Roman" w:hAnsi="Times New Roman" w:eastAsia="宋体"/>
          <w:b/>
          <w:bCs/>
          <w:kern w:val="2"/>
          <w:sz w:val="24"/>
          <w:szCs w:val="24"/>
          <w:highlight w:val="yellow"/>
        </w:rPr>
        <w:br w:type="page"/>
      </w:r>
    </w:p>
    <w:p w14:paraId="23D5B6A2">
      <w:pPr>
        <w:keepNext/>
        <w:keepLines/>
        <w:snapToGrid w:val="0"/>
        <w:spacing w:before="156" w:beforeLines="50" w:after="156" w:afterLines="50"/>
        <w:jc w:val="center"/>
        <w:outlineLvl w:val="3"/>
        <w:rPr>
          <w:rFonts w:ascii="Times New Roman" w:hAnsi="Times New Roman" w:eastAsia="宋体"/>
          <w:b/>
          <w:bCs/>
          <w:kern w:val="2"/>
          <w:sz w:val="32"/>
          <w:szCs w:val="32"/>
        </w:rPr>
      </w:pPr>
      <w:r>
        <w:rPr>
          <w:rFonts w:ascii="Times New Roman" w:hAnsi="Times New Roman" w:eastAsia="宋体"/>
          <w:b/>
          <w:bCs/>
          <w:kern w:val="2"/>
          <w:sz w:val="32"/>
          <w:szCs w:val="32"/>
        </w:rPr>
        <w:t>联合</w:t>
      </w:r>
      <w:r>
        <w:rPr>
          <w:rFonts w:hint="eastAsia" w:ascii="Times New Roman" w:hAnsi="Times New Roman" w:eastAsia="宋体"/>
          <w:b/>
          <w:bCs/>
          <w:kern w:val="2"/>
          <w:sz w:val="32"/>
          <w:szCs w:val="32"/>
        </w:rPr>
        <w:t>体</w:t>
      </w:r>
      <w:r>
        <w:rPr>
          <w:rFonts w:ascii="Times New Roman" w:hAnsi="Times New Roman" w:eastAsia="宋体"/>
          <w:b/>
          <w:bCs/>
          <w:kern w:val="2"/>
          <w:sz w:val="32"/>
          <w:szCs w:val="32"/>
        </w:rPr>
        <w:t>授权委托书</w:t>
      </w:r>
    </w:p>
    <w:p w14:paraId="301DD80C">
      <w:pPr>
        <w:spacing w:line="360" w:lineRule="auto"/>
        <w:ind w:firstLine="460" w:firstLineChars="192"/>
        <w:rPr>
          <w:rFonts w:ascii="Times New Roman" w:hAnsi="Times New Roman" w:eastAsia="宋体"/>
          <w:kern w:val="2"/>
          <w:sz w:val="24"/>
          <w:szCs w:val="24"/>
        </w:rPr>
      </w:pPr>
    </w:p>
    <w:p w14:paraId="6070E195">
      <w:pPr>
        <w:pStyle w:val="202"/>
        <w:jc w:val="both"/>
        <w:rPr>
          <w:rFonts w:ascii="宋体" w:hAnsi="宋体" w:eastAsia="宋体" w:cs="宋体"/>
          <w:kern w:val="2"/>
          <w:sz w:val="24"/>
          <w:szCs w:val="24"/>
        </w:rPr>
      </w:pPr>
      <w:r>
        <w:rPr>
          <w:rFonts w:hint="eastAsia" w:ascii="宋体" w:hAnsi="宋体" w:eastAsia="宋体" w:cs="宋体"/>
          <w:kern w:val="2"/>
          <w:sz w:val="24"/>
          <w:szCs w:val="24"/>
        </w:rPr>
        <w:t>鉴于我们已决定作为一家联合体的成员参加</w:t>
      </w:r>
      <w:r>
        <w:rPr>
          <w:rFonts w:hint="eastAsia" w:ascii="宋体" w:hAnsi="宋体" w:eastAsia="宋体" w:cs="宋体"/>
          <w:b/>
          <w:bCs/>
          <w:kern w:val="2"/>
          <w:sz w:val="24"/>
          <w:szCs w:val="24"/>
          <w:u w:val="single"/>
          <w:lang w:val="en-US" w:eastAsia="zh-CN" w:bidi="ar-SA"/>
        </w:rPr>
        <w:t>西环快速路数智交通智能化设施</w:t>
      </w:r>
      <w:r>
        <w:rPr>
          <w:rFonts w:hint="eastAsia" w:ascii="宋体" w:hAnsi="宋体" w:eastAsia="宋体" w:cs="宋体"/>
          <w:kern w:val="2"/>
          <w:sz w:val="24"/>
          <w:szCs w:val="24"/>
        </w:rPr>
        <w:t>（以下简称“项目”）的投标，我</w:t>
      </w:r>
      <w:r>
        <w:rPr>
          <w:rFonts w:hint="eastAsia" w:ascii="宋体" w:hAnsi="宋体" w:eastAsia="宋体" w:cs="宋体"/>
          <w:kern w:val="2"/>
          <w:sz w:val="24"/>
          <w:szCs w:val="24"/>
          <w:u w:val="single"/>
        </w:rPr>
        <w:t>[授权公司名称]</w:t>
      </w:r>
      <w:r>
        <w:rPr>
          <w:rFonts w:hint="eastAsia" w:ascii="宋体" w:hAnsi="宋体" w:eastAsia="宋体" w:cs="宋体"/>
          <w:kern w:val="2"/>
          <w:sz w:val="24"/>
          <w:szCs w:val="24"/>
        </w:rPr>
        <w:t>，一家根据中国法律设立的公司，其法定地址为</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，法定代表人</w:t>
      </w:r>
      <w:r>
        <w:rPr>
          <w:rFonts w:hint="eastAsia" w:ascii="宋体" w:hAnsi="宋体" w:eastAsia="宋体" w:cs="宋体"/>
          <w:kern w:val="2"/>
          <w:sz w:val="24"/>
          <w:szCs w:val="24"/>
          <w:u w:val="single"/>
        </w:rPr>
        <w:t>[姓名]</w:t>
      </w:r>
      <w:r>
        <w:rPr>
          <w:rFonts w:hint="eastAsia" w:ascii="宋体" w:hAnsi="宋体" w:eastAsia="宋体" w:cs="宋体"/>
          <w:kern w:val="2"/>
          <w:sz w:val="24"/>
          <w:szCs w:val="24"/>
        </w:rPr>
        <w:t>特此正式授权</w:t>
      </w:r>
      <w:r>
        <w:rPr>
          <w:rFonts w:hint="eastAsia" w:ascii="宋体" w:hAnsi="宋体" w:eastAsia="宋体" w:cs="宋体"/>
          <w:kern w:val="2"/>
          <w:sz w:val="24"/>
          <w:szCs w:val="24"/>
          <w:u w:val="single"/>
        </w:rPr>
        <w:t>[被授权公司名称]</w:t>
      </w:r>
      <w:r>
        <w:rPr>
          <w:rFonts w:hint="eastAsia" w:ascii="宋体" w:hAnsi="宋体" w:eastAsia="宋体" w:cs="宋体"/>
          <w:kern w:val="2"/>
          <w:sz w:val="24"/>
          <w:szCs w:val="24"/>
        </w:rPr>
        <w:t>，一家根据中国法律设立的公司，其法定地址在</w:t>
      </w:r>
      <w:r>
        <w:rPr>
          <w:rFonts w:hint="eastAsia" w:ascii="宋体" w:hAnsi="宋体" w:eastAsia="宋体" w:cs="宋体"/>
          <w:kern w:val="2"/>
          <w:sz w:val="24"/>
          <w:szCs w:val="24"/>
          <w:u w:val="single"/>
        </w:rPr>
        <w:t xml:space="preserve">          </w:t>
      </w:r>
      <w:r>
        <w:rPr>
          <w:rFonts w:hint="eastAsia" w:ascii="宋体" w:hAnsi="宋体" w:eastAsia="宋体" w:cs="宋体"/>
          <w:kern w:val="2"/>
          <w:sz w:val="24"/>
          <w:szCs w:val="24"/>
        </w:rPr>
        <w:t>，作为联合体的牵头方，合法代表我们签署任何文件，进行有关条款、条件的澄清与谈判，签署项目合同，接受指示和代表我们完成与项目有关的所有其他必要事宜。</w:t>
      </w:r>
    </w:p>
    <w:p w14:paraId="3C680A3B">
      <w:pPr>
        <w:spacing w:line="360" w:lineRule="auto"/>
        <w:ind w:firstLine="480" w:firstLineChars="200"/>
        <w:rPr>
          <w:rFonts w:ascii="宋体" w:hAnsi="宋体" w:eastAsia="宋体" w:cs="宋体"/>
          <w:kern w:val="2"/>
          <w:sz w:val="24"/>
          <w:szCs w:val="24"/>
        </w:rPr>
      </w:pPr>
      <w:r>
        <w:rPr>
          <w:rFonts w:hint="eastAsia" w:ascii="宋体" w:hAnsi="宋体" w:eastAsia="宋体" w:cs="宋体"/>
          <w:kern w:val="2"/>
          <w:sz w:val="24"/>
          <w:szCs w:val="24"/>
        </w:rPr>
        <w:t>我们与联合体的其他成员向贵方确认，联合体各方共同与采购人签订合同，就采购合同约定的事项对采购人承担连带责任。</w:t>
      </w:r>
    </w:p>
    <w:p w14:paraId="2D459364">
      <w:pPr>
        <w:spacing w:line="360" w:lineRule="auto"/>
        <w:rPr>
          <w:rFonts w:ascii="宋体" w:hAnsi="宋体" w:eastAsia="宋体" w:cs="宋体"/>
          <w:kern w:val="2"/>
          <w:sz w:val="24"/>
          <w:szCs w:val="24"/>
        </w:rPr>
      </w:pPr>
    </w:p>
    <w:p w14:paraId="5F94CCFF">
      <w:pPr>
        <w:spacing w:line="360" w:lineRule="auto"/>
        <w:rPr>
          <w:rFonts w:ascii="宋体" w:hAnsi="宋体" w:eastAsia="宋体" w:cs="宋体"/>
          <w:kern w:val="2"/>
          <w:sz w:val="24"/>
          <w:szCs w:val="24"/>
        </w:rPr>
      </w:pPr>
    </w:p>
    <w:p w14:paraId="54C1A45F">
      <w:pPr>
        <w:spacing w:line="360" w:lineRule="auto"/>
        <w:rPr>
          <w:rFonts w:ascii="宋体" w:hAnsi="宋体" w:eastAsia="宋体" w:cs="宋体"/>
          <w:kern w:val="2"/>
          <w:sz w:val="24"/>
          <w:szCs w:val="24"/>
        </w:rPr>
      </w:pPr>
      <w:r>
        <w:rPr>
          <w:rFonts w:hint="eastAsia" w:ascii="宋体" w:hAnsi="宋体" w:eastAsia="宋体" w:cs="宋体"/>
          <w:kern w:val="2"/>
          <w:sz w:val="24"/>
          <w:szCs w:val="24"/>
        </w:rPr>
        <w:t>由：公章[授权公司]</w:t>
      </w:r>
    </w:p>
    <w:p w14:paraId="718064E6">
      <w:pPr>
        <w:spacing w:line="360" w:lineRule="auto"/>
        <w:rPr>
          <w:rFonts w:ascii="宋体" w:hAnsi="宋体" w:eastAsia="宋体" w:cs="宋体"/>
          <w:kern w:val="2"/>
          <w:sz w:val="24"/>
          <w:szCs w:val="24"/>
        </w:rPr>
      </w:pPr>
    </w:p>
    <w:p w14:paraId="41D5FD21">
      <w:pPr>
        <w:spacing w:line="360" w:lineRule="auto"/>
        <w:rPr>
          <w:rFonts w:ascii="宋体" w:hAnsi="宋体" w:eastAsia="宋体" w:cs="宋体"/>
          <w:kern w:val="2"/>
          <w:sz w:val="24"/>
          <w:szCs w:val="24"/>
          <w:u w:val="single"/>
        </w:rPr>
      </w:pPr>
      <w:r>
        <w:rPr>
          <w:rFonts w:hint="eastAsia" w:ascii="宋体" w:hAnsi="宋体" w:eastAsia="宋体" w:cs="宋体"/>
          <w:kern w:val="2"/>
          <w:sz w:val="24"/>
          <w:szCs w:val="24"/>
          <w:u w:val="single"/>
        </w:rPr>
        <w:t>签字或盖章：[授权公司法定代表人]</w:t>
      </w:r>
    </w:p>
    <w:p w14:paraId="75C49EA5">
      <w:pPr>
        <w:spacing w:line="360" w:lineRule="auto"/>
        <w:rPr>
          <w:rFonts w:ascii="宋体" w:hAnsi="宋体" w:eastAsia="宋体" w:cs="宋体"/>
          <w:kern w:val="2"/>
          <w:sz w:val="24"/>
          <w:szCs w:val="24"/>
        </w:rPr>
      </w:pPr>
      <w:r>
        <w:rPr>
          <w:rFonts w:hint="eastAsia" w:ascii="宋体" w:hAnsi="宋体" w:eastAsia="宋体" w:cs="宋体"/>
          <w:kern w:val="2"/>
          <w:sz w:val="24"/>
          <w:szCs w:val="24"/>
        </w:rPr>
        <w:t>及</w:t>
      </w:r>
    </w:p>
    <w:p w14:paraId="6011CC2A">
      <w:pPr>
        <w:spacing w:line="360" w:lineRule="auto"/>
        <w:rPr>
          <w:rFonts w:ascii="宋体" w:hAnsi="宋体" w:eastAsia="宋体" w:cs="宋体"/>
          <w:kern w:val="2"/>
          <w:sz w:val="24"/>
          <w:szCs w:val="24"/>
        </w:rPr>
      </w:pPr>
      <w:r>
        <w:rPr>
          <w:rFonts w:hint="eastAsia" w:ascii="宋体" w:hAnsi="宋体" w:eastAsia="宋体" w:cs="宋体"/>
          <w:kern w:val="2"/>
          <w:sz w:val="24"/>
          <w:szCs w:val="24"/>
        </w:rPr>
        <w:t>由：公章[被授权公司]</w:t>
      </w:r>
    </w:p>
    <w:p w14:paraId="2AF53BDE">
      <w:pPr>
        <w:spacing w:line="360" w:lineRule="auto"/>
        <w:rPr>
          <w:rFonts w:ascii="宋体" w:hAnsi="宋体" w:eastAsia="宋体" w:cs="宋体"/>
          <w:kern w:val="2"/>
          <w:sz w:val="24"/>
          <w:szCs w:val="24"/>
        </w:rPr>
      </w:pPr>
    </w:p>
    <w:p w14:paraId="716A3CE3">
      <w:pPr>
        <w:spacing w:line="360" w:lineRule="auto"/>
        <w:rPr>
          <w:rFonts w:ascii="宋体" w:hAnsi="宋体" w:eastAsia="宋体" w:cs="宋体"/>
          <w:kern w:val="2"/>
          <w:sz w:val="24"/>
          <w:szCs w:val="24"/>
          <w:u w:val="single"/>
        </w:rPr>
      </w:pPr>
      <w:r>
        <w:rPr>
          <w:rFonts w:hint="eastAsia" w:ascii="宋体" w:hAnsi="宋体" w:eastAsia="宋体" w:cs="宋体"/>
          <w:kern w:val="2"/>
          <w:sz w:val="24"/>
          <w:szCs w:val="24"/>
          <w:u w:val="single"/>
        </w:rPr>
        <w:t>签字或盖章：[被授权公司法定代表人]</w:t>
      </w:r>
    </w:p>
    <w:p w14:paraId="14A3037C">
      <w:pPr>
        <w:spacing w:line="360" w:lineRule="auto"/>
        <w:rPr>
          <w:rFonts w:ascii="宋体" w:hAnsi="宋体" w:eastAsia="宋体" w:cs="宋体"/>
          <w:kern w:val="2"/>
          <w:sz w:val="24"/>
          <w:szCs w:val="24"/>
        </w:rPr>
      </w:pPr>
      <w:r>
        <w:rPr>
          <w:rFonts w:hint="eastAsia" w:ascii="宋体" w:hAnsi="宋体" w:eastAsia="宋体" w:cs="宋体"/>
          <w:kern w:val="2"/>
          <w:sz w:val="24"/>
          <w:szCs w:val="24"/>
        </w:rPr>
        <w:t>时间：</w:t>
      </w:r>
    </w:p>
    <w:p w14:paraId="7AF05707">
      <w:pPr>
        <w:autoSpaceDE w:val="0"/>
        <w:autoSpaceDN w:val="0"/>
        <w:adjustRightInd w:val="0"/>
        <w:spacing w:before="156" w:beforeLines="50" w:line="360" w:lineRule="auto"/>
        <w:rPr>
          <w:rFonts w:ascii="宋体" w:hAnsi="宋体" w:eastAsia="宋体" w:cs="宋体"/>
          <w:kern w:val="0"/>
          <w:sz w:val="24"/>
          <w:szCs w:val="24"/>
        </w:rPr>
      </w:pPr>
    </w:p>
    <w:p w14:paraId="56974786">
      <w:pPr>
        <w:spacing w:before="156" w:beforeLines="50" w:line="360" w:lineRule="auto"/>
        <w:rPr>
          <w:rFonts w:ascii="宋体" w:hAnsi="宋体" w:eastAsia="宋体" w:cs="宋体"/>
          <w:b/>
          <w:iCs/>
          <w:kern w:val="2"/>
          <w:sz w:val="24"/>
          <w:szCs w:val="24"/>
          <w:highlight w:val="yellow"/>
        </w:rPr>
      </w:pPr>
      <w:r>
        <w:rPr>
          <w:rFonts w:hint="eastAsia" w:ascii="宋体" w:hAnsi="宋体" w:eastAsia="宋体" w:cs="宋体"/>
          <w:b/>
          <w:iCs/>
          <w:kern w:val="2"/>
          <w:sz w:val="24"/>
          <w:szCs w:val="24"/>
          <w:highlight w:val="yellow"/>
        </w:rPr>
        <w:t>注：1、联合体授权委托书须由法定代表人签字或盖章，并加盖公章，且供应商须按上述要求及格式提供联合体授权委托书，否则，按无效投标处理。</w:t>
      </w:r>
    </w:p>
    <w:p w14:paraId="6B6AD615">
      <w:pPr>
        <w:rPr>
          <w:rFonts w:eastAsia="宋体"/>
          <w:highlight w:val="none"/>
        </w:rPr>
      </w:pPr>
    </w:p>
    <w:p w14:paraId="718E9A2F">
      <w:pPr>
        <w:rPr>
          <w:rStyle w:val="199"/>
          <w:rFonts w:ascii="宋体"/>
          <w:b/>
          <w:color w:val="auto"/>
          <w:sz w:val="28"/>
          <w:highlight w:val="none"/>
        </w:rPr>
      </w:pPr>
      <w:r>
        <w:rPr>
          <w:rStyle w:val="199"/>
          <w:rFonts w:ascii="宋体"/>
          <w:b/>
          <w:color w:val="auto"/>
          <w:sz w:val="28"/>
          <w:highlight w:val="none"/>
        </w:rPr>
        <w:br w:type="page"/>
      </w:r>
    </w:p>
    <w:p w14:paraId="7179AC79">
      <w:pPr>
        <w:pStyle w:val="277"/>
        <w:rPr>
          <w:rStyle w:val="199"/>
          <w:rFonts w:ascii="宋体"/>
          <w:b/>
          <w:color w:val="auto"/>
          <w:sz w:val="28"/>
          <w:highlight w:val="none"/>
        </w:rPr>
      </w:pPr>
    </w:p>
    <w:p w14:paraId="591757C3">
      <w:pPr>
        <w:pStyle w:val="249"/>
        <w:outlineLvl w:val="0"/>
        <w:rPr>
          <w:rStyle w:val="199"/>
          <w:rFonts w:ascii="宋体" w:hAnsi="宋体"/>
          <w:b/>
          <w:color w:val="auto"/>
          <w:sz w:val="28"/>
          <w:highlight w:val="none"/>
        </w:rPr>
      </w:pPr>
    </w:p>
    <w:p w14:paraId="15C95BB2">
      <w:pPr>
        <w:pStyle w:val="249"/>
        <w:outlineLvl w:val="0"/>
        <w:rPr>
          <w:rStyle w:val="199"/>
          <w:rFonts w:ascii="宋体" w:hAnsi="宋体"/>
          <w:b/>
          <w:color w:val="auto"/>
          <w:sz w:val="32"/>
          <w:highlight w:val="none"/>
        </w:rPr>
      </w:pPr>
      <w:bookmarkStart w:id="265" w:name="_Toc15093"/>
      <w:bookmarkStart w:id="266" w:name="_Toc13868"/>
      <w:r>
        <w:rPr>
          <w:rStyle w:val="199"/>
          <w:rFonts w:ascii="宋体" w:hAnsi="宋体"/>
          <w:b/>
          <w:color w:val="auto"/>
          <w:sz w:val="32"/>
          <w:highlight w:val="none"/>
        </w:rPr>
        <w:t>五、第四章项目需求中实质性要求响应对照表</w:t>
      </w:r>
      <w:bookmarkEnd w:id="265"/>
      <w:bookmarkEnd w:id="266"/>
    </w:p>
    <w:p w14:paraId="74B4654C">
      <w:pPr>
        <w:pStyle w:val="257"/>
        <w:spacing w:line="440" w:lineRule="exact"/>
        <w:rPr>
          <w:rFonts w:ascii="宋体" w:hAnsi="宋体" w:eastAsia="宋体"/>
          <w:b/>
          <w:bCs/>
          <w:color w:val="auto"/>
          <w:highlight w:val="none"/>
        </w:rPr>
      </w:pPr>
      <w:r>
        <w:rPr>
          <w:rFonts w:ascii="宋体" w:hAnsi="宋体" w:eastAsia="宋体"/>
          <w:b/>
          <w:bCs/>
          <w:color w:val="auto"/>
          <w:highlight w:val="none"/>
        </w:rPr>
        <w:t> </w:t>
      </w:r>
      <w:r>
        <w:rPr>
          <w:rFonts w:hint="eastAsia" w:ascii="宋体" w:hAnsi="宋体" w:eastAsia="宋体"/>
          <w:b/>
          <w:bCs/>
          <w:color w:val="auto"/>
          <w:highlight w:val="none"/>
        </w:rPr>
        <w:t>1、</w:t>
      </w:r>
      <w:bookmarkStart w:id="267" w:name="OLE_LINK13"/>
      <w:r>
        <w:rPr>
          <w:rFonts w:hint="eastAsia" w:ascii="宋体" w:hAnsi="宋体" w:eastAsia="宋体"/>
          <w:b/>
          <w:bCs/>
          <w:color w:val="auto"/>
          <w:highlight w:val="none"/>
        </w:rPr>
        <w:t>商务条款的实质性格式</w:t>
      </w:r>
      <w:r>
        <w:rPr>
          <w:rFonts w:ascii="宋体" w:hAnsi="宋体" w:eastAsia="宋体"/>
          <w:b/>
          <w:bCs/>
          <w:color w:val="auto"/>
          <w:highlight w:val="none"/>
        </w:rPr>
        <w:t xml:space="preserve"> </w:t>
      </w:r>
    </w:p>
    <w:tbl>
      <w:tblPr>
        <w:tblStyle w:val="31"/>
        <w:tblW w:w="8019"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04"/>
        <w:gridCol w:w="4444"/>
        <w:gridCol w:w="1662"/>
        <w:gridCol w:w="1409"/>
      </w:tblGrid>
      <w:tr w14:paraId="28104F7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686" w:hRule="atLeast"/>
        </w:trPr>
        <w:tc>
          <w:tcPr>
            <w:tcW w:w="504" w:type="dxa"/>
            <w:noWrap w:val="0"/>
            <w:tcMar>
              <w:top w:w="0" w:type="dxa"/>
              <w:left w:w="0" w:type="dxa"/>
              <w:bottom w:w="0" w:type="dxa"/>
              <w:right w:w="0" w:type="dxa"/>
            </w:tcMar>
            <w:vAlign w:val="center"/>
          </w:tcPr>
          <w:p w14:paraId="3D4986FD">
            <w:pPr>
              <w:pStyle w:val="257"/>
              <w:jc w:val="center"/>
              <w:rPr>
                <w:rFonts w:ascii="宋体" w:hAnsi="宋体" w:eastAsia="宋体"/>
                <w:color w:val="auto"/>
                <w:highlight w:val="none"/>
              </w:rPr>
            </w:pPr>
            <w:r>
              <w:rPr>
                <w:rFonts w:ascii="宋体" w:hAnsi="宋体" w:eastAsia="宋体"/>
                <w:color w:val="auto"/>
                <w:highlight w:val="none"/>
              </w:rPr>
              <w:t>序号</w:t>
            </w:r>
          </w:p>
        </w:tc>
        <w:tc>
          <w:tcPr>
            <w:tcW w:w="4444" w:type="dxa"/>
            <w:noWrap w:val="0"/>
            <w:tcMar>
              <w:top w:w="0" w:type="dxa"/>
              <w:left w:w="0" w:type="dxa"/>
              <w:bottom w:w="0" w:type="dxa"/>
              <w:right w:w="0" w:type="dxa"/>
            </w:tcMar>
            <w:vAlign w:val="center"/>
          </w:tcPr>
          <w:p w14:paraId="439D5629">
            <w:pPr>
              <w:pStyle w:val="257"/>
              <w:jc w:val="center"/>
              <w:rPr>
                <w:rFonts w:hint="eastAsia" w:ascii="宋体" w:hAnsi="宋体" w:eastAsia="宋体"/>
                <w:color w:val="auto"/>
                <w:highlight w:val="none"/>
              </w:rPr>
            </w:pPr>
            <w:r>
              <w:rPr>
                <w:rFonts w:hint="eastAsia" w:ascii="宋体" w:hAnsi="宋体" w:eastAsia="宋体"/>
                <w:color w:val="auto"/>
                <w:highlight w:val="none"/>
              </w:rPr>
              <w:t>商务条款</w:t>
            </w:r>
            <w:r>
              <w:rPr>
                <w:rFonts w:ascii="宋体" w:hAnsi="宋体" w:eastAsia="宋体"/>
                <w:color w:val="auto"/>
                <w:highlight w:val="none"/>
              </w:rPr>
              <w:t>的实质性要求</w:t>
            </w:r>
          </w:p>
          <w:p w14:paraId="5BC283E9">
            <w:pPr>
              <w:pStyle w:val="257"/>
              <w:jc w:val="center"/>
              <w:rPr>
                <w:rFonts w:hint="eastAsia" w:ascii="宋体" w:hAnsi="宋体"/>
                <w:i/>
                <w:color w:val="auto"/>
                <w:highlight w:val="none"/>
                <w:u w:val="singl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662" w:type="dxa"/>
            <w:noWrap w:val="0"/>
            <w:tcMar>
              <w:top w:w="0" w:type="dxa"/>
              <w:left w:w="0" w:type="dxa"/>
              <w:bottom w:w="0" w:type="dxa"/>
              <w:right w:w="0" w:type="dxa"/>
            </w:tcMar>
            <w:vAlign w:val="center"/>
          </w:tcPr>
          <w:p w14:paraId="0ABDCF8B">
            <w:pPr>
              <w:pStyle w:val="257"/>
              <w:jc w:val="center"/>
              <w:rPr>
                <w:rFonts w:hint="eastAsia" w:ascii="宋体" w:hAnsi="宋体" w:eastAsia="宋体"/>
                <w:color w:val="auto"/>
                <w:highlight w:val="none"/>
              </w:rPr>
            </w:pPr>
            <w:r>
              <w:rPr>
                <w:rFonts w:hint="eastAsia" w:ascii="宋体" w:hAnsi="宋体" w:eastAsia="宋体"/>
                <w:color w:val="auto"/>
                <w:highlight w:val="none"/>
              </w:rPr>
              <w:t>投标响应情况</w:t>
            </w:r>
          </w:p>
        </w:tc>
        <w:tc>
          <w:tcPr>
            <w:tcW w:w="1409" w:type="dxa"/>
            <w:noWrap w:val="0"/>
            <w:tcMar>
              <w:top w:w="0" w:type="dxa"/>
              <w:left w:w="0" w:type="dxa"/>
              <w:bottom w:w="0" w:type="dxa"/>
              <w:right w:w="0" w:type="dxa"/>
            </w:tcMar>
            <w:vAlign w:val="center"/>
          </w:tcPr>
          <w:p w14:paraId="2B01C769">
            <w:pPr>
              <w:pStyle w:val="257"/>
              <w:jc w:val="center"/>
              <w:rPr>
                <w:rFonts w:hint="eastAsia" w:ascii="宋体" w:hAnsi="宋体" w:eastAsia="宋体"/>
                <w:color w:val="auto"/>
                <w:highlight w:val="none"/>
              </w:rPr>
            </w:pPr>
            <w:r>
              <w:rPr>
                <w:rFonts w:hint="eastAsia" w:ascii="宋体" w:hAnsi="宋体" w:eastAsia="宋体"/>
                <w:color w:val="auto"/>
                <w:highlight w:val="none"/>
              </w:rPr>
              <w:t>正偏离、符合或负偏离</w:t>
            </w:r>
          </w:p>
        </w:tc>
      </w:tr>
      <w:tr w14:paraId="1D19C69D">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081639B3">
            <w:pPr>
              <w:pStyle w:val="257"/>
              <w:jc w:val="center"/>
              <w:rPr>
                <w:rFonts w:hint="eastAsia" w:ascii="宋体" w:hAnsi="宋体" w:eastAsia="宋体"/>
                <w:color w:val="auto"/>
                <w:highlight w:val="none"/>
              </w:rPr>
            </w:pPr>
            <w:r>
              <w:rPr>
                <w:rFonts w:hint="eastAsia" w:ascii="宋体" w:hAnsi="宋体" w:eastAsia="宋体"/>
                <w:color w:val="auto"/>
                <w:highlight w:val="none"/>
              </w:rPr>
              <w:t>1</w:t>
            </w:r>
          </w:p>
        </w:tc>
        <w:tc>
          <w:tcPr>
            <w:tcW w:w="4444" w:type="dxa"/>
            <w:noWrap w:val="0"/>
            <w:tcMar>
              <w:top w:w="0" w:type="dxa"/>
              <w:left w:w="0" w:type="dxa"/>
              <w:bottom w:w="0" w:type="dxa"/>
              <w:right w:w="0" w:type="dxa"/>
            </w:tcMar>
            <w:vAlign w:val="center"/>
          </w:tcPr>
          <w:p w14:paraId="54A01CCB">
            <w:pPr>
              <w:pStyle w:val="228"/>
              <w:spacing w:line="440" w:lineRule="exact"/>
              <w:ind w:firstLine="500"/>
              <w:rPr>
                <w:rFonts w:ascii="宋体" w:hAnsi="宋体" w:eastAsia="宋体"/>
                <w:i/>
                <w:color w:val="auto"/>
                <w:highlight w:val="none"/>
                <w:u w:val="single"/>
              </w:rPr>
            </w:pPr>
          </w:p>
        </w:tc>
        <w:tc>
          <w:tcPr>
            <w:tcW w:w="1662" w:type="dxa"/>
            <w:noWrap w:val="0"/>
            <w:tcMar>
              <w:top w:w="0" w:type="dxa"/>
              <w:left w:w="0" w:type="dxa"/>
              <w:bottom w:w="0" w:type="dxa"/>
              <w:right w:w="0" w:type="dxa"/>
            </w:tcMar>
            <w:vAlign w:val="center"/>
          </w:tcPr>
          <w:p w14:paraId="2C1C1335">
            <w:pPr>
              <w:pStyle w:val="257"/>
              <w:jc w:val="center"/>
              <w:rPr>
                <w:rFonts w:ascii="宋体" w:hAnsi="宋体" w:eastAsia="宋体"/>
                <w:color w:val="auto"/>
                <w:highlight w:val="none"/>
              </w:rPr>
            </w:pPr>
          </w:p>
        </w:tc>
        <w:tc>
          <w:tcPr>
            <w:tcW w:w="1409" w:type="dxa"/>
            <w:noWrap w:val="0"/>
            <w:tcMar>
              <w:top w:w="0" w:type="dxa"/>
              <w:left w:w="0" w:type="dxa"/>
              <w:bottom w:w="0" w:type="dxa"/>
              <w:right w:w="0" w:type="dxa"/>
            </w:tcMar>
            <w:vAlign w:val="center"/>
          </w:tcPr>
          <w:p w14:paraId="731500BD">
            <w:pPr>
              <w:pStyle w:val="257"/>
              <w:jc w:val="center"/>
              <w:rPr>
                <w:rFonts w:ascii="宋体" w:hAnsi="宋体" w:eastAsia="宋体"/>
                <w:color w:val="auto"/>
                <w:highlight w:val="none"/>
              </w:rPr>
            </w:pPr>
          </w:p>
        </w:tc>
      </w:tr>
      <w:tr w14:paraId="316A2E5B">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488" w:hRule="atLeast"/>
        </w:trPr>
        <w:tc>
          <w:tcPr>
            <w:tcW w:w="504" w:type="dxa"/>
            <w:noWrap w:val="0"/>
            <w:tcMar>
              <w:top w:w="0" w:type="dxa"/>
              <w:left w:w="0" w:type="dxa"/>
              <w:bottom w:w="0" w:type="dxa"/>
              <w:right w:w="0" w:type="dxa"/>
            </w:tcMar>
            <w:vAlign w:val="center"/>
          </w:tcPr>
          <w:p w14:paraId="7C52A9E9">
            <w:pPr>
              <w:pStyle w:val="257"/>
              <w:jc w:val="center"/>
              <w:rPr>
                <w:rFonts w:hint="eastAsia" w:ascii="宋体" w:hAnsi="宋体" w:eastAsia="宋体"/>
                <w:color w:val="auto"/>
                <w:highlight w:val="none"/>
              </w:rPr>
            </w:pPr>
            <w:r>
              <w:rPr>
                <w:rFonts w:hint="eastAsia" w:ascii="宋体" w:hAnsi="宋体" w:eastAsia="宋体"/>
                <w:color w:val="auto"/>
                <w:highlight w:val="none"/>
              </w:rPr>
              <w:t>2</w:t>
            </w:r>
          </w:p>
        </w:tc>
        <w:tc>
          <w:tcPr>
            <w:tcW w:w="4444" w:type="dxa"/>
            <w:noWrap w:val="0"/>
            <w:tcMar>
              <w:top w:w="0" w:type="dxa"/>
              <w:left w:w="0" w:type="dxa"/>
              <w:bottom w:w="0" w:type="dxa"/>
              <w:right w:w="0" w:type="dxa"/>
            </w:tcMar>
            <w:vAlign w:val="center"/>
          </w:tcPr>
          <w:p w14:paraId="7CA5A5EE">
            <w:pPr>
              <w:pStyle w:val="228"/>
              <w:spacing w:line="440" w:lineRule="exact"/>
              <w:ind w:firstLine="500"/>
              <w:rPr>
                <w:rFonts w:ascii="宋体" w:hAnsi="宋体" w:eastAsia="宋体"/>
                <w:color w:val="auto"/>
                <w:highlight w:val="none"/>
              </w:rPr>
            </w:pPr>
          </w:p>
        </w:tc>
        <w:tc>
          <w:tcPr>
            <w:tcW w:w="1662" w:type="dxa"/>
            <w:noWrap w:val="0"/>
            <w:tcMar>
              <w:top w:w="0" w:type="dxa"/>
              <w:left w:w="0" w:type="dxa"/>
              <w:bottom w:w="0" w:type="dxa"/>
              <w:right w:w="0" w:type="dxa"/>
            </w:tcMar>
            <w:vAlign w:val="center"/>
          </w:tcPr>
          <w:p w14:paraId="0D412C0C">
            <w:pPr>
              <w:pStyle w:val="257"/>
              <w:jc w:val="center"/>
              <w:rPr>
                <w:rFonts w:ascii="宋体" w:hAnsi="宋体" w:eastAsia="宋体"/>
                <w:color w:val="auto"/>
                <w:highlight w:val="none"/>
              </w:rPr>
            </w:pPr>
          </w:p>
        </w:tc>
        <w:tc>
          <w:tcPr>
            <w:tcW w:w="1409" w:type="dxa"/>
            <w:noWrap w:val="0"/>
            <w:tcMar>
              <w:top w:w="0" w:type="dxa"/>
              <w:left w:w="0" w:type="dxa"/>
              <w:bottom w:w="0" w:type="dxa"/>
              <w:right w:w="0" w:type="dxa"/>
            </w:tcMar>
            <w:vAlign w:val="center"/>
          </w:tcPr>
          <w:p w14:paraId="73ADF6EA">
            <w:pPr>
              <w:pStyle w:val="257"/>
              <w:jc w:val="center"/>
              <w:rPr>
                <w:rFonts w:ascii="宋体" w:hAnsi="宋体" w:eastAsia="宋体"/>
                <w:color w:val="auto"/>
                <w:highlight w:val="none"/>
              </w:rPr>
            </w:pPr>
          </w:p>
        </w:tc>
      </w:tr>
      <w:tr w14:paraId="7F6F1D95">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4" w:hRule="atLeast"/>
        </w:trPr>
        <w:tc>
          <w:tcPr>
            <w:tcW w:w="504" w:type="dxa"/>
            <w:noWrap w:val="0"/>
            <w:tcMar>
              <w:top w:w="0" w:type="dxa"/>
              <w:left w:w="0" w:type="dxa"/>
              <w:bottom w:w="0" w:type="dxa"/>
              <w:right w:w="0" w:type="dxa"/>
            </w:tcMar>
            <w:vAlign w:val="center"/>
          </w:tcPr>
          <w:p w14:paraId="36F278B9">
            <w:pPr>
              <w:pStyle w:val="257"/>
              <w:jc w:val="center"/>
              <w:rPr>
                <w:rFonts w:ascii="宋体" w:hAnsi="宋体" w:eastAsia="宋体"/>
                <w:color w:val="auto"/>
                <w:highlight w:val="none"/>
              </w:rPr>
            </w:pPr>
          </w:p>
        </w:tc>
        <w:tc>
          <w:tcPr>
            <w:tcW w:w="4444" w:type="dxa"/>
            <w:noWrap w:val="0"/>
            <w:tcMar>
              <w:top w:w="0" w:type="dxa"/>
              <w:left w:w="0" w:type="dxa"/>
              <w:bottom w:w="0" w:type="dxa"/>
              <w:right w:w="0" w:type="dxa"/>
            </w:tcMar>
            <w:vAlign w:val="center"/>
          </w:tcPr>
          <w:p w14:paraId="6DE53E56">
            <w:pPr>
              <w:pStyle w:val="228"/>
              <w:spacing w:line="440" w:lineRule="exact"/>
              <w:rPr>
                <w:rFonts w:hint="eastAsia" w:ascii="宋体" w:hAnsi="宋体" w:eastAsia="宋体"/>
                <w:color w:val="auto"/>
                <w:highlight w:val="none"/>
              </w:rPr>
            </w:pPr>
            <w:r>
              <w:rPr>
                <w:rFonts w:hint="eastAsia" w:ascii="宋体" w:hAnsi="宋体" w:eastAsia="宋体"/>
                <w:color w:val="auto"/>
                <w:highlight w:val="none"/>
              </w:rPr>
              <w:t>……</w:t>
            </w:r>
          </w:p>
        </w:tc>
        <w:tc>
          <w:tcPr>
            <w:tcW w:w="1662" w:type="dxa"/>
            <w:noWrap w:val="0"/>
            <w:tcMar>
              <w:top w:w="0" w:type="dxa"/>
              <w:left w:w="0" w:type="dxa"/>
              <w:bottom w:w="0" w:type="dxa"/>
              <w:right w:w="0" w:type="dxa"/>
            </w:tcMar>
            <w:vAlign w:val="center"/>
          </w:tcPr>
          <w:p w14:paraId="796BA7B4">
            <w:pPr>
              <w:pStyle w:val="257"/>
              <w:jc w:val="center"/>
              <w:rPr>
                <w:rFonts w:ascii="宋体" w:hAnsi="宋体" w:eastAsia="宋体"/>
                <w:color w:val="auto"/>
                <w:highlight w:val="none"/>
              </w:rPr>
            </w:pPr>
          </w:p>
        </w:tc>
        <w:tc>
          <w:tcPr>
            <w:tcW w:w="1409" w:type="dxa"/>
            <w:noWrap w:val="0"/>
            <w:tcMar>
              <w:top w:w="0" w:type="dxa"/>
              <w:left w:w="0" w:type="dxa"/>
              <w:bottom w:w="0" w:type="dxa"/>
              <w:right w:w="0" w:type="dxa"/>
            </w:tcMar>
            <w:vAlign w:val="center"/>
          </w:tcPr>
          <w:p w14:paraId="7D181530">
            <w:pPr>
              <w:pStyle w:val="257"/>
              <w:jc w:val="center"/>
              <w:rPr>
                <w:rFonts w:ascii="宋体" w:hAnsi="宋体" w:eastAsia="宋体"/>
                <w:color w:val="auto"/>
                <w:highlight w:val="none"/>
              </w:rPr>
            </w:pPr>
          </w:p>
        </w:tc>
      </w:tr>
    </w:tbl>
    <w:p w14:paraId="69D9C545">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5632D13B">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对商务</w:t>
      </w:r>
      <w:r>
        <w:rPr>
          <w:rFonts w:hint="eastAsia" w:ascii="宋体" w:hAnsi="宋体"/>
          <w:color w:val="auto"/>
          <w:sz w:val="24"/>
          <w:szCs w:val="24"/>
          <w:highlight w:val="none"/>
        </w:rPr>
        <w:t>条款</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bookmarkEnd w:id="267"/>
    <w:p w14:paraId="21C3FB64">
      <w:pPr>
        <w:pStyle w:val="257"/>
        <w:rPr>
          <w:rFonts w:ascii="宋体" w:hAnsi="宋体" w:eastAsia="宋体"/>
          <w:color w:val="auto"/>
          <w:highlight w:val="none"/>
        </w:rPr>
      </w:pPr>
    </w:p>
    <w:p w14:paraId="3764865D">
      <w:pPr>
        <w:pStyle w:val="257"/>
        <w:ind w:firstLine="482"/>
        <w:rPr>
          <w:rFonts w:ascii="宋体" w:hAnsi="宋体" w:eastAsia="宋体"/>
          <w:b/>
          <w:bCs/>
          <w:color w:val="auto"/>
          <w:highlight w:val="none"/>
        </w:rPr>
      </w:pPr>
    </w:p>
    <w:p w14:paraId="3D82DE1A">
      <w:pPr>
        <w:pStyle w:val="257"/>
        <w:ind w:firstLine="482"/>
        <w:rPr>
          <w:rFonts w:hint="eastAsia" w:ascii="宋体" w:hAnsi="宋体" w:eastAsia="宋体"/>
          <w:b/>
          <w:bCs/>
          <w:color w:val="auto"/>
          <w:highlight w:val="none"/>
        </w:rPr>
      </w:pPr>
      <w:r>
        <w:rPr>
          <w:rFonts w:hint="eastAsia" w:ascii="宋体" w:hAnsi="宋体" w:eastAsia="宋体"/>
          <w:b/>
          <w:bCs/>
          <w:color w:val="auto"/>
          <w:highlight w:val="none"/>
        </w:rPr>
        <w:t>2、</w:t>
      </w:r>
      <w:bookmarkStart w:id="268" w:name="OLE_LINK8"/>
      <w:bookmarkStart w:id="269" w:name="OLE_LINK14"/>
      <w:r>
        <w:rPr>
          <w:rFonts w:hint="eastAsia" w:ascii="宋体" w:hAnsi="宋体" w:eastAsia="宋体"/>
          <w:b/>
          <w:bCs/>
          <w:color w:val="auto"/>
          <w:highlight w:val="none"/>
        </w:rPr>
        <w:t>技术要求的实质性格式</w:t>
      </w:r>
    </w:p>
    <w:tbl>
      <w:tblPr>
        <w:tblStyle w:val="31"/>
        <w:tblW w:w="8052" w:type="dxa"/>
        <w:tblInd w:w="16"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474"/>
        <w:gridCol w:w="4510"/>
        <w:gridCol w:w="1534"/>
        <w:gridCol w:w="1534"/>
      </w:tblGrid>
      <w:tr w14:paraId="5212E884">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03" w:hRule="atLeast"/>
        </w:trPr>
        <w:tc>
          <w:tcPr>
            <w:tcW w:w="474" w:type="dxa"/>
            <w:noWrap w:val="0"/>
            <w:tcMar>
              <w:top w:w="0" w:type="dxa"/>
              <w:left w:w="0" w:type="dxa"/>
              <w:bottom w:w="0" w:type="dxa"/>
              <w:right w:w="0" w:type="dxa"/>
            </w:tcMar>
            <w:vAlign w:val="center"/>
          </w:tcPr>
          <w:p w14:paraId="074DB17A">
            <w:pPr>
              <w:pStyle w:val="257"/>
              <w:jc w:val="center"/>
              <w:rPr>
                <w:rFonts w:ascii="宋体" w:hAnsi="宋体" w:eastAsia="宋体"/>
                <w:color w:val="auto"/>
                <w:highlight w:val="none"/>
              </w:rPr>
            </w:pPr>
            <w:r>
              <w:rPr>
                <w:rFonts w:ascii="宋体" w:hAnsi="宋体" w:eastAsia="宋体"/>
                <w:color w:val="auto"/>
                <w:highlight w:val="none"/>
              </w:rPr>
              <w:t>序号</w:t>
            </w:r>
          </w:p>
        </w:tc>
        <w:tc>
          <w:tcPr>
            <w:tcW w:w="4510" w:type="dxa"/>
            <w:noWrap w:val="0"/>
            <w:tcMar>
              <w:top w:w="0" w:type="dxa"/>
              <w:left w:w="0" w:type="dxa"/>
              <w:bottom w:w="0" w:type="dxa"/>
              <w:right w:w="0" w:type="dxa"/>
            </w:tcMar>
            <w:vAlign w:val="center"/>
          </w:tcPr>
          <w:p w14:paraId="245D25F0">
            <w:pPr>
              <w:pStyle w:val="257"/>
              <w:jc w:val="center"/>
              <w:rPr>
                <w:rFonts w:hint="eastAsia" w:ascii="宋体" w:hAnsi="宋体" w:eastAsia="宋体"/>
                <w:color w:val="auto"/>
                <w:highlight w:val="none"/>
              </w:rPr>
            </w:pPr>
            <w:r>
              <w:rPr>
                <w:rFonts w:hint="eastAsia" w:ascii="宋体" w:hAnsi="宋体" w:eastAsia="宋体"/>
                <w:color w:val="auto"/>
                <w:highlight w:val="none"/>
              </w:rPr>
              <w:t>技术要求</w:t>
            </w:r>
            <w:r>
              <w:rPr>
                <w:rFonts w:ascii="宋体" w:hAnsi="宋体" w:eastAsia="宋体"/>
                <w:color w:val="auto"/>
                <w:highlight w:val="none"/>
              </w:rPr>
              <w:t>的实质性要求</w:t>
            </w:r>
          </w:p>
          <w:p w14:paraId="46C848EC">
            <w:pPr>
              <w:pStyle w:val="257"/>
              <w:jc w:val="center"/>
              <w:rPr>
                <w:rFonts w:hint="eastAsia" w:ascii="宋体" w:hAnsi="宋体"/>
                <w:i/>
                <w:color w:val="auto"/>
                <w:highlight w:val="none"/>
                <w:u w:val="single"/>
              </w:rPr>
            </w:pPr>
            <w:r>
              <w:rPr>
                <w:rFonts w:hint="eastAsia" w:ascii="宋体" w:hAnsi="宋体"/>
                <w:i/>
                <w:color w:val="auto"/>
                <w:highlight w:val="none"/>
                <w:u w:val="single"/>
              </w:rPr>
              <w:t>（加</w:t>
            </w:r>
            <w:r>
              <w:rPr>
                <w:rFonts w:ascii="宋体" w:hAnsi="宋体"/>
                <w:i/>
                <w:color w:val="auto"/>
                <w:highlight w:val="none"/>
                <w:u w:val="single"/>
              </w:rPr>
              <w:t>斜体下划线内容</w:t>
            </w:r>
            <w:r>
              <w:rPr>
                <w:rFonts w:hint="eastAsia" w:ascii="宋体" w:hAnsi="宋体"/>
                <w:i/>
                <w:color w:val="auto"/>
                <w:highlight w:val="none"/>
                <w:u w:val="single"/>
              </w:rPr>
              <w:t>）</w:t>
            </w:r>
          </w:p>
        </w:tc>
        <w:tc>
          <w:tcPr>
            <w:tcW w:w="1534" w:type="dxa"/>
            <w:noWrap w:val="0"/>
            <w:tcMar>
              <w:top w:w="0" w:type="dxa"/>
              <w:left w:w="0" w:type="dxa"/>
              <w:bottom w:w="0" w:type="dxa"/>
              <w:right w:w="0" w:type="dxa"/>
            </w:tcMar>
            <w:vAlign w:val="center"/>
          </w:tcPr>
          <w:p w14:paraId="643CD820">
            <w:pPr>
              <w:pStyle w:val="257"/>
              <w:jc w:val="center"/>
              <w:rPr>
                <w:rFonts w:hint="eastAsia" w:ascii="宋体" w:hAnsi="宋体" w:eastAsia="宋体"/>
                <w:color w:val="auto"/>
                <w:highlight w:val="none"/>
              </w:rPr>
            </w:pPr>
            <w:r>
              <w:rPr>
                <w:rFonts w:hint="eastAsia" w:ascii="宋体" w:hAnsi="宋体" w:eastAsia="宋体"/>
                <w:color w:val="auto"/>
                <w:highlight w:val="none"/>
              </w:rPr>
              <w:t>投标响应情况</w:t>
            </w:r>
          </w:p>
        </w:tc>
        <w:tc>
          <w:tcPr>
            <w:tcW w:w="1534" w:type="dxa"/>
            <w:noWrap w:val="0"/>
            <w:tcMar>
              <w:top w:w="0" w:type="dxa"/>
              <w:left w:w="0" w:type="dxa"/>
              <w:bottom w:w="0" w:type="dxa"/>
              <w:right w:w="0" w:type="dxa"/>
            </w:tcMar>
            <w:vAlign w:val="center"/>
          </w:tcPr>
          <w:p w14:paraId="7ED3BC4B">
            <w:pPr>
              <w:pStyle w:val="257"/>
              <w:jc w:val="center"/>
              <w:rPr>
                <w:rFonts w:hint="eastAsia" w:ascii="宋体" w:hAnsi="宋体" w:eastAsia="宋体"/>
                <w:color w:val="auto"/>
                <w:highlight w:val="none"/>
              </w:rPr>
            </w:pPr>
            <w:r>
              <w:rPr>
                <w:rFonts w:hint="eastAsia" w:ascii="宋体" w:hAnsi="宋体" w:eastAsia="宋体"/>
                <w:color w:val="auto"/>
                <w:highlight w:val="none"/>
              </w:rPr>
              <w:t>正偏离、符合或负偏离</w:t>
            </w:r>
          </w:p>
        </w:tc>
      </w:tr>
      <w:tr w14:paraId="34DEBEE1">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0AE238B8">
            <w:pPr>
              <w:pStyle w:val="257"/>
              <w:jc w:val="center"/>
              <w:rPr>
                <w:rFonts w:hint="eastAsia" w:ascii="宋体" w:hAnsi="宋体" w:eastAsia="宋体"/>
                <w:color w:val="auto"/>
                <w:highlight w:val="none"/>
              </w:rPr>
            </w:pPr>
            <w:r>
              <w:rPr>
                <w:rFonts w:hint="eastAsia" w:ascii="宋体" w:hAnsi="宋体" w:eastAsia="宋体"/>
                <w:color w:val="auto"/>
                <w:highlight w:val="none"/>
              </w:rPr>
              <w:t>1</w:t>
            </w:r>
          </w:p>
        </w:tc>
        <w:tc>
          <w:tcPr>
            <w:tcW w:w="4510" w:type="dxa"/>
            <w:noWrap w:val="0"/>
            <w:tcMar>
              <w:top w:w="0" w:type="dxa"/>
              <w:left w:w="0" w:type="dxa"/>
              <w:bottom w:w="0" w:type="dxa"/>
              <w:right w:w="0" w:type="dxa"/>
            </w:tcMar>
            <w:vAlign w:val="center"/>
          </w:tcPr>
          <w:p w14:paraId="59249CAB">
            <w:pPr>
              <w:pStyle w:val="257"/>
              <w:rPr>
                <w:rFonts w:ascii="宋体" w:hAnsi="宋体" w:eastAsia="宋体"/>
                <w:i/>
                <w:color w:val="auto"/>
                <w:highlight w:val="none"/>
                <w:u w:val="single"/>
              </w:rPr>
            </w:pPr>
          </w:p>
        </w:tc>
        <w:tc>
          <w:tcPr>
            <w:tcW w:w="1534" w:type="dxa"/>
            <w:noWrap w:val="0"/>
            <w:tcMar>
              <w:top w:w="0" w:type="dxa"/>
              <w:left w:w="0" w:type="dxa"/>
              <w:bottom w:w="0" w:type="dxa"/>
              <w:right w:w="0" w:type="dxa"/>
            </w:tcMar>
            <w:vAlign w:val="center"/>
          </w:tcPr>
          <w:p w14:paraId="498A7FEF">
            <w:pPr>
              <w:pStyle w:val="257"/>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083B3A5B">
            <w:pPr>
              <w:pStyle w:val="257"/>
              <w:jc w:val="center"/>
              <w:rPr>
                <w:rFonts w:ascii="宋体" w:hAnsi="宋体" w:eastAsia="宋体"/>
                <w:color w:val="auto"/>
                <w:highlight w:val="none"/>
              </w:rPr>
            </w:pPr>
          </w:p>
        </w:tc>
      </w:tr>
      <w:tr w14:paraId="03C68098">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486C2036">
            <w:pPr>
              <w:pStyle w:val="257"/>
              <w:jc w:val="center"/>
              <w:rPr>
                <w:rFonts w:hint="eastAsia" w:ascii="宋体" w:hAnsi="宋体" w:eastAsia="宋体"/>
                <w:color w:val="auto"/>
                <w:highlight w:val="none"/>
              </w:rPr>
            </w:pPr>
            <w:r>
              <w:rPr>
                <w:rFonts w:hint="eastAsia" w:ascii="宋体" w:hAnsi="宋体" w:eastAsia="宋体"/>
                <w:color w:val="auto"/>
                <w:highlight w:val="none"/>
              </w:rPr>
              <w:t>2</w:t>
            </w:r>
          </w:p>
        </w:tc>
        <w:tc>
          <w:tcPr>
            <w:tcW w:w="4510" w:type="dxa"/>
            <w:noWrap w:val="0"/>
            <w:tcMar>
              <w:top w:w="0" w:type="dxa"/>
              <w:left w:w="0" w:type="dxa"/>
              <w:bottom w:w="0" w:type="dxa"/>
              <w:right w:w="0" w:type="dxa"/>
            </w:tcMar>
            <w:vAlign w:val="center"/>
          </w:tcPr>
          <w:p w14:paraId="2DF9FAC1">
            <w:pPr>
              <w:pStyle w:val="257"/>
              <w:rPr>
                <w:rFonts w:ascii="宋体" w:hAnsi="宋体"/>
                <w:b/>
                <w:i/>
                <w:iCs/>
                <w:color w:val="auto"/>
                <w:highlight w:val="none"/>
                <w:u w:val="single"/>
              </w:rPr>
            </w:pPr>
          </w:p>
        </w:tc>
        <w:tc>
          <w:tcPr>
            <w:tcW w:w="1534" w:type="dxa"/>
            <w:noWrap w:val="0"/>
            <w:tcMar>
              <w:top w:w="0" w:type="dxa"/>
              <w:left w:w="0" w:type="dxa"/>
              <w:bottom w:w="0" w:type="dxa"/>
              <w:right w:w="0" w:type="dxa"/>
            </w:tcMar>
            <w:vAlign w:val="center"/>
          </w:tcPr>
          <w:p w14:paraId="4E9F5322">
            <w:pPr>
              <w:pStyle w:val="257"/>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6D35B661">
            <w:pPr>
              <w:pStyle w:val="257"/>
              <w:jc w:val="center"/>
              <w:rPr>
                <w:rFonts w:ascii="宋体" w:hAnsi="宋体" w:eastAsia="宋体"/>
                <w:color w:val="auto"/>
                <w:highlight w:val="none"/>
              </w:rPr>
            </w:pPr>
          </w:p>
        </w:tc>
      </w:tr>
      <w:tr w14:paraId="603E128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57" w:hRule="atLeast"/>
        </w:trPr>
        <w:tc>
          <w:tcPr>
            <w:tcW w:w="474" w:type="dxa"/>
            <w:noWrap w:val="0"/>
            <w:tcMar>
              <w:top w:w="0" w:type="dxa"/>
              <w:left w:w="0" w:type="dxa"/>
              <w:bottom w:w="0" w:type="dxa"/>
              <w:right w:w="0" w:type="dxa"/>
            </w:tcMar>
            <w:vAlign w:val="center"/>
          </w:tcPr>
          <w:p w14:paraId="550F56AD">
            <w:pPr>
              <w:pStyle w:val="257"/>
              <w:jc w:val="center"/>
              <w:rPr>
                <w:rFonts w:hint="eastAsia" w:ascii="宋体" w:hAnsi="宋体" w:eastAsia="宋体"/>
                <w:color w:val="auto"/>
                <w:highlight w:val="none"/>
              </w:rPr>
            </w:pPr>
            <w:r>
              <w:rPr>
                <w:rFonts w:hint="eastAsia" w:ascii="宋体" w:hAnsi="宋体" w:eastAsia="宋体"/>
                <w:color w:val="auto"/>
                <w:highlight w:val="none"/>
              </w:rPr>
              <w:t>3</w:t>
            </w:r>
          </w:p>
        </w:tc>
        <w:tc>
          <w:tcPr>
            <w:tcW w:w="4510" w:type="dxa"/>
            <w:noWrap w:val="0"/>
            <w:tcMar>
              <w:top w:w="0" w:type="dxa"/>
              <w:left w:w="0" w:type="dxa"/>
              <w:bottom w:w="0" w:type="dxa"/>
              <w:right w:w="0" w:type="dxa"/>
            </w:tcMar>
            <w:vAlign w:val="center"/>
          </w:tcPr>
          <w:p w14:paraId="6330B86B">
            <w:pPr>
              <w:pStyle w:val="257"/>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549A1B9A">
            <w:pPr>
              <w:pStyle w:val="257"/>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1A45EF24">
            <w:pPr>
              <w:pStyle w:val="257"/>
              <w:jc w:val="center"/>
              <w:rPr>
                <w:rFonts w:ascii="宋体" w:hAnsi="宋体" w:eastAsia="宋体"/>
                <w:color w:val="auto"/>
                <w:highlight w:val="none"/>
              </w:rPr>
            </w:pPr>
          </w:p>
        </w:tc>
      </w:tr>
      <w:tr w14:paraId="28D9646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269" w:hRule="atLeast"/>
        </w:trPr>
        <w:tc>
          <w:tcPr>
            <w:tcW w:w="474" w:type="dxa"/>
            <w:noWrap w:val="0"/>
            <w:tcMar>
              <w:top w:w="0" w:type="dxa"/>
              <w:left w:w="0" w:type="dxa"/>
              <w:bottom w:w="0" w:type="dxa"/>
              <w:right w:w="0" w:type="dxa"/>
            </w:tcMar>
            <w:vAlign w:val="center"/>
          </w:tcPr>
          <w:p w14:paraId="677BC764">
            <w:pPr>
              <w:pStyle w:val="257"/>
              <w:jc w:val="center"/>
              <w:rPr>
                <w:rFonts w:ascii="宋体" w:hAnsi="宋体" w:eastAsia="宋体"/>
                <w:color w:val="auto"/>
                <w:highlight w:val="none"/>
              </w:rPr>
            </w:pPr>
          </w:p>
        </w:tc>
        <w:tc>
          <w:tcPr>
            <w:tcW w:w="4510" w:type="dxa"/>
            <w:noWrap w:val="0"/>
            <w:tcMar>
              <w:top w:w="0" w:type="dxa"/>
              <w:left w:w="0" w:type="dxa"/>
              <w:bottom w:w="0" w:type="dxa"/>
              <w:right w:w="0" w:type="dxa"/>
            </w:tcMar>
            <w:vAlign w:val="center"/>
          </w:tcPr>
          <w:p w14:paraId="2EF32A87">
            <w:pPr>
              <w:pStyle w:val="257"/>
              <w:rPr>
                <w:rFonts w:hint="eastAsia" w:ascii="宋体" w:hAnsi="宋体" w:eastAsia="宋体"/>
                <w:color w:val="auto"/>
                <w:highlight w:val="none"/>
              </w:rPr>
            </w:pPr>
            <w:r>
              <w:rPr>
                <w:rFonts w:hint="eastAsia" w:ascii="宋体" w:hAnsi="宋体" w:eastAsia="宋体"/>
                <w:color w:val="auto"/>
                <w:highlight w:val="none"/>
              </w:rPr>
              <w:t>……</w:t>
            </w:r>
          </w:p>
        </w:tc>
        <w:tc>
          <w:tcPr>
            <w:tcW w:w="1534" w:type="dxa"/>
            <w:noWrap w:val="0"/>
            <w:tcMar>
              <w:top w:w="0" w:type="dxa"/>
              <w:left w:w="0" w:type="dxa"/>
              <w:bottom w:w="0" w:type="dxa"/>
              <w:right w:w="0" w:type="dxa"/>
            </w:tcMar>
            <w:vAlign w:val="center"/>
          </w:tcPr>
          <w:p w14:paraId="60F9FE32">
            <w:pPr>
              <w:pStyle w:val="257"/>
              <w:jc w:val="center"/>
              <w:rPr>
                <w:rFonts w:ascii="宋体" w:hAnsi="宋体" w:eastAsia="宋体"/>
                <w:color w:val="auto"/>
                <w:highlight w:val="none"/>
              </w:rPr>
            </w:pPr>
          </w:p>
        </w:tc>
        <w:tc>
          <w:tcPr>
            <w:tcW w:w="1534" w:type="dxa"/>
            <w:noWrap w:val="0"/>
            <w:tcMar>
              <w:top w:w="0" w:type="dxa"/>
              <w:left w:w="0" w:type="dxa"/>
              <w:bottom w:w="0" w:type="dxa"/>
              <w:right w:w="0" w:type="dxa"/>
            </w:tcMar>
            <w:vAlign w:val="center"/>
          </w:tcPr>
          <w:p w14:paraId="783088E3">
            <w:pPr>
              <w:pStyle w:val="257"/>
              <w:jc w:val="center"/>
              <w:rPr>
                <w:rFonts w:ascii="宋体" w:hAnsi="宋体" w:eastAsia="宋体"/>
                <w:color w:val="auto"/>
                <w:highlight w:val="none"/>
              </w:rPr>
            </w:pPr>
          </w:p>
        </w:tc>
      </w:tr>
    </w:tbl>
    <w:p w14:paraId="1B02CB45">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19BB8B8">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szCs w:val="24"/>
          <w:highlight w:val="none"/>
        </w:rPr>
        <w:t>技术要求</w:t>
      </w:r>
      <w:r>
        <w:rPr>
          <w:rFonts w:ascii="宋体" w:hAnsi="宋体"/>
          <w:color w:val="auto"/>
          <w:sz w:val="24"/>
          <w:szCs w:val="24"/>
          <w:highlight w:val="none"/>
        </w:rPr>
        <w:t>中的实质性要求</w:t>
      </w:r>
      <w:r>
        <w:rPr>
          <w:rFonts w:hint="eastAsia" w:ascii="宋体" w:hAnsi="宋体"/>
          <w:i/>
          <w:color w:val="auto"/>
          <w:sz w:val="24"/>
          <w:szCs w:val="24"/>
          <w:highlight w:val="none"/>
          <w:u w:val="single"/>
        </w:rPr>
        <w:t>（加</w:t>
      </w:r>
      <w:r>
        <w:rPr>
          <w:rFonts w:ascii="宋体" w:hAnsi="宋体"/>
          <w:i/>
          <w:color w:val="auto"/>
          <w:sz w:val="24"/>
          <w:szCs w:val="24"/>
          <w:highlight w:val="none"/>
          <w:u w:val="single"/>
        </w:rPr>
        <w:t>斜体下划线内容</w:t>
      </w:r>
      <w:r>
        <w:rPr>
          <w:rFonts w:hint="eastAsia" w:ascii="宋体" w:hAnsi="宋体"/>
          <w:i/>
          <w:color w:val="auto"/>
          <w:sz w:val="24"/>
          <w:szCs w:val="24"/>
          <w:highlight w:val="none"/>
          <w:u w:val="singl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否则该采购包作无效投标处理</w:t>
      </w:r>
      <w:r>
        <w:rPr>
          <w:rFonts w:ascii="宋体" w:hAnsi="宋体"/>
          <w:color w:val="auto"/>
          <w:sz w:val="24"/>
          <w:highlight w:val="none"/>
        </w:rPr>
        <w:t>。</w:t>
      </w:r>
    </w:p>
    <w:bookmarkEnd w:id="268"/>
    <w:p w14:paraId="030E3B02">
      <w:pPr>
        <w:spacing w:line="400" w:lineRule="exact"/>
        <w:rPr>
          <w:rStyle w:val="199"/>
          <w:rFonts w:ascii="Times New Roman" w:hAnsi="Times New Roman" w:eastAsia="Times New Roman"/>
          <w:color w:val="auto"/>
          <w:highlight w:val="none"/>
        </w:rPr>
      </w:pPr>
    </w:p>
    <w:bookmarkEnd w:id="269"/>
    <w:p w14:paraId="3390F4D8">
      <w:pPr>
        <w:pStyle w:val="258"/>
        <w:rPr>
          <w:rStyle w:val="199"/>
          <w:color w:val="auto"/>
          <w:highlight w:val="none"/>
        </w:rPr>
      </w:pPr>
      <w:r>
        <w:rPr>
          <w:rStyle w:val="199"/>
          <w:color w:val="auto"/>
          <w:highlight w:val="none"/>
        </w:rPr>
        <w:br w:type="page" w:clear="all"/>
      </w:r>
      <w:bookmarkStart w:id="270" w:name="_Toc256000018"/>
      <w:bookmarkEnd w:id="270"/>
    </w:p>
    <w:p w14:paraId="2D45F4A8">
      <w:pPr>
        <w:pStyle w:val="249"/>
        <w:outlineLvl w:val="1"/>
        <w:rPr>
          <w:rStyle w:val="199"/>
          <w:rFonts w:hint="eastAsia" w:ascii="宋体" w:hAnsi="宋体"/>
          <w:b/>
          <w:color w:val="auto"/>
          <w:sz w:val="32"/>
          <w:highlight w:val="none"/>
        </w:rPr>
      </w:pPr>
      <w:bookmarkStart w:id="271" w:name="_Toc23281"/>
      <w:bookmarkStart w:id="272" w:name="_Toc31328"/>
      <w:r>
        <w:rPr>
          <w:rStyle w:val="199"/>
          <w:rFonts w:hint="eastAsia" w:ascii="宋体" w:hAnsi="宋体"/>
          <w:b/>
          <w:color w:val="auto"/>
          <w:sz w:val="32"/>
          <w:highlight w:val="none"/>
        </w:rPr>
        <w:t>六、</w:t>
      </w:r>
      <w:bookmarkEnd w:id="271"/>
      <w:bookmarkEnd w:id="272"/>
      <w:r>
        <w:rPr>
          <w:rFonts w:ascii="宋体" w:hAnsi="宋体" w:eastAsia="宋体"/>
          <w:b/>
          <w:color w:val="auto"/>
          <w:sz w:val="32"/>
          <w:highlight w:val="none"/>
        </w:rPr>
        <w:t>投标配置及分项报价表</w:t>
      </w:r>
    </w:p>
    <w:p w14:paraId="1FB7CB98">
      <w:pPr>
        <w:pStyle w:val="257"/>
        <w:spacing w:line="440" w:lineRule="exact"/>
        <w:rPr>
          <w:rFonts w:ascii="宋体" w:hAnsi="宋体" w:eastAsia="宋体"/>
          <w:color w:val="auto"/>
          <w:highlight w:val="none"/>
        </w:rPr>
      </w:pPr>
      <w:r>
        <w:rPr>
          <w:rFonts w:ascii="宋体" w:hAnsi="宋体" w:eastAsia="宋体"/>
          <w:color w:val="auto"/>
          <w:highlight w:val="none"/>
        </w:rPr>
        <w:t xml:space="preserve">﻿ </w:t>
      </w:r>
    </w:p>
    <w:p w14:paraId="6EED843F">
      <w:pPr>
        <w:pStyle w:val="257"/>
        <w:spacing w:before="400" w:after="400" w:line="300" w:lineRule="auto"/>
        <w:ind w:firstLine="420"/>
        <w:jc w:val="center"/>
        <w:rPr>
          <w:rFonts w:ascii="黑体" w:hAnsi="黑体" w:eastAsia="黑体"/>
          <w:b/>
          <w:bCs/>
          <w:color w:val="auto"/>
          <w:sz w:val="40"/>
          <w:szCs w:val="40"/>
          <w:highlight w:val="none"/>
        </w:rPr>
      </w:pPr>
      <w:r>
        <w:rPr>
          <w:rFonts w:ascii="黑体" w:hAnsi="黑体" w:eastAsia="黑体"/>
          <w:b/>
          <w:bCs/>
          <w:color w:val="auto"/>
          <w:sz w:val="40"/>
          <w:szCs w:val="40"/>
          <w:highlight w:val="none"/>
        </w:rPr>
        <w:t xml:space="preserve">投标配置及分项报价表 </w:t>
      </w:r>
    </w:p>
    <w:p w14:paraId="0144A9D4">
      <w:pPr>
        <w:pStyle w:val="257"/>
        <w:spacing w:before="240" w:after="240"/>
        <w:rPr>
          <w:rFonts w:ascii="宋体" w:hAnsi="宋体" w:eastAsia="宋体"/>
          <w:color w:val="auto"/>
          <w:highlight w:val="none"/>
        </w:rPr>
      </w:pPr>
      <w:r>
        <w:rPr>
          <w:rFonts w:ascii="宋体" w:hAnsi="宋体" w:eastAsia="宋体"/>
          <w:color w:val="auto"/>
          <w:highlight w:val="none"/>
        </w:rPr>
        <w:t xml:space="preserve">  </w:t>
      </w:r>
    </w:p>
    <w:tbl>
      <w:tblPr>
        <w:tblStyle w:val="31"/>
        <w:tblW w:w="876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0" w:type="dxa"/>
          <w:bottom w:w="0" w:type="dxa"/>
          <w:right w:w="0" w:type="dxa"/>
        </w:tblCellMar>
      </w:tblPr>
      <w:tblGrid>
        <w:gridCol w:w="367"/>
        <w:gridCol w:w="1401"/>
        <w:gridCol w:w="923"/>
        <w:gridCol w:w="764"/>
        <w:gridCol w:w="923"/>
        <w:gridCol w:w="923"/>
        <w:gridCol w:w="923"/>
        <w:gridCol w:w="446"/>
        <w:gridCol w:w="1149"/>
        <w:gridCol w:w="945"/>
      </w:tblGrid>
      <w:tr w14:paraId="79B0D53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02D7A0">
            <w:pPr>
              <w:pStyle w:val="257"/>
              <w:jc w:val="center"/>
              <w:rPr>
                <w:rFonts w:ascii="宋体" w:hAnsi="宋体" w:eastAsia="宋体"/>
                <w:color w:val="auto"/>
                <w:highlight w:val="none"/>
              </w:rPr>
            </w:pPr>
            <w:r>
              <w:rPr>
                <w:rFonts w:ascii="宋体" w:hAnsi="宋体" w:eastAsia="宋体"/>
                <w:color w:val="auto"/>
                <w:highlight w:val="none"/>
              </w:rPr>
              <w:t>序号</w:t>
            </w: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6754B1">
            <w:pPr>
              <w:pStyle w:val="257"/>
              <w:jc w:val="center"/>
              <w:rPr>
                <w:rFonts w:ascii="宋体" w:hAnsi="宋体" w:eastAsia="宋体"/>
                <w:color w:val="auto"/>
                <w:highlight w:val="none"/>
              </w:rPr>
            </w:pPr>
            <w:r>
              <w:rPr>
                <w:rFonts w:ascii="宋体" w:hAnsi="宋体" w:eastAsia="宋体"/>
                <w:color w:val="auto"/>
                <w:highlight w:val="none"/>
              </w:rPr>
              <w:t>设备名称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D57045">
            <w:pPr>
              <w:pStyle w:val="257"/>
              <w:jc w:val="center"/>
              <w:rPr>
                <w:rFonts w:hint="eastAsia" w:ascii="宋体" w:hAnsi="宋体" w:eastAsia="宋体"/>
                <w:color w:val="auto"/>
                <w:highlight w:val="none"/>
              </w:rPr>
            </w:pPr>
            <w:r>
              <w:rPr>
                <w:rFonts w:hint="eastAsia" w:ascii="宋体" w:hAnsi="宋体" w:eastAsia="宋体"/>
                <w:color w:val="auto"/>
                <w:highlight w:val="none"/>
              </w:rPr>
              <w:t>品牌</w:t>
            </w: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810A061">
            <w:pPr>
              <w:pStyle w:val="257"/>
              <w:jc w:val="center"/>
              <w:rPr>
                <w:rFonts w:ascii="宋体" w:hAnsi="宋体" w:eastAsia="宋体"/>
                <w:color w:val="auto"/>
                <w:highlight w:val="none"/>
              </w:rPr>
            </w:pPr>
            <w:r>
              <w:rPr>
                <w:rFonts w:ascii="宋体" w:hAnsi="宋体" w:eastAsia="宋体"/>
                <w:color w:val="auto"/>
                <w:highlight w:val="none"/>
              </w:rPr>
              <w:t>规格型号</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9DB1BA">
            <w:pPr>
              <w:pStyle w:val="257"/>
              <w:jc w:val="center"/>
              <w:rPr>
                <w:rFonts w:ascii="宋体" w:hAnsi="宋体" w:eastAsia="宋体"/>
                <w:color w:val="auto"/>
                <w:highlight w:val="none"/>
              </w:rPr>
            </w:pPr>
            <w:r>
              <w:rPr>
                <w:rFonts w:ascii="宋体" w:hAnsi="宋体" w:eastAsia="宋体"/>
                <w:color w:val="auto"/>
                <w:highlight w:val="none"/>
              </w:rPr>
              <w:t>制造厂商</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C3B706">
            <w:pPr>
              <w:pStyle w:val="257"/>
              <w:jc w:val="center"/>
              <w:rPr>
                <w:rFonts w:ascii="宋体" w:hAnsi="宋体" w:eastAsia="宋体"/>
                <w:color w:val="auto"/>
                <w:highlight w:val="none"/>
              </w:rPr>
            </w:pPr>
            <w:r>
              <w:rPr>
                <w:rFonts w:ascii="宋体" w:hAnsi="宋体" w:eastAsia="宋体"/>
                <w:color w:val="auto"/>
                <w:highlight w:val="none"/>
              </w:rPr>
              <w:t>产地</w:t>
            </w: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069D250">
            <w:pPr>
              <w:pStyle w:val="257"/>
              <w:jc w:val="center"/>
              <w:rPr>
                <w:rFonts w:ascii="宋体" w:hAnsi="宋体" w:eastAsia="宋体"/>
                <w:color w:val="auto"/>
                <w:highlight w:val="none"/>
              </w:rPr>
            </w:pPr>
            <w:r>
              <w:rPr>
                <w:rFonts w:ascii="宋体" w:hAnsi="宋体" w:eastAsia="宋体"/>
                <w:color w:val="auto"/>
                <w:highlight w:val="none"/>
              </w:rPr>
              <w:t>数量</w:t>
            </w: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42BB812">
            <w:pPr>
              <w:pStyle w:val="257"/>
              <w:jc w:val="center"/>
              <w:rPr>
                <w:rFonts w:ascii="宋体" w:hAnsi="宋体" w:eastAsia="宋体"/>
                <w:color w:val="auto"/>
                <w:highlight w:val="none"/>
              </w:rPr>
            </w:pPr>
            <w:r>
              <w:rPr>
                <w:rFonts w:ascii="宋体" w:hAnsi="宋体" w:eastAsia="宋体"/>
                <w:color w:val="auto"/>
                <w:highlight w:val="none"/>
              </w:rPr>
              <w:t>单位</w:t>
            </w: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B9A35CE">
            <w:pPr>
              <w:pStyle w:val="257"/>
              <w:jc w:val="center"/>
              <w:rPr>
                <w:rFonts w:ascii="宋体" w:hAnsi="宋体" w:eastAsia="宋体"/>
                <w:color w:val="auto"/>
                <w:highlight w:val="none"/>
              </w:rPr>
            </w:pPr>
            <w:r>
              <w:rPr>
                <w:rFonts w:ascii="宋体" w:hAnsi="宋体" w:eastAsia="宋体"/>
                <w:color w:val="auto"/>
                <w:highlight w:val="none"/>
              </w:rPr>
              <w:t>单价（元）</w:t>
            </w: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7B83C91">
            <w:pPr>
              <w:pStyle w:val="257"/>
              <w:jc w:val="center"/>
              <w:rPr>
                <w:rFonts w:ascii="宋体" w:hAnsi="宋体" w:eastAsia="宋体"/>
                <w:color w:val="auto"/>
                <w:highlight w:val="none"/>
              </w:rPr>
            </w:pPr>
            <w:r>
              <w:rPr>
                <w:rFonts w:ascii="宋体" w:hAnsi="宋体" w:eastAsia="宋体"/>
                <w:color w:val="auto"/>
                <w:highlight w:val="none"/>
              </w:rPr>
              <w:t>总价（元）</w:t>
            </w:r>
          </w:p>
        </w:tc>
      </w:tr>
      <w:tr w14:paraId="753CFF6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9AD9EE9">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5722093">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DFBD11">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0C76C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8B4DB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930763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584BAE1">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3965ED">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F4B5908">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74118E">
            <w:pPr>
              <w:pStyle w:val="257"/>
              <w:jc w:val="center"/>
              <w:rPr>
                <w:rFonts w:ascii="宋体" w:hAnsi="宋体" w:eastAsia="宋体"/>
                <w:color w:val="auto"/>
                <w:highlight w:val="none"/>
              </w:rPr>
            </w:pPr>
          </w:p>
        </w:tc>
      </w:tr>
      <w:tr w14:paraId="0BD42BE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B4E7972">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17D6A9">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4CFE65">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6F5B7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ACC40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BE1370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B112A8A">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E5C2A0">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07EE30">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1A475E">
            <w:pPr>
              <w:pStyle w:val="257"/>
              <w:jc w:val="center"/>
              <w:rPr>
                <w:rFonts w:ascii="宋体" w:hAnsi="宋体" w:eastAsia="宋体"/>
                <w:color w:val="auto"/>
                <w:highlight w:val="none"/>
              </w:rPr>
            </w:pPr>
          </w:p>
        </w:tc>
      </w:tr>
      <w:tr w14:paraId="31D0F6B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EDE133">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6860D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06BA15">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60B25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402F9D">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D32D31D">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FF26EA">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F0AC0E">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7C8889">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DB02577">
            <w:pPr>
              <w:pStyle w:val="257"/>
              <w:jc w:val="center"/>
              <w:rPr>
                <w:rFonts w:ascii="宋体" w:hAnsi="宋体" w:eastAsia="宋体"/>
                <w:color w:val="auto"/>
                <w:highlight w:val="none"/>
              </w:rPr>
            </w:pPr>
          </w:p>
        </w:tc>
      </w:tr>
      <w:tr w14:paraId="3EA2E7A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3CBBDF">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7595F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DB0023">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FDEA5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8F070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548DA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A8B5E76">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9322C3">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D66A965">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641DAC0">
            <w:pPr>
              <w:pStyle w:val="257"/>
              <w:jc w:val="center"/>
              <w:rPr>
                <w:rFonts w:ascii="宋体" w:hAnsi="宋体" w:eastAsia="宋体"/>
                <w:color w:val="auto"/>
                <w:highlight w:val="none"/>
              </w:rPr>
            </w:pPr>
          </w:p>
        </w:tc>
      </w:tr>
      <w:tr w14:paraId="5B1FFF1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B82241F">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F9CC1E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A90298">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1E2199">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274E1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6F614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DEEADF">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21B688">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09CCFD2">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52B41D">
            <w:pPr>
              <w:pStyle w:val="257"/>
              <w:jc w:val="center"/>
              <w:rPr>
                <w:rFonts w:ascii="宋体" w:hAnsi="宋体" w:eastAsia="宋体"/>
                <w:color w:val="auto"/>
                <w:highlight w:val="none"/>
              </w:rPr>
            </w:pPr>
          </w:p>
        </w:tc>
      </w:tr>
      <w:tr w14:paraId="620B8730">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288106">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2AC4F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DF9FF9">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3354EC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8F286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5AE68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7C26A4">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AA62326">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4E586BC">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5E0CDB">
            <w:pPr>
              <w:pStyle w:val="257"/>
              <w:jc w:val="center"/>
              <w:rPr>
                <w:rFonts w:ascii="宋体" w:hAnsi="宋体" w:eastAsia="宋体"/>
                <w:color w:val="auto"/>
                <w:highlight w:val="none"/>
              </w:rPr>
            </w:pPr>
          </w:p>
        </w:tc>
      </w:tr>
      <w:tr w14:paraId="2132021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696053">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609056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42F9E9">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B907E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27CAD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3A67E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8F54EF">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F7BBF05">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0AF3A7">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755DD6">
            <w:pPr>
              <w:pStyle w:val="257"/>
              <w:jc w:val="center"/>
              <w:rPr>
                <w:rFonts w:ascii="宋体" w:hAnsi="宋体" w:eastAsia="宋体"/>
                <w:color w:val="auto"/>
                <w:highlight w:val="none"/>
              </w:rPr>
            </w:pPr>
          </w:p>
        </w:tc>
      </w:tr>
      <w:tr w14:paraId="12225D1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E4C7C3">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CA58B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01C8BC">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22575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704B2A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C7618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96FFE59">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ED0060">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CC09E8">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584914">
            <w:pPr>
              <w:pStyle w:val="257"/>
              <w:jc w:val="center"/>
              <w:rPr>
                <w:rFonts w:ascii="宋体" w:hAnsi="宋体" w:eastAsia="宋体"/>
                <w:color w:val="auto"/>
                <w:highlight w:val="none"/>
              </w:rPr>
            </w:pPr>
          </w:p>
        </w:tc>
      </w:tr>
      <w:tr w14:paraId="5BD4E02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D16A01D">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BF1BD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E166643">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F7141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E21E4E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D9207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112191">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35C2F2B">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38D3038">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0B76FC">
            <w:pPr>
              <w:pStyle w:val="257"/>
              <w:jc w:val="center"/>
              <w:rPr>
                <w:rFonts w:ascii="宋体" w:hAnsi="宋体" w:eastAsia="宋体"/>
                <w:color w:val="auto"/>
                <w:highlight w:val="none"/>
              </w:rPr>
            </w:pPr>
          </w:p>
        </w:tc>
      </w:tr>
      <w:tr w14:paraId="38EA08D3">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FC1E62">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B567C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A999B65">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21C327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19F8EB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6EB648">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4676A44">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2C4B7D4">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D076A2">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7C98BE5">
            <w:pPr>
              <w:pStyle w:val="257"/>
              <w:jc w:val="center"/>
              <w:rPr>
                <w:rFonts w:ascii="宋体" w:hAnsi="宋体" w:eastAsia="宋体"/>
                <w:color w:val="auto"/>
                <w:highlight w:val="none"/>
              </w:rPr>
            </w:pPr>
          </w:p>
        </w:tc>
      </w:tr>
      <w:tr w14:paraId="31DDF45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9FAEFF7">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B9B33B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BCBA4DD">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28687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EF6F2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846F0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FE73ABE">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EC97D7F">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7032043">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C44494">
            <w:pPr>
              <w:pStyle w:val="257"/>
              <w:jc w:val="center"/>
              <w:rPr>
                <w:rFonts w:ascii="宋体" w:hAnsi="宋体" w:eastAsia="宋体"/>
                <w:color w:val="auto"/>
                <w:highlight w:val="none"/>
              </w:rPr>
            </w:pPr>
          </w:p>
        </w:tc>
      </w:tr>
      <w:tr w14:paraId="3AD0BBC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EB73E3E">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508CC47">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8ECDDC5">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1BF519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A18BD31">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04803E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095B771">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396EEEB">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A14D684">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D99E0B">
            <w:pPr>
              <w:pStyle w:val="257"/>
              <w:jc w:val="center"/>
              <w:rPr>
                <w:rFonts w:ascii="宋体" w:hAnsi="宋体" w:eastAsia="宋体"/>
                <w:color w:val="auto"/>
                <w:highlight w:val="none"/>
              </w:rPr>
            </w:pPr>
          </w:p>
        </w:tc>
      </w:tr>
      <w:tr w14:paraId="5CBA99F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366ECD1">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5E5F815">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2B63DB">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0BD33FF">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CAF75AE">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E96CD9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D664B2">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532601">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80FBD6D">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37755D">
            <w:pPr>
              <w:pStyle w:val="257"/>
              <w:jc w:val="center"/>
              <w:rPr>
                <w:rFonts w:ascii="宋体" w:hAnsi="宋体" w:eastAsia="宋体"/>
                <w:color w:val="auto"/>
                <w:highlight w:val="none"/>
              </w:rPr>
            </w:pPr>
          </w:p>
        </w:tc>
      </w:tr>
      <w:tr w14:paraId="676FBC7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576B5E">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5AA09BD">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D28DC90">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CED97CA">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B366424">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9914EC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77FE446">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682E82A">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2FE3BBC">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F151DA8">
            <w:pPr>
              <w:pStyle w:val="257"/>
              <w:jc w:val="center"/>
              <w:rPr>
                <w:rFonts w:ascii="宋体" w:hAnsi="宋体" w:eastAsia="宋体"/>
                <w:color w:val="auto"/>
                <w:highlight w:val="none"/>
              </w:rPr>
            </w:pPr>
          </w:p>
        </w:tc>
      </w:tr>
      <w:tr w14:paraId="0743705D">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876915C">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0E5623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6297775D">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CE13C19">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13BBB1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5B0AE8C">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CF1B72F">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D2D8D8E">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5904825">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6E5B4CD">
            <w:pPr>
              <w:pStyle w:val="257"/>
              <w:jc w:val="center"/>
              <w:rPr>
                <w:rFonts w:ascii="宋体" w:hAnsi="宋体" w:eastAsia="宋体"/>
                <w:color w:val="auto"/>
                <w:highlight w:val="none"/>
              </w:rPr>
            </w:pPr>
          </w:p>
        </w:tc>
      </w:tr>
      <w:tr w14:paraId="066553A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791A3127">
            <w:pPr>
              <w:pStyle w:val="257"/>
              <w:jc w:val="center"/>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188D7EB">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02B4B2">
            <w:pPr>
              <w:pStyle w:val="257"/>
              <w:jc w:val="center"/>
              <w:rPr>
                <w:rFonts w:ascii="宋体" w:hAnsi="宋体" w:eastAsia="宋体"/>
                <w:color w:val="auto"/>
                <w:highlight w:val="none"/>
              </w:rPr>
            </w:pPr>
          </w:p>
        </w:tc>
        <w:tc>
          <w:tcPr>
            <w:tcW w:w="764"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F9543B0">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4336D42">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44EFE26">
            <w:pPr>
              <w:pStyle w:val="257"/>
              <w:jc w:val="center"/>
              <w:rPr>
                <w:rFonts w:ascii="宋体" w:hAnsi="宋体" w:eastAsia="宋体"/>
                <w:color w:val="auto"/>
                <w:highlight w:val="none"/>
              </w:rPr>
            </w:pPr>
          </w:p>
        </w:tc>
        <w:tc>
          <w:tcPr>
            <w:tcW w:w="923"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295C675">
            <w:pPr>
              <w:pStyle w:val="257"/>
              <w:jc w:val="center"/>
              <w:rPr>
                <w:rFonts w:ascii="宋体" w:hAnsi="宋体" w:eastAsia="宋体"/>
                <w:color w:val="auto"/>
                <w:highlight w:val="none"/>
              </w:rPr>
            </w:pPr>
          </w:p>
        </w:tc>
        <w:tc>
          <w:tcPr>
            <w:tcW w:w="446"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29FB023E">
            <w:pPr>
              <w:pStyle w:val="257"/>
              <w:jc w:val="center"/>
              <w:rPr>
                <w:rFonts w:ascii="宋体" w:hAnsi="宋体" w:eastAsia="宋体"/>
                <w:color w:val="auto"/>
                <w:highlight w:val="none"/>
              </w:rPr>
            </w:pPr>
          </w:p>
        </w:tc>
        <w:tc>
          <w:tcPr>
            <w:tcW w:w="1149"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33714DDC">
            <w:pPr>
              <w:pStyle w:val="257"/>
              <w:jc w:val="center"/>
              <w:rPr>
                <w:rFonts w:ascii="宋体" w:hAnsi="宋体" w:eastAsia="宋体"/>
                <w:color w:val="auto"/>
                <w:highlight w:val="none"/>
              </w:rPr>
            </w:pPr>
          </w:p>
        </w:tc>
        <w:tc>
          <w:tcPr>
            <w:tcW w:w="945"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17CC351E">
            <w:pPr>
              <w:pStyle w:val="257"/>
              <w:jc w:val="center"/>
              <w:rPr>
                <w:rFonts w:ascii="宋体" w:hAnsi="宋体" w:eastAsia="宋体"/>
                <w:color w:val="auto"/>
                <w:highlight w:val="none"/>
              </w:rPr>
            </w:pPr>
          </w:p>
        </w:tc>
      </w:tr>
      <w:tr w14:paraId="1481C6E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367"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8695086">
            <w:pPr>
              <w:pStyle w:val="257"/>
              <w:rPr>
                <w:rFonts w:ascii="宋体" w:hAnsi="宋体" w:eastAsia="宋体"/>
                <w:color w:val="auto"/>
                <w:highlight w:val="none"/>
              </w:rPr>
            </w:pPr>
          </w:p>
        </w:tc>
        <w:tc>
          <w:tcPr>
            <w:tcW w:w="1401" w:type="dxa"/>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42A5AD6C">
            <w:pPr>
              <w:pStyle w:val="257"/>
              <w:rPr>
                <w:rFonts w:ascii="宋体" w:hAnsi="宋体" w:eastAsia="宋体"/>
                <w:color w:val="auto"/>
                <w:highlight w:val="none"/>
              </w:rPr>
            </w:pPr>
            <w:r>
              <w:rPr>
                <w:rFonts w:ascii="宋体" w:hAnsi="宋体" w:eastAsia="宋体"/>
                <w:color w:val="auto"/>
                <w:highlight w:val="none"/>
              </w:rPr>
              <w:t xml:space="preserve">合计 </w:t>
            </w:r>
          </w:p>
        </w:tc>
        <w:tc>
          <w:tcPr>
            <w:tcW w:w="6996" w:type="dxa"/>
            <w:gridSpan w:val="8"/>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0A3EDFEE">
            <w:pPr>
              <w:pStyle w:val="257"/>
              <w:rPr>
                <w:rFonts w:ascii="宋体" w:hAnsi="宋体" w:eastAsia="宋体"/>
                <w:color w:val="auto"/>
                <w:highlight w:val="none"/>
              </w:rPr>
            </w:pPr>
            <w:r>
              <w:rPr>
                <w:rFonts w:ascii="宋体" w:hAnsi="宋体" w:eastAsia="宋体"/>
                <w:color w:val="auto"/>
                <w:highlight w:val="none"/>
              </w:rPr>
              <w:t xml:space="preserve">   元(大写：   ) </w:t>
            </w:r>
          </w:p>
        </w:tc>
      </w:tr>
      <w:tr w14:paraId="08C7490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c>
          <w:tcPr>
            <w:tcW w:w="8764" w:type="dxa"/>
            <w:gridSpan w:val="10"/>
            <w:tcBorders>
              <w:top w:val="single" w:color="auto" w:sz="4" w:space="0"/>
              <w:left w:val="single" w:color="auto" w:sz="4" w:space="0"/>
              <w:bottom w:val="single" w:color="auto" w:sz="4" w:space="0"/>
              <w:right w:val="single" w:color="auto" w:sz="4" w:space="0"/>
            </w:tcBorders>
            <w:noWrap w:val="0"/>
            <w:tcMar>
              <w:top w:w="0" w:type="dxa"/>
              <w:left w:w="0" w:type="dxa"/>
              <w:bottom w:w="0" w:type="dxa"/>
              <w:right w:w="0" w:type="dxa"/>
            </w:tcMar>
            <w:vAlign w:val="center"/>
          </w:tcPr>
          <w:p w14:paraId="5644AF16">
            <w:pPr>
              <w:pStyle w:val="257"/>
              <w:tabs>
                <w:tab w:val="left" w:pos="993"/>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tc>
      </w:tr>
    </w:tbl>
    <w:p w14:paraId="3D9C3BA6">
      <w:pPr>
        <w:pStyle w:val="257"/>
        <w:spacing w:before="240" w:after="240"/>
        <w:rPr>
          <w:rFonts w:ascii="宋体" w:hAnsi="宋体" w:eastAsia="宋体"/>
          <w:color w:val="auto"/>
          <w:highlight w:val="none"/>
        </w:rPr>
      </w:pPr>
      <w:r>
        <w:rPr>
          <w:rFonts w:ascii="宋体" w:hAnsi="宋体" w:eastAsia="宋体"/>
          <w:color w:val="auto"/>
          <w:highlight w:val="none"/>
        </w:rPr>
        <w:t xml:space="preserve">  </w:t>
      </w:r>
    </w:p>
    <w:p w14:paraId="5BD75977">
      <w:pPr>
        <w:pStyle w:val="257"/>
        <w:spacing w:before="240" w:after="240"/>
        <w:rPr>
          <w:rFonts w:ascii="宋体" w:hAnsi="宋体" w:eastAsia="宋体"/>
          <w:color w:val="auto"/>
          <w:highlight w:val="none"/>
        </w:rPr>
      </w:pPr>
      <w:r>
        <w:rPr>
          <w:rFonts w:ascii="宋体" w:hAnsi="宋体" w:eastAsia="宋体"/>
          <w:color w:val="auto"/>
          <w:highlight w:val="none"/>
        </w:rPr>
        <w:t xml:space="preserve">注： </w:t>
      </w:r>
    </w:p>
    <w:p w14:paraId="0DE52D5E">
      <w:pPr>
        <w:pStyle w:val="257"/>
        <w:spacing w:before="240" w:after="240"/>
        <w:rPr>
          <w:rFonts w:ascii="宋体" w:hAnsi="宋体" w:eastAsia="宋体"/>
          <w:color w:val="auto"/>
          <w:highlight w:val="none"/>
        </w:rPr>
      </w:pPr>
      <w:r>
        <w:rPr>
          <w:rFonts w:ascii="宋体" w:hAnsi="宋体" w:eastAsia="宋体"/>
          <w:color w:val="auto"/>
          <w:highlight w:val="none"/>
        </w:rPr>
        <w:t>1</w:t>
      </w:r>
      <w:r>
        <w:rPr>
          <w:rFonts w:hint="eastAsia" w:ascii="宋体" w:hAnsi="宋体" w:eastAsia="宋体"/>
          <w:color w:val="auto"/>
          <w:highlight w:val="none"/>
        </w:rPr>
        <w:t>.</w:t>
      </w:r>
      <w:r>
        <w:rPr>
          <w:rFonts w:ascii="宋体" w:hAnsi="宋体" w:eastAsia="宋体"/>
          <w:color w:val="auto"/>
          <w:highlight w:val="none"/>
        </w:rPr>
        <w:t xml:space="preserve">技术要求详见招标文件第四章项目需求；此表的总计金额应与开标一览表相符。 </w:t>
      </w:r>
    </w:p>
    <w:p w14:paraId="64437DC4">
      <w:pPr>
        <w:pStyle w:val="257"/>
        <w:spacing w:before="240" w:after="240"/>
        <w:rPr>
          <w:rFonts w:ascii="宋体" w:hAnsi="宋体" w:eastAsia="宋体"/>
          <w:color w:val="auto"/>
          <w:highlight w:val="none"/>
        </w:rPr>
      </w:pPr>
      <w:r>
        <w:rPr>
          <w:rFonts w:ascii="宋体" w:hAnsi="宋体" w:eastAsia="宋体"/>
          <w:color w:val="auto"/>
          <w:highlight w:val="none"/>
        </w:rPr>
        <w:t>2</w:t>
      </w:r>
      <w:r>
        <w:rPr>
          <w:rFonts w:hint="eastAsia" w:ascii="宋体" w:hAnsi="宋体" w:eastAsia="宋体"/>
          <w:color w:val="auto"/>
          <w:highlight w:val="none"/>
        </w:rPr>
        <w:t>.</w:t>
      </w:r>
      <w:r>
        <w:rPr>
          <w:rFonts w:ascii="宋体" w:hAnsi="宋体" w:eastAsia="宋体"/>
          <w:color w:val="auto"/>
          <w:highlight w:val="none"/>
        </w:rPr>
        <w:t>请提供本</w:t>
      </w:r>
      <w:r>
        <w:rPr>
          <w:rFonts w:hint="eastAsia" w:ascii="宋体" w:hAnsi="宋体" w:eastAsia="宋体"/>
          <w:color w:val="auto"/>
          <w:highlight w:val="none"/>
        </w:rPr>
        <w:t>标书</w:t>
      </w:r>
      <w:r>
        <w:rPr>
          <w:rFonts w:ascii="宋体" w:hAnsi="宋体" w:eastAsia="宋体"/>
          <w:color w:val="auto"/>
          <w:highlight w:val="none"/>
        </w:rPr>
        <w:t xml:space="preserve">要求设备详细的配置清单及分项报价，包括标准件及选购件。 </w:t>
      </w:r>
    </w:p>
    <w:p w14:paraId="5F47F189">
      <w:pPr>
        <w:pStyle w:val="257"/>
        <w:spacing w:before="240" w:after="240"/>
        <w:rPr>
          <w:rFonts w:ascii="宋体" w:hAnsi="宋体" w:eastAsia="宋体"/>
          <w:color w:val="auto"/>
          <w:highlight w:val="none"/>
        </w:rPr>
      </w:pPr>
      <w:r>
        <w:rPr>
          <w:rFonts w:ascii="宋体" w:hAnsi="宋体" w:eastAsia="宋体"/>
          <w:color w:val="auto"/>
          <w:highlight w:val="none"/>
        </w:rPr>
        <w:t>3</w:t>
      </w:r>
      <w:r>
        <w:rPr>
          <w:rFonts w:hint="eastAsia" w:ascii="宋体" w:hAnsi="宋体" w:eastAsia="宋体"/>
          <w:color w:val="auto"/>
          <w:highlight w:val="none"/>
        </w:rPr>
        <w:t>.</w:t>
      </w:r>
      <w:r>
        <w:rPr>
          <w:rFonts w:ascii="宋体" w:hAnsi="宋体" w:eastAsia="宋体"/>
          <w:color w:val="auto"/>
          <w:highlight w:val="none"/>
        </w:rPr>
        <w:t>若无</w:t>
      </w:r>
      <w:r>
        <w:rPr>
          <w:rFonts w:hint="eastAsia" w:ascii="宋体" w:hAnsi="宋体" w:eastAsia="宋体"/>
          <w:color w:val="auto"/>
          <w:highlight w:val="none"/>
        </w:rPr>
        <w:t>品牌</w:t>
      </w:r>
      <w:r>
        <w:rPr>
          <w:rFonts w:ascii="宋体" w:hAnsi="宋体" w:eastAsia="宋体"/>
          <w:color w:val="auto"/>
          <w:highlight w:val="none"/>
        </w:rPr>
        <w:t xml:space="preserve">，可填“自制”。 </w:t>
      </w:r>
    </w:p>
    <w:p w14:paraId="09AC21BD">
      <w:pPr>
        <w:pStyle w:val="257"/>
        <w:spacing w:before="240" w:after="240"/>
        <w:rPr>
          <w:rFonts w:ascii="宋体" w:hAnsi="宋体" w:eastAsia="宋体"/>
          <w:b/>
          <w:color w:val="auto"/>
          <w:sz w:val="32"/>
          <w:highlight w:val="none"/>
        </w:rPr>
      </w:pPr>
      <w:r>
        <w:rPr>
          <w:rFonts w:hint="eastAsia" w:ascii="宋体" w:hAnsi="宋体" w:eastAsia="宋体" w:cs="Times New Roman"/>
          <w:lang w:val="en-US" w:eastAsia="zh-CN"/>
        </w:rPr>
        <w:t>4</w:t>
      </w:r>
      <w:r>
        <w:rPr>
          <w:rFonts w:hint="eastAsia" w:ascii="宋体" w:hAnsi="宋体" w:eastAsia="宋体" w:cs="Times New Roman"/>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CC9F87C">
      <w:pPr>
        <w:pStyle w:val="258"/>
        <w:rPr>
          <w:rFonts w:ascii="宋体" w:hAnsi="宋体" w:eastAsia="宋体"/>
          <w:b/>
          <w:color w:val="auto"/>
          <w:sz w:val="32"/>
          <w:highlight w:val="none"/>
        </w:rPr>
      </w:pPr>
    </w:p>
    <w:p w14:paraId="1B0242CC">
      <w:pPr>
        <w:pStyle w:val="258"/>
        <w:rPr>
          <w:rFonts w:hint="eastAsia" w:ascii="宋体" w:hAnsi="宋体" w:eastAsia="宋体"/>
          <w:b/>
          <w:color w:val="auto"/>
          <w:sz w:val="32"/>
          <w:highlight w:val="none"/>
        </w:rPr>
      </w:pPr>
      <w:r>
        <w:rPr>
          <w:rFonts w:hint="eastAsia" w:ascii="宋体" w:hAnsi="宋体" w:eastAsia="宋体"/>
          <w:b/>
          <w:color w:val="auto"/>
          <w:sz w:val="32"/>
          <w:highlight w:val="none"/>
        </w:rPr>
        <w:t>七</w:t>
      </w:r>
      <w:r>
        <w:rPr>
          <w:rFonts w:ascii="宋体" w:hAnsi="宋体" w:eastAsia="宋体"/>
          <w:b/>
          <w:color w:val="auto"/>
          <w:sz w:val="32"/>
          <w:highlight w:val="none"/>
        </w:rPr>
        <w:t>、常用零件及耗材报价表</w:t>
      </w:r>
    </w:p>
    <w:p w14:paraId="515E7E6D">
      <w:pPr>
        <w:pStyle w:val="259"/>
        <w:spacing w:line="440" w:lineRule="exact"/>
        <w:rPr>
          <w:rFonts w:ascii="宋体" w:hAnsi="宋体" w:eastAsia="宋体"/>
        </w:rPr>
      </w:pPr>
      <w:r>
        <w:rPr>
          <w:rFonts w:ascii="宋体" w:hAnsi="宋体" w:eastAsia="宋体"/>
        </w:rPr>
        <w:t xml:space="preserve">﻿ </w:t>
      </w:r>
    </w:p>
    <w:p w14:paraId="7747F135">
      <w:pPr>
        <w:pStyle w:val="257"/>
        <w:spacing w:before="400" w:after="400" w:line="300" w:lineRule="auto"/>
        <w:ind w:firstLine="420"/>
        <w:jc w:val="center"/>
        <w:rPr>
          <w:rFonts w:hint="eastAsia" w:ascii="黑体" w:hAnsi="黑体" w:eastAsia="黑体"/>
          <w:b/>
          <w:bCs/>
          <w:sz w:val="40"/>
          <w:szCs w:val="40"/>
        </w:rPr>
      </w:pPr>
      <w:bookmarkStart w:id="273" w:name="OLE_LINK23"/>
      <w:r>
        <w:rPr>
          <w:rFonts w:hint="eastAsia" w:ascii="黑体" w:hAnsi="黑体" w:eastAsia="黑体"/>
          <w:b/>
          <w:bCs/>
          <w:sz w:val="40"/>
          <w:szCs w:val="40"/>
        </w:rPr>
        <w:t>常用零配件及耗材报价表</w:t>
      </w:r>
    </w:p>
    <w:p w14:paraId="33DE69CB">
      <w:pPr>
        <w:pStyle w:val="259"/>
        <w:spacing w:before="240" w:after="240"/>
        <w:rPr>
          <w:rFonts w:ascii="宋体" w:hAnsi="宋体" w:eastAsia="宋体"/>
        </w:rPr>
      </w:pPr>
      <w:r>
        <w:rPr>
          <w:rFonts w:ascii="宋体" w:hAnsi="宋体" w:eastAsia="宋体"/>
        </w:rPr>
        <w:t> </w:t>
      </w:r>
    </w:p>
    <w:tbl>
      <w:tblPr>
        <w:tblStyle w:val="31"/>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59"/>
        <w:gridCol w:w="2183"/>
        <w:gridCol w:w="2817"/>
        <w:gridCol w:w="1040"/>
        <w:gridCol w:w="1040"/>
        <w:gridCol w:w="1421"/>
      </w:tblGrid>
      <w:tr w14:paraId="68A4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6CC4319C">
            <w:pPr>
              <w:pStyle w:val="259"/>
              <w:jc w:val="center"/>
              <w:rPr>
                <w:rFonts w:ascii="宋体" w:hAnsi="宋体" w:eastAsia="宋体"/>
              </w:rPr>
            </w:pPr>
            <w:r>
              <w:rPr>
                <w:rFonts w:ascii="宋体" w:hAnsi="宋体" w:eastAsia="宋体"/>
              </w:rPr>
              <w:t>序号</w:t>
            </w:r>
          </w:p>
        </w:tc>
        <w:tc>
          <w:tcPr>
            <w:tcW w:w="2183" w:type="dxa"/>
            <w:noWrap w:val="0"/>
            <w:tcMar>
              <w:top w:w="0" w:type="dxa"/>
              <w:left w:w="0" w:type="dxa"/>
              <w:bottom w:w="0" w:type="dxa"/>
              <w:right w:w="0" w:type="dxa"/>
            </w:tcMar>
            <w:vAlign w:val="center"/>
          </w:tcPr>
          <w:p w14:paraId="34A2C999">
            <w:pPr>
              <w:pStyle w:val="259"/>
              <w:jc w:val="center"/>
              <w:rPr>
                <w:rFonts w:ascii="宋体" w:hAnsi="宋体" w:eastAsia="宋体"/>
              </w:rPr>
            </w:pPr>
            <w:r>
              <w:rPr>
                <w:rFonts w:ascii="宋体" w:hAnsi="宋体" w:eastAsia="宋体"/>
              </w:rPr>
              <w:t>产品名称</w:t>
            </w:r>
          </w:p>
        </w:tc>
        <w:tc>
          <w:tcPr>
            <w:tcW w:w="2817" w:type="dxa"/>
            <w:noWrap w:val="0"/>
            <w:tcMar>
              <w:top w:w="0" w:type="dxa"/>
              <w:left w:w="0" w:type="dxa"/>
              <w:bottom w:w="0" w:type="dxa"/>
              <w:right w:w="0" w:type="dxa"/>
            </w:tcMar>
            <w:vAlign w:val="center"/>
          </w:tcPr>
          <w:p w14:paraId="27F02400">
            <w:pPr>
              <w:pStyle w:val="259"/>
              <w:jc w:val="center"/>
              <w:rPr>
                <w:rFonts w:ascii="宋体" w:hAnsi="宋体" w:eastAsia="宋体"/>
              </w:rPr>
            </w:pPr>
            <w:r>
              <w:rPr>
                <w:rFonts w:ascii="宋体" w:hAnsi="宋体" w:eastAsia="宋体"/>
              </w:rPr>
              <w:t>规格型号</w:t>
            </w:r>
          </w:p>
        </w:tc>
        <w:tc>
          <w:tcPr>
            <w:tcW w:w="1040" w:type="dxa"/>
            <w:noWrap w:val="0"/>
            <w:tcMar>
              <w:top w:w="0" w:type="dxa"/>
              <w:left w:w="0" w:type="dxa"/>
              <w:bottom w:w="0" w:type="dxa"/>
              <w:right w:w="0" w:type="dxa"/>
            </w:tcMar>
            <w:vAlign w:val="center"/>
          </w:tcPr>
          <w:p w14:paraId="5AB46EF4">
            <w:pPr>
              <w:pStyle w:val="259"/>
              <w:jc w:val="center"/>
              <w:rPr>
                <w:rFonts w:ascii="宋体" w:hAnsi="宋体" w:eastAsia="宋体"/>
              </w:rPr>
            </w:pPr>
            <w:r>
              <w:rPr>
                <w:rFonts w:ascii="宋体" w:hAnsi="宋体" w:eastAsia="宋体"/>
              </w:rPr>
              <w:t>计量单位</w:t>
            </w:r>
          </w:p>
        </w:tc>
        <w:tc>
          <w:tcPr>
            <w:tcW w:w="1040" w:type="dxa"/>
            <w:noWrap w:val="0"/>
            <w:tcMar>
              <w:top w:w="0" w:type="dxa"/>
              <w:left w:w="0" w:type="dxa"/>
              <w:bottom w:w="0" w:type="dxa"/>
              <w:right w:w="0" w:type="dxa"/>
            </w:tcMar>
            <w:vAlign w:val="center"/>
          </w:tcPr>
          <w:p w14:paraId="03707231">
            <w:pPr>
              <w:pStyle w:val="259"/>
              <w:jc w:val="center"/>
              <w:rPr>
                <w:rFonts w:ascii="宋体" w:hAnsi="宋体" w:eastAsia="宋体"/>
              </w:rPr>
            </w:pPr>
            <w:r>
              <w:rPr>
                <w:rFonts w:ascii="宋体" w:hAnsi="宋体" w:eastAsia="宋体"/>
              </w:rPr>
              <w:t>数量</w:t>
            </w:r>
          </w:p>
        </w:tc>
        <w:tc>
          <w:tcPr>
            <w:tcW w:w="1421" w:type="dxa"/>
            <w:noWrap w:val="0"/>
            <w:tcMar>
              <w:top w:w="0" w:type="dxa"/>
              <w:left w:w="0" w:type="dxa"/>
              <w:bottom w:w="0" w:type="dxa"/>
              <w:right w:w="0" w:type="dxa"/>
            </w:tcMar>
            <w:vAlign w:val="center"/>
          </w:tcPr>
          <w:p w14:paraId="18C17166">
            <w:pPr>
              <w:pStyle w:val="259"/>
              <w:jc w:val="center"/>
              <w:rPr>
                <w:rFonts w:ascii="宋体" w:hAnsi="宋体" w:eastAsia="宋体"/>
              </w:rPr>
            </w:pPr>
            <w:r>
              <w:rPr>
                <w:rFonts w:ascii="宋体" w:hAnsi="宋体" w:eastAsia="宋体"/>
              </w:rPr>
              <w:t>单价（元）</w:t>
            </w:r>
          </w:p>
        </w:tc>
      </w:tr>
      <w:tr w14:paraId="00AE5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7" w:hRule="atLeast"/>
        </w:trPr>
        <w:tc>
          <w:tcPr>
            <w:tcW w:w="859" w:type="dxa"/>
            <w:noWrap w:val="0"/>
            <w:tcMar>
              <w:top w:w="0" w:type="dxa"/>
              <w:left w:w="0" w:type="dxa"/>
              <w:bottom w:w="0" w:type="dxa"/>
              <w:right w:w="0" w:type="dxa"/>
            </w:tcMar>
            <w:vAlign w:val="center"/>
          </w:tcPr>
          <w:p w14:paraId="2C23023A">
            <w:pPr>
              <w:pStyle w:val="259"/>
              <w:jc w:val="center"/>
              <w:rPr>
                <w:rFonts w:ascii="宋体" w:hAnsi="宋体" w:eastAsia="宋体"/>
              </w:rPr>
            </w:pPr>
            <w:r>
              <w:rPr>
                <w:rFonts w:ascii="宋体" w:hAnsi="宋体" w:eastAsia="宋体"/>
              </w:rPr>
              <w:t>1</w:t>
            </w:r>
          </w:p>
        </w:tc>
        <w:tc>
          <w:tcPr>
            <w:tcW w:w="2183" w:type="dxa"/>
            <w:noWrap w:val="0"/>
            <w:tcMar>
              <w:top w:w="0" w:type="dxa"/>
              <w:left w:w="0" w:type="dxa"/>
              <w:bottom w:w="0" w:type="dxa"/>
              <w:right w:w="0" w:type="dxa"/>
            </w:tcMar>
            <w:vAlign w:val="center"/>
          </w:tcPr>
          <w:p w14:paraId="19248CFF">
            <w:pPr>
              <w:pStyle w:val="259"/>
              <w:jc w:val="center"/>
              <w:rPr>
                <w:rFonts w:ascii="宋体" w:hAnsi="宋体" w:eastAsia="宋体"/>
              </w:rPr>
            </w:pPr>
            <w:r>
              <w:rPr>
                <w:rFonts w:ascii="宋体" w:hAnsi="宋体" w:eastAsia="宋体"/>
              </w:rPr>
              <w:t xml:space="preserve">    </w:t>
            </w:r>
          </w:p>
        </w:tc>
        <w:tc>
          <w:tcPr>
            <w:tcW w:w="2817" w:type="dxa"/>
            <w:noWrap w:val="0"/>
            <w:tcMar>
              <w:top w:w="0" w:type="dxa"/>
              <w:left w:w="0" w:type="dxa"/>
              <w:bottom w:w="0" w:type="dxa"/>
              <w:right w:w="0" w:type="dxa"/>
            </w:tcMar>
            <w:vAlign w:val="center"/>
          </w:tcPr>
          <w:p w14:paraId="1C19668E">
            <w:pPr>
              <w:pStyle w:val="259"/>
              <w:jc w:val="center"/>
              <w:rPr>
                <w:rFonts w:ascii="宋体" w:hAnsi="宋体" w:eastAsia="宋体"/>
              </w:rPr>
            </w:pPr>
            <w:r>
              <w:rPr>
                <w:rFonts w:ascii="宋体" w:hAnsi="宋体" w:eastAsia="宋体"/>
              </w:rPr>
              <w:t xml:space="preserve">    </w:t>
            </w:r>
          </w:p>
        </w:tc>
        <w:tc>
          <w:tcPr>
            <w:tcW w:w="1040" w:type="dxa"/>
            <w:noWrap w:val="0"/>
            <w:tcMar>
              <w:top w:w="0" w:type="dxa"/>
              <w:left w:w="0" w:type="dxa"/>
              <w:bottom w:w="0" w:type="dxa"/>
              <w:right w:w="0" w:type="dxa"/>
            </w:tcMar>
            <w:vAlign w:val="center"/>
          </w:tcPr>
          <w:p w14:paraId="72D10C58">
            <w:pPr>
              <w:pStyle w:val="259"/>
              <w:jc w:val="center"/>
              <w:rPr>
                <w:rFonts w:ascii="宋体" w:hAnsi="宋体" w:eastAsia="宋体"/>
              </w:rPr>
            </w:pPr>
            <w:r>
              <w:rPr>
                <w:rFonts w:ascii="宋体" w:hAnsi="宋体" w:eastAsia="宋体"/>
              </w:rPr>
              <w:t xml:space="preserve">    </w:t>
            </w:r>
          </w:p>
        </w:tc>
        <w:tc>
          <w:tcPr>
            <w:tcW w:w="1040" w:type="dxa"/>
            <w:noWrap w:val="0"/>
            <w:tcMar>
              <w:top w:w="0" w:type="dxa"/>
              <w:left w:w="0" w:type="dxa"/>
              <w:bottom w:w="0" w:type="dxa"/>
              <w:right w:w="0" w:type="dxa"/>
            </w:tcMar>
            <w:vAlign w:val="center"/>
          </w:tcPr>
          <w:p w14:paraId="2561F354">
            <w:pPr>
              <w:pStyle w:val="259"/>
              <w:jc w:val="center"/>
              <w:rPr>
                <w:rFonts w:ascii="宋体" w:hAnsi="宋体" w:eastAsia="宋体"/>
              </w:rPr>
            </w:pPr>
            <w:r>
              <w:rPr>
                <w:rFonts w:ascii="宋体" w:hAnsi="宋体" w:eastAsia="宋体"/>
              </w:rPr>
              <w:t xml:space="preserve">    </w:t>
            </w:r>
          </w:p>
        </w:tc>
        <w:tc>
          <w:tcPr>
            <w:tcW w:w="1421" w:type="dxa"/>
            <w:noWrap w:val="0"/>
            <w:tcMar>
              <w:top w:w="0" w:type="dxa"/>
              <w:left w:w="0" w:type="dxa"/>
              <w:bottom w:w="0" w:type="dxa"/>
              <w:right w:w="0" w:type="dxa"/>
            </w:tcMar>
            <w:vAlign w:val="center"/>
          </w:tcPr>
          <w:p w14:paraId="1C6F9DF6">
            <w:pPr>
              <w:pStyle w:val="259"/>
              <w:jc w:val="center"/>
              <w:rPr>
                <w:rFonts w:ascii="宋体" w:hAnsi="宋体" w:eastAsia="宋体"/>
              </w:rPr>
            </w:pPr>
            <w:r>
              <w:rPr>
                <w:rFonts w:ascii="宋体" w:hAnsi="宋体" w:eastAsia="宋体"/>
              </w:rPr>
              <w:t xml:space="preserve">    </w:t>
            </w:r>
          </w:p>
        </w:tc>
      </w:tr>
    </w:tbl>
    <w:p w14:paraId="65E27786">
      <w:pPr>
        <w:pStyle w:val="259"/>
        <w:spacing w:before="240" w:after="240"/>
        <w:rPr>
          <w:rFonts w:ascii="宋体" w:hAnsi="宋体" w:eastAsia="宋体"/>
        </w:rPr>
      </w:pPr>
      <w:r>
        <w:rPr>
          <w:rFonts w:ascii="宋体" w:hAnsi="宋体" w:eastAsia="宋体"/>
        </w:rPr>
        <w:t>注：以上常用零配件及耗材必须保证与所投报设备兼容配套使用。</w:t>
      </w:r>
      <w:bookmarkEnd w:id="273"/>
    </w:p>
    <w:p w14:paraId="7114DC1F">
      <w:pPr>
        <w:rPr>
          <w:rStyle w:val="199"/>
          <w:rFonts w:ascii="宋体" w:hAnsi="宋体"/>
          <w:b/>
          <w:sz w:val="32"/>
        </w:rPr>
      </w:pPr>
      <w:r>
        <w:rPr>
          <w:rStyle w:val="199"/>
          <w:rFonts w:hint="eastAsia" w:ascii="宋体" w:hAnsi="宋体"/>
          <w:b/>
          <w:sz w:val="32"/>
        </w:rPr>
        <w:br w:type="page" w:clear="all"/>
      </w:r>
    </w:p>
    <w:p w14:paraId="1A3A0ADA">
      <w:pPr>
        <w:pStyle w:val="2"/>
      </w:pPr>
    </w:p>
    <w:p w14:paraId="6B127436">
      <w:pPr>
        <w:pStyle w:val="260"/>
        <w:rPr>
          <w:rFonts w:ascii="宋体" w:hAnsi="宋体"/>
          <w:b/>
          <w:bCs/>
          <w:sz w:val="20"/>
          <w:szCs w:val="32"/>
          <w:highlight w:val="white"/>
        </w:rPr>
      </w:pPr>
    </w:p>
    <w:p w14:paraId="08007343">
      <w:pPr>
        <w:spacing w:line="400" w:lineRule="exact"/>
        <w:rPr>
          <w:rFonts w:hint="eastAsia" w:ascii="宋体" w:hAnsi="宋体" w:cs="宋体"/>
          <w:b/>
          <w:sz w:val="32"/>
          <w:szCs w:val="24"/>
        </w:rPr>
      </w:pPr>
      <w:r>
        <w:rPr>
          <w:rStyle w:val="199"/>
          <w:rFonts w:hint="eastAsia" w:ascii="宋体" w:hAnsi="宋体" w:cs="宋体"/>
          <w:b/>
          <w:sz w:val="32"/>
        </w:rPr>
        <w:t>八、</w:t>
      </w:r>
      <w:r>
        <w:rPr>
          <w:rFonts w:hint="eastAsia" w:ascii="宋体" w:hAnsi="宋体" w:cs="宋体"/>
          <w:b/>
          <w:sz w:val="32"/>
          <w:szCs w:val="24"/>
        </w:rPr>
        <w:t>技术参数响应及偏离表</w:t>
      </w:r>
    </w:p>
    <w:p w14:paraId="3D54584E">
      <w:pPr>
        <w:widowControl w:val="0"/>
        <w:spacing w:line="360" w:lineRule="auto"/>
        <w:ind w:firstLine="480"/>
        <w:jc w:val="left"/>
        <w:rPr>
          <w:rFonts w:hint="eastAsia" w:ascii="宋体" w:hAnsi="宋体" w:eastAsia="宋体" w:cs="Times New Roman"/>
          <w:sz w:val="24"/>
          <w:szCs w:val="22"/>
          <w:lang w:val="en-US" w:eastAsia="zh-CN" w:bidi="ar-SA"/>
        </w:rPr>
      </w:pPr>
    </w:p>
    <w:p w14:paraId="7A175169">
      <w:pPr>
        <w:pStyle w:val="288"/>
        <w:spacing w:before="320" w:after="320" w:line="300" w:lineRule="auto"/>
        <w:jc w:val="center"/>
        <w:rPr>
          <w:rFonts w:hint="eastAsia" w:ascii="黑体" w:hAnsi="黑体" w:eastAsia="黑体" w:cs="黑体"/>
          <w:b/>
          <w:bCs/>
          <w:sz w:val="32"/>
          <w:szCs w:val="32"/>
        </w:rPr>
      </w:pPr>
      <w:bookmarkStart w:id="274" w:name="OLE_LINK21"/>
      <w:bookmarkStart w:id="275" w:name="OLE_LINK15"/>
      <w:r>
        <w:rPr>
          <w:rFonts w:hint="eastAsia" w:ascii="黑体" w:hAnsi="黑体" w:eastAsia="黑体" w:cs="黑体"/>
          <w:b/>
          <w:bCs/>
          <w:sz w:val="32"/>
          <w:szCs w:val="32"/>
        </w:rPr>
        <w:t>技术参数</w:t>
      </w:r>
      <w:r>
        <w:rPr>
          <w:rFonts w:hint="default" w:ascii="黑体" w:hAnsi="黑体" w:eastAsia="黑体" w:cs="黑体"/>
          <w:b/>
          <w:bCs/>
          <w:sz w:val="32"/>
          <w:szCs w:val="32"/>
        </w:rPr>
        <w:t xml:space="preserve">响应及偏离表 </w:t>
      </w:r>
    </w:p>
    <w:p w14:paraId="623F0516">
      <w:pPr>
        <w:jc w:val="center"/>
        <w:rPr>
          <w:rFonts w:hint="eastAsia" w:ascii="宋体" w:hAnsi="宋体"/>
          <w:b/>
          <w:sz w:val="24"/>
          <w:szCs w:val="24"/>
        </w:rPr>
      </w:pPr>
    </w:p>
    <w:p w14:paraId="7C3ACE50">
      <w:pPr>
        <w:jc w:val="center"/>
        <w:rPr>
          <w:rFonts w:hint="eastAsia" w:ascii="宋体" w:hAnsi="宋体"/>
          <w:b/>
          <w:sz w:val="24"/>
          <w:szCs w:val="24"/>
        </w:rPr>
      </w:pP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1BC80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71D27128">
            <w:pPr>
              <w:spacing w:line="400" w:lineRule="exact"/>
              <w:jc w:val="center"/>
              <w:rPr>
                <w:rFonts w:hint="eastAsia" w:ascii="宋体" w:hAnsi="宋体"/>
                <w:sz w:val="24"/>
                <w:szCs w:val="24"/>
              </w:rPr>
            </w:pPr>
            <w:r>
              <w:rPr>
                <w:rFonts w:hint="eastAsia" w:ascii="宋体" w:hAnsi="宋体"/>
                <w:sz w:val="24"/>
                <w:szCs w:val="24"/>
              </w:rPr>
              <w:t>序号</w:t>
            </w:r>
          </w:p>
        </w:tc>
        <w:tc>
          <w:tcPr>
            <w:tcW w:w="3063" w:type="dxa"/>
            <w:noWrap w:val="0"/>
            <w:vAlign w:val="center"/>
          </w:tcPr>
          <w:p w14:paraId="1D3AC165">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noWrap w:val="0"/>
            <w:vAlign w:val="center"/>
          </w:tcPr>
          <w:p w14:paraId="295FE236">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noWrap w:val="0"/>
            <w:vAlign w:val="center"/>
          </w:tcPr>
          <w:p w14:paraId="5071A527">
            <w:pPr>
              <w:spacing w:line="400" w:lineRule="exact"/>
              <w:jc w:val="center"/>
              <w:rPr>
                <w:rFonts w:hint="eastAsia" w:ascii="宋体" w:hAnsi="宋体"/>
                <w:sz w:val="24"/>
                <w:szCs w:val="24"/>
              </w:rPr>
            </w:pPr>
            <w:r>
              <w:rPr>
                <w:rFonts w:hint="eastAsia" w:ascii="宋体" w:hAnsi="宋体" w:cs="宋体"/>
                <w:sz w:val="24"/>
                <w:szCs w:val="24"/>
              </w:rPr>
              <w:t>正偏离、符合或负偏离</w:t>
            </w:r>
          </w:p>
        </w:tc>
      </w:tr>
      <w:tr w14:paraId="467B7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321C03DA">
            <w:pPr>
              <w:spacing w:line="400" w:lineRule="exact"/>
              <w:jc w:val="center"/>
              <w:rPr>
                <w:rFonts w:hint="eastAsia" w:ascii="宋体" w:hAnsi="宋体"/>
                <w:sz w:val="24"/>
                <w:szCs w:val="24"/>
              </w:rPr>
            </w:pPr>
            <w:r>
              <w:rPr>
                <w:rFonts w:hint="eastAsia" w:ascii="宋体" w:hAnsi="宋体"/>
                <w:sz w:val="24"/>
                <w:szCs w:val="24"/>
              </w:rPr>
              <w:t>1</w:t>
            </w:r>
          </w:p>
        </w:tc>
        <w:tc>
          <w:tcPr>
            <w:tcW w:w="3063" w:type="dxa"/>
            <w:noWrap w:val="0"/>
          </w:tcPr>
          <w:p w14:paraId="74B7CA8F">
            <w:pPr>
              <w:spacing w:line="400" w:lineRule="exact"/>
              <w:jc w:val="center"/>
              <w:rPr>
                <w:rFonts w:hint="eastAsia" w:ascii="宋体" w:hAnsi="宋体"/>
                <w:sz w:val="24"/>
                <w:szCs w:val="24"/>
              </w:rPr>
            </w:pPr>
          </w:p>
        </w:tc>
        <w:tc>
          <w:tcPr>
            <w:tcW w:w="3191" w:type="dxa"/>
            <w:noWrap w:val="0"/>
          </w:tcPr>
          <w:p w14:paraId="086A10CF">
            <w:pPr>
              <w:spacing w:line="400" w:lineRule="exact"/>
              <w:jc w:val="center"/>
              <w:rPr>
                <w:rFonts w:hint="eastAsia" w:ascii="宋体" w:hAnsi="宋体"/>
                <w:sz w:val="24"/>
                <w:szCs w:val="24"/>
              </w:rPr>
            </w:pPr>
          </w:p>
        </w:tc>
        <w:tc>
          <w:tcPr>
            <w:tcW w:w="2128" w:type="dxa"/>
            <w:noWrap w:val="0"/>
          </w:tcPr>
          <w:p w14:paraId="2A51022F">
            <w:pPr>
              <w:spacing w:line="400" w:lineRule="exact"/>
              <w:jc w:val="center"/>
              <w:rPr>
                <w:rFonts w:hint="eastAsia" w:ascii="宋体" w:hAnsi="宋体"/>
                <w:sz w:val="24"/>
                <w:szCs w:val="24"/>
              </w:rPr>
            </w:pPr>
          </w:p>
        </w:tc>
      </w:tr>
      <w:tr w14:paraId="3894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tcPr>
          <w:p w14:paraId="65B934A9">
            <w:pPr>
              <w:spacing w:line="400" w:lineRule="exact"/>
              <w:jc w:val="center"/>
              <w:rPr>
                <w:rFonts w:hint="eastAsia" w:ascii="宋体" w:hAnsi="宋体"/>
                <w:sz w:val="24"/>
                <w:szCs w:val="24"/>
              </w:rPr>
            </w:pPr>
          </w:p>
        </w:tc>
        <w:tc>
          <w:tcPr>
            <w:tcW w:w="3063" w:type="dxa"/>
            <w:noWrap w:val="0"/>
          </w:tcPr>
          <w:p w14:paraId="6FEC7484">
            <w:pPr>
              <w:spacing w:line="400" w:lineRule="exact"/>
              <w:jc w:val="center"/>
              <w:rPr>
                <w:rFonts w:hint="eastAsia" w:ascii="宋体" w:hAnsi="宋体"/>
                <w:sz w:val="24"/>
                <w:szCs w:val="24"/>
              </w:rPr>
            </w:pPr>
            <w:r>
              <w:rPr>
                <w:rFonts w:hint="default" w:ascii="宋体" w:hAnsi="宋体"/>
                <w:sz w:val="24"/>
                <w:szCs w:val="24"/>
              </w:rPr>
              <w:t>……</w:t>
            </w:r>
          </w:p>
        </w:tc>
        <w:tc>
          <w:tcPr>
            <w:tcW w:w="3191" w:type="dxa"/>
            <w:noWrap w:val="0"/>
          </w:tcPr>
          <w:p w14:paraId="4ADEA55E">
            <w:pPr>
              <w:spacing w:line="400" w:lineRule="exact"/>
              <w:jc w:val="center"/>
              <w:rPr>
                <w:rFonts w:hint="eastAsia" w:ascii="宋体" w:hAnsi="宋体"/>
                <w:sz w:val="24"/>
                <w:szCs w:val="24"/>
              </w:rPr>
            </w:pPr>
          </w:p>
        </w:tc>
        <w:tc>
          <w:tcPr>
            <w:tcW w:w="2128" w:type="dxa"/>
            <w:noWrap w:val="0"/>
          </w:tcPr>
          <w:p w14:paraId="64A9A037">
            <w:pPr>
              <w:spacing w:line="400" w:lineRule="exact"/>
              <w:jc w:val="center"/>
              <w:rPr>
                <w:rFonts w:hint="eastAsia" w:ascii="宋体" w:hAnsi="宋体"/>
                <w:sz w:val="24"/>
                <w:szCs w:val="24"/>
              </w:rPr>
            </w:pPr>
          </w:p>
        </w:tc>
      </w:tr>
    </w:tbl>
    <w:p w14:paraId="658C1BCB">
      <w:pPr>
        <w:spacing w:line="400" w:lineRule="exact"/>
        <w:rPr>
          <w:rFonts w:hint="eastAsia" w:ascii="宋体" w:hAnsi="宋体"/>
          <w:sz w:val="24"/>
          <w:szCs w:val="24"/>
        </w:rPr>
      </w:pPr>
    </w:p>
    <w:p w14:paraId="5DC1EA80">
      <w:pPr>
        <w:spacing w:line="400" w:lineRule="exact"/>
        <w:rPr>
          <w:rFonts w:hint="eastAsia" w:ascii="宋体" w:hAnsi="宋体"/>
          <w:sz w:val="24"/>
          <w:szCs w:val="24"/>
        </w:rPr>
      </w:pPr>
      <w:r>
        <w:rPr>
          <w:rFonts w:hint="eastAsia" w:ascii="宋体" w:hAnsi="宋体"/>
          <w:sz w:val="24"/>
          <w:szCs w:val="24"/>
        </w:rPr>
        <w:t>备注</w:t>
      </w:r>
      <w:r>
        <w:rPr>
          <w:rFonts w:hint="default" w:ascii="宋体" w:hAnsi="宋体"/>
          <w:sz w:val="24"/>
          <w:szCs w:val="24"/>
        </w:rPr>
        <w:t>：</w:t>
      </w:r>
    </w:p>
    <w:p w14:paraId="47EC5972">
      <w:pPr>
        <w:spacing w:line="400" w:lineRule="exact"/>
        <w:rPr>
          <w:rFonts w:hint="eastAsia" w:ascii="宋体" w:hAnsi="宋体"/>
          <w:sz w:val="24"/>
          <w:szCs w:val="24"/>
        </w:rPr>
      </w:pPr>
      <w:r>
        <w:rPr>
          <w:rFonts w:hint="eastAsia" w:ascii="宋体" w:hAnsi="宋体"/>
          <w:sz w:val="24"/>
          <w:szCs w:val="24"/>
        </w:rPr>
        <w:t>1.投标人需</w:t>
      </w:r>
      <w:r>
        <w:rPr>
          <w:rFonts w:hint="default" w:ascii="宋体" w:hAnsi="宋体"/>
          <w:sz w:val="24"/>
          <w:szCs w:val="24"/>
        </w:rPr>
        <w:t>对技术</w:t>
      </w:r>
      <w:r>
        <w:rPr>
          <w:rFonts w:hint="eastAsia" w:ascii="宋体" w:hAnsi="宋体"/>
          <w:sz w:val="24"/>
          <w:szCs w:val="24"/>
        </w:rPr>
        <w:t>要求（未加斜体</w:t>
      </w:r>
      <w:r>
        <w:rPr>
          <w:rFonts w:hint="default" w:ascii="宋体" w:hAnsi="宋体"/>
          <w:sz w:val="24"/>
          <w:szCs w:val="24"/>
        </w:rPr>
        <w:t>下划线的</w:t>
      </w:r>
      <w:r>
        <w:rPr>
          <w:rFonts w:hint="eastAsia" w:ascii="宋体" w:hAnsi="宋体"/>
          <w:sz w:val="24"/>
          <w:szCs w:val="24"/>
        </w:rPr>
        <w:t>非</w:t>
      </w:r>
      <w:r>
        <w:rPr>
          <w:rFonts w:hint="default" w:ascii="宋体" w:hAnsi="宋体"/>
          <w:sz w:val="24"/>
          <w:szCs w:val="24"/>
        </w:rPr>
        <w:t>实质性</w:t>
      </w:r>
      <w:r>
        <w:rPr>
          <w:rFonts w:hint="eastAsia" w:ascii="宋体" w:hAnsi="宋体"/>
          <w:sz w:val="24"/>
          <w:szCs w:val="24"/>
        </w:rPr>
        <w:t>要求）</w:t>
      </w:r>
      <w:r>
        <w:rPr>
          <w:rFonts w:hint="default" w:ascii="宋体" w:hAnsi="宋体"/>
          <w:sz w:val="24"/>
          <w:szCs w:val="24"/>
        </w:rPr>
        <w:t>逐条做出明确响应</w:t>
      </w:r>
      <w:r>
        <w:rPr>
          <w:rFonts w:hint="eastAsia" w:ascii="宋体" w:hAnsi="宋体"/>
          <w:sz w:val="24"/>
          <w:szCs w:val="24"/>
        </w:rPr>
        <w:t>。因未标明或表述含糊导致的评标风险将由投标人承担。</w:t>
      </w:r>
    </w:p>
    <w:p w14:paraId="3CCBFE86">
      <w:pPr>
        <w:spacing w:line="400" w:lineRule="exact"/>
        <w:rPr>
          <w:rFonts w:hint="eastAsia" w:ascii="宋体" w:hAnsi="宋体"/>
          <w:sz w:val="24"/>
          <w:szCs w:val="24"/>
        </w:rPr>
      </w:pPr>
      <w:r>
        <w:rPr>
          <w:rFonts w:hint="eastAsia" w:ascii="宋体" w:hAnsi="宋体"/>
          <w:sz w:val="24"/>
          <w:szCs w:val="24"/>
        </w:rPr>
        <w:t>2.如果招标</w:t>
      </w:r>
      <w:r>
        <w:rPr>
          <w:rFonts w:hint="default" w:ascii="宋体" w:hAnsi="宋体"/>
          <w:sz w:val="24"/>
          <w:szCs w:val="24"/>
        </w:rPr>
        <w:t>文件要求提供</w:t>
      </w:r>
      <w:r>
        <w:rPr>
          <w:rFonts w:hint="eastAsia" w:ascii="宋体" w:hAnsi="宋体"/>
          <w:sz w:val="24"/>
          <w:szCs w:val="24"/>
        </w:rPr>
        <w:t>证明</w:t>
      </w:r>
      <w:r>
        <w:rPr>
          <w:rFonts w:hint="default" w:ascii="宋体" w:hAnsi="宋体"/>
          <w:sz w:val="24"/>
          <w:szCs w:val="24"/>
        </w:rPr>
        <w:t>材料，投标人</w:t>
      </w:r>
      <w:r>
        <w:rPr>
          <w:rFonts w:hint="eastAsia" w:ascii="宋体" w:hAnsi="宋体"/>
          <w:sz w:val="24"/>
          <w:szCs w:val="24"/>
        </w:rPr>
        <w:t>需</w:t>
      </w:r>
      <w:r>
        <w:rPr>
          <w:rFonts w:hint="default" w:ascii="宋体" w:hAnsi="宋体"/>
          <w:sz w:val="24"/>
          <w:szCs w:val="24"/>
        </w:rPr>
        <w:t>将证明材料</w:t>
      </w:r>
      <w:r>
        <w:rPr>
          <w:rFonts w:hint="eastAsia" w:ascii="宋体" w:hAnsi="宋体"/>
          <w:sz w:val="24"/>
          <w:szCs w:val="24"/>
        </w:rPr>
        <w:t>列于</w:t>
      </w:r>
      <w:r>
        <w:rPr>
          <w:rFonts w:hint="default" w:ascii="宋体" w:hAnsi="宋体"/>
          <w:sz w:val="24"/>
          <w:szCs w:val="24"/>
        </w:rPr>
        <w:t>该表之下。</w:t>
      </w:r>
      <w:bookmarkEnd w:id="274"/>
    </w:p>
    <w:p w14:paraId="189DE5F0">
      <w:pPr>
        <w:rPr>
          <w:rStyle w:val="199"/>
          <w:rFonts w:ascii="宋体" w:hAnsi="宋体"/>
          <w:b/>
          <w:sz w:val="32"/>
        </w:rPr>
      </w:pPr>
    </w:p>
    <w:bookmarkEnd w:id="275"/>
    <w:p w14:paraId="722BC7A7">
      <w:pPr>
        <w:pStyle w:val="2"/>
        <w:rPr>
          <w:rStyle w:val="199"/>
          <w:rFonts w:ascii="宋体" w:hAnsi="宋体"/>
          <w:b/>
          <w:sz w:val="32"/>
        </w:rPr>
      </w:pPr>
    </w:p>
    <w:p w14:paraId="6293E7AF">
      <w:pPr>
        <w:rPr>
          <w:rStyle w:val="199"/>
          <w:rFonts w:ascii="宋体" w:hAnsi="宋体"/>
          <w:b/>
          <w:sz w:val="32"/>
        </w:rPr>
      </w:pPr>
    </w:p>
    <w:p w14:paraId="6DE5F8BF">
      <w:pPr>
        <w:pStyle w:val="2"/>
        <w:rPr>
          <w:rStyle w:val="199"/>
          <w:rFonts w:ascii="宋体" w:hAnsi="宋体"/>
          <w:b/>
          <w:sz w:val="32"/>
        </w:rPr>
      </w:pPr>
    </w:p>
    <w:p w14:paraId="74DDCC90">
      <w:pPr>
        <w:rPr>
          <w:rStyle w:val="199"/>
          <w:rFonts w:ascii="宋体" w:hAnsi="宋体"/>
          <w:b/>
          <w:sz w:val="32"/>
        </w:rPr>
      </w:pPr>
    </w:p>
    <w:p w14:paraId="07A7EDE0">
      <w:pPr>
        <w:pStyle w:val="2"/>
        <w:rPr>
          <w:rStyle w:val="199"/>
          <w:rFonts w:ascii="宋体" w:hAnsi="宋体"/>
          <w:b/>
          <w:sz w:val="32"/>
        </w:rPr>
      </w:pPr>
    </w:p>
    <w:p w14:paraId="48976BCA">
      <w:pPr>
        <w:rPr>
          <w:rStyle w:val="199"/>
          <w:rFonts w:ascii="宋体" w:hAnsi="宋体"/>
          <w:b/>
          <w:sz w:val="32"/>
        </w:rPr>
      </w:pPr>
    </w:p>
    <w:p w14:paraId="2B9E3BC8">
      <w:pPr>
        <w:pStyle w:val="2"/>
        <w:rPr>
          <w:rStyle w:val="199"/>
          <w:rFonts w:ascii="宋体" w:hAnsi="宋体"/>
          <w:b/>
          <w:sz w:val="32"/>
        </w:rPr>
      </w:pPr>
    </w:p>
    <w:p w14:paraId="560072A6">
      <w:pPr>
        <w:rPr>
          <w:rStyle w:val="199"/>
          <w:rFonts w:ascii="宋体" w:hAnsi="宋体"/>
          <w:b/>
          <w:sz w:val="32"/>
        </w:rPr>
      </w:pPr>
    </w:p>
    <w:p w14:paraId="38B53DA3">
      <w:pPr>
        <w:pStyle w:val="2"/>
        <w:rPr>
          <w:rStyle w:val="199"/>
          <w:rFonts w:ascii="宋体" w:hAnsi="宋体"/>
          <w:b/>
          <w:sz w:val="32"/>
        </w:rPr>
      </w:pPr>
    </w:p>
    <w:p w14:paraId="6EF9D1AE">
      <w:pPr>
        <w:rPr>
          <w:rStyle w:val="199"/>
          <w:rFonts w:ascii="宋体" w:hAnsi="宋体"/>
          <w:b/>
          <w:sz w:val="32"/>
        </w:rPr>
      </w:pPr>
    </w:p>
    <w:p w14:paraId="188771A7">
      <w:pPr>
        <w:pStyle w:val="2"/>
        <w:rPr>
          <w:rStyle w:val="199"/>
          <w:rFonts w:ascii="宋体" w:hAnsi="宋体"/>
          <w:b/>
          <w:sz w:val="32"/>
        </w:rPr>
      </w:pPr>
    </w:p>
    <w:p w14:paraId="583F3901">
      <w:pPr>
        <w:rPr>
          <w:rStyle w:val="199"/>
          <w:rFonts w:ascii="宋体" w:hAnsi="宋体"/>
          <w:b/>
          <w:sz w:val="32"/>
        </w:rPr>
      </w:pPr>
    </w:p>
    <w:p w14:paraId="74BCB07A"/>
    <w:p w14:paraId="561839E6">
      <w:pPr>
        <w:pStyle w:val="260"/>
        <w:rPr>
          <w:rStyle w:val="199"/>
          <w:rFonts w:hint="default"/>
        </w:rPr>
      </w:pPr>
      <w:r>
        <w:rPr>
          <w:rStyle w:val="199"/>
          <w:rFonts w:hint="eastAsia" w:ascii="宋体" w:hAnsi="宋体" w:cs="宋体"/>
          <w:b/>
          <w:sz w:val="32"/>
        </w:rPr>
        <w:t>九、</w:t>
      </w:r>
      <w:r>
        <w:rPr>
          <w:rStyle w:val="199"/>
          <w:rFonts w:hint="default" w:ascii="宋体" w:hAnsi="宋体" w:cs="宋体"/>
          <w:b/>
          <w:sz w:val="32"/>
        </w:rPr>
        <w:t>服务方案</w:t>
      </w:r>
    </w:p>
    <w:p w14:paraId="67064B79">
      <w:pPr>
        <w:keepNext/>
        <w:keepLines/>
        <w:widowControl w:val="0"/>
        <w:spacing w:before="260" w:after="260" w:line="415" w:lineRule="auto"/>
        <w:jc w:val="center"/>
        <w:outlineLvl w:val="1"/>
        <w:rPr>
          <w:rStyle w:val="199"/>
          <w:rFonts w:hint="eastAsia" w:ascii="宋体" w:hAnsi="宋体" w:eastAsia="宋体" w:cs="Times New Roman"/>
          <w:b/>
          <w:bCs/>
          <w:sz w:val="28"/>
          <w:szCs w:val="28"/>
          <w:lang w:val="en-US" w:eastAsia="zh-CN" w:bidi="ar-SA"/>
        </w:rPr>
      </w:pPr>
      <w:r>
        <w:rPr>
          <w:rStyle w:val="199"/>
          <w:rFonts w:hint="eastAsia" w:ascii="宋体" w:hAnsi="宋体"/>
          <w:b/>
          <w:bCs/>
          <w:sz w:val="28"/>
          <w:szCs w:val="28"/>
        </w:rPr>
        <w:t>服务方案</w:t>
      </w:r>
    </w:p>
    <w:p w14:paraId="01E9A7C1">
      <w:pPr>
        <w:widowControl w:val="0"/>
        <w:spacing w:line="360" w:lineRule="auto"/>
        <w:jc w:val="left"/>
        <w:rPr>
          <w:rStyle w:val="199"/>
          <w:rFonts w:hint="eastAsia" w:ascii="宋体" w:hAnsi="宋体" w:eastAsia="宋体" w:cs="Times New Roman"/>
          <w:sz w:val="24"/>
          <w:szCs w:val="24"/>
          <w:lang w:val="en-US" w:eastAsia="zh-CN" w:bidi="ar-SA"/>
        </w:rPr>
      </w:pPr>
    </w:p>
    <w:p w14:paraId="37367730">
      <w:pPr>
        <w:widowControl w:val="0"/>
        <w:spacing w:line="360" w:lineRule="auto"/>
        <w:jc w:val="center"/>
        <w:outlineLvl w:val="1"/>
        <w:rPr>
          <w:rStyle w:val="199"/>
          <w:rFonts w:hint="eastAsia" w:ascii="宋体" w:hAnsi="宋体" w:eastAsia="宋体" w:cs="Arial"/>
          <w:sz w:val="24"/>
          <w:szCs w:val="21"/>
          <w:lang w:val="en-US" w:eastAsia="zh-CN" w:bidi="ar-SA"/>
        </w:rPr>
      </w:pPr>
      <w:r>
        <w:rPr>
          <w:rStyle w:val="199"/>
          <w:rFonts w:hint="eastAsia" w:ascii="宋体" w:hAnsi="宋体" w:cs="Arial"/>
          <w:sz w:val="24"/>
          <w:szCs w:val="21"/>
        </w:rPr>
        <w:t>（服务方案的内容编排等由投标人自定）</w:t>
      </w:r>
    </w:p>
    <w:p w14:paraId="3516A56F">
      <w:pPr>
        <w:pStyle w:val="261"/>
        <w:outlineLvl w:val="0"/>
        <w:rPr>
          <w:rFonts w:hint="eastAsia" w:ascii="宋体" w:hAnsi="宋体" w:eastAsia="宋体" w:cs="宋体"/>
          <w:sz w:val="24"/>
          <w:szCs w:val="24"/>
          <w:lang w:bidi="ar"/>
        </w:rPr>
      </w:pPr>
      <w:r>
        <w:rPr>
          <w:rStyle w:val="199"/>
          <w:rFonts w:hint="default"/>
        </w:rPr>
        <w:br w:type="page" w:clear="all"/>
      </w:r>
      <w:bookmarkStart w:id="276" w:name="_Toc17468"/>
      <w:bookmarkStart w:id="277" w:name="_Toc16991"/>
      <w:bookmarkStart w:id="278" w:name="_Toc11335"/>
      <w:r>
        <w:rPr>
          <w:rStyle w:val="199"/>
          <w:rFonts w:hint="eastAsia" w:ascii="宋体" w:hAnsi="宋体" w:cs="宋体"/>
          <w:b/>
          <w:sz w:val="32"/>
        </w:rPr>
        <w:t>十</w:t>
      </w:r>
      <w:r>
        <w:rPr>
          <w:rStyle w:val="199"/>
          <w:rFonts w:hint="default" w:ascii="宋体" w:hAnsi="宋体" w:cs="宋体"/>
          <w:b/>
          <w:sz w:val="32"/>
        </w:rPr>
        <w:t>、投标人情况介绍</w:t>
      </w:r>
      <w:r>
        <w:rPr>
          <w:rStyle w:val="199"/>
          <w:rFonts w:hint="eastAsia" w:ascii="宋体" w:hAnsi="宋体" w:cs="Arial"/>
          <w:sz w:val="24"/>
          <w:szCs w:val="24"/>
        </w:rPr>
        <w:t>（内容自定，可参考如下）</w:t>
      </w:r>
      <w:bookmarkEnd w:id="276"/>
      <w:bookmarkEnd w:id="277"/>
      <w:bookmarkEnd w:id="278"/>
    </w:p>
    <w:p w14:paraId="7602E461">
      <w:pPr>
        <w:widowControl/>
        <w:spacing w:line="440" w:lineRule="exact"/>
        <w:rPr>
          <w:rFonts w:hint="eastAsia" w:ascii="宋体" w:hAnsi="宋体" w:cs="宋体"/>
          <w:color w:val="000000"/>
          <w:sz w:val="24"/>
          <w:szCs w:val="24"/>
          <w:lang w:bidi="ar"/>
        </w:rPr>
      </w:pPr>
      <w:bookmarkStart w:id="279" w:name="_Toc29985"/>
      <w:r>
        <w:rPr>
          <w:rFonts w:hint="eastAsia" w:ascii="宋体" w:hAnsi="宋体" w:cs="宋体"/>
          <w:color w:val="000000"/>
          <w:sz w:val="24"/>
          <w:szCs w:val="24"/>
          <w:lang w:bidi="ar"/>
        </w:rPr>
        <w:t>1.类似业绩</w:t>
      </w:r>
    </w:p>
    <w:p w14:paraId="10A3991A">
      <w:pPr>
        <w:widowControl/>
        <w:spacing w:line="440" w:lineRule="exact"/>
        <w:rPr>
          <w:rFonts w:hint="eastAsia" w:ascii="宋体" w:hAnsi="宋体"/>
          <w:color w:val="000000"/>
          <w:sz w:val="24"/>
          <w:szCs w:val="24"/>
        </w:rPr>
      </w:pPr>
      <w:r>
        <w:rPr>
          <w:rFonts w:hint="eastAsia" w:ascii="宋体" w:hAnsi="宋体"/>
          <w:color w:val="000000"/>
          <w:sz w:val="24"/>
          <w:szCs w:val="24"/>
        </w:rPr>
        <w:t>……</w:t>
      </w:r>
    </w:p>
    <w:p w14:paraId="319004C4">
      <w:pPr>
        <w:pStyle w:val="262"/>
        <w:outlineLvl w:val="0"/>
        <w:rPr>
          <w:rFonts w:hint="eastAsia" w:ascii="宋体" w:hAnsi="宋体" w:eastAsia="宋体" w:cs="宋体"/>
          <w:b/>
          <w:sz w:val="32"/>
        </w:rPr>
      </w:pPr>
    </w:p>
    <w:p w14:paraId="4705CDE4">
      <w:pPr>
        <w:pStyle w:val="262"/>
        <w:outlineLvl w:val="0"/>
        <w:rPr>
          <w:rFonts w:hint="eastAsia" w:ascii="宋体" w:hAnsi="宋体" w:eastAsia="宋体" w:cs="宋体"/>
          <w:b/>
          <w:sz w:val="32"/>
        </w:rPr>
      </w:pPr>
    </w:p>
    <w:p w14:paraId="0A73A088">
      <w:pPr>
        <w:pStyle w:val="262"/>
        <w:outlineLvl w:val="0"/>
        <w:rPr>
          <w:rFonts w:hint="eastAsia" w:ascii="宋体" w:hAnsi="宋体" w:eastAsia="宋体" w:cs="宋体"/>
          <w:b/>
          <w:sz w:val="32"/>
        </w:rPr>
      </w:pPr>
    </w:p>
    <w:p w14:paraId="6746E5A8">
      <w:pPr>
        <w:pStyle w:val="262"/>
        <w:outlineLvl w:val="0"/>
        <w:rPr>
          <w:rFonts w:hint="eastAsia" w:ascii="宋体" w:hAnsi="宋体" w:eastAsia="宋体" w:cs="宋体"/>
          <w:b/>
          <w:sz w:val="32"/>
        </w:rPr>
      </w:pPr>
    </w:p>
    <w:p w14:paraId="26BDC4C9">
      <w:pPr>
        <w:pStyle w:val="262"/>
        <w:outlineLvl w:val="0"/>
        <w:rPr>
          <w:rFonts w:hint="eastAsia" w:ascii="宋体" w:hAnsi="宋体" w:eastAsia="宋体" w:cs="宋体"/>
          <w:b/>
          <w:sz w:val="32"/>
        </w:rPr>
      </w:pPr>
    </w:p>
    <w:p w14:paraId="381DFBF6">
      <w:pPr>
        <w:pStyle w:val="262"/>
        <w:outlineLvl w:val="0"/>
        <w:rPr>
          <w:rFonts w:hint="eastAsia" w:ascii="宋体" w:hAnsi="宋体" w:eastAsia="宋体" w:cs="宋体"/>
          <w:b/>
          <w:sz w:val="32"/>
        </w:rPr>
      </w:pPr>
    </w:p>
    <w:p w14:paraId="2A64DCF8">
      <w:pPr>
        <w:pStyle w:val="262"/>
        <w:outlineLvl w:val="0"/>
        <w:rPr>
          <w:rFonts w:hint="eastAsia" w:ascii="宋体" w:hAnsi="宋体" w:eastAsia="宋体" w:cs="宋体"/>
          <w:b/>
          <w:sz w:val="32"/>
        </w:rPr>
      </w:pPr>
    </w:p>
    <w:p w14:paraId="718A21B0">
      <w:pPr>
        <w:pStyle w:val="262"/>
        <w:outlineLvl w:val="0"/>
        <w:rPr>
          <w:rFonts w:hint="eastAsia" w:ascii="宋体" w:hAnsi="宋体" w:eastAsia="宋体" w:cs="宋体"/>
          <w:b/>
          <w:sz w:val="32"/>
        </w:rPr>
      </w:pPr>
    </w:p>
    <w:p w14:paraId="0B591BA6">
      <w:pPr>
        <w:pStyle w:val="262"/>
        <w:outlineLvl w:val="0"/>
        <w:rPr>
          <w:rFonts w:hint="eastAsia" w:ascii="宋体" w:hAnsi="宋体" w:eastAsia="宋体" w:cs="宋体"/>
          <w:b/>
          <w:sz w:val="32"/>
        </w:rPr>
      </w:pPr>
    </w:p>
    <w:p w14:paraId="4A25DB55">
      <w:pPr>
        <w:pStyle w:val="262"/>
        <w:outlineLvl w:val="0"/>
        <w:rPr>
          <w:rFonts w:hint="eastAsia" w:ascii="宋体" w:hAnsi="宋体" w:eastAsia="宋体" w:cs="宋体"/>
          <w:b/>
          <w:sz w:val="32"/>
        </w:rPr>
      </w:pPr>
    </w:p>
    <w:p w14:paraId="3A6417D8">
      <w:pPr>
        <w:pStyle w:val="262"/>
        <w:outlineLvl w:val="0"/>
        <w:rPr>
          <w:rFonts w:hint="eastAsia" w:ascii="宋体" w:hAnsi="宋体" w:eastAsia="宋体" w:cs="宋体"/>
          <w:b/>
          <w:sz w:val="32"/>
        </w:rPr>
      </w:pPr>
    </w:p>
    <w:p w14:paraId="5B5A8E6A">
      <w:pPr>
        <w:pStyle w:val="262"/>
        <w:outlineLvl w:val="0"/>
        <w:rPr>
          <w:rFonts w:hint="eastAsia" w:ascii="宋体" w:hAnsi="宋体" w:eastAsia="宋体" w:cs="宋体"/>
          <w:b/>
          <w:sz w:val="32"/>
        </w:rPr>
      </w:pPr>
    </w:p>
    <w:p w14:paraId="07DD9CF8">
      <w:pPr>
        <w:pStyle w:val="262"/>
        <w:outlineLvl w:val="0"/>
        <w:rPr>
          <w:rFonts w:hint="eastAsia" w:ascii="宋体" w:hAnsi="宋体" w:eastAsia="宋体" w:cs="宋体"/>
          <w:b/>
          <w:sz w:val="32"/>
        </w:rPr>
      </w:pPr>
    </w:p>
    <w:p w14:paraId="75402324">
      <w:pPr>
        <w:pStyle w:val="262"/>
        <w:outlineLvl w:val="0"/>
        <w:rPr>
          <w:rFonts w:hint="eastAsia" w:ascii="宋体" w:hAnsi="宋体" w:eastAsia="宋体" w:cs="宋体"/>
          <w:b/>
          <w:sz w:val="32"/>
        </w:rPr>
      </w:pPr>
    </w:p>
    <w:p w14:paraId="7311114C">
      <w:pPr>
        <w:pStyle w:val="262"/>
        <w:outlineLvl w:val="0"/>
        <w:rPr>
          <w:rFonts w:hint="eastAsia" w:ascii="宋体" w:hAnsi="宋体" w:eastAsia="宋体" w:cs="宋体"/>
          <w:b/>
          <w:sz w:val="32"/>
        </w:rPr>
      </w:pPr>
    </w:p>
    <w:p w14:paraId="04D6964C">
      <w:pPr>
        <w:pStyle w:val="262"/>
        <w:outlineLvl w:val="0"/>
        <w:rPr>
          <w:rFonts w:hint="eastAsia" w:ascii="宋体" w:hAnsi="宋体" w:eastAsia="宋体" w:cs="宋体"/>
          <w:b/>
          <w:sz w:val="32"/>
        </w:rPr>
      </w:pPr>
    </w:p>
    <w:p w14:paraId="6DD16B01">
      <w:pPr>
        <w:pStyle w:val="262"/>
        <w:outlineLvl w:val="0"/>
        <w:rPr>
          <w:rFonts w:hint="eastAsia" w:ascii="宋体" w:hAnsi="宋体" w:eastAsia="宋体" w:cs="宋体"/>
          <w:b/>
          <w:sz w:val="32"/>
        </w:rPr>
      </w:pPr>
    </w:p>
    <w:p w14:paraId="4C9938DF">
      <w:pPr>
        <w:pStyle w:val="262"/>
        <w:outlineLvl w:val="0"/>
        <w:rPr>
          <w:rFonts w:hint="eastAsia" w:ascii="宋体" w:hAnsi="宋体" w:eastAsia="宋体" w:cs="宋体"/>
          <w:b/>
          <w:sz w:val="32"/>
        </w:rPr>
      </w:pPr>
    </w:p>
    <w:p w14:paraId="16EAF8DE">
      <w:pPr>
        <w:pStyle w:val="262"/>
        <w:outlineLvl w:val="0"/>
        <w:rPr>
          <w:rFonts w:hint="eastAsia" w:ascii="宋体" w:hAnsi="宋体" w:eastAsia="宋体" w:cs="宋体"/>
          <w:b/>
          <w:sz w:val="32"/>
        </w:rPr>
      </w:pPr>
    </w:p>
    <w:p w14:paraId="1BF8A939">
      <w:pPr>
        <w:pStyle w:val="262"/>
        <w:outlineLvl w:val="0"/>
        <w:rPr>
          <w:rFonts w:hint="eastAsia" w:ascii="宋体" w:hAnsi="宋体" w:eastAsia="宋体" w:cs="宋体"/>
          <w:b/>
          <w:sz w:val="32"/>
        </w:rPr>
      </w:pPr>
    </w:p>
    <w:p w14:paraId="1B30C19A">
      <w:pPr>
        <w:pStyle w:val="262"/>
        <w:outlineLvl w:val="0"/>
        <w:rPr>
          <w:rFonts w:hint="eastAsia" w:ascii="宋体" w:hAnsi="宋体" w:eastAsia="宋体" w:cs="宋体"/>
          <w:b/>
          <w:sz w:val="32"/>
        </w:rPr>
      </w:pPr>
    </w:p>
    <w:p w14:paraId="4836334A">
      <w:pPr>
        <w:pStyle w:val="262"/>
        <w:outlineLvl w:val="0"/>
        <w:rPr>
          <w:rFonts w:hint="eastAsia" w:ascii="宋体" w:hAnsi="宋体" w:eastAsia="宋体" w:cs="宋体"/>
          <w:b/>
          <w:sz w:val="32"/>
        </w:rPr>
      </w:pPr>
    </w:p>
    <w:p w14:paraId="27289131">
      <w:pPr>
        <w:pStyle w:val="262"/>
        <w:outlineLvl w:val="0"/>
        <w:rPr>
          <w:rFonts w:hint="eastAsia" w:ascii="宋体" w:hAnsi="宋体" w:eastAsia="宋体" w:cs="宋体"/>
          <w:b/>
          <w:sz w:val="32"/>
        </w:rPr>
      </w:pPr>
    </w:p>
    <w:p w14:paraId="3FAE8470">
      <w:pPr>
        <w:pStyle w:val="262"/>
        <w:outlineLvl w:val="0"/>
        <w:rPr>
          <w:rFonts w:hint="eastAsia" w:ascii="宋体" w:hAnsi="宋体" w:eastAsia="宋体" w:cs="宋体"/>
          <w:b/>
          <w:sz w:val="32"/>
        </w:rPr>
      </w:pPr>
    </w:p>
    <w:p w14:paraId="119CAE6D">
      <w:pPr>
        <w:pStyle w:val="262"/>
        <w:outlineLvl w:val="0"/>
        <w:rPr>
          <w:rFonts w:hint="eastAsia" w:ascii="宋体" w:hAnsi="宋体" w:eastAsia="宋体" w:cs="宋体"/>
          <w:b/>
          <w:sz w:val="32"/>
        </w:rPr>
      </w:pPr>
    </w:p>
    <w:p w14:paraId="0F023F23">
      <w:pPr>
        <w:pStyle w:val="262"/>
        <w:outlineLvl w:val="0"/>
        <w:rPr>
          <w:rFonts w:hint="eastAsia" w:ascii="宋体" w:hAnsi="宋体" w:eastAsia="宋体" w:cs="宋体"/>
          <w:b/>
          <w:sz w:val="32"/>
        </w:rPr>
      </w:pPr>
    </w:p>
    <w:p w14:paraId="6C377EE2">
      <w:pPr>
        <w:pStyle w:val="262"/>
        <w:outlineLvl w:val="0"/>
        <w:rPr>
          <w:rFonts w:hint="eastAsia" w:ascii="宋体" w:hAnsi="宋体" w:eastAsia="宋体" w:cs="宋体"/>
          <w:b/>
          <w:sz w:val="32"/>
        </w:rPr>
      </w:pPr>
    </w:p>
    <w:p w14:paraId="5C96AED2">
      <w:pPr>
        <w:pStyle w:val="262"/>
        <w:outlineLvl w:val="0"/>
        <w:rPr>
          <w:rFonts w:hint="eastAsia" w:ascii="宋体" w:hAnsi="宋体" w:eastAsia="宋体" w:cs="宋体"/>
          <w:b/>
          <w:sz w:val="32"/>
        </w:rPr>
      </w:pPr>
    </w:p>
    <w:p w14:paraId="5BC8BF12">
      <w:pPr>
        <w:pStyle w:val="262"/>
        <w:outlineLvl w:val="0"/>
        <w:rPr>
          <w:rFonts w:hint="eastAsia" w:ascii="宋体" w:hAnsi="宋体" w:eastAsia="宋体" w:cs="宋体"/>
          <w:b/>
          <w:sz w:val="32"/>
        </w:rPr>
      </w:pPr>
    </w:p>
    <w:p w14:paraId="48B377B0">
      <w:pPr>
        <w:pStyle w:val="262"/>
        <w:outlineLvl w:val="0"/>
        <w:rPr>
          <w:rFonts w:hint="eastAsia" w:ascii="宋体" w:hAnsi="宋体" w:eastAsia="宋体" w:cs="宋体"/>
          <w:b/>
          <w:sz w:val="32"/>
        </w:rPr>
      </w:pPr>
    </w:p>
    <w:p w14:paraId="313B942F">
      <w:pPr>
        <w:pStyle w:val="262"/>
        <w:outlineLvl w:val="0"/>
        <w:rPr>
          <w:rFonts w:hint="eastAsia" w:ascii="宋体" w:hAnsi="宋体" w:eastAsia="宋体" w:cs="宋体"/>
        </w:rPr>
      </w:pPr>
      <w:bookmarkStart w:id="280" w:name="_Toc11441"/>
      <w:bookmarkStart w:id="281" w:name="_Toc20966"/>
      <w:r>
        <w:rPr>
          <w:rFonts w:hint="eastAsia" w:ascii="宋体" w:hAnsi="宋体" w:eastAsia="宋体" w:cs="宋体"/>
          <w:b/>
          <w:sz w:val="32"/>
        </w:rPr>
        <w:t>十</w:t>
      </w:r>
      <w:r>
        <w:rPr>
          <w:rFonts w:hint="eastAsia" w:ascii="宋体" w:hAnsi="宋体" w:eastAsia="宋体" w:cs="宋体"/>
          <w:b/>
          <w:sz w:val="32"/>
          <w:lang w:eastAsia="zh-CN"/>
        </w:rPr>
        <w:t>一</w:t>
      </w:r>
      <w:r>
        <w:rPr>
          <w:rFonts w:hint="eastAsia" w:ascii="宋体" w:hAnsi="宋体" w:eastAsia="宋体" w:cs="宋体"/>
          <w:b/>
          <w:sz w:val="32"/>
        </w:rPr>
        <w:t>、</w:t>
      </w:r>
      <w:r>
        <w:rPr>
          <w:rFonts w:hint="default" w:ascii="宋体" w:hAnsi="宋体" w:eastAsia="宋体" w:cs="宋体"/>
          <w:b/>
          <w:sz w:val="32"/>
        </w:rPr>
        <w:t>中小企业声明函</w:t>
      </w:r>
      <w:r>
        <w:rPr>
          <w:rFonts w:hint="eastAsia" w:ascii="宋体" w:hAnsi="宋体" w:eastAsia="宋体" w:cs="宋体"/>
          <w:b/>
          <w:sz w:val="32"/>
        </w:rPr>
        <w:t>等</w:t>
      </w:r>
      <w:bookmarkEnd w:id="279"/>
      <w:bookmarkEnd w:id="280"/>
      <w:bookmarkEnd w:id="281"/>
    </w:p>
    <w:p w14:paraId="56E9D863">
      <w:pPr>
        <w:pStyle w:val="250"/>
        <w:spacing w:before="320" w:after="320"/>
        <w:jc w:val="center"/>
        <w:rPr>
          <w:rFonts w:hint="eastAsia" w:ascii="宋体" w:hAnsi="宋体" w:eastAsia="宋体" w:cs="宋体"/>
          <w:sz w:val="32"/>
          <w:szCs w:val="32"/>
        </w:rPr>
      </w:pPr>
      <w:bookmarkStart w:id="282" w:name="OLE_LINK16"/>
      <w:r>
        <w:rPr>
          <w:rFonts w:hint="eastAsia" w:ascii="宋体" w:hAnsi="宋体" w:eastAsia="宋体" w:cs="宋体"/>
          <w:sz w:val="32"/>
          <w:szCs w:val="32"/>
        </w:rPr>
        <w:t>中小企业声明函（货物）</w:t>
      </w:r>
      <w:r>
        <w:rPr>
          <w:rFonts w:hint="default" w:ascii="宋体" w:hAnsi="宋体" w:eastAsia="宋体" w:cs="宋体"/>
          <w:sz w:val="32"/>
          <w:szCs w:val="32"/>
        </w:rPr>
        <w:t> </w:t>
      </w:r>
    </w:p>
    <w:p w14:paraId="65A12841">
      <w:pPr>
        <w:pStyle w:val="250"/>
        <w:spacing w:before="240" w:after="240"/>
        <w:ind w:firstLine="480"/>
        <w:rPr>
          <w:rFonts w:hint="eastAsia" w:ascii="宋体" w:hAnsi="宋体" w:eastAsia="宋体" w:cs="宋体"/>
        </w:rPr>
      </w:pPr>
      <w:r>
        <w:rPr>
          <w:rFonts w:hint="default" w:ascii="宋体" w:hAnsi="宋体" w:eastAsia="宋体" w:cs="宋体"/>
        </w:rPr>
        <w:t>本公司郑重声明，根据《政府采购促进中小企业发展管理办法》 (财库〔2020〕46号)的规定，本公司参加</w:t>
      </w:r>
      <w:r>
        <w:rPr>
          <w:rFonts w:hint="default" w:ascii="宋体" w:hAnsi="宋体" w:eastAsia="宋体" w:cs="宋体"/>
          <w:u w:val="single"/>
        </w:rPr>
        <w:t>   （</w:t>
      </w:r>
      <w:r>
        <w:rPr>
          <w:rFonts w:hint="default" w:ascii="宋体" w:hAnsi="宋体" w:eastAsia="宋体" w:cs="宋体"/>
        </w:rPr>
        <w:t>单位名称）的</w:t>
      </w:r>
      <w:r>
        <w:rPr>
          <w:rFonts w:hint="default" w:ascii="宋体" w:hAnsi="宋体" w:eastAsia="宋体" w:cs="宋体"/>
          <w:u w:val="single"/>
        </w:rPr>
        <w:t> </w:t>
      </w:r>
      <w:r>
        <w:rPr>
          <w:rFonts w:hint="eastAsia" w:ascii="宋体" w:hAnsi="宋体" w:eastAsia="宋体" w:cs="宋体"/>
          <w:u w:val="single"/>
        </w:rPr>
        <w:t xml:space="preserve">  </w:t>
      </w:r>
      <w:r>
        <w:rPr>
          <w:rFonts w:hint="default" w:ascii="宋体" w:hAnsi="宋体" w:eastAsia="宋体" w:cs="宋体"/>
          <w:u w:val="single"/>
        </w:rPr>
        <w:t>  </w:t>
      </w:r>
      <w:r>
        <w:rPr>
          <w:rFonts w:hint="default" w:ascii="宋体" w:hAnsi="宋体" w:eastAsia="宋体" w:cs="宋体"/>
        </w:rPr>
        <w:t>（项目名称）采购活动，提供的货物全部由符合政策要求的中小企业制造。相关企业的具体情况如下：</w:t>
      </w:r>
    </w:p>
    <w:p w14:paraId="68B5193B">
      <w:pPr>
        <w:pStyle w:val="251"/>
        <w:spacing w:line="440" w:lineRule="exact"/>
        <w:rPr>
          <w:rFonts w:hint="eastAsia" w:ascii="宋体" w:hAnsi="宋体" w:eastAsia="宋体" w:cs="宋体"/>
        </w:rPr>
      </w:pPr>
      <w:r>
        <w:rPr>
          <w:rFonts w:hint="eastAsia" w:ascii="宋体" w:hAnsi="宋体" w:eastAsia="宋体" w:cs="宋体"/>
        </w:rPr>
        <w:t>1.</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w:t>
      </w:r>
      <w:r>
        <w:rPr>
          <w:rFonts w:hint="eastAsia" w:ascii="宋体" w:hAnsi="宋体" w:eastAsia="宋体" w:cs="宋体"/>
        </w:rPr>
        <w:t>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（企业名称）</w:t>
      </w:r>
      <w:r>
        <w:rPr>
          <w:rFonts w:hint="eastAsia" w:ascii="宋体" w:hAnsi="宋体" w:eastAsia="宋体" w:cs="宋体"/>
        </w:rPr>
        <w:t>，从业人员</w:t>
      </w:r>
      <w:r>
        <w:rPr>
          <w:rFonts w:hint="eastAsia" w:ascii="宋体" w:hAnsi="宋体" w:eastAsia="宋体" w:cs="宋体"/>
          <w:i/>
          <w:iCs/>
          <w:u w:val="single"/>
        </w:rPr>
        <w:t xml:space="preserve">    </w:t>
      </w:r>
      <w:r>
        <w:rPr>
          <w:rFonts w:hint="eastAsia" w:ascii="宋体" w:hAnsi="宋体" w:eastAsia="宋体" w:cs="宋体"/>
        </w:rPr>
        <w:t>人，营业收入为</w:t>
      </w:r>
      <w:r>
        <w:rPr>
          <w:rFonts w:hint="eastAsia" w:ascii="宋体" w:hAnsi="宋体" w:eastAsia="宋体" w:cs="宋体"/>
          <w:i/>
          <w:iCs/>
          <w:u w:val="single"/>
        </w:rPr>
        <w:t xml:space="preserve">    </w:t>
      </w:r>
      <w:r>
        <w:rPr>
          <w:rFonts w:hint="eastAsia" w:ascii="宋体" w:hAnsi="宋体" w:eastAsia="宋体" w:cs="宋体"/>
        </w:rPr>
        <w:t>万元，资产总额为</w:t>
      </w:r>
      <w:r>
        <w:rPr>
          <w:rFonts w:hint="eastAsia" w:ascii="宋体" w:hAnsi="宋体" w:eastAsia="宋体" w:cs="宋体"/>
          <w:i/>
          <w:iCs/>
          <w:u w:val="single"/>
        </w:rPr>
        <w:t xml:space="preserve">    </w:t>
      </w:r>
      <w:r>
        <w:rPr>
          <w:rFonts w:hint="eastAsia" w:ascii="宋体" w:hAnsi="宋体" w:eastAsia="宋体" w:cs="宋体"/>
        </w:rPr>
        <w:t>万元，属于</w:t>
      </w:r>
      <w:r>
        <w:rPr>
          <w:rFonts w:hint="eastAsia" w:ascii="宋体" w:hAnsi="宋体" w:eastAsia="宋体" w:cs="宋体"/>
          <w:u w:val="single"/>
        </w:rPr>
        <w:t xml:space="preserve">     </w:t>
      </w:r>
      <w:r>
        <w:rPr>
          <w:rFonts w:hint="eastAsia" w:ascii="宋体" w:hAnsi="宋体" w:eastAsia="宋体" w:cs="宋体"/>
          <w:i/>
          <w:iCs/>
          <w:u w:val="single"/>
        </w:rPr>
        <w:t>（中型企业、小型企业、微型企业）</w:t>
      </w:r>
      <w:r>
        <w:rPr>
          <w:rFonts w:hint="eastAsia" w:ascii="宋体" w:hAnsi="宋体" w:eastAsia="宋体" w:cs="宋体"/>
        </w:rPr>
        <w:t>；</w:t>
      </w:r>
    </w:p>
    <w:p w14:paraId="1269D46E">
      <w:pPr>
        <w:pStyle w:val="251"/>
        <w:spacing w:line="440" w:lineRule="exact"/>
        <w:rPr>
          <w:rFonts w:hint="eastAsia" w:ascii="宋体" w:hAnsi="宋体" w:eastAsia="宋体" w:cs="宋体"/>
        </w:rPr>
      </w:pPr>
      <w:r>
        <w:rPr>
          <w:rFonts w:hint="eastAsia" w:ascii="宋体" w:hAnsi="宋体" w:eastAsia="宋体" w:cs="宋体"/>
        </w:rPr>
        <w:t>2.</w:t>
      </w:r>
      <w:r>
        <w:rPr>
          <w:rFonts w:hint="eastAsia" w:ascii="宋体" w:hAnsi="宋体" w:eastAsia="宋体" w:cs="宋体"/>
          <w:i/>
          <w:iCs/>
        </w:rPr>
        <w:t xml:space="preserve"> </w:t>
      </w:r>
      <w:r>
        <w:rPr>
          <w:rFonts w:hint="eastAsia" w:ascii="宋体" w:hAnsi="宋体" w:eastAsia="宋体" w:cs="宋体"/>
          <w:i/>
          <w:iCs/>
          <w:u w:val="single"/>
        </w:rPr>
        <w:t xml:space="preserve">（标的名称） </w:t>
      </w:r>
      <w:r>
        <w:rPr>
          <w:rFonts w:hint="eastAsia" w:ascii="宋体" w:hAnsi="宋体" w:eastAsia="宋体" w:cs="宋体"/>
          <w:i/>
          <w:iCs/>
        </w:rPr>
        <w:t>，</w:t>
      </w:r>
      <w:r>
        <w:rPr>
          <w:rFonts w:hint="eastAsia" w:ascii="宋体" w:hAnsi="宋体" w:eastAsia="宋体" w:cs="宋体"/>
        </w:rPr>
        <w:t>属于</w:t>
      </w:r>
      <w:r>
        <w:rPr>
          <w:rFonts w:hint="eastAsia" w:ascii="宋体" w:hAnsi="宋体" w:eastAsia="宋体" w:cs="宋体"/>
          <w:i/>
          <w:iCs/>
          <w:u w:val="single"/>
        </w:rPr>
        <w:t xml:space="preserve">（采购文件中明确的所属行业）  </w:t>
      </w:r>
      <w:r>
        <w:rPr>
          <w:rFonts w:hint="eastAsia" w:ascii="宋体" w:hAnsi="宋体" w:eastAsia="宋体" w:cs="宋体"/>
        </w:rPr>
        <w:t xml:space="preserve"> 行业；制造商为</w:t>
      </w:r>
      <w:r>
        <w:rPr>
          <w:rFonts w:hint="eastAsia" w:ascii="宋体" w:hAnsi="宋体" w:eastAsia="宋体" w:cs="宋体"/>
          <w:i/>
          <w:iCs/>
          <w:u w:val="single"/>
        </w:rPr>
        <w:t>（企业名称）</w:t>
      </w:r>
      <w:r>
        <w:rPr>
          <w:rFonts w:hint="eastAsia" w:ascii="宋体" w:hAnsi="宋体" w:eastAsia="宋体" w:cs="宋体"/>
        </w:rPr>
        <w:t>，从业人员</w:t>
      </w:r>
      <w:r>
        <w:rPr>
          <w:rFonts w:hint="eastAsia" w:ascii="宋体" w:hAnsi="宋体" w:eastAsia="宋体" w:cs="宋体"/>
          <w:i/>
          <w:iCs/>
          <w:u w:val="single"/>
        </w:rPr>
        <w:t xml:space="preserve">    </w:t>
      </w:r>
      <w:r>
        <w:rPr>
          <w:rFonts w:hint="eastAsia" w:ascii="宋体" w:hAnsi="宋体" w:eastAsia="宋体" w:cs="宋体"/>
        </w:rPr>
        <w:t>人，营业收入为</w:t>
      </w:r>
      <w:r>
        <w:rPr>
          <w:rFonts w:hint="eastAsia" w:ascii="宋体" w:hAnsi="宋体" w:eastAsia="宋体" w:cs="宋体"/>
          <w:i/>
          <w:iCs/>
          <w:u w:val="single"/>
        </w:rPr>
        <w:t xml:space="preserve">    </w:t>
      </w:r>
      <w:r>
        <w:rPr>
          <w:rFonts w:hint="eastAsia" w:ascii="宋体" w:hAnsi="宋体" w:eastAsia="宋体" w:cs="宋体"/>
        </w:rPr>
        <w:t>万元，资产总额为</w:t>
      </w:r>
      <w:r>
        <w:rPr>
          <w:rFonts w:hint="eastAsia" w:ascii="宋体" w:hAnsi="宋体" w:eastAsia="宋体" w:cs="宋体"/>
          <w:i/>
          <w:iCs/>
          <w:u w:val="single"/>
        </w:rPr>
        <w:t xml:space="preserve">    </w:t>
      </w:r>
      <w:r>
        <w:rPr>
          <w:rFonts w:hint="eastAsia" w:ascii="宋体" w:hAnsi="宋体" w:eastAsia="宋体" w:cs="宋体"/>
        </w:rPr>
        <w:t>万元，属于</w:t>
      </w:r>
      <w:r>
        <w:rPr>
          <w:rFonts w:hint="eastAsia" w:ascii="宋体" w:hAnsi="宋体" w:eastAsia="宋体" w:cs="宋体"/>
          <w:u w:val="single"/>
        </w:rPr>
        <w:t xml:space="preserve">     </w:t>
      </w:r>
      <w:r>
        <w:rPr>
          <w:rFonts w:hint="eastAsia" w:ascii="宋体" w:hAnsi="宋体" w:eastAsia="宋体" w:cs="宋体"/>
          <w:i/>
          <w:iCs/>
          <w:u w:val="single"/>
        </w:rPr>
        <w:t>（中型企业、小型企业、微型企业）</w:t>
      </w:r>
      <w:r>
        <w:rPr>
          <w:rFonts w:hint="eastAsia" w:ascii="宋体" w:hAnsi="宋体" w:eastAsia="宋体" w:cs="宋体"/>
        </w:rPr>
        <w:t>；</w:t>
      </w:r>
    </w:p>
    <w:p w14:paraId="540E6F17">
      <w:pPr>
        <w:pStyle w:val="250"/>
        <w:spacing w:before="240" w:after="240"/>
        <w:rPr>
          <w:rFonts w:hint="eastAsia" w:ascii="宋体" w:hAnsi="宋体" w:eastAsia="宋体" w:cs="宋体"/>
        </w:rPr>
      </w:pPr>
      <w:r>
        <w:rPr>
          <w:rFonts w:hint="eastAsia" w:ascii="宋体" w:hAnsi="宋体" w:eastAsia="宋体" w:cs="宋体"/>
        </w:rPr>
        <w:t>3.</w:t>
      </w:r>
    </w:p>
    <w:p w14:paraId="3F346D97">
      <w:pPr>
        <w:pStyle w:val="250"/>
        <w:spacing w:before="240" w:after="240"/>
        <w:rPr>
          <w:rFonts w:hint="eastAsia" w:ascii="宋体" w:hAnsi="宋体" w:eastAsia="宋体" w:cs="宋体"/>
        </w:rPr>
      </w:pPr>
      <w:r>
        <w:rPr>
          <w:rFonts w:hint="eastAsia" w:ascii="宋体" w:hAnsi="宋体" w:eastAsia="宋体" w:cs="宋体"/>
        </w:rPr>
        <w:t>4.</w:t>
      </w:r>
    </w:p>
    <w:p w14:paraId="2B605481">
      <w:pPr>
        <w:pStyle w:val="250"/>
        <w:spacing w:before="240" w:after="240"/>
        <w:ind w:firstLine="480"/>
        <w:rPr>
          <w:rFonts w:hint="eastAsia" w:ascii="宋体" w:hAnsi="宋体" w:eastAsia="宋体" w:cs="宋体"/>
        </w:rPr>
      </w:pPr>
      <w:r>
        <w:rPr>
          <w:rFonts w:hint="default" w:ascii="宋体" w:hAnsi="宋体" w:eastAsia="宋体" w:cs="宋体"/>
        </w:rPr>
        <w:t xml:space="preserve">以上企业，不属于大企业的分支机构，不存在控股股东为大企业的情形，也不存在与大企业的负责人为同一人的情形。 </w:t>
      </w:r>
    </w:p>
    <w:p w14:paraId="346AEEAD">
      <w:pPr>
        <w:pStyle w:val="250"/>
        <w:spacing w:before="240" w:after="240"/>
        <w:ind w:firstLine="480"/>
        <w:rPr>
          <w:rFonts w:hint="eastAsia" w:ascii="宋体" w:hAnsi="宋体" w:eastAsia="宋体" w:cs="宋体"/>
        </w:rPr>
      </w:pPr>
      <w:r>
        <w:rPr>
          <w:rFonts w:hint="default" w:ascii="宋体" w:hAnsi="宋体" w:eastAsia="宋体" w:cs="宋体"/>
        </w:rPr>
        <w:t xml:space="preserve">本企业对上述声明内容的真实性负责。如有虚假，将依法承担相应责任。 </w:t>
      </w:r>
    </w:p>
    <w:p w14:paraId="38E82E81">
      <w:pPr>
        <w:pStyle w:val="250"/>
        <w:spacing w:before="240" w:after="240"/>
        <w:rPr>
          <w:rFonts w:hint="eastAsia" w:ascii="宋体" w:hAnsi="宋体" w:eastAsia="宋体" w:cs="宋体"/>
        </w:rPr>
      </w:pPr>
      <w:r>
        <w:rPr>
          <w:rFonts w:hint="default" w:ascii="宋体" w:hAnsi="宋体" w:eastAsia="宋体" w:cs="宋体"/>
        </w:rPr>
        <w:t>企业名称（盖章）：   </w:t>
      </w:r>
    </w:p>
    <w:p w14:paraId="3557863D">
      <w:pPr>
        <w:pStyle w:val="250"/>
        <w:spacing w:before="240" w:after="240"/>
        <w:rPr>
          <w:rFonts w:hint="eastAsia" w:ascii="宋体" w:hAnsi="宋体" w:eastAsia="宋体" w:cs="宋体"/>
        </w:rPr>
      </w:pPr>
      <w:r>
        <w:rPr>
          <w:rFonts w:hint="default" w:ascii="宋体" w:hAnsi="宋体" w:eastAsia="宋体" w:cs="宋体"/>
        </w:rPr>
        <w:t>日期：   </w:t>
      </w:r>
    </w:p>
    <w:p w14:paraId="4AE8E7AE">
      <w:pPr>
        <w:pStyle w:val="250"/>
        <w:spacing w:before="240" w:after="240"/>
        <w:rPr>
          <w:rFonts w:hint="eastAsia" w:ascii="宋体" w:hAnsi="宋体" w:eastAsia="宋体" w:cs="宋体"/>
        </w:rPr>
      </w:pPr>
    </w:p>
    <w:p w14:paraId="0F8DE2BF">
      <w:pPr>
        <w:pStyle w:val="250"/>
        <w:spacing w:before="240" w:after="240"/>
        <w:rPr>
          <w:rFonts w:hint="eastAsia" w:ascii="宋体" w:hAnsi="宋体" w:eastAsia="宋体" w:cs="宋体"/>
        </w:rPr>
      </w:pPr>
      <w:r>
        <w:rPr>
          <w:rFonts w:hint="default" w:ascii="宋体" w:hAnsi="宋体" w:eastAsia="宋体" w:cs="宋体"/>
        </w:rPr>
        <w:t>注：供应商对照《关于印发中小企业划型标准规定的通知》（工信部联企业【2011】300号）中的标准，明确标的承接企业所属企业类型。</w:t>
      </w:r>
    </w:p>
    <w:p w14:paraId="5AC0BD26">
      <w:pPr>
        <w:pStyle w:val="250"/>
        <w:spacing w:before="240" w:after="240"/>
        <w:rPr>
          <w:rFonts w:hint="eastAsia" w:ascii="宋体" w:hAnsi="宋体" w:eastAsia="宋体" w:cs="宋体"/>
        </w:rPr>
      </w:pPr>
      <w:r>
        <w:rPr>
          <w:rFonts w:hint="default" w:ascii="宋体" w:hAnsi="宋体" w:eastAsia="宋体" w:cs="宋体"/>
        </w:rPr>
        <w:t>备注：1.从业人员、营业收入、资产总额填报上一年度数据，无上一年度数据的新成立企业可不填报。</w:t>
      </w:r>
    </w:p>
    <w:p w14:paraId="58EC645F">
      <w:pPr>
        <w:pStyle w:val="250"/>
        <w:spacing w:before="240" w:after="240"/>
        <w:rPr>
          <w:rFonts w:hint="eastAsia" w:ascii="宋体" w:hAnsi="宋体" w:eastAsia="宋体" w:cs="宋体"/>
          <w:sz w:val="24"/>
          <w:szCs w:val="24"/>
        </w:rPr>
      </w:pPr>
      <w:r>
        <w:rPr>
          <w:rFonts w:hint="default" w:ascii="宋体" w:hAnsi="宋体" w:eastAsia="宋体" w:cs="宋体"/>
        </w:rPr>
        <w:t>2.涉及多个采购标的的项目，供应商应当</w:t>
      </w:r>
      <w:r>
        <w:rPr>
          <w:rFonts w:hint="default" w:ascii="宋体" w:hAnsi="宋体" w:eastAsia="宋体" w:cs="宋体"/>
          <w:b/>
          <w:bCs/>
        </w:rPr>
        <w:t>逐一填报与采购项目属性一致的每个采购标的（主要采购标的，不包括配件、辅料等</w:t>
      </w:r>
      <w:r>
        <w:rPr>
          <w:rFonts w:hint="default" w:ascii="宋体" w:hAnsi="宋体" w:eastAsia="宋体" w:cs="宋体"/>
        </w:rPr>
        <w:t>）的制造商或者承建（承接）供应商信</w:t>
      </w:r>
      <w:r>
        <w:rPr>
          <w:rFonts w:hint="default" w:ascii="宋体" w:hAnsi="宋体" w:eastAsia="宋体" w:cs="宋体"/>
          <w:sz w:val="24"/>
          <w:szCs w:val="24"/>
        </w:rPr>
        <w:t>息。</w:t>
      </w:r>
    </w:p>
    <w:p w14:paraId="41FB7C55">
      <w:pPr>
        <w:pStyle w:val="250"/>
        <w:spacing w:before="240" w:after="240"/>
        <w:rPr>
          <w:rStyle w:val="199"/>
          <w:rFonts w:hint="eastAsia" w:ascii="宋体" w:hAnsi="宋体" w:cs="宋体"/>
          <w:b/>
          <w:bCs/>
          <w:color w:val="000000"/>
          <w:sz w:val="24"/>
          <w:szCs w:val="24"/>
        </w:rPr>
      </w:pPr>
      <w:r>
        <w:rPr>
          <w:rStyle w:val="199"/>
          <w:rFonts w:hint="eastAsia" w:ascii="宋体" w:hAnsi="宋体" w:cs="宋体"/>
          <w:color w:val="000000"/>
          <w:sz w:val="24"/>
          <w:szCs w:val="24"/>
        </w:rPr>
        <w:t>3.</w:t>
      </w:r>
      <w:r>
        <w:rPr>
          <w:rStyle w:val="199"/>
          <w:rFonts w:hint="default" w:ascii="宋体" w:hAnsi="宋体" w:cs="宋体"/>
          <w:color w:val="000000"/>
          <w:sz w:val="24"/>
          <w:szCs w:val="24"/>
        </w:rPr>
        <w:t>在服务采购项目中，服务由中小企业承接，即提供服务的人员为中小企业依照《中华人民共和国劳动合同法》订立劳动合同的从业人员。</w:t>
      </w:r>
      <w:r>
        <w:rPr>
          <w:rStyle w:val="199"/>
          <w:rFonts w:hint="default" w:ascii="宋体" w:hAnsi="宋体" w:cs="宋体"/>
          <w:b/>
          <w:bCs/>
          <w:color w:val="000000"/>
          <w:sz w:val="24"/>
          <w:szCs w:val="24"/>
        </w:rPr>
        <w:t>服务类项目中供应商若使用退休人员，将不享受相应扶持政策。</w:t>
      </w:r>
    </w:p>
    <w:p w14:paraId="5BCCE557">
      <w:pPr>
        <w:pStyle w:val="250"/>
        <w:spacing w:line="440" w:lineRule="exact"/>
        <w:rPr>
          <w:rFonts w:hint="eastAsia" w:ascii="宋体" w:hAnsi="宋体" w:eastAsia="宋体" w:cs="宋体"/>
        </w:rPr>
      </w:pPr>
      <w:r>
        <w:rPr>
          <w:rFonts w:hint="eastAsia" w:ascii="宋体" w:hAnsi="宋体" w:eastAsia="宋体" w:cs="宋体"/>
        </w:rPr>
        <w:t>4.</w:t>
      </w:r>
      <w:r>
        <w:rPr>
          <w:rFonts w:hint="default" w:ascii="宋体" w:hAnsi="宋体" w:eastAsia="宋体" w:cs="宋体"/>
        </w:rPr>
        <w:t>若供应商对照《政府采购促进中小企业发展管理办法》 (财库〔2020〕46号)中的规定，明确不符合</w:t>
      </w:r>
      <w:r>
        <w:rPr>
          <w:rFonts w:hint="eastAsia" w:ascii="宋体" w:hAnsi="宋体" w:eastAsia="宋体" w:cs="宋体"/>
        </w:rPr>
        <w:t>中小企业</w:t>
      </w:r>
      <w:r>
        <w:rPr>
          <w:rFonts w:hint="default" w:ascii="宋体" w:hAnsi="宋体" w:eastAsia="宋体" w:cs="宋体"/>
        </w:rPr>
        <w:t xml:space="preserve">的，则无需提供此声明函。 </w:t>
      </w:r>
    </w:p>
    <w:p w14:paraId="3134E0D1">
      <w:pPr>
        <w:pStyle w:val="250"/>
        <w:spacing w:before="240" w:after="240"/>
        <w:rPr>
          <w:rFonts w:hint="eastAsia" w:ascii="宋体" w:hAnsi="宋体" w:eastAsia="宋体" w:cs="宋体"/>
        </w:rPr>
      </w:pPr>
    </w:p>
    <w:p w14:paraId="4AD38A74">
      <w:pPr>
        <w:pStyle w:val="250"/>
        <w:spacing w:before="240" w:after="240"/>
        <w:rPr>
          <w:rFonts w:hint="eastAsia" w:ascii="宋体" w:hAnsi="宋体" w:eastAsia="宋体" w:cs="宋体"/>
        </w:rPr>
      </w:pPr>
      <w:r>
        <w:rPr>
          <w:rFonts w:hint="default" w:ascii="宋体" w:hAnsi="宋体" w:eastAsia="宋体" w:cs="宋体"/>
        </w:rPr>
        <w:t>附：中小企业划型标准规定</w:t>
      </w:r>
    </w:p>
    <w:p w14:paraId="7F8471C3">
      <w:pPr>
        <w:pStyle w:val="250"/>
        <w:spacing w:before="240" w:after="240"/>
        <w:rPr>
          <w:rFonts w:hint="eastAsia" w:ascii="宋体" w:hAnsi="宋体" w:eastAsia="宋体" w:cs="宋体"/>
        </w:rPr>
      </w:pPr>
      <w:r>
        <w:rPr>
          <w:rFonts w:hint="default" w:ascii="宋体" w:hAnsi="宋体" w:eastAsia="宋体" w:cs="宋体"/>
        </w:rPr>
        <w:t>（一）农、林、牧、渔业。营业收入20000万元以下的为中小微型企业。其中，营业收入500万元及以上的为中型企业，营业收入50万元及以上的为小型企业，营业收入50万元以下的为微型企业。</w:t>
      </w:r>
    </w:p>
    <w:p w14:paraId="72AC3E16">
      <w:pPr>
        <w:pStyle w:val="250"/>
        <w:spacing w:before="240" w:after="240"/>
        <w:rPr>
          <w:rFonts w:hint="eastAsia" w:ascii="宋体" w:hAnsi="宋体" w:eastAsia="宋体" w:cs="宋体"/>
        </w:rPr>
      </w:pPr>
      <w:r>
        <w:rPr>
          <w:rFonts w:hint="default" w:ascii="宋体" w:hAnsi="宋体" w:eastAsia="宋体" w:cs="宋体"/>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566CD87">
      <w:pPr>
        <w:pStyle w:val="250"/>
        <w:spacing w:before="240" w:after="240"/>
        <w:rPr>
          <w:rFonts w:hint="eastAsia" w:ascii="宋体" w:hAnsi="宋体" w:eastAsia="宋体" w:cs="宋体"/>
        </w:rPr>
      </w:pPr>
      <w:r>
        <w:rPr>
          <w:rFonts w:hint="default" w:ascii="宋体" w:hAnsi="宋体" w:eastAsia="宋体" w:cs="宋体"/>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B6B97F0">
      <w:pPr>
        <w:pStyle w:val="250"/>
        <w:spacing w:before="240" w:after="240"/>
        <w:rPr>
          <w:rFonts w:hint="eastAsia" w:ascii="宋体" w:hAnsi="宋体" w:eastAsia="宋体" w:cs="宋体"/>
        </w:rPr>
      </w:pPr>
      <w:r>
        <w:rPr>
          <w:rFonts w:hint="default" w:ascii="宋体" w:hAnsi="宋体" w:eastAsia="宋体" w:cs="宋体"/>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F76A2BE">
      <w:pPr>
        <w:pStyle w:val="250"/>
        <w:spacing w:before="240" w:after="240"/>
        <w:rPr>
          <w:rFonts w:hint="eastAsia" w:ascii="宋体" w:hAnsi="宋体" w:eastAsia="宋体" w:cs="宋体"/>
        </w:rPr>
      </w:pPr>
      <w:r>
        <w:rPr>
          <w:rFonts w:hint="default" w:ascii="宋体" w:hAnsi="宋体" w:eastAsia="宋体" w:cs="宋体"/>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C92C21F">
      <w:pPr>
        <w:pStyle w:val="250"/>
        <w:spacing w:before="240" w:after="240"/>
        <w:rPr>
          <w:rFonts w:hint="eastAsia" w:ascii="宋体" w:hAnsi="宋体" w:eastAsia="宋体" w:cs="宋体"/>
        </w:rPr>
      </w:pPr>
      <w:r>
        <w:rPr>
          <w:rFonts w:hint="default" w:ascii="宋体" w:hAnsi="宋体" w:eastAsia="宋体" w:cs="宋体"/>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CB42AE8">
      <w:pPr>
        <w:pStyle w:val="250"/>
        <w:spacing w:before="240" w:after="240"/>
        <w:rPr>
          <w:rFonts w:hint="eastAsia" w:ascii="宋体" w:hAnsi="宋体" w:eastAsia="宋体" w:cs="宋体"/>
        </w:rPr>
      </w:pPr>
      <w:r>
        <w:rPr>
          <w:rFonts w:hint="default" w:ascii="宋体" w:hAnsi="宋体" w:eastAsia="宋体" w:cs="宋体"/>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13FA7F9">
      <w:pPr>
        <w:pStyle w:val="250"/>
        <w:spacing w:before="240" w:after="240"/>
        <w:rPr>
          <w:rFonts w:hint="eastAsia" w:ascii="宋体" w:hAnsi="宋体" w:eastAsia="宋体" w:cs="宋体"/>
        </w:rPr>
      </w:pPr>
      <w:r>
        <w:rPr>
          <w:rFonts w:hint="default" w:ascii="宋体" w:hAnsi="宋体" w:eastAsia="宋体" w:cs="宋体"/>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3785352">
      <w:pPr>
        <w:pStyle w:val="250"/>
        <w:spacing w:before="240" w:after="240"/>
        <w:rPr>
          <w:rFonts w:hint="eastAsia" w:ascii="宋体" w:hAnsi="宋体" w:eastAsia="宋体" w:cs="宋体"/>
        </w:rPr>
      </w:pPr>
      <w:r>
        <w:rPr>
          <w:rFonts w:hint="default" w:ascii="宋体" w:hAnsi="宋体" w:eastAsia="宋体" w:cs="宋体"/>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2D416DC">
      <w:pPr>
        <w:pStyle w:val="250"/>
        <w:spacing w:before="240" w:after="240"/>
        <w:rPr>
          <w:rFonts w:hint="eastAsia" w:ascii="宋体" w:hAnsi="宋体" w:eastAsia="宋体" w:cs="宋体"/>
        </w:rPr>
      </w:pPr>
      <w:r>
        <w:rPr>
          <w:rFonts w:hint="default" w:ascii="宋体" w:hAnsi="宋体" w:eastAsia="宋体" w:cs="宋体"/>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6A2D631">
      <w:pPr>
        <w:pStyle w:val="250"/>
        <w:spacing w:before="240" w:after="240"/>
        <w:rPr>
          <w:rFonts w:hint="eastAsia" w:ascii="宋体" w:hAnsi="宋体" w:eastAsia="宋体" w:cs="宋体"/>
        </w:rPr>
      </w:pPr>
      <w:r>
        <w:rPr>
          <w:rFonts w:hint="default" w:ascii="宋体" w:hAnsi="宋体" w:eastAsia="宋体" w:cs="宋体"/>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665A3B9E">
      <w:pPr>
        <w:pStyle w:val="250"/>
        <w:spacing w:before="240" w:after="240"/>
        <w:rPr>
          <w:rFonts w:hint="eastAsia" w:ascii="宋体" w:hAnsi="宋体" w:eastAsia="宋体" w:cs="宋体"/>
        </w:rPr>
      </w:pPr>
      <w:r>
        <w:rPr>
          <w:rFonts w:hint="default" w:ascii="宋体" w:hAnsi="宋体" w:eastAsia="宋体" w:cs="宋体"/>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D4BDF7D">
      <w:pPr>
        <w:pStyle w:val="250"/>
        <w:spacing w:before="240" w:after="240"/>
        <w:rPr>
          <w:rFonts w:hint="eastAsia" w:ascii="宋体" w:hAnsi="宋体" w:eastAsia="宋体" w:cs="宋体"/>
        </w:rPr>
      </w:pPr>
      <w:r>
        <w:rPr>
          <w:rFonts w:hint="default" w:ascii="宋体" w:hAnsi="宋体" w:eastAsia="宋体" w:cs="宋体"/>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31D4A05">
      <w:pPr>
        <w:pStyle w:val="250"/>
        <w:spacing w:before="240" w:after="240"/>
        <w:rPr>
          <w:rFonts w:hint="eastAsia" w:ascii="宋体" w:hAnsi="宋体" w:eastAsia="宋体" w:cs="宋体"/>
        </w:rPr>
      </w:pPr>
      <w:r>
        <w:rPr>
          <w:rFonts w:hint="default"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5AE408F0">
      <w:pPr>
        <w:pStyle w:val="250"/>
        <w:spacing w:before="240" w:after="240"/>
        <w:rPr>
          <w:rFonts w:hint="eastAsia" w:ascii="宋体" w:hAnsi="宋体" w:eastAsia="宋体" w:cs="宋体"/>
        </w:rPr>
      </w:pPr>
      <w:r>
        <w:rPr>
          <w:rFonts w:hint="default" w:ascii="宋体" w:hAnsi="宋体" w:eastAsia="宋体" w:cs="宋体"/>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7F6C22D">
      <w:pPr>
        <w:pStyle w:val="250"/>
        <w:spacing w:before="240" w:after="240"/>
        <w:rPr>
          <w:rFonts w:hint="eastAsia" w:ascii="宋体" w:hAnsi="宋体" w:eastAsia="宋体" w:cs="宋体"/>
        </w:rPr>
      </w:pPr>
      <w:r>
        <w:rPr>
          <w:rFonts w:hint="default" w:ascii="宋体" w:hAnsi="宋体" w:eastAsia="宋体" w:cs="宋体"/>
        </w:rPr>
        <w:t>（十六）其他未列明行业。从业人员300人以下的为中小微型企业。其中，从业人员100人及以上的为中型企业；从业人员10人及以上的为小型企业；从业人员10人以下的为微型企业。</w:t>
      </w:r>
    </w:p>
    <w:p w14:paraId="3C640B8B">
      <w:pPr>
        <w:pStyle w:val="252"/>
        <w:spacing w:before="240" w:after="240"/>
        <w:rPr>
          <w:rFonts w:hint="eastAsia" w:ascii="宋体" w:hAnsi="宋体" w:eastAsia="宋体" w:cs="宋体"/>
        </w:rPr>
      </w:pPr>
    </w:p>
    <w:p w14:paraId="01477753">
      <w:pPr>
        <w:pStyle w:val="252"/>
        <w:spacing w:before="240" w:after="240"/>
        <w:rPr>
          <w:rFonts w:hint="eastAsia" w:ascii="宋体" w:hAnsi="宋体" w:eastAsia="宋体" w:cs="宋体"/>
        </w:rPr>
      </w:pPr>
    </w:p>
    <w:p w14:paraId="1E2A7F7B">
      <w:pPr>
        <w:pStyle w:val="252"/>
        <w:spacing w:before="240" w:after="240"/>
        <w:rPr>
          <w:rFonts w:hint="eastAsia" w:ascii="宋体" w:hAnsi="宋体" w:eastAsia="宋体" w:cs="宋体"/>
        </w:rPr>
      </w:pPr>
    </w:p>
    <w:p w14:paraId="0A96DD87">
      <w:pPr>
        <w:pStyle w:val="252"/>
        <w:spacing w:before="240" w:after="240"/>
        <w:rPr>
          <w:rFonts w:hint="eastAsia" w:ascii="宋体" w:hAnsi="宋体" w:eastAsia="宋体" w:cs="宋体"/>
        </w:rPr>
      </w:pPr>
      <w:r>
        <w:rPr>
          <w:rFonts w:hint="default" w:ascii="宋体" w:hAnsi="宋体" w:eastAsia="宋体" w:cs="宋体"/>
        </w:rPr>
        <w:t> </w:t>
      </w:r>
    </w:p>
    <w:p w14:paraId="0C6F8668">
      <w:pPr>
        <w:pStyle w:val="252"/>
        <w:spacing w:before="320" w:after="320"/>
        <w:jc w:val="center"/>
        <w:rPr>
          <w:rFonts w:hint="eastAsia" w:ascii="宋体" w:hAnsi="宋体" w:eastAsia="宋体" w:cs="宋体"/>
          <w:sz w:val="32"/>
          <w:szCs w:val="32"/>
        </w:rPr>
      </w:pPr>
      <w:r>
        <w:rPr>
          <w:rFonts w:hint="default" w:ascii="宋体" w:hAnsi="宋体" w:eastAsia="宋体" w:cs="宋体"/>
          <w:sz w:val="32"/>
          <w:szCs w:val="32"/>
        </w:rPr>
        <w:t>残疾人福利性单位声明函 </w:t>
      </w:r>
    </w:p>
    <w:p w14:paraId="025DD1D5">
      <w:pPr>
        <w:pStyle w:val="252"/>
        <w:spacing w:before="240" w:after="240"/>
        <w:rPr>
          <w:rFonts w:hint="eastAsia" w:ascii="宋体" w:hAnsi="宋体" w:eastAsia="宋体" w:cs="宋体"/>
        </w:rPr>
      </w:pPr>
      <w:r>
        <w:rPr>
          <w:rFonts w:hint="default" w:ascii="宋体" w:hAnsi="宋体" w:eastAsia="宋体" w:cs="宋体"/>
        </w:rPr>
        <w:t> </w:t>
      </w:r>
    </w:p>
    <w:p w14:paraId="20436EF0">
      <w:pPr>
        <w:pStyle w:val="252"/>
        <w:spacing w:before="240" w:after="240"/>
        <w:rPr>
          <w:rFonts w:hint="eastAsia" w:ascii="宋体" w:hAnsi="宋体" w:eastAsia="宋体" w:cs="宋体"/>
        </w:rPr>
      </w:pPr>
      <w:r>
        <w:rPr>
          <w:rFonts w:hint="default" w:ascii="宋体" w:hAnsi="宋体" w:eastAsia="宋体" w:cs="宋体"/>
        </w:rPr>
        <w:t>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u w:val="single"/>
        </w:rPr>
        <w:t>   </w:t>
      </w:r>
      <w:r>
        <w:rPr>
          <w:rFonts w:hint="default" w:ascii="宋体" w:hAnsi="宋体" w:eastAsia="宋体" w:cs="宋体"/>
        </w:rPr>
        <w:t>单位的</w:t>
      </w:r>
      <w:r>
        <w:rPr>
          <w:rFonts w:hint="default" w:ascii="宋体" w:hAnsi="宋体" w:eastAsia="宋体" w:cs="宋体"/>
          <w:u w:val="single"/>
        </w:rPr>
        <w:t>   </w:t>
      </w:r>
      <w:r>
        <w:rPr>
          <w:rFonts w:hint="default" w:ascii="宋体" w:hAnsi="宋体" w:eastAsia="宋体" w:cs="宋体"/>
        </w:rPr>
        <w:t xml:space="preserve">项目采购活动提供本单位制造的货物（由本单位承担工程/提供服务），或者提供其他残疾人福利性单位制造的货物（不包括使用非残疾人福利性单位注册商标的货物）。 </w:t>
      </w:r>
    </w:p>
    <w:p w14:paraId="4A89D5B3">
      <w:pPr>
        <w:pStyle w:val="252"/>
        <w:spacing w:before="240" w:after="240"/>
        <w:rPr>
          <w:rFonts w:hint="eastAsia" w:ascii="宋体" w:hAnsi="宋体" w:eastAsia="宋体" w:cs="宋体"/>
        </w:rPr>
      </w:pPr>
      <w:r>
        <w:rPr>
          <w:rFonts w:hint="default" w:ascii="宋体" w:hAnsi="宋体" w:eastAsia="宋体" w:cs="宋体"/>
        </w:rPr>
        <w:t>本单位对上述声明的真实性负责。如有虚假，将依法承担相应责任。</w:t>
      </w:r>
    </w:p>
    <w:p w14:paraId="2719F7F4">
      <w:pPr>
        <w:pStyle w:val="252"/>
        <w:spacing w:before="240" w:after="240"/>
        <w:jc w:val="center"/>
        <w:rPr>
          <w:rFonts w:hint="eastAsia" w:ascii="宋体" w:hAnsi="宋体" w:eastAsia="宋体" w:cs="宋体"/>
        </w:rPr>
      </w:pPr>
      <w:r>
        <w:rPr>
          <w:rFonts w:hint="default" w:ascii="宋体" w:hAnsi="宋体" w:eastAsia="宋体" w:cs="宋体"/>
        </w:rPr>
        <w:t> </w:t>
      </w:r>
    </w:p>
    <w:p w14:paraId="5892A441">
      <w:pPr>
        <w:pStyle w:val="252"/>
        <w:spacing w:before="240" w:after="240"/>
        <w:jc w:val="center"/>
        <w:rPr>
          <w:rFonts w:hint="eastAsia" w:ascii="宋体" w:hAnsi="宋体" w:eastAsia="宋体" w:cs="宋体"/>
        </w:rPr>
      </w:pPr>
      <w:r>
        <w:rPr>
          <w:rFonts w:hint="default" w:ascii="宋体" w:hAnsi="宋体" w:eastAsia="宋体" w:cs="宋体"/>
        </w:rPr>
        <w:t> </w:t>
      </w:r>
    </w:p>
    <w:p w14:paraId="42CEB9D3">
      <w:pPr>
        <w:pStyle w:val="252"/>
        <w:spacing w:before="240" w:after="240"/>
        <w:jc w:val="center"/>
        <w:rPr>
          <w:rFonts w:hint="eastAsia" w:ascii="宋体" w:hAnsi="宋体" w:eastAsia="宋体" w:cs="宋体"/>
        </w:rPr>
      </w:pPr>
      <w:r>
        <w:rPr>
          <w:rFonts w:hint="default" w:ascii="宋体" w:hAnsi="宋体" w:eastAsia="宋体" w:cs="宋体"/>
        </w:rPr>
        <w:t> </w:t>
      </w:r>
    </w:p>
    <w:p w14:paraId="4E68D098">
      <w:pPr>
        <w:pStyle w:val="252"/>
        <w:spacing w:before="240" w:after="240"/>
        <w:rPr>
          <w:rFonts w:hint="eastAsia" w:ascii="宋体" w:hAnsi="宋体" w:eastAsia="宋体" w:cs="宋体"/>
        </w:rPr>
      </w:pPr>
      <w:r>
        <w:rPr>
          <w:rFonts w:hint="default" w:ascii="宋体" w:hAnsi="宋体" w:eastAsia="宋体" w:cs="宋体"/>
        </w:rPr>
        <w:t>单位名称（盖章）：   </w:t>
      </w:r>
    </w:p>
    <w:p w14:paraId="5A7AD7C7">
      <w:pPr>
        <w:pStyle w:val="252"/>
        <w:spacing w:before="240" w:after="240"/>
        <w:rPr>
          <w:rFonts w:hint="eastAsia" w:ascii="宋体" w:hAnsi="宋体" w:eastAsia="宋体" w:cs="宋体"/>
        </w:rPr>
      </w:pPr>
      <w:r>
        <w:rPr>
          <w:rFonts w:hint="default" w:ascii="宋体" w:hAnsi="宋体" w:eastAsia="宋体" w:cs="宋体"/>
        </w:rPr>
        <w:t>日期：   </w:t>
      </w:r>
    </w:p>
    <w:p w14:paraId="6867A6A0">
      <w:pPr>
        <w:pStyle w:val="252"/>
        <w:spacing w:before="240" w:after="240"/>
        <w:rPr>
          <w:rFonts w:hint="eastAsia" w:ascii="宋体" w:hAnsi="宋体" w:eastAsia="宋体" w:cs="宋体"/>
        </w:rPr>
      </w:pPr>
      <w:r>
        <w:rPr>
          <w:rFonts w:hint="default" w:ascii="宋体" w:hAnsi="宋体" w:eastAsia="宋体" w:cs="宋体"/>
        </w:rPr>
        <w:t>注：1、符合《关于促进残疾人就业政府采购政策的通知》（财库〔2017〕141号）规定条件的残疾人福利性单位在参加政府采购活动时，应当提供《残疾人福利性单位声明函》，并对声明的真实性负责。</w:t>
      </w:r>
    </w:p>
    <w:p w14:paraId="3201D963">
      <w:pPr>
        <w:pStyle w:val="252"/>
        <w:spacing w:before="240" w:after="240"/>
        <w:rPr>
          <w:rFonts w:hint="eastAsia" w:ascii="宋体" w:hAnsi="宋体" w:eastAsia="宋体" w:cs="宋体"/>
        </w:rPr>
      </w:pPr>
      <w:r>
        <w:rPr>
          <w:rFonts w:hint="default" w:ascii="宋体" w:hAnsi="宋体" w:eastAsia="宋体" w:cs="宋体"/>
        </w:rPr>
        <w:t>供应商提供的《残疾人福利性单位声明函》与事实不符的，依照《政府采购法》第七十七条第一款的规定追究法律责任。</w:t>
      </w:r>
    </w:p>
    <w:p w14:paraId="2E8BA1B8">
      <w:pPr>
        <w:pStyle w:val="252"/>
        <w:spacing w:before="240" w:after="240"/>
        <w:rPr>
          <w:rFonts w:hint="eastAsia" w:ascii="宋体" w:hAnsi="宋体" w:eastAsia="宋体" w:cs="宋体"/>
        </w:rPr>
      </w:pPr>
      <w:r>
        <w:rPr>
          <w:rFonts w:hint="default" w:ascii="宋体" w:hAnsi="宋体" w:eastAsia="宋体" w:cs="宋体"/>
        </w:rPr>
        <w:t>中标、成交供应商为残疾人福利性单位的，采购人或者其委托的采购代理机构应当随中标、成交结果同时公告其《残疾人福利性单位声明函》，接受社会监督。</w:t>
      </w:r>
    </w:p>
    <w:p w14:paraId="63F44E17">
      <w:pPr>
        <w:pStyle w:val="252"/>
        <w:spacing w:before="240" w:after="240"/>
        <w:rPr>
          <w:rFonts w:hint="eastAsia" w:ascii="宋体" w:hAnsi="宋体" w:eastAsia="宋体" w:cs="宋体"/>
        </w:rPr>
      </w:pPr>
      <w:r>
        <w:rPr>
          <w:rFonts w:hint="default" w:ascii="宋体" w:hAnsi="宋体" w:eastAsia="宋体" w:cs="宋体"/>
        </w:rPr>
        <w:t xml:space="preserve">2、若供应商对照《关于促进残疾人就业政府采购政策的通知》（财库〔2017〕141号）中的规定，明确不符合残疾人福利性单位条件的，则无需提供此声明函。 </w:t>
      </w:r>
    </w:p>
    <w:p w14:paraId="191B19FF">
      <w:pPr>
        <w:pStyle w:val="253"/>
        <w:outlineLvl w:val="0"/>
        <w:rPr>
          <w:rFonts w:hint="default"/>
        </w:rPr>
      </w:pPr>
      <w:r>
        <w:rPr>
          <w:rFonts w:hint="default"/>
        </w:rPr>
        <w:br w:type="page" w:clear="all"/>
      </w:r>
    </w:p>
    <w:p w14:paraId="1898B0C8">
      <w:pPr>
        <w:jc w:val="center"/>
        <w:rPr>
          <w:rFonts w:hint="default"/>
          <w:sz w:val="32"/>
          <w:szCs w:val="32"/>
        </w:rPr>
      </w:pPr>
      <w:r>
        <w:rPr>
          <w:rFonts w:hint="eastAsia"/>
          <w:sz w:val="32"/>
          <w:szCs w:val="32"/>
        </w:rPr>
        <w:t>监狱企业的证明文件</w:t>
      </w:r>
    </w:p>
    <w:p w14:paraId="78E31842">
      <w:pPr>
        <w:rPr>
          <w:rFonts w:hint="eastAsia" w:ascii="宋体" w:hAnsi="宋体" w:eastAsia="宋体" w:cs="宋体"/>
          <w:sz w:val="24"/>
          <w:szCs w:val="28"/>
        </w:rPr>
      </w:pPr>
      <w:r>
        <w:rPr>
          <w:rFonts w:hint="eastAsia" w:ascii="宋体" w:hAnsi="宋体" w:eastAsia="宋体" w:cs="宋体"/>
          <w:sz w:val="24"/>
          <w:szCs w:val="28"/>
        </w:rPr>
        <w:t>（证明文件）</w:t>
      </w:r>
    </w:p>
    <w:p w14:paraId="5EDC42BE">
      <w:pPr>
        <w:widowControl w:val="0"/>
        <w:spacing w:line="360" w:lineRule="auto"/>
        <w:ind w:firstLine="480"/>
        <w:jc w:val="left"/>
        <w:rPr>
          <w:rFonts w:hint="eastAsia" w:ascii="等线" w:hAnsi="等线" w:eastAsia="等线" w:cs="Times New Roman"/>
          <w:sz w:val="21"/>
          <w:szCs w:val="22"/>
          <w:lang w:val="en-US" w:eastAsia="zh-CN" w:bidi="ar-SA"/>
        </w:rPr>
      </w:pPr>
    </w:p>
    <w:p w14:paraId="1BBF9B99">
      <w:pPr>
        <w:widowControl w:val="0"/>
        <w:spacing w:line="360" w:lineRule="auto"/>
        <w:ind w:firstLine="0"/>
        <w:jc w:val="left"/>
        <w:rPr>
          <w:rFonts w:hint="eastAsia" w:ascii="等线" w:hAnsi="等线" w:eastAsia="等线" w:cs="Times New Roman"/>
          <w:sz w:val="21"/>
          <w:szCs w:val="22"/>
          <w:lang w:val="en-US" w:eastAsia="zh-CN" w:bidi="ar-SA"/>
        </w:rPr>
      </w:pPr>
    </w:p>
    <w:p w14:paraId="39A4BF58">
      <w:pPr>
        <w:widowControl w:val="0"/>
        <w:spacing w:line="360" w:lineRule="auto"/>
        <w:ind w:firstLine="480"/>
        <w:jc w:val="left"/>
        <w:rPr>
          <w:rFonts w:hint="eastAsia" w:ascii="等线" w:hAnsi="等线" w:eastAsia="等线" w:cs="Times New Roman"/>
          <w:sz w:val="21"/>
          <w:szCs w:val="22"/>
          <w:lang w:val="en-US" w:eastAsia="zh-CN" w:bidi="ar-SA"/>
        </w:rPr>
      </w:pPr>
    </w:p>
    <w:p w14:paraId="0B1349A0">
      <w:pPr>
        <w:widowControl w:val="0"/>
        <w:spacing w:line="360" w:lineRule="auto"/>
        <w:ind w:firstLine="480"/>
        <w:jc w:val="left"/>
        <w:rPr>
          <w:rFonts w:hint="eastAsia" w:ascii="等线" w:hAnsi="等线" w:eastAsia="等线" w:cs="Times New Roman"/>
          <w:sz w:val="21"/>
          <w:szCs w:val="22"/>
          <w:lang w:val="en-US" w:eastAsia="zh-CN" w:bidi="ar-SA"/>
        </w:rPr>
      </w:pPr>
    </w:p>
    <w:p w14:paraId="74A1EC14">
      <w:pPr>
        <w:spacing w:line="440" w:lineRule="exact"/>
        <w:ind w:firstLine="480"/>
        <w:rPr>
          <w:rFonts w:hint="eastAsia" w:ascii="宋体" w:hAnsi="宋体" w:cs="宋体"/>
          <w:sz w:val="24"/>
          <w:szCs w:val="24"/>
        </w:rPr>
      </w:pPr>
      <w:r>
        <w:rPr>
          <w:rFonts w:hint="eastAsia" w:ascii="宋体" w:hAnsi="宋体" w:cs="宋体"/>
          <w:sz w:val="24"/>
          <w:szCs w:val="24"/>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443A3E86">
      <w:pPr>
        <w:rPr>
          <w:rFonts w:hint="eastAsia" w:ascii="等线" w:hAnsi="等线" w:eastAsia="等线"/>
        </w:rPr>
      </w:pPr>
      <w:r>
        <w:rPr>
          <w:rFonts w:hint="eastAsia" w:ascii="等线" w:hAnsi="等线" w:eastAsia="等线"/>
        </w:rPr>
        <w:t xml:space="preserve">      </w:t>
      </w:r>
    </w:p>
    <w:p w14:paraId="7F7643B6">
      <w:pPr>
        <w:spacing w:line="440" w:lineRule="exact"/>
        <w:ind w:firstLine="480"/>
        <w:rPr>
          <w:rFonts w:hint="eastAsia" w:ascii="宋体" w:hAnsi="宋体" w:cs="宋体"/>
          <w:sz w:val="24"/>
          <w:szCs w:val="24"/>
        </w:rPr>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p>
    <w:p w14:paraId="217376CD">
      <w:pPr>
        <w:widowControl/>
        <w:spacing w:line="440" w:lineRule="exact"/>
        <w:rPr>
          <w:rFonts w:hint="eastAsia" w:ascii="宋体" w:hAnsi="宋体"/>
          <w:sz w:val="24"/>
          <w:szCs w:val="24"/>
        </w:rPr>
      </w:pPr>
    </w:p>
    <w:bookmarkEnd w:id="282"/>
    <w:p w14:paraId="1BDFE18A">
      <w:pPr>
        <w:pStyle w:val="259"/>
        <w:rPr>
          <w:rStyle w:val="199"/>
          <w:rFonts w:hint="default"/>
        </w:rPr>
      </w:pPr>
    </w:p>
    <w:p w14:paraId="3356FC99">
      <w:pPr>
        <w:pStyle w:val="289"/>
        <w:spacing w:before="240" w:after="240"/>
        <w:jc w:val="center"/>
        <w:rPr>
          <w:rStyle w:val="199"/>
          <w:rFonts w:hint="default"/>
        </w:rPr>
      </w:pPr>
      <w:r>
        <w:rPr>
          <w:rStyle w:val="199"/>
          <w:rFonts w:hint="default" w:ascii="宋体" w:hAnsi="宋体" w:cs="宋体"/>
          <w:b/>
          <w:sz w:val="28"/>
        </w:rPr>
        <w:t xml:space="preserve"> </w:t>
      </w:r>
    </w:p>
    <w:p w14:paraId="476CAE1E">
      <w:pPr>
        <w:pStyle w:val="290"/>
        <w:spacing w:before="240" w:after="240"/>
        <w:rPr>
          <w:rStyle w:val="199"/>
          <w:rFonts w:hint="default"/>
        </w:rPr>
      </w:pPr>
      <w:r>
        <w:rPr>
          <w:rStyle w:val="199"/>
          <w:rFonts w:hint="default"/>
        </w:rPr>
        <w:t> </w:t>
      </w:r>
    </w:p>
    <w:p w14:paraId="5591FACC">
      <w:pPr>
        <w:pStyle w:val="288"/>
        <w:spacing w:before="240" w:after="240"/>
        <w:rPr>
          <w:rFonts w:hint="eastAsia" w:ascii="宋体" w:hAnsi="宋体" w:eastAsiaTheme="minorEastAsia"/>
          <w:b/>
          <w:bCs/>
          <w:sz w:val="20"/>
          <w:szCs w:val="32"/>
        </w:rPr>
      </w:pPr>
      <w:r>
        <w:rPr>
          <w:rFonts w:hint="eastAsia" w:ascii="宋体" w:hAnsi="宋体" w:eastAsiaTheme="minorEastAsia"/>
          <w:b/>
          <w:bCs/>
          <w:sz w:val="20"/>
          <w:szCs w:val="32"/>
        </w:rPr>
        <w:t xml:space="preserve"> </w:t>
      </w:r>
    </w:p>
    <w:p w14:paraId="73B48C6F">
      <w:pPr>
        <w:pStyle w:val="260"/>
        <w:rPr>
          <w:rFonts w:ascii="宋体" w:hAnsi="宋体"/>
          <w:b/>
          <w:bCs/>
          <w:sz w:val="20"/>
          <w:szCs w:val="32"/>
          <w:highlight w:val="white"/>
        </w:rPr>
      </w:pPr>
    </w:p>
    <w:p w14:paraId="5426B8AD">
      <w:pPr>
        <w:pStyle w:val="260"/>
        <w:rPr>
          <w:rFonts w:ascii="宋体" w:hAnsi="宋体"/>
          <w:b/>
          <w:bCs/>
          <w:sz w:val="20"/>
          <w:szCs w:val="32"/>
          <w:highlight w:val="white"/>
        </w:rPr>
      </w:pPr>
    </w:p>
    <w:p w14:paraId="7FF6EA72">
      <w:pPr>
        <w:pStyle w:val="260"/>
        <w:rPr>
          <w:rFonts w:ascii="宋体" w:hAnsi="宋体"/>
          <w:b/>
          <w:bCs/>
          <w:sz w:val="20"/>
          <w:szCs w:val="32"/>
          <w:highlight w:val="white"/>
        </w:rPr>
      </w:pPr>
    </w:p>
    <w:p w14:paraId="67422705">
      <w:pPr>
        <w:pStyle w:val="260"/>
        <w:rPr>
          <w:rFonts w:ascii="宋体" w:hAnsi="宋体"/>
          <w:b/>
          <w:bCs/>
          <w:sz w:val="20"/>
          <w:szCs w:val="32"/>
          <w:highlight w:val="white"/>
        </w:rPr>
      </w:pPr>
    </w:p>
    <w:p w14:paraId="61190554">
      <w:pPr>
        <w:pStyle w:val="260"/>
        <w:rPr>
          <w:rFonts w:ascii="宋体" w:hAnsi="宋体"/>
          <w:b/>
          <w:bCs/>
          <w:sz w:val="20"/>
          <w:szCs w:val="32"/>
          <w:highlight w:val="white"/>
        </w:rPr>
      </w:pPr>
    </w:p>
    <w:p w14:paraId="60B4BBF4">
      <w:pPr>
        <w:rPr>
          <w:rFonts w:ascii="宋体" w:hAnsi="宋体"/>
          <w:b/>
          <w:bCs/>
          <w:sz w:val="20"/>
          <w:szCs w:val="32"/>
          <w:highlight w:val="white"/>
        </w:rPr>
      </w:pPr>
      <w:r>
        <w:rPr>
          <w:rFonts w:ascii="宋体" w:hAnsi="宋体"/>
          <w:b/>
          <w:bCs/>
          <w:sz w:val="20"/>
          <w:szCs w:val="32"/>
          <w:highlight w:val="white"/>
        </w:rPr>
        <w:br w:type="page" w:clear="all"/>
      </w:r>
    </w:p>
    <w:p w14:paraId="737666BB">
      <w:pPr>
        <w:pStyle w:val="262"/>
        <w:numPr>
          <w:ilvl w:val="0"/>
          <w:numId w:val="0"/>
        </w:numPr>
        <w:outlineLvl w:val="0"/>
        <w:rPr>
          <w:rFonts w:hint="default" w:ascii="宋体" w:hAnsi="宋体" w:eastAsia="宋体" w:cs="宋体"/>
          <w:b/>
          <w:sz w:val="32"/>
          <w:highlight w:val="none"/>
        </w:rPr>
      </w:pPr>
      <w:r>
        <w:rPr>
          <w:rFonts w:hint="eastAsia" w:ascii="宋体" w:hAnsi="宋体" w:eastAsia="宋体" w:cs="宋体"/>
          <w:b/>
          <w:sz w:val="32"/>
          <w:highlight w:val="none"/>
          <w:lang w:eastAsia="zh-CN"/>
        </w:rPr>
        <w:t>十二、</w:t>
      </w:r>
      <w:r>
        <w:rPr>
          <w:rFonts w:hint="default" w:ascii="宋体" w:hAnsi="宋体" w:eastAsia="宋体" w:cs="宋体"/>
          <w:b/>
          <w:sz w:val="32"/>
          <w:highlight w:val="none"/>
        </w:rPr>
        <w:t>关于符合本国产品标准的声明函</w:t>
      </w:r>
    </w:p>
    <w:p w14:paraId="1A2D21BB">
      <w:pPr>
        <w:pStyle w:val="262"/>
        <w:numPr>
          <w:ilvl w:val="0"/>
          <w:numId w:val="0"/>
        </w:numPr>
        <w:outlineLvl w:val="0"/>
        <w:rPr>
          <w:rFonts w:hint="eastAsia" w:ascii="宋体" w:hAnsi="宋体" w:eastAsia="宋体" w:cs="宋体"/>
          <w:b/>
          <w:sz w:val="32"/>
        </w:rPr>
      </w:pPr>
    </w:p>
    <w:p w14:paraId="426DBA6D">
      <w:pPr>
        <w:pStyle w:val="262"/>
        <w:numPr>
          <w:ilvl w:val="0"/>
          <w:numId w:val="0"/>
        </w:numPr>
        <w:ind w:firstLine="1920"/>
        <w:outlineLvl w:val="0"/>
        <w:rPr>
          <w:rFonts w:hint="eastAsia" w:ascii="宋体" w:hAnsi="宋体" w:eastAsia="宋体" w:cs="宋体"/>
          <w:b w:val="0"/>
          <w:bCs/>
          <w:sz w:val="32"/>
        </w:rPr>
      </w:pPr>
      <w:bookmarkStart w:id="283" w:name="OLE_LINK17"/>
      <w:r>
        <w:rPr>
          <w:rFonts w:hint="eastAsia" w:ascii="宋体" w:hAnsi="宋体" w:eastAsia="宋体" w:cs="宋体"/>
          <w:b w:val="0"/>
          <w:bCs/>
          <w:sz w:val="32"/>
        </w:rPr>
        <w:t>关于符合本国产品标准的声明函</w:t>
      </w:r>
    </w:p>
    <w:p w14:paraId="499276D3">
      <w:pPr>
        <w:widowControl/>
        <w:spacing w:before="0" w:beforeAutospacing="0" w:after="0" w:afterAutospacing="0" w:line="0" w:lineRule="atLeast"/>
        <w:ind w:firstLine="420"/>
        <w:jc w:val="left"/>
        <w:rPr>
          <w:rFonts w:hint="default" w:ascii="方正魏碑_GBK" w:hAnsi="方正魏碑_GBK" w:eastAsia="方正魏碑_GBK" w:cs="方正魏碑_GBK"/>
          <w:color w:val="FF0000"/>
          <w:sz w:val="24"/>
          <w:szCs w:val="24"/>
          <w:lang w:val="en-US" w:eastAsia="zh-CN" w:bidi="ar-SA"/>
        </w:rPr>
      </w:pPr>
    </w:p>
    <w:p w14:paraId="686AD7B6">
      <w:pPr>
        <w:widowControl/>
        <w:spacing w:before="0" w:beforeAutospacing="0" w:after="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1C7AAB60">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0528" behindDoc="0" locked="0" layoutInCell="1" allowOverlap="1">
                <wp:simplePos x="0" y="0"/>
                <wp:positionH relativeFrom="column">
                  <wp:posOffset>-128270</wp:posOffset>
                </wp:positionH>
                <wp:positionV relativeFrom="paragraph">
                  <wp:posOffset>401955</wp:posOffset>
                </wp:positionV>
                <wp:extent cx="565785" cy="130810"/>
                <wp:effectExtent l="1270" t="4445" r="4445" b="17145"/>
                <wp:wrapNone/>
                <wp:docPr id="1" name="直接箭头连接符 1"/>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0.1pt;margin-top:31.65pt;height:10.3pt;width:44.55pt;z-index:251670528;mso-width-relative:page;mso-height-relative:page;" filled="f" stroked="t" coordsize="21600,21600" o:gfxdata="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iUSb+&#10;1wAAAAgBAAAPAAAAAAAAAAEAIAAAACIAAABkcnMvZG93bnJldi54bWxQSwECFAAUAAAACACHTuJA&#10;qWPlSyICAAAqBAAADgAAAAAAAAABACAAAAAmAQAAZHJzL2Uyb0RvYy54bWxQSwUGAAAAAAYABgBZ&#10;AQAAug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9504" behindDoc="0" locked="0" layoutInCell="1" allowOverlap="1">
                <wp:simplePos x="0" y="0"/>
                <wp:positionH relativeFrom="column">
                  <wp:posOffset>5074285</wp:posOffset>
                </wp:positionH>
                <wp:positionV relativeFrom="paragraph">
                  <wp:posOffset>260985</wp:posOffset>
                </wp:positionV>
                <wp:extent cx="196215" cy="97790"/>
                <wp:effectExtent l="1905" t="4445" r="11430" b="12065"/>
                <wp:wrapNone/>
                <wp:docPr id="2" name="直接箭头连接符 2"/>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99.55pt;margin-top:20.55pt;height:7.7pt;width:15.45pt;z-index:251669504;mso-width-relative:page;mso-height-relative:page;" filled="f" stroked="t" coordsize="21600,21600" o:gfxdata="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PkAqbdgAAAAJAQAADwAAAAAAAAABACAAAAAiAAAAZHJzL2Rvd25yZXYueG1sUEsBAhQAFAAA&#10;AAgAh07iQCqXDFUoAgAAMwQAAA4AAAAAAAAAAQAgAAAAJwEAAGRycy9lMm9Eb2MueG1sUEsFBgAA&#10;AAAGAAYAWQEAAME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8480" behindDoc="0" locked="0" layoutInCell="1" allowOverlap="1">
                <wp:simplePos x="0" y="0"/>
                <wp:positionH relativeFrom="column">
                  <wp:posOffset>2863850</wp:posOffset>
                </wp:positionH>
                <wp:positionV relativeFrom="paragraph">
                  <wp:posOffset>393700</wp:posOffset>
                </wp:positionV>
                <wp:extent cx="816610" cy="147320"/>
                <wp:effectExtent l="635" t="4445" r="1905" b="19685"/>
                <wp:wrapNone/>
                <wp:docPr id="3" name="直接箭头连接符 3"/>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25.5pt;margin-top:31pt;height:11.6pt;width:64.3pt;z-index:251668480;mso-width-relative:page;mso-height-relative:page;" filled="f" stroked="t" coordsize="21600,21600" o:gfxdata="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Ar&#10;iRnc2AAAAAkBAAAPAAAAAAAAAAEAIAAAACIAAABkcnMvZG93bnJldi54bWxQSwECFAAUAAAACACH&#10;TuJANMdb8yQCAAAqBAAADgAAAAAAAAABACAAAAAnAQAAZHJzL2Uyb0RvYy54bWxQSwUGAAAAAAYA&#10;BgBZAQAAvQ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7456" behindDoc="0" locked="0" layoutInCell="1" allowOverlap="1">
                <wp:simplePos x="0" y="0"/>
                <wp:positionH relativeFrom="column">
                  <wp:posOffset>-139065</wp:posOffset>
                </wp:positionH>
                <wp:positionV relativeFrom="paragraph">
                  <wp:posOffset>233680</wp:posOffset>
                </wp:positionV>
                <wp:extent cx="364490" cy="97790"/>
                <wp:effectExtent l="1270" t="4445" r="15240" b="12065"/>
                <wp:wrapNone/>
                <wp:docPr id="4" name="直接箭头连接符 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0.95pt;margin-top:18.4pt;height:7.7pt;width:28.7pt;z-index:251667456;mso-width-relative:page;mso-height-relative:page;" filled="f" stroked="t" coordsize="21600,21600" o:gfxdata="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alQFsNcA&#10;AAAIAQAADwAAAAAAAAABACAAAAAiAAAAZHJzL2Rvd25yZXYueG1sUEsBAhQAFAAAAAgAh07iQImk&#10;jV8gAgAAKQQAAA4AAAAAAAAAAQAgAAAAJg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6432" behindDoc="0" locked="0" layoutInCell="1" allowOverlap="1">
                <wp:simplePos x="0" y="0"/>
                <wp:positionH relativeFrom="column">
                  <wp:posOffset>4723130</wp:posOffset>
                </wp:positionH>
                <wp:positionV relativeFrom="paragraph">
                  <wp:posOffset>40640</wp:posOffset>
                </wp:positionV>
                <wp:extent cx="577215" cy="92075"/>
                <wp:effectExtent l="635" t="4445" r="12700" b="17780"/>
                <wp:wrapNone/>
                <wp:docPr id="5" name="直接箭头连接符 5"/>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71.9pt;margin-top:3.2pt;height:7.25pt;width:45.45pt;z-index:251666432;mso-width-relative:page;mso-height-relative:page;" filled="f" stroked="t" coordsize="21600,21600" o:gfxdata="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70CvctcA&#10;AAAIAQAADwAAAAAAAAABACAAAAAiAAAAZHJzL2Rvd25yZXYueG1sUEsBAhQAFAAAAAgAh07iQFbR&#10;zgUgAgAAKQQAAA4AAAAAAAAAAQAgAAAAJgEAAGRycy9lMm9Eb2MueG1sUEsFBgAAAAAGAAYAWQEA&#10;ALg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1312" behindDoc="0" locked="0" layoutInCell="1" allowOverlap="1">
                <wp:simplePos x="0" y="0"/>
                <wp:positionH relativeFrom="column">
                  <wp:posOffset>1678305</wp:posOffset>
                </wp:positionH>
                <wp:positionV relativeFrom="paragraph">
                  <wp:posOffset>407670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132.15pt;margin-top:32.1pt;height:9.45pt;width:69pt;z-index:251661312;mso-width-relative:page;mso-height-relative:page;" filled="f" stroked="t" coordsize="21600,21600" o:gfxdata="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FsnGLW&#10;AAAACQEAAA8AAAAAAAAAAQAgAAAAIgAAAGRycy9kb3ducmV2LnhtbFBLAQIUABQAAAAIAIdO4kAM&#10;7CjvIgIAACoEAAAOAAAAAAAAAAEAIAAAACUBAABkcnMvZTJvRG9jLnhtbFBLBQYAAAAABgAGAFkB&#10;AAC5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0288" behindDoc="0" locked="0" layoutInCell="1" allowOverlap="1">
                <wp:simplePos x="0" y="0"/>
                <wp:positionH relativeFrom="column">
                  <wp:posOffset>3778885</wp:posOffset>
                </wp:positionH>
                <wp:positionV relativeFrom="paragraph">
                  <wp:posOffset>244475</wp:posOffset>
                </wp:positionV>
                <wp:extent cx="816610" cy="103505"/>
                <wp:effectExtent l="635" t="4445" r="1905" b="6350"/>
                <wp:wrapNone/>
                <wp:docPr id="7" name="直接箭头连接符 7"/>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97.55pt;margin-top:19.25pt;height:8.15pt;width:64.3pt;z-index:251660288;mso-width-relative:page;mso-height-relative:page;" filled="f" stroked="t" coordsize="21600,21600" o:gfxdata="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dXoW&#10;8dgAAAAJAQAADwAAAAAAAAABACAAAAAiAAAAZHJzL2Rvd25yZXYueG1sUEsBAhQAFAAAAAgAh07i&#10;QGex9ZUiAgAAKgQAAA4AAAAAAAAAAQAgAAAAJwEAAGRycy9lMm9Eb2MueG1sUEsFBgAAAAAGAAYA&#10;WQEAALsFA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59264" behindDoc="0" locked="0" layoutInCell="1" allowOverlap="1">
                <wp:simplePos x="0" y="0"/>
                <wp:positionH relativeFrom="column">
                  <wp:posOffset>2701290</wp:posOffset>
                </wp:positionH>
                <wp:positionV relativeFrom="paragraph">
                  <wp:posOffset>244475</wp:posOffset>
                </wp:positionV>
                <wp:extent cx="816610" cy="76200"/>
                <wp:effectExtent l="635" t="4445" r="1905" b="14604"/>
                <wp:wrapNone/>
                <wp:docPr id="8" name="直接箭头连接符 8"/>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212.7pt;margin-top:19.25pt;height:6pt;width:64.3pt;z-index:251659264;mso-width-relative:page;mso-height-relative:page;" filled="f" stroked="t" coordsize="21600,21600" o:gfxdata="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BL1a731wAA&#10;AAkBAAAPAAAAAAAAAAEAIAAAACIAAABkcnMvZG93bnJldi54bWxQSwECFAAUAAAACACHTuJAZ8wv&#10;2h8CAAApBAAADgAAAAAAAAABACAAAAAmAQAAZHJzL2Uyb0RvYy54bWxQSwUGAAAAAAYABgBZAQAA&#10;tw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1.</w:t>
      </w:r>
      <w:r>
        <w:rPr>
          <w:rStyle w:val="35"/>
          <w:rFonts w:hint="eastAsia" w:ascii="宋体" w:hAnsi="宋体" w:eastAsia="宋体" w:cs="宋体"/>
          <w:i w:val="0"/>
          <w:color w:val="auto"/>
          <w:sz w:val="24"/>
          <w:szCs w:val="24"/>
          <w:highlight w:val="none"/>
          <w:u w:val="single"/>
          <w:shd w:val="clear" w:color="auto" w:fill="FFFFFF"/>
          <w:lang w:val="en-US" w:eastAsia="zh-CN" w:bidi="ar-SA"/>
        </w:rPr>
        <w:t>（产品名称1）</w:t>
      </w:r>
      <w:r>
        <w:rPr>
          <w:rStyle w:val="35"/>
          <w:rFonts w:hint="eastAsia" w:ascii="宋体" w:hAnsi="宋体" w:eastAsia="宋体" w:cs="宋体"/>
          <w:i w:val="0"/>
          <w:color w:val="auto"/>
          <w:sz w:val="24"/>
          <w:szCs w:val="24"/>
          <w:highlight w:val="none"/>
          <w:shd w:val="clear" w:color="auto" w:fill="FFFFFF"/>
          <w:vertAlign w:val="superscript"/>
          <w:lang w:val="en-US" w:eastAsia="zh-CN" w:bidi="ar-SA"/>
        </w:rPr>
        <w:t>1</w:t>
      </w:r>
      <w:r>
        <w:rPr>
          <w:rFonts w:hint="eastAsia" w:ascii="宋体" w:hAnsi="宋体" w:eastAsia="宋体" w:cs="宋体"/>
          <w:color w:val="auto"/>
          <w:sz w:val="24"/>
          <w:szCs w:val="24"/>
          <w:highlight w:val="none"/>
          <w:shd w:val="clear" w:color="auto" w:fill="FFFFFF"/>
          <w:lang w:val="en-US" w:eastAsia="zh-CN" w:bidi="ar-SA"/>
        </w:rPr>
        <w:t>，生产厂为</w:t>
      </w:r>
      <w:r>
        <w:rPr>
          <w:rStyle w:val="35"/>
          <w:rFonts w:hint="eastAsia" w:ascii="宋体" w:hAnsi="宋体" w:eastAsia="宋体" w:cs="宋体"/>
          <w:i w:val="0"/>
          <w:color w:val="auto"/>
          <w:sz w:val="24"/>
          <w:szCs w:val="24"/>
          <w:highlight w:val="none"/>
          <w:u w:val="single"/>
          <w:shd w:val="clear" w:color="auto" w:fill="FFFFFF"/>
          <w:lang w:val="en-US" w:eastAsia="zh-CN" w:bidi="ar-SA"/>
        </w:rPr>
        <w:t>（厂名）</w:t>
      </w:r>
      <w:r>
        <w:rPr>
          <w:rStyle w:val="35"/>
          <w:rFonts w:hint="eastAsia" w:ascii="宋体" w:hAnsi="宋体" w:eastAsia="宋体" w:cs="宋体"/>
          <w:i w:val="0"/>
          <w:color w:val="auto"/>
          <w:sz w:val="24"/>
          <w:szCs w:val="24"/>
          <w:highlight w:val="none"/>
          <w:shd w:val="clear" w:color="auto" w:fill="FFFFFF"/>
          <w:vertAlign w:val="superscript"/>
          <w:lang w:val="en-US" w:eastAsia="zh-CN" w:bidi="ar-SA"/>
        </w:rPr>
        <w:t>2</w:t>
      </w:r>
      <w:r>
        <w:rPr>
          <w:rFonts w:hint="eastAsia" w:ascii="宋体" w:hAnsi="宋体" w:eastAsia="宋体" w:cs="宋体"/>
          <w:color w:val="auto"/>
          <w:sz w:val="24"/>
          <w:szCs w:val="24"/>
          <w:highlight w:val="none"/>
          <w:shd w:val="clear" w:color="auto" w:fill="FFFFFF"/>
          <w:lang w:val="en-US" w:eastAsia="zh-CN" w:bidi="ar-SA"/>
        </w:rPr>
        <w:t>，厂址为</w:t>
      </w:r>
      <w:r>
        <w:rPr>
          <w:rStyle w:val="35"/>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Style w:val="35"/>
          <w:rFonts w:hint="eastAsia" w:ascii="宋体" w:hAnsi="宋体" w:eastAsia="宋体" w:cs="宋体"/>
          <w:i w:val="0"/>
          <w:color w:val="auto"/>
          <w:sz w:val="24"/>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35"/>
          <w:rFonts w:hint="eastAsia" w:ascii="宋体" w:hAnsi="宋体" w:eastAsia="宋体" w:cs="宋体"/>
          <w:i w:val="0"/>
          <w:color w:val="auto"/>
          <w:sz w:val="24"/>
          <w:szCs w:val="24"/>
          <w:highlight w:val="none"/>
          <w:u w:val="single"/>
          <w:shd w:val="clear" w:color="auto" w:fill="FFFFFF"/>
          <w:lang w:val="en-US" w:eastAsia="zh-CN" w:bidi="ar-SA"/>
        </w:rPr>
        <w:t>（规定比例）</w:t>
      </w:r>
      <w:r>
        <w:rPr>
          <w:rStyle w:val="35"/>
          <w:rFonts w:hint="eastAsia" w:ascii="宋体" w:hAnsi="宋体" w:eastAsia="宋体" w:cs="宋体"/>
          <w:i w:val="0"/>
          <w:color w:val="auto"/>
          <w:sz w:val="24"/>
          <w:szCs w:val="24"/>
          <w:highlight w:val="none"/>
          <w:shd w:val="clear" w:color="auto" w:fill="FFFFFF"/>
          <w:vertAlign w:val="superscript"/>
          <w:lang w:val="en-US" w:eastAsia="zh-CN" w:bidi="ar-SA"/>
        </w:rPr>
        <w:t>3</w:t>
      </w:r>
      <w:r>
        <w:rPr>
          <w:rFonts w:hint="eastAsia" w:ascii="宋体" w:hAnsi="宋体" w:eastAsia="宋体" w:cs="宋体"/>
          <w:color w:val="auto"/>
          <w:sz w:val="24"/>
          <w:szCs w:val="24"/>
          <w:highlight w:val="none"/>
          <w:shd w:val="clear" w:color="auto" w:fill="FFFFFF"/>
          <w:lang w:val="en-US" w:eastAsia="zh-CN" w:bidi="ar-SA"/>
        </w:rPr>
        <w:t>。</w:t>
      </w:r>
      <w:r>
        <w:rPr>
          <w:rStyle w:val="35"/>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5"/>
          <w:rFonts w:hint="eastAsia" w:ascii="宋体" w:hAnsi="宋体" w:eastAsia="宋体" w:cs="宋体"/>
          <w:i w:val="0"/>
          <w:color w:val="auto"/>
          <w:sz w:val="24"/>
          <w:szCs w:val="24"/>
          <w:highlight w:val="none"/>
          <w:u w:val="single"/>
          <w:shd w:val="clear" w:color="auto" w:fill="FFFFFF"/>
          <w:lang w:val="en-US" w:eastAsia="zh-CN" w:bidi="ar-SA"/>
        </w:rPr>
        <w:t>（关键组件）</w:t>
      </w:r>
      <w:r>
        <w:rPr>
          <w:rStyle w:val="35"/>
          <w:rFonts w:hint="eastAsia" w:ascii="宋体" w:hAnsi="宋体" w:eastAsia="宋体" w:cs="宋体"/>
          <w:i w:val="0"/>
          <w:color w:val="auto"/>
          <w:sz w:val="24"/>
          <w:szCs w:val="24"/>
          <w:highlight w:val="none"/>
          <w:shd w:val="clear" w:color="auto" w:fill="FFFFFF"/>
          <w:vertAlign w:val="superscript"/>
          <w:lang w:val="en-US" w:eastAsia="zh-CN" w:bidi="ar-SA"/>
        </w:rPr>
        <w:t>4</w:t>
      </w:r>
      <w:r>
        <w:rPr>
          <w:rFonts w:hint="eastAsia" w:ascii="宋体" w:hAnsi="宋体" w:eastAsia="宋体" w:cs="宋体"/>
          <w:color w:val="auto"/>
          <w:sz w:val="24"/>
          <w:szCs w:val="24"/>
          <w:highlight w:val="none"/>
          <w:shd w:val="clear" w:color="auto" w:fill="FFFFFF"/>
          <w:lang w:val="en-US" w:eastAsia="zh-CN" w:bidi="ar-SA"/>
        </w:rPr>
        <w:t>在中国境内生产。</w:t>
      </w:r>
      <w:r>
        <w:rPr>
          <w:rStyle w:val="35"/>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5"/>
          <w:rFonts w:hint="eastAsia" w:ascii="宋体" w:hAnsi="宋体" w:eastAsia="宋体" w:cs="宋体"/>
          <w:i w:val="0"/>
          <w:color w:val="auto"/>
          <w:sz w:val="24"/>
          <w:szCs w:val="24"/>
          <w:highlight w:val="none"/>
          <w:u w:val="single"/>
          <w:shd w:val="clear" w:color="auto" w:fill="FFFFFF"/>
          <w:lang w:val="en-US" w:eastAsia="zh-CN" w:bidi="ar-SA"/>
        </w:rPr>
        <w:t>（关键工序）</w:t>
      </w:r>
      <w:r>
        <w:rPr>
          <w:rStyle w:val="35"/>
          <w:rFonts w:hint="eastAsia" w:ascii="宋体" w:hAnsi="宋体" w:eastAsia="宋体" w:cs="宋体"/>
          <w:i w:val="0"/>
          <w:color w:val="auto"/>
          <w:sz w:val="24"/>
          <w:szCs w:val="24"/>
          <w:highlight w:val="none"/>
          <w:shd w:val="clear" w:color="auto" w:fill="FFFFFF"/>
          <w:vertAlign w:val="superscript"/>
          <w:lang w:val="en-US" w:eastAsia="zh-CN" w:bidi="ar-SA"/>
        </w:rPr>
        <w:t>5</w:t>
      </w:r>
      <w:r>
        <w:rPr>
          <w:rFonts w:hint="eastAsia" w:ascii="宋体" w:hAnsi="宋体" w:eastAsia="宋体" w:cs="宋体"/>
          <w:color w:val="auto"/>
          <w:sz w:val="24"/>
          <w:szCs w:val="24"/>
          <w:highlight w:val="none"/>
          <w:shd w:val="clear" w:color="auto" w:fill="FFFFFF"/>
          <w:lang w:val="en-US" w:eastAsia="zh-CN" w:bidi="ar-SA"/>
        </w:rPr>
        <w:t>在中国境内完成。</w:t>
      </w:r>
    </w:p>
    <w:p w14:paraId="49333449">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2576" behindDoc="0" locked="0" layoutInCell="1" allowOverlap="1">
                <wp:simplePos x="0" y="0"/>
                <wp:positionH relativeFrom="column">
                  <wp:posOffset>4710430</wp:posOffset>
                </wp:positionH>
                <wp:positionV relativeFrom="paragraph">
                  <wp:posOffset>194945</wp:posOffset>
                </wp:positionV>
                <wp:extent cx="462280" cy="147320"/>
                <wp:effectExtent l="1270" t="4445" r="12700" b="19685"/>
                <wp:wrapNone/>
                <wp:docPr id="9" name="直接箭头连接符 9"/>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_x0000_s1026" o:spid="_x0000_s1026" o:spt="32" type="#_x0000_t32" style="position:absolute;left:0pt;flip:y;margin-left:370.9pt;margin-top:15.35pt;height:11.6pt;width:36.4pt;z-index:251672576;mso-width-relative:page;mso-height-relative:page;" filled="f" stroked="t" coordsize="21600,21600" o:gfxdata="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GIJ&#10;TirXAAAACQEAAA8AAAAAAAAAAQAgAAAAIgAAAGRycy9kb3ducmV2LnhtbFBLAQIUABQAAAAIAIdO&#10;4kATRMoOJAIAACo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0" name="直接箭头连接符 12"/>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785Zu1wAAAAgBAAAPAAAAAAAAAAEAIAAAACIAAABkcnMvZG93bnJldi54bWxQSwECFAAUAAAA&#10;CACHTuJAmG2xgygCAAA1BAAADgAAAAAAAAABACAAAAAmAQAAZHJzL2Uyb0RvYy54bWxQSwUGAAAA&#10;AAYABgBZAQAAwAU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1353185</wp:posOffset>
                </wp:positionH>
                <wp:positionV relativeFrom="paragraph">
                  <wp:posOffset>370840</wp:posOffset>
                </wp:positionV>
                <wp:extent cx="763270" cy="140970"/>
                <wp:effectExtent l="4762" t="4762" r="4762" b="4762"/>
                <wp:wrapNone/>
                <wp:docPr id="11" name="直接箭头连接符 13"/>
                <wp:cNvGraphicFramePr/>
                <a:graphic xmlns:a="http://schemas.openxmlformats.org/drawingml/2006/main">
                  <a:graphicData uri="http://schemas.microsoft.com/office/word/2010/wordprocessingShape">
                    <wps:wsp>
                      <wps:cNvCnPr/>
                      <wps:spPr bwMode="auto">
                        <a:xfrm flipV="1">
                          <a:off x="0" y="0"/>
                          <a:ext cx="763081" cy="140969"/>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106.55pt;margin-top:29.2pt;height:11.1pt;width:60.1pt;z-index:251664384;mso-width-relative:page;mso-height-relative:page;" filled="f" stroked="t" coordsize="21600,21600" o:gfxdata="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4&#10;FIzXAAAACQEAAA8AAAAAAAAAAQAgAAAAIgAAAGRycy9kb3ducmV2LnhtbFBLAQIUABQAAAAIAIdO&#10;4kAv234vJAIAACwEAAAOAAAAAAAAAAEAIAAAACYBAABkcnMvZTJvRG9jLnhtbFBLBQYAAAAABgAG&#10;AFkBAAC8BQAAAAA=&#10;">
                <v:fill on="f" focussize="0,0"/>
                <v:stroke color="#000000" joinstyle="round"/>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5408" behindDoc="0" locked="0" layoutInCell="1" allowOverlap="1">
                <wp:simplePos x="0" y="0"/>
                <wp:positionH relativeFrom="column">
                  <wp:posOffset>2545080</wp:posOffset>
                </wp:positionH>
                <wp:positionV relativeFrom="paragraph">
                  <wp:posOffset>403225</wp:posOffset>
                </wp:positionV>
                <wp:extent cx="633730" cy="121285"/>
                <wp:effectExtent l="4762" t="4762" r="4762" b="4762"/>
                <wp:wrapNone/>
                <wp:docPr id="12" name="直接箭头连接符 14"/>
                <wp:cNvGraphicFramePr/>
                <a:graphic xmlns:a="http://schemas.openxmlformats.org/drawingml/2006/main">
                  <a:graphicData uri="http://schemas.microsoft.com/office/word/2010/wordprocessingShape">
                    <wps:wsp>
                      <wps:cNvCnPr/>
                      <wps:spPr bwMode="auto">
                        <a:xfrm flipV="1">
                          <a:off x="0" y="0"/>
                          <a:ext cx="633486" cy="121602"/>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00.4pt;margin-top:31.75pt;height:9.55pt;width:49.9pt;z-index:251665408;mso-width-relative:page;mso-height-relative:page;" filled="f" stroked="t" coordsize="21600,21600" o:gfxdata="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NiTSsnXAAAACQEAAA8AAAAAAAAAAQAgAAAAIgAAAGRycy9kb3ducmV2LnhtbFBLAQIUABQA&#10;AAAIAIdO4kCpEOAtKgIAADYEAAAOAAAAAAAAAAEAIAAAACYBAABkcnMvZTJvRG9jLnhtbFBLBQYA&#10;AAAABgAGAFkBAADCBQAAAAA=&#10;">
                <v:fill on="f" focussize="0,0"/>
                <v:stroke color="#000000" joinstyle="miter"/>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3360" behindDoc="0" locked="0" layoutInCell="1" allowOverlap="1">
                <wp:simplePos x="0" y="0"/>
                <wp:positionH relativeFrom="column">
                  <wp:posOffset>3423920</wp:posOffset>
                </wp:positionH>
                <wp:positionV relativeFrom="paragraph">
                  <wp:posOffset>208915</wp:posOffset>
                </wp:positionV>
                <wp:extent cx="763270" cy="120015"/>
                <wp:effectExtent l="4762" t="4762" r="4762" b="4762"/>
                <wp:wrapNone/>
                <wp:docPr id="13" name="直接箭头连接符 15"/>
                <wp:cNvGraphicFramePr/>
                <a:graphic xmlns:a="http://schemas.openxmlformats.org/drawingml/2006/main">
                  <a:graphicData uri="http://schemas.microsoft.com/office/word/2010/wordprocessingShape">
                    <wps:wsp>
                      <wps:cNvCnPr/>
                      <wps:spPr bwMode="auto">
                        <a:xfrm flipV="1">
                          <a:off x="0" y="0"/>
                          <a:ext cx="763197" cy="120015"/>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269.6pt;margin-top:16.45pt;height:9.45pt;width:60.1pt;z-index:251663360;mso-width-relative:page;mso-height-relative:page;" filled="f" stroked="t" coordsize="21600,21600" o:gfxdata="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7G6ObdgAAAAJAQAADwAAAAAAAAABACAAAAAiAAAAZHJzL2Rvd25yZXYueG1sUEsBAhQAFAAA&#10;AAgAh07iQDV980YoAgAANgQAAA4AAAAAAAAAAQAgAAAAJwEAAGRycy9lMm9Eb2MueG1sUEsFBgAA&#10;AAAGAAYAWQEAAMEFAAAAAA==&#10;">
                <v:fill on="f" focussize="0,0"/>
                <v:stroke color="#000000" joinstyle="miter"/>
                <v:imagedata o:title=""/>
                <o:lock v:ext="edit" aspectratio="f"/>
              </v:shape>
            </w:pict>
          </mc:Fallback>
        </mc:AlternateContent>
      </w:r>
      <w:r>
        <w:rPr>
          <w:rFonts w:hint="eastAsia" w:ascii="宋体" w:hAnsi="宋体" w:eastAsia="宋体" w:cs="宋体"/>
          <w:color w:val="auto"/>
          <w:sz w:val="24"/>
          <w:szCs w:val="24"/>
          <w:highlight w:val="none"/>
          <w:lang w:val="en-US" w:eastAsia="zh-CN" w:bidi="ar-SA"/>
        </w:rPr>
        <mc:AlternateContent>
          <mc:Choice Requires="wps">
            <w:drawing>
              <wp:anchor distT="0" distB="0" distL="114300" distR="114300" simplePos="0" relativeHeight="251662336" behindDoc="0" locked="0" layoutInCell="1" allowOverlap="1">
                <wp:simplePos x="0" y="0"/>
                <wp:positionH relativeFrom="column">
                  <wp:posOffset>2292350</wp:posOffset>
                </wp:positionH>
                <wp:positionV relativeFrom="paragraph">
                  <wp:posOffset>208915</wp:posOffset>
                </wp:positionV>
                <wp:extent cx="692785" cy="125730"/>
                <wp:effectExtent l="4762" t="4762" r="4762" b="4762"/>
                <wp:wrapNone/>
                <wp:docPr id="14" name="直接箭头连接符 16"/>
                <wp:cNvGraphicFramePr/>
                <a:graphic xmlns:a="http://schemas.openxmlformats.org/drawingml/2006/main">
                  <a:graphicData uri="http://schemas.microsoft.com/office/word/2010/wordprocessingShape">
                    <wps:wsp>
                      <wps:cNvCnPr/>
                      <wps:spPr bwMode="auto">
                        <a:xfrm flipV="1">
                          <a:off x="0" y="0"/>
                          <a:ext cx="693102" cy="125730"/>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180.5pt;margin-top:16.45pt;height:9.9pt;width:54.55pt;z-index:251662336;mso-width-relative:page;mso-height-relative:page;" filled="f" stroked="t" coordsize="21600,21600" o:gfxdata="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KNL7oPZAAAACQEAAA8AAAAAAAAAAQAgAAAAIgAAAGRycy9kb3ducmV2LnhtbFBLAQIU&#10;ABQAAAAIAIdO4kDAfyZ/KwIAADYEAAAOAAAAAAAAAAEAIAAAACgBAABkcnMvZTJvRG9jLnhtbFBL&#10;BQYAAAAABgAGAFkBAADFBQAAAAA=&#10;">
                <v:fill on="f" focussize="0,0"/>
                <v:stroke color="#000000" joinstyle="miter"/>
                <v:imagedata o:title=""/>
                <o:lock v:ext="edit" aspectratio="f"/>
              </v:shape>
            </w:pict>
          </mc:Fallback>
        </mc:AlternateContent>
      </w:r>
      <w:r>
        <w:rPr>
          <w:rFonts w:hint="eastAsia" w:ascii="宋体" w:hAnsi="宋体" w:eastAsia="宋体" w:cs="宋体"/>
          <w:color w:val="auto"/>
          <w:sz w:val="24"/>
          <w:szCs w:val="24"/>
          <w:highlight w:val="none"/>
          <w:shd w:val="clear" w:color="auto" w:fill="FFFFFF"/>
          <w:lang w:val="en-US" w:eastAsia="zh-CN" w:bidi="ar-SA"/>
        </w:rPr>
        <w:t>2.</w:t>
      </w:r>
      <w:r>
        <w:rPr>
          <w:rStyle w:val="35"/>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，生产厂为</w:t>
      </w:r>
      <w:r>
        <w:rPr>
          <w:rStyle w:val="35"/>
          <w:rFonts w:hint="eastAsia" w:ascii="宋体" w:hAnsi="宋体" w:eastAsia="宋体" w:cs="宋体"/>
          <w:i w:val="0"/>
          <w:color w:val="auto"/>
          <w:sz w:val="24"/>
          <w:szCs w:val="24"/>
          <w:highlight w:val="none"/>
          <w:u w:val="single"/>
          <w:shd w:val="clear" w:color="auto" w:fill="FFFFFF"/>
          <w:lang w:val="en-US" w:eastAsia="zh-CN" w:bidi="ar-SA"/>
        </w:rPr>
        <w:t>（厂名）</w:t>
      </w:r>
      <w:r>
        <w:rPr>
          <w:rFonts w:hint="eastAsia" w:ascii="宋体" w:hAnsi="宋体" w:eastAsia="宋体" w:cs="宋体"/>
          <w:color w:val="auto"/>
          <w:sz w:val="24"/>
          <w:szCs w:val="24"/>
          <w:highlight w:val="none"/>
          <w:shd w:val="clear" w:color="auto" w:fill="FFFFFF"/>
          <w:lang w:val="en-US" w:eastAsia="zh-CN" w:bidi="ar-SA"/>
        </w:rPr>
        <w:t>，厂址为</w:t>
      </w:r>
      <w:r>
        <w:rPr>
          <w:rStyle w:val="35"/>
          <w:rFonts w:hint="eastAsia" w:ascii="宋体" w:hAnsi="宋体" w:eastAsia="宋体" w:cs="宋体"/>
          <w:i w:val="0"/>
          <w:color w:val="auto"/>
          <w:sz w:val="24"/>
          <w:szCs w:val="24"/>
          <w:highlight w:val="none"/>
          <w:u w:val="single"/>
          <w:shd w:val="clear" w:color="auto" w:fill="FFFFFF"/>
          <w:lang w:val="en-US" w:eastAsia="zh-CN" w:bidi="ar-SA"/>
        </w:rPr>
        <w:t>（生产厂址）</w:t>
      </w:r>
      <w:r>
        <w:rPr>
          <w:rFonts w:hint="eastAsia" w:ascii="宋体" w:hAnsi="宋体" w:eastAsia="宋体" w:cs="宋体"/>
          <w:color w:val="auto"/>
          <w:sz w:val="24"/>
          <w:szCs w:val="24"/>
          <w:highlight w:val="none"/>
          <w:shd w:val="clear" w:color="auto" w:fill="FFFFFF"/>
          <w:lang w:val="en-US" w:eastAsia="zh-CN" w:bidi="ar-SA"/>
        </w:rPr>
        <w:t>。</w:t>
      </w:r>
      <w:r>
        <w:rPr>
          <w:rStyle w:val="35"/>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的中国境内生产的组件成本占比≥</w:t>
      </w:r>
      <w:r>
        <w:rPr>
          <w:rStyle w:val="35"/>
          <w:rFonts w:hint="eastAsia" w:ascii="宋体" w:hAnsi="宋体" w:eastAsia="宋体" w:cs="宋体"/>
          <w:i w:val="0"/>
          <w:color w:val="auto"/>
          <w:sz w:val="24"/>
          <w:szCs w:val="24"/>
          <w:highlight w:val="none"/>
          <w:u w:val="single"/>
          <w:shd w:val="clear" w:color="auto" w:fill="FFFFFF"/>
          <w:lang w:val="en-US" w:eastAsia="zh-CN" w:bidi="ar-SA"/>
        </w:rPr>
        <w:t>（规定比例）</w:t>
      </w:r>
      <w:r>
        <w:rPr>
          <w:rFonts w:hint="eastAsia" w:ascii="宋体" w:hAnsi="宋体" w:eastAsia="宋体" w:cs="宋体"/>
          <w:color w:val="auto"/>
          <w:sz w:val="24"/>
          <w:szCs w:val="24"/>
          <w:highlight w:val="none"/>
          <w:shd w:val="clear" w:color="auto" w:fill="FFFFFF"/>
          <w:lang w:val="en-US" w:eastAsia="zh-CN" w:bidi="ar-SA"/>
        </w:rPr>
        <w:t>。</w:t>
      </w:r>
      <w:r>
        <w:rPr>
          <w:rStyle w:val="35"/>
          <w:rFonts w:hint="eastAsia" w:ascii="宋体" w:hAnsi="宋体" w:eastAsia="宋体" w:cs="宋体"/>
          <w:i w:val="0"/>
          <w:color w:val="auto"/>
          <w:sz w:val="24"/>
          <w:szCs w:val="24"/>
          <w:highlight w:val="none"/>
          <w:u w:val="single"/>
          <w:shd w:val="clear" w:color="auto" w:fill="FFFFFF"/>
          <w:lang w:val="en-US" w:eastAsia="zh-CN" w:bidi="ar-SA"/>
        </w:rPr>
        <w:t>（产品名称2）</w:t>
      </w:r>
      <w:r>
        <w:rPr>
          <w:rFonts w:hint="eastAsia" w:ascii="宋体" w:hAnsi="宋体" w:eastAsia="宋体" w:cs="宋体"/>
          <w:color w:val="auto"/>
          <w:sz w:val="24"/>
          <w:szCs w:val="24"/>
          <w:highlight w:val="none"/>
          <w:shd w:val="clear" w:color="auto" w:fill="FFFFFF"/>
          <w:lang w:val="en-US" w:eastAsia="zh-CN" w:bidi="ar-SA"/>
        </w:rPr>
        <w:t>的</w:t>
      </w:r>
      <w:r>
        <w:rPr>
          <w:rStyle w:val="35"/>
          <w:rFonts w:hint="eastAsia" w:ascii="宋体" w:hAnsi="宋体" w:eastAsia="宋体" w:cs="宋体"/>
          <w:i w:val="0"/>
          <w:color w:val="auto"/>
          <w:sz w:val="24"/>
          <w:szCs w:val="24"/>
          <w:highlight w:val="none"/>
          <w:u w:val="single"/>
          <w:shd w:val="clear" w:color="auto" w:fill="FFFFFF"/>
          <w:lang w:val="en-US" w:eastAsia="zh-CN" w:bidi="ar-SA"/>
        </w:rPr>
        <w:t>（关键组件）</w:t>
      </w:r>
      <w:r>
        <w:rPr>
          <w:rFonts w:hint="eastAsia" w:ascii="宋体" w:hAnsi="宋体" w:eastAsia="宋体" w:cs="宋体"/>
          <w:color w:val="auto"/>
          <w:sz w:val="24"/>
          <w:szCs w:val="24"/>
          <w:highlight w:val="none"/>
          <w:shd w:val="clear" w:color="auto" w:fill="FFFFFF"/>
          <w:lang w:val="en-US" w:eastAsia="zh-CN" w:bidi="ar-SA"/>
        </w:rPr>
        <w:t>在中国境内生产。</w:t>
      </w:r>
      <w:r>
        <w:rPr>
          <w:rStyle w:val="35"/>
          <w:rFonts w:hint="eastAsia" w:ascii="宋体" w:hAnsi="宋体" w:eastAsia="宋体" w:cs="宋体"/>
          <w:i w:val="0"/>
          <w:color w:val="auto"/>
          <w:sz w:val="24"/>
          <w:szCs w:val="24"/>
          <w:highlight w:val="none"/>
          <w:u w:val="single"/>
          <w:shd w:val="clear" w:color="auto" w:fill="FFFFFF"/>
          <w:lang w:val="en-US" w:eastAsia="zh-CN" w:bidi="ar-SA"/>
        </w:rPr>
        <w:t>（产品名称1）</w:t>
      </w:r>
      <w:r>
        <w:rPr>
          <w:rFonts w:hint="eastAsia" w:ascii="宋体" w:hAnsi="宋体" w:eastAsia="宋体" w:cs="宋体"/>
          <w:color w:val="auto"/>
          <w:sz w:val="24"/>
          <w:szCs w:val="24"/>
          <w:highlight w:val="none"/>
          <w:shd w:val="clear" w:color="auto" w:fill="FFFFFF"/>
          <w:lang w:val="en-US" w:eastAsia="zh-CN" w:bidi="ar-SA"/>
        </w:rPr>
        <w:t>的</w:t>
      </w:r>
      <w:r>
        <w:rPr>
          <w:rStyle w:val="35"/>
          <w:rFonts w:hint="eastAsia" w:ascii="宋体" w:hAnsi="宋体" w:eastAsia="宋体" w:cs="宋体"/>
          <w:i w:val="0"/>
          <w:color w:val="auto"/>
          <w:sz w:val="24"/>
          <w:szCs w:val="24"/>
          <w:highlight w:val="none"/>
          <w:u w:val="single"/>
          <w:shd w:val="clear" w:color="auto" w:fill="FFFFFF"/>
          <w:lang w:val="en-US" w:eastAsia="zh-CN" w:bidi="ar-SA"/>
        </w:rPr>
        <w:t>（关键工序）</w:t>
      </w:r>
      <w:r>
        <w:rPr>
          <w:rFonts w:hint="eastAsia" w:ascii="宋体" w:hAnsi="宋体" w:eastAsia="宋体" w:cs="宋体"/>
          <w:color w:val="auto"/>
          <w:sz w:val="24"/>
          <w:szCs w:val="24"/>
          <w:highlight w:val="none"/>
          <w:shd w:val="clear" w:color="auto" w:fill="FFFFFF"/>
          <w:lang w:val="en-US" w:eastAsia="zh-CN" w:bidi="ar-SA"/>
        </w:rPr>
        <w:t>在中国境内完成。</w:t>
      </w:r>
    </w:p>
    <w:p w14:paraId="3668F112">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w:t>
      </w:r>
    </w:p>
    <w:p w14:paraId="4C1FF3D6">
      <w:pPr>
        <w:widowControl/>
        <w:spacing w:before="30" w:beforeAutospacing="0" w:after="30" w:afterAutospacing="0" w:line="0" w:lineRule="atLeast"/>
        <w:ind w:firstLine="4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本公司（单位）对上述声明内容的真实性负责。如有虚假，愿承担相应法律责任。</w:t>
      </w:r>
    </w:p>
    <w:p w14:paraId="09355E48">
      <w:pPr>
        <w:widowControl/>
        <w:spacing w:before="30" w:beforeAutospacing="0" w:after="30" w:afterAutospacing="0" w:line="0" w:lineRule="atLeast"/>
        <w:jc w:val="left"/>
        <w:rPr>
          <w:rFonts w:hint="eastAsia" w:ascii="宋体" w:hAnsi="宋体" w:eastAsia="宋体" w:cs="宋体"/>
          <w:color w:val="auto"/>
          <w:sz w:val="24"/>
          <w:szCs w:val="24"/>
          <w:highlight w:val="none"/>
          <w:lang w:val="en-US" w:eastAsia="zh-CN" w:bidi="ar-SA"/>
        </w:rPr>
      </w:pPr>
    </w:p>
    <w:p w14:paraId="76E8111B">
      <w:pPr>
        <w:widowControl/>
        <w:spacing w:before="30" w:beforeAutospacing="0" w:after="30" w:afterAutospacing="0" w:line="0" w:lineRule="atLeast"/>
        <w:ind w:right="480" w:firstLine="372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公司（单位）名称（盖章）：　        </w:t>
      </w:r>
    </w:p>
    <w:p w14:paraId="4070EFE1">
      <w:pPr>
        <w:widowControl/>
        <w:spacing w:before="30" w:beforeAutospacing="0" w:after="30" w:afterAutospacing="0"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                                日期：　   年　  月　  日         </w:t>
      </w:r>
    </w:p>
    <w:p w14:paraId="56E9891D">
      <w:pPr>
        <w:widowControl/>
        <w:spacing w:before="30" w:beforeAutospacing="0" w:after="30" w:afterAutospacing="0" w:line="0" w:lineRule="atLeas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__________________</w:t>
      </w:r>
    </w:p>
    <w:p w14:paraId="26BC63D5">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1.产品如有型号，请在“产品名称”栏一并填写。</w:t>
      </w:r>
    </w:p>
    <w:p w14:paraId="07144324">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2.生产厂名与厂址应与生产厂营业执照载明的相关信息保持一致。</w:t>
      </w:r>
    </w:p>
    <w:p w14:paraId="3AD3F184">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3.该产品的中国境内生产的组件成本占比相关要求实施前，“规定比例”栏可不填，下同。</w:t>
      </w:r>
    </w:p>
    <w:p w14:paraId="628B7F86">
      <w:pPr>
        <w:widowControl/>
        <w:spacing w:before="30" w:beforeAutospacing="0" w:after="30" w:afterAutospacing="0" w:line="0" w:lineRule="atLeast"/>
        <w:jc w:val="left"/>
        <w:rPr>
          <w:rFonts w:hint="eastAsia" w:ascii="宋体" w:hAnsi="宋体" w:eastAsia="宋体" w:cs="宋体"/>
          <w:color w:val="auto"/>
          <w:sz w:val="22"/>
          <w:szCs w:val="24"/>
          <w:highlight w:val="none"/>
          <w:lang w:val="en-US" w:eastAsia="zh-CN" w:bidi="ar-SA"/>
        </w:rPr>
      </w:pPr>
      <w:r>
        <w:rPr>
          <w:rFonts w:hint="eastAsia" w:ascii="宋体" w:hAnsi="宋体" w:eastAsia="宋体" w:cs="宋体"/>
          <w:color w:val="auto"/>
          <w:sz w:val="22"/>
          <w:szCs w:val="24"/>
          <w:highlight w:val="none"/>
          <w:shd w:val="clear" w:color="auto" w:fill="FFFFFF"/>
          <w:lang w:val="en-US" w:eastAsia="zh-CN" w:bidi="ar-SA"/>
        </w:rPr>
        <w:t>4.该产品的关键组件要求实施前，“关键组件”栏可不填，下同。</w:t>
      </w:r>
    </w:p>
    <w:p w14:paraId="5A25ACEB">
      <w:pPr>
        <w:widowControl/>
        <w:spacing w:before="30" w:beforeAutospacing="0" w:after="30" w:afterAutospacing="0" w:line="0" w:lineRule="atLeast"/>
        <w:jc w:val="left"/>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5.该产品的关键工序要求实施前，“关键工序”栏可不填，下同。</w:t>
      </w:r>
    </w:p>
    <w:p w14:paraId="470880D6">
      <w:pPr>
        <w:widowControl/>
        <w:spacing w:before="30" w:beforeAutospacing="0" w:after="30" w:afterAutospacing="0" w:line="0" w:lineRule="atLeast"/>
        <w:jc w:val="left"/>
        <w:rPr>
          <w:rFonts w:hint="eastAsia" w:ascii="宋体" w:hAnsi="宋体" w:eastAsia="宋体" w:cs="宋体"/>
          <w:color w:val="auto"/>
          <w:sz w:val="22"/>
          <w:szCs w:val="24"/>
          <w:highlight w:val="none"/>
          <w:shd w:val="clear" w:color="auto" w:fill="FFFFFF"/>
          <w:lang w:val="en-US" w:eastAsia="zh-CN" w:bidi="ar-SA"/>
        </w:rPr>
      </w:pPr>
      <w:r>
        <w:rPr>
          <w:rFonts w:hint="eastAsia" w:ascii="宋体" w:hAnsi="宋体" w:eastAsia="宋体" w:cs="宋体"/>
          <w:color w:val="auto"/>
          <w:sz w:val="22"/>
          <w:szCs w:val="24"/>
          <w:highlight w:val="none"/>
          <w:shd w:val="clear" w:color="auto" w:fill="FFFFFF"/>
          <w:lang w:val="en-US" w:eastAsia="zh-CN" w:bidi="ar-SA"/>
        </w:rPr>
        <w:t>6.用斜线划除的地方无需填写。</w:t>
      </w:r>
    </w:p>
    <w:bookmarkEnd w:id="283"/>
    <w:p w14:paraId="1ACFA65A">
      <w:pPr>
        <w:jc w:val="center"/>
        <w:rPr>
          <w:rFonts w:hint="default" w:ascii="黑体" w:hAnsi="黑体" w:eastAsia="黑体" w:cs="Times New Roman"/>
          <w:b/>
          <w:color w:val="000000"/>
          <w:sz w:val="32"/>
          <w:szCs w:val="32"/>
        </w:rPr>
      </w:pPr>
    </w:p>
    <w:p w14:paraId="4EB8E945">
      <w:pPr>
        <w:jc w:val="center"/>
        <w:rPr>
          <w:rFonts w:ascii="黑体" w:hAnsi="黑体" w:eastAsia="黑体"/>
          <w:b/>
          <w:color w:val="000000"/>
          <w:sz w:val="32"/>
          <w:szCs w:val="32"/>
          <w:highlight w:val="none"/>
        </w:rPr>
      </w:pPr>
    </w:p>
    <w:p w14:paraId="52CAD7E9">
      <w:pPr>
        <w:pStyle w:val="260"/>
        <w:rPr>
          <w:rFonts w:ascii="宋体" w:hAnsi="宋体"/>
          <w:b/>
          <w:bCs/>
          <w:sz w:val="20"/>
          <w:szCs w:val="32"/>
          <w:highlight w:val="white"/>
        </w:rPr>
      </w:pPr>
    </w:p>
    <w:p w14:paraId="2369FE13">
      <w:pPr>
        <w:pStyle w:val="260"/>
        <w:rPr>
          <w:rFonts w:ascii="宋体" w:hAnsi="宋体"/>
          <w:b/>
          <w:bCs/>
          <w:sz w:val="20"/>
          <w:szCs w:val="32"/>
          <w:highlight w:val="white"/>
        </w:rPr>
      </w:pPr>
    </w:p>
    <w:p w14:paraId="134B1998">
      <w:pPr>
        <w:pStyle w:val="260"/>
        <w:rPr>
          <w:rFonts w:ascii="宋体" w:hAnsi="宋体"/>
          <w:b/>
          <w:bCs/>
          <w:sz w:val="20"/>
          <w:szCs w:val="32"/>
          <w:highlight w:val="white"/>
        </w:rPr>
      </w:pPr>
    </w:p>
    <w:p w14:paraId="323B0D77">
      <w:pPr>
        <w:pStyle w:val="260"/>
        <w:rPr>
          <w:rFonts w:ascii="宋体" w:hAnsi="宋体"/>
          <w:b/>
          <w:bCs/>
          <w:sz w:val="20"/>
          <w:szCs w:val="32"/>
          <w:highlight w:val="white"/>
        </w:rPr>
      </w:pPr>
    </w:p>
    <w:p w14:paraId="64291FE2">
      <w:pPr>
        <w:pStyle w:val="260"/>
        <w:rPr>
          <w:rFonts w:ascii="宋体" w:hAnsi="宋体"/>
          <w:b/>
          <w:bCs/>
          <w:sz w:val="20"/>
          <w:szCs w:val="32"/>
          <w:highlight w:val="white"/>
        </w:rPr>
      </w:pPr>
    </w:p>
    <w:p w14:paraId="6845DA76">
      <w:pPr>
        <w:pStyle w:val="260"/>
        <w:rPr>
          <w:rFonts w:ascii="宋体" w:hAnsi="宋体"/>
          <w:b/>
          <w:bCs/>
          <w:sz w:val="20"/>
          <w:szCs w:val="32"/>
          <w:highlight w:val="white"/>
        </w:rPr>
      </w:pPr>
    </w:p>
    <w:p w14:paraId="16942010">
      <w:pPr>
        <w:pStyle w:val="2"/>
      </w:pPr>
    </w:p>
    <w:p w14:paraId="52DD1F4C"/>
    <w:sectPr>
      <w:footerReference r:id="rId9" w:type="first"/>
      <w:footerReference r:id="rId8" w:type="default"/>
      <w:pgSz w:w="11906" w:h="16838"/>
      <w:pgMar w:top="1440" w:right="1466" w:bottom="1440" w:left="1797" w:header="851" w:footer="992" w:gutter="0"/>
      <w:pgBorders>
        <w:top w:val="none" w:sz="0" w:space="0"/>
        <w:left w:val="none" w:sz="0" w:space="0"/>
        <w:bottom w:val="none" w:sz="0" w:space="0"/>
        <w:right w:val="none" w:sz="0" w:space="0"/>
      </w:pgBorders>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幼圆">
    <w:altName w:val="宋体"/>
    <w:panose1 w:val="02010509060101010101"/>
    <w:charset w:val="86"/>
    <w:family w:val="auto"/>
    <w:pitch w:val="default"/>
    <w:sig w:usb0="00000000" w:usb1="00000000" w:usb2="00000000" w:usb3="00000000" w:csb0="00040000" w:csb1="00000000"/>
  </w:font>
  <w:font w:name="Cambria">
    <w:panose1 w:val="02040503050406030204"/>
    <w:charset w:val="00"/>
    <w:family w:val="auto"/>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华文中宋">
    <w:altName w:val="宋体"/>
    <w:panose1 w:val="02010600040101010101"/>
    <w:charset w:val="86"/>
    <w:family w:val="auto"/>
    <w:pitch w:val="default"/>
    <w:sig w:usb0="00000000" w:usb1="00000000" w:usb2="00000000" w:usb3="00000000" w:csb0="0004009F" w:csb1="DFD70000"/>
  </w:font>
  <w:font w:name="书宋-简">
    <w:altName w:val="宋体"/>
    <w:panose1 w:val="02010600030101010101"/>
    <w:charset w:val="86"/>
    <w:family w:val="auto"/>
    <w:pitch w:val="default"/>
    <w:sig w:usb0="00000000" w:usb1="00000000" w:usb2="00000016" w:usb3="00000000" w:csb0="00040001" w:csb1="00000000"/>
  </w:font>
  <w:font w:name="Cambria Math">
    <w:panose1 w:val="02040503050406030204"/>
    <w:charset w:val="00"/>
    <w:family w:val="roman"/>
    <w:pitch w:val="default"/>
    <w:sig w:usb0="E00002FF" w:usb1="420024FF" w:usb2="00000000" w:usb3="00000000" w:csb0="2000019F" w:csb1="00000000"/>
  </w:font>
  <w:font w:name="微软雅黑">
    <w:panose1 w:val="020B0503020204020204"/>
    <w:charset w:val="86"/>
    <w:family w:val="auto"/>
    <w:pitch w:val="default"/>
    <w:sig w:usb0="80000287" w:usb1="280F3C52" w:usb2="00000016" w:usb3="00000000" w:csb0="0004001F" w:csb1="00000000"/>
  </w:font>
  <w:font w:name="方正魏碑_GBK">
    <w:altName w:val="宋体"/>
    <w:panose1 w:val="02000000000000000000"/>
    <w:charset w:val="86"/>
    <w:family w:val="auto"/>
    <w:pitch w:val="default"/>
    <w:sig w:usb0="00000000" w:usb1="00000000" w:usb2="00082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35791">
    <w:pPr>
      <w:pStyle w:val="264"/>
      <w:framePr w:wrap="around" w:vAnchor="text" w:hAnchor="margin" w:xAlign="center" w:y="1"/>
    </w:pPr>
    <w:r>
      <w:fldChar w:fldCharType="begin"/>
    </w:r>
    <w:r>
      <w:rPr>
        <w:rStyle w:val="265"/>
        <w:sz w:val="21"/>
        <w:szCs w:val="22"/>
        <w:highlight w:val="white"/>
      </w:rPr>
      <w:instrText xml:space="preserve">PAGE  </w:instrText>
    </w:r>
    <w:r>
      <w:fldChar w:fldCharType="separate"/>
    </w:r>
    <w:r>
      <w:rPr>
        <w:rStyle w:val="265"/>
        <w:sz w:val="21"/>
        <w:szCs w:val="22"/>
        <w:highlight w:val="white"/>
      </w:rPr>
      <w:t>1</w:t>
    </w:r>
    <w:r>
      <w:fldChar w:fldCharType="end"/>
    </w:r>
  </w:p>
  <w:p w14:paraId="3810775E">
    <w:pPr>
      <w:pStyle w:val="26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D082C1">
    <w:pPr>
      <w:pStyle w:val="264"/>
      <w:framePr w:wrap="around" w:vAnchor="text" w:hAnchor="margin" w:xAlign="center" w:y="1"/>
    </w:pPr>
    <w:r>
      <w:fldChar w:fldCharType="begin"/>
    </w:r>
    <w:r>
      <w:rPr>
        <w:rStyle w:val="265"/>
        <w:sz w:val="21"/>
        <w:szCs w:val="22"/>
        <w:highlight w:val="white"/>
      </w:rPr>
      <w:instrText xml:space="preserve">PAGE  </w:instrText>
    </w:r>
    <w:r>
      <w:fldChar w:fldCharType="end"/>
    </w:r>
  </w:p>
  <w:p w14:paraId="493D4A94">
    <w:pPr>
      <w:pStyle w:val="26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E176E">
    <w:pPr>
      <w:pStyle w:val="26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E051D">
    <w:pPr>
      <w:pStyle w:val="1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33DB3E">
    <w:pPr>
      <w:pStyle w:val="26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DD39F">
    <w:pPr>
      <w:pStyle w:val="26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2</w:t>
    </w:r>
    <w:r>
      <w:fldChar w:fldCharType="end"/>
    </w:r>
  </w:p>
  <w:p w14:paraId="47973931">
    <w:pPr>
      <w:pStyle w:val="264"/>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1BA2F">
    <w:pPr>
      <w:pStyle w:val="26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rPr>
    </w:lvl>
    <w:lvl w:ilvl="2" w:tentative="0">
      <w:start w:val="1"/>
      <w:numFmt w:val="bullet"/>
      <w:lvlText w:val="§"/>
      <w:lvlJc w:val="left"/>
      <w:pPr>
        <w:ind w:left="2160" w:hanging="360"/>
      </w:pPr>
      <w:rPr>
        <w:rFonts w:ascii="Wingdings" w:hAnsi="Wingdings" w:eastAsia="Wingdings"/>
      </w:rPr>
    </w:lvl>
    <w:lvl w:ilvl="3" w:tentative="0">
      <w:start w:val="1"/>
      <w:numFmt w:val="bullet"/>
      <w:lvlText w:val="·"/>
      <w:lvlJc w:val="left"/>
      <w:pPr>
        <w:ind w:left="2880" w:hanging="360"/>
      </w:pPr>
      <w:rPr>
        <w:rFonts w:ascii="Symbol" w:hAnsi="Symbol" w:eastAsia="Symbol"/>
      </w:rPr>
    </w:lvl>
    <w:lvl w:ilvl="4" w:tentative="0">
      <w:start w:val="1"/>
      <w:numFmt w:val="bullet"/>
      <w:lvlText w:val="o"/>
      <w:lvlJc w:val="left"/>
      <w:pPr>
        <w:ind w:left="3600" w:hanging="360"/>
      </w:pPr>
      <w:rPr>
        <w:rFonts w:ascii="Courier New" w:hAnsi="Courier New" w:eastAsia="Courier New"/>
      </w:rPr>
    </w:lvl>
    <w:lvl w:ilvl="5" w:tentative="0">
      <w:start w:val="1"/>
      <w:numFmt w:val="bullet"/>
      <w:lvlText w:val="§"/>
      <w:lvlJc w:val="left"/>
      <w:pPr>
        <w:ind w:left="4320" w:hanging="360"/>
      </w:pPr>
      <w:rPr>
        <w:rFonts w:ascii="Wingdings" w:hAnsi="Wingdings" w:eastAsia="Wingdings"/>
      </w:rPr>
    </w:lvl>
    <w:lvl w:ilvl="6" w:tentative="0">
      <w:start w:val="1"/>
      <w:numFmt w:val="bullet"/>
      <w:lvlText w:val="·"/>
      <w:lvlJc w:val="left"/>
      <w:pPr>
        <w:ind w:left="5040" w:hanging="360"/>
      </w:pPr>
      <w:rPr>
        <w:rFonts w:ascii="Symbol" w:hAnsi="Symbol" w:eastAsia="Symbol"/>
      </w:rPr>
    </w:lvl>
    <w:lvl w:ilvl="7" w:tentative="0">
      <w:start w:val="1"/>
      <w:numFmt w:val="bullet"/>
      <w:lvlText w:val="o"/>
      <w:lvlJc w:val="left"/>
      <w:pPr>
        <w:ind w:left="5760" w:hanging="360"/>
      </w:pPr>
      <w:rPr>
        <w:rFonts w:ascii="Courier New" w:hAnsi="Courier New" w:eastAsia="Courier New"/>
      </w:rPr>
    </w:lvl>
    <w:lvl w:ilvl="8" w:tentative="0">
      <w:start w:val="1"/>
      <w:numFmt w:val="bullet"/>
      <w:lvlText w:val="§"/>
      <w:lvlJc w:val="left"/>
      <w:pPr>
        <w:ind w:left="6480" w:hanging="360"/>
      </w:pPr>
      <w:rPr>
        <w:rFonts w:ascii="Wingdings" w:hAnsi="Wingdings" w:eastAsia="Wingdings"/>
      </w:rPr>
    </w:lvl>
  </w:abstractNum>
  <w:abstractNum w:abstractNumId="1">
    <w:nsid w:val="CF092B84"/>
    <w:multiLevelType w:val="multilevel"/>
    <w:tmpl w:val="CF092B84"/>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0053208E"/>
    <w:multiLevelType w:val="multilevel"/>
    <w:tmpl w:val="0053208E"/>
    <w:lvl w:ilvl="0" w:tentative="0">
      <w:start w:val="1"/>
      <w:numFmt w:val="decimal"/>
      <w:pStyle w:val="242"/>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A730018"/>
    <w:multiLevelType w:val="multilevel"/>
    <w:tmpl w:val="0A730018"/>
    <w:lvl w:ilvl="0" w:tentative="0">
      <w:start w:val="1"/>
      <w:numFmt w:val="lowerLetter"/>
      <w:lvlText w:val="%1)"/>
      <w:lvlJc w:val="left"/>
      <w:pPr>
        <w:ind w:left="108" w:hanging="269"/>
        <w:jc w:val="left"/>
      </w:pPr>
      <w:rPr>
        <w:rFonts w:hint="default" w:ascii="黑体" w:hAnsi="黑体" w:eastAsia="黑体" w:cs="黑体"/>
        <w:b w:val="0"/>
        <w:bCs w:val="0"/>
        <w:i w:val="0"/>
        <w:iCs w:val="0"/>
        <w:spacing w:val="-2"/>
        <w:w w:val="100"/>
        <w:sz w:val="18"/>
        <w:szCs w:val="18"/>
      </w:rPr>
    </w:lvl>
    <w:lvl w:ilvl="1" w:tentative="0">
      <w:start w:val="0"/>
      <w:numFmt w:val="bullet"/>
      <w:lvlText w:val="•"/>
      <w:lvlJc w:val="left"/>
      <w:pPr>
        <w:ind w:left="410" w:hanging="269"/>
      </w:pPr>
      <w:rPr>
        <w:rFonts w:hint="default"/>
      </w:rPr>
    </w:lvl>
    <w:lvl w:ilvl="2" w:tentative="0">
      <w:start w:val="0"/>
      <w:numFmt w:val="bullet"/>
      <w:lvlText w:val="•"/>
      <w:lvlJc w:val="left"/>
      <w:pPr>
        <w:ind w:left="720" w:hanging="269"/>
      </w:pPr>
      <w:rPr>
        <w:rFonts w:hint="default"/>
      </w:rPr>
    </w:lvl>
    <w:lvl w:ilvl="3" w:tentative="0">
      <w:start w:val="0"/>
      <w:numFmt w:val="bullet"/>
      <w:lvlText w:val="•"/>
      <w:lvlJc w:val="left"/>
      <w:pPr>
        <w:ind w:left="1031" w:hanging="269"/>
      </w:pPr>
      <w:rPr>
        <w:rFonts w:hint="default"/>
      </w:rPr>
    </w:lvl>
    <w:lvl w:ilvl="4" w:tentative="0">
      <w:start w:val="0"/>
      <w:numFmt w:val="bullet"/>
      <w:lvlText w:val="•"/>
      <w:lvlJc w:val="left"/>
      <w:pPr>
        <w:ind w:left="1341" w:hanging="269"/>
      </w:pPr>
      <w:rPr>
        <w:rFonts w:hint="default"/>
      </w:rPr>
    </w:lvl>
    <w:lvl w:ilvl="5" w:tentative="0">
      <w:start w:val="0"/>
      <w:numFmt w:val="bullet"/>
      <w:lvlText w:val="•"/>
      <w:lvlJc w:val="left"/>
      <w:pPr>
        <w:ind w:left="1652" w:hanging="269"/>
      </w:pPr>
      <w:rPr>
        <w:rFonts w:hint="default"/>
      </w:rPr>
    </w:lvl>
    <w:lvl w:ilvl="6" w:tentative="0">
      <w:start w:val="0"/>
      <w:numFmt w:val="bullet"/>
      <w:lvlText w:val="•"/>
      <w:lvlJc w:val="left"/>
      <w:pPr>
        <w:ind w:left="1962" w:hanging="269"/>
      </w:pPr>
      <w:rPr>
        <w:rFonts w:hint="default"/>
      </w:rPr>
    </w:lvl>
    <w:lvl w:ilvl="7" w:tentative="0">
      <w:start w:val="0"/>
      <w:numFmt w:val="bullet"/>
      <w:lvlText w:val="•"/>
      <w:lvlJc w:val="left"/>
      <w:pPr>
        <w:ind w:left="2272" w:hanging="269"/>
      </w:pPr>
      <w:rPr>
        <w:rFonts w:hint="default"/>
      </w:rPr>
    </w:lvl>
    <w:lvl w:ilvl="8" w:tentative="0">
      <w:start w:val="0"/>
      <w:numFmt w:val="bullet"/>
      <w:lvlText w:val="•"/>
      <w:lvlJc w:val="left"/>
      <w:pPr>
        <w:ind w:left="2583" w:hanging="269"/>
      </w:pPr>
      <w:rPr>
        <w:rFonts w:hint="default"/>
      </w:rPr>
    </w:lvl>
  </w:abstractNum>
  <w:abstractNum w:abstractNumId="4">
    <w:nsid w:val="0E881B84"/>
    <w:multiLevelType w:val="multilevel"/>
    <w:tmpl w:val="0E881B84"/>
    <w:lvl w:ilvl="0" w:tentative="0">
      <w:start w:val="1"/>
      <w:numFmt w:val="lowerLetter"/>
      <w:lvlText w:val="%1)"/>
      <w:lvlJc w:val="left"/>
      <w:pPr>
        <w:ind w:left="108" w:hanging="269"/>
        <w:jc w:val="left"/>
      </w:pPr>
      <w:rPr>
        <w:rFonts w:hint="default" w:ascii="黑体" w:hAnsi="黑体" w:eastAsia="黑体" w:cs="黑体"/>
        <w:b w:val="0"/>
        <w:bCs w:val="0"/>
        <w:i w:val="0"/>
        <w:iCs w:val="0"/>
        <w:spacing w:val="-2"/>
        <w:w w:val="100"/>
        <w:sz w:val="18"/>
        <w:szCs w:val="18"/>
      </w:rPr>
    </w:lvl>
    <w:lvl w:ilvl="1" w:tentative="0">
      <w:start w:val="0"/>
      <w:numFmt w:val="bullet"/>
      <w:lvlText w:val="•"/>
      <w:lvlJc w:val="left"/>
      <w:pPr>
        <w:ind w:left="410" w:hanging="269"/>
      </w:pPr>
      <w:rPr>
        <w:rFonts w:hint="default"/>
      </w:rPr>
    </w:lvl>
    <w:lvl w:ilvl="2" w:tentative="0">
      <w:start w:val="0"/>
      <w:numFmt w:val="bullet"/>
      <w:lvlText w:val="•"/>
      <w:lvlJc w:val="left"/>
      <w:pPr>
        <w:ind w:left="720" w:hanging="269"/>
      </w:pPr>
      <w:rPr>
        <w:rFonts w:hint="default"/>
      </w:rPr>
    </w:lvl>
    <w:lvl w:ilvl="3" w:tentative="0">
      <w:start w:val="0"/>
      <w:numFmt w:val="bullet"/>
      <w:lvlText w:val="•"/>
      <w:lvlJc w:val="left"/>
      <w:pPr>
        <w:ind w:left="1031" w:hanging="269"/>
      </w:pPr>
      <w:rPr>
        <w:rFonts w:hint="default"/>
      </w:rPr>
    </w:lvl>
    <w:lvl w:ilvl="4" w:tentative="0">
      <w:start w:val="0"/>
      <w:numFmt w:val="bullet"/>
      <w:lvlText w:val="•"/>
      <w:lvlJc w:val="left"/>
      <w:pPr>
        <w:ind w:left="1341" w:hanging="269"/>
      </w:pPr>
      <w:rPr>
        <w:rFonts w:hint="default"/>
      </w:rPr>
    </w:lvl>
    <w:lvl w:ilvl="5" w:tentative="0">
      <w:start w:val="0"/>
      <w:numFmt w:val="bullet"/>
      <w:lvlText w:val="•"/>
      <w:lvlJc w:val="left"/>
      <w:pPr>
        <w:ind w:left="1652" w:hanging="269"/>
      </w:pPr>
      <w:rPr>
        <w:rFonts w:hint="default"/>
      </w:rPr>
    </w:lvl>
    <w:lvl w:ilvl="6" w:tentative="0">
      <w:start w:val="0"/>
      <w:numFmt w:val="bullet"/>
      <w:lvlText w:val="•"/>
      <w:lvlJc w:val="left"/>
      <w:pPr>
        <w:ind w:left="1962" w:hanging="269"/>
      </w:pPr>
      <w:rPr>
        <w:rFonts w:hint="default"/>
      </w:rPr>
    </w:lvl>
    <w:lvl w:ilvl="7" w:tentative="0">
      <w:start w:val="0"/>
      <w:numFmt w:val="bullet"/>
      <w:lvlText w:val="•"/>
      <w:lvlJc w:val="left"/>
      <w:pPr>
        <w:ind w:left="2272" w:hanging="269"/>
      </w:pPr>
      <w:rPr>
        <w:rFonts w:hint="default"/>
      </w:rPr>
    </w:lvl>
    <w:lvl w:ilvl="8" w:tentative="0">
      <w:start w:val="0"/>
      <w:numFmt w:val="bullet"/>
      <w:lvlText w:val="•"/>
      <w:lvlJc w:val="left"/>
      <w:pPr>
        <w:ind w:left="2583" w:hanging="269"/>
      </w:pPr>
      <w:rPr>
        <w:rFonts w:hint="default"/>
      </w:rPr>
    </w:lvl>
  </w:abstractNum>
  <w:abstractNum w:abstractNumId="5">
    <w:nsid w:val="0F1F3E91"/>
    <w:multiLevelType w:val="multilevel"/>
    <w:tmpl w:val="0F1F3E91"/>
    <w:lvl w:ilvl="0" w:tentative="0">
      <w:start w:val="1"/>
      <w:numFmt w:val="lowerLetter"/>
      <w:lvlText w:val="%1)"/>
      <w:lvlJc w:val="left"/>
      <w:pPr>
        <w:ind w:left="108" w:hanging="269"/>
        <w:jc w:val="left"/>
      </w:pPr>
      <w:rPr>
        <w:rFonts w:hint="default" w:ascii="黑体" w:hAnsi="黑体" w:eastAsia="黑体" w:cs="黑体"/>
        <w:b w:val="0"/>
        <w:bCs w:val="0"/>
        <w:i w:val="0"/>
        <w:iCs w:val="0"/>
        <w:spacing w:val="-2"/>
        <w:w w:val="100"/>
        <w:sz w:val="18"/>
        <w:szCs w:val="18"/>
      </w:rPr>
    </w:lvl>
    <w:lvl w:ilvl="1" w:tentative="0">
      <w:start w:val="0"/>
      <w:numFmt w:val="bullet"/>
      <w:lvlText w:val="•"/>
      <w:lvlJc w:val="left"/>
      <w:pPr>
        <w:ind w:left="410" w:hanging="269"/>
      </w:pPr>
      <w:rPr>
        <w:rFonts w:hint="default"/>
      </w:rPr>
    </w:lvl>
    <w:lvl w:ilvl="2" w:tentative="0">
      <w:start w:val="0"/>
      <w:numFmt w:val="bullet"/>
      <w:lvlText w:val="•"/>
      <w:lvlJc w:val="left"/>
      <w:pPr>
        <w:ind w:left="720" w:hanging="269"/>
      </w:pPr>
      <w:rPr>
        <w:rFonts w:hint="default"/>
      </w:rPr>
    </w:lvl>
    <w:lvl w:ilvl="3" w:tentative="0">
      <w:start w:val="0"/>
      <w:numFmt w:val="bullet"/>
      <w:lvlText w:val="•"/>
      <w:lvlJc w:val="left"/>
      <w:pPr>
        <w:ind w:left="1031" w:hanging="269"/>
      </w:pPr>
      <w:rPr>
        <w:rFonts w:hint="default"/>
      </w:rPr>
    </w:lvl>
    <w:lvl w:ilvl="4" w:tentative="0">
      <w:start w:val="0"/>
      <w:numFmt w:val="bullet"/>
      <w:lvlText w:val="•"/>
      <w:lvlJc w:val="left"/>
      <w:pPr>
        <w:ind w:left="1341" w:hanging="269"/>
      </w:pPr>
      <w:rPr>
        <w:rFonts w:hint="default"/>
      </w:rPr>
    </w:lvl>
    <w:lvl w:ilvl="5" w:tentative="0">
      <w:start w:val="0"/>
      <w:numFmt w:val="bullet"/>
      <w:lvlText w:val="•"/>
      <w:lvlJc w:val="left"/>
      <w:pPr>
        <w:ind w:left="1652" w:hanging="269"/>
      </w:pPr>
      <w:rPr>
        <w:rFonts w:hint="default"/>
      </w:rPr>
    </w:lvl>
    <w:lvl w:ilvl="6" w:tentative="0">
      <w:start w:val="0"/>
      <w:numFmt w:val="bullet"/>
      <w:lvlText w:val="•"/>
      <w:lvlJc w:val="left"/>
      <w:pPr>
        <w:ind w:left="1962" w:hanging="269"/>
      </w:pPr>
      <w:rPr>
        <w:rFonts w:hint="default"/>
      </w:rPr>
    </w:lvl>
    <w:lvl w:ilvl="7" w:tentative="0">
      <w:start w:val="0"/>
      <w:numFmt w:val="bullet"/>
      <w:lvlText w:val="•"/>
      <w:lvlJc w:val="left"/>
      <w:pPr>
        <w:ind w:left="2272" w:hanging="269"/>
      </w:pPr>
      <w:rPr>
        <w:rFonts w:hint="default"/>
      </w:rPr>
    </w:lvl>
    <w:lvl w:ilvl="8" w:tentative="0">
      <w:start w:val="0"/>
      <w:numFmt w:val="bullet"/>
      <w:lvlText w:val="•"/>
      <w:lvlJc w:val="left"/>
      <w:pPr>
        <w:ind w:left="2583" w:hanging="269"/>
      </w:pPr>
      <w:rPr>
        <w:rFonts w:hint="default"/>
      </w:rPr>
    </w:lvl>
  </w:abstractNum>
  <w:abstractNum w:abstractNumId="6">
    <w:nsid w:val="23DE37A1"/>
    <w:multiLevelType w:val="multilevel"/>
    <w:tmpl w:val="23DE37A1"/>
    <w:lvl w:ilvl="0" w:tentative="0">
      <w:start w:val="1"/>
      <w:numFmt w:val="lowerLetter"/>
      <w:lvlText w:val="%1)"/>
      <w:lvlJc w:val="left"/>
      <w:pPr>
        <w:ind w:left="376" w:hanging="269"/>
        <w:jc w:val="left"/>
      </w:pPr>
      <w:rPr>
        <w:rFonts w:hint="default" w:ascii="黑体" w:hAnsi="黑体" w:eastAsia="黑体" w:cs="黑体"/>
        <w:b w:val="0"/>
        <w:bCs w:val="0"/>
        <w:i w:val="0"/>
        <w:iCs w:val="0"/>
        <w:spacing w:val="-2"/>
        <w:w w:val="100"/>
        <w:sz w:val="18"/>
        <w:szCs w:val="18"/>
      </w:rPr>
    </w:lvl>
    <w:lvl w:ilvl="1" w:tentative="0">
      <w:start w:val="0"/>
      <w:numFmt w:val="bullet"/>
      <w:lvlText w:val="•"/>
      <w:lvlJc w:val="left"/>
      <w:pPr>
        <w:ind w:left="662" w:hanging="269"/>
      </w:pPr>
      <w:rPr>
        <w:rFonts w:hint="default"/>
      </w:rPr>
    </w:lvl>
    <w:lvl w:ilvl="2" w:tentative="0">
      <w:start w:val="0"/>
      <w:numFmt w:val="bullet"/>
      <w:lvlText w:val="•"/>
      <w:lvlJc w:val="left"/>
      <w:pPr>
        <w:ind w:left="944" w:hanging="269"/>
      </w:pPr>
      <w:rPr>
        <w:rFonts w:hint="default"/>
      </w:rPr>
    </w:lvl>
    <w:lvl w:ilvl="3" w:tentative="0">
      <w:start w:val="0"/>
      <w:numFmt w:val="bullet"/>
      <w:lvlText w:val="•"/>
      <w:lvlJc w:val="left"/>
      <w:pPr>
        <w:ind w:left="1227" w:hanging="269"/>
      </w:pPr>
      <w:rPr>
        <w:rFonts w:hint="default"/>
      </w:rPr>
    </w:lvl>
    <w:lvl w:ilvl="4" w:tentative="0">
      <w:start w:val="0"/>
      <w:numFmt w:val="bullet"/>
      <w:lvlText w:val="•"/>
      <w:lvlJc w:val="left"/>
      <w:pPr>
        <w:ind w:left="1509" w:hanging="269"/>
      </w:pPr>
      <w:rPr>
        <w:rFonts w:hint="default"/>
      </w:rPr>
    </w:lvl>
    <w:lvl w:ilvl="5" w:tentative="0">
      <w:start w:val="0"/>
      <w:numFmt w:val="bullet"/>
      <w:lvlText w:val="•"/>
      <w:lvlJc w:val="left"/>
      <w:pPr>
        <w:ind w:left="1792" w:hanging="269"/>
      </w:pPr>
      <w:rPr>
        <w:rFonts w:hint="default"/>
      </w:rPr>
    </w:lvl>
    <w:lvl w:ilvl="6" w:tentative="0">
      <w:start w:val="0"/>
      <w:numFmt w:val="bullet"/>
      <w:lvlText w:val="•"/>
      <w:lvlJc w:val="left"/>
      <w:pPr>
        <w:ind w:left="2074" w:hanging="269"/>
      </w:pPr>
      <w:rPr>
        <w:rFonts w:hint="default"/>
      </w:rPr>
    </w:lvl>
    <w:lvl w:ilvl="7" w:tentative="0">
      <w:start w:val="0"/>
      <w:numFmt w:val="bullet"/>
      <w:lvlText w:val="•"/>
      <w:lvlJc w:val="left"/>
      <w:pPr>
        <w:ind w:left="2356" w:hanging="269"/>
      </w:pPr>
      <w:rPr>
        <w:rFonts w:hint="default"/>
      </w:rPr>
    </w:lvl>
    <w:lvl w:ilvl="8" w:tentative="0">
      <w:start w:val="0"/>
      <w:numFmt w:val="bullet"/>
      <w:lvlText w:val="•"/>
      <w:lvlJc w:val="left"/>
      <w:pPr>
        <w:ind w:left="2639" w:hanging="269"/>
      </w:pPr>
      <w:rPr>
        <w:rFonts w:hint="default"/>
      </w:rPr>
    </w:lvl>
  </w:abstractNum>
  <w:abstractNum w:abstractNumId="7">
    <w:nsid w:val="496E41A9"/>
    <w:multiLevelType w:val="multilevel"/>
    <w:tmpl w:val="496E41A9"/>
    <w:lvl w:ilvl="0" w:tentative="0">
      <w:start w:val="1"/>
      <w:numFmt w:val="lowerLetter"/>
      <w:lvlText w:val="%1)"/>
      <w:lvlJc w:val="left"/>
      <w:pPr>
        <w:ind w:left="108" w:hanging="269"/>
        <w:jc w:val="left"/>
      </w:pPr>
      <w:rPr>
        <w:rFonts w:hint="default" w:ascii="黑体" w:hAnsi="黑体" w:eastAsia="黑体" w:cs="黑体"/>
        <w:b w:val="0"/>
        <w:bCs w:val="0"/>
        <w:i w:val="0"/>
        <w:iCs w:val="0"/>
        <w:spacing w:val="-2"/>
        <w:w w:val="100"/>
        <w:sz w:val="18"/>
        <w:szCs w:val="18"/>
      </w:rPr>
    </w:lvl>
    <w:lvl w:ilvl="1" w:tentative="0">
      <w:start w:val="0"/>
      <w:numFmt w:val="bullet"/>
      <w:lvlText w:val="•"/>
      <w:lvlJc w:val="left"/>
      <w:pPr>
        <w:ind w:left="410" w:hanging="269"/>
      </w:pPr>
      <w:rPr>
        <w:rFonts w:hint="default"/>
      </w:rPr>
    </w:lvl>
    <w:lvl w:ilvl="2" w:tentative="0">
      <w:start w:val="0"/>
      <w:numFmt w:val="bullet"/>
      <w:lvlText w:val="•"/>
      <w:lvlJc w:val="left"/>
      <w:pPr>
        <w:ind w:left="720" w:hanging="269"/>
      </w:pPr>
      <w:rPr>
        <w:rFonts w:hint="default"/>
      </w:rPr>
    </w:lvl>
    <w:lvl w:ilvl="3" w:tentative="0">
      <w:start w:val="0"/>
      <w:numFmt w:val="bullet"/>
      <w:lvlText w:val="•"/>
      <w:lvlJc w:val="left"/>
      <w:pPr>
        <w:ind w:left="1031" w:hanging="269"/>
      </w:pPr>
      <w:rPr>
        <w:rFonts w:hint="default"/>
      </w:rPr>
    </w:lvl>
    <w:lvl w:ilvl="4" w:tentative="0">
      <w:start w:val="0"/>
      <w:numFmt w:val="bullet"/>
      <w:lvlText w:val="•"/>
      <w:lvlJc w:val="left"/>
      <w:pPr>
        <w:ind w:left="1341" w:hanging="269"/>
      </w:pPr>
      <w:rPr>
        <w:rFonts w:hint="default"/>
      </w:rPr>
    </w:lvl>
    <w:lvl w:ilvl="5" w:tentative="0">
      <w:start w:val="0"/>
      <w:numFmt w:val="bullet"/>
      <w:lvlText w:val="•"/>
      <w:lvlJc w:val="left"/>
      <w:pPr>
        <w:ind w:left="1652" w:hanging="269"/>
      </w:pPr>
      <w:rPr>
        <w:rFonts w:hint="default"/>
      </w:rPr>
    </w:lvl>
    <w:lvl w:ilvl="6" w:tentative="0">
      <w:start w:val="0"/>
      <w:numFmt w:val="bullet"/>
      <w:lvlText w:val="•"/>
      <w:lvlJc w:val="left"/>
      <w:pPr>
        <w:ind w:left="1962" w:hanging="269"/>
      </w:pPr>
      <w:rPr>
        <w:rFonts w:hint="default"/>
      </w:rPr>
    </w:lvl>
    <w:lvl w:ilvl="7" w:tentative="0">
      <w:start w:val="0"/>
      <w:numFmt w:val="bullet"/>
      <w:lvlText w:val="•"/>
      <w:lvlJc w:val="left"/>
      <w:pPr>
        <w:ind w:left="2272" w:hanging="269"/>
      </w:pPr>
      <w:rPr>
        <w:rFonts w:hint="default"/>
      </w:rPr>
    </w:lvl>
    <w:lvl w:ilvl="8" w:tentative="0">
      <w:start w:val="0"/>
      <w:numFmt w:val="bullet"/>
      <w:lvlText w:val="•"/>
      <w:lvlJc w:val="left"/>
      <w:pPr>
        <w:ind w:left="2583" w:hanging="269"/>
      </w:pPr>
      <w:rPr>
        <w:rFonts w:hint="default"/>
      </w:rPr>
    </w:lvl>
  </w:abstractNum>
  <w:abstractNum w:abstractNumId="8">
    <w:nsid w:val="62ED6D19"/>
    <w:multiLevelType w:val="multilevel"/>
    <w:tmpl w:val="62ED6D19"/>
    <w:lvl w:ilvl="0" w:tentative="0">
      <w:start w:val="1"/>
      <w:numFmt w:val="lowerLetter"/>
      <w:lvlText w:val="%1)"/>
      <w:lvlJc w:val="left"/>
      <w:pPr>
        <w:ind w:left="108" w:hanging="269"/>
        <w:jc w:val="left"/>
      </w:pPr>
      <w:rPr>
        <w:rFonts w:hint="default" w:ascii="黑体" w:hAnsi="黑体" w:eastAsia="黑体" w:cs="黑体"/>
        <w:b w:val="0"/>
        <w:bCs w:val="0"/>
        <w:i w:val="0"/>
        <w:iCs w:val="0"/>
        <w:spacing w:val="-2"/>
        <w:w w:val="100"/>
        <w:sz w:val="18"/>
        <w:szCs w:val="18"/>
      </w:rPr>
    </w:lvl>
    <w:lvl w:ilvl="1" w:tentative="0">
      <w:start w:val="0"/>
      <w:numFmt w:val="bullet"/>
      <w:lvlText w:val="•"/>
      <w:lvlJc w:val="left"/>
      <w:pPr>
        <w:ind w:left="410" w:hanging="269"/>
      </w:pPr>
      <w:rPr>
        <w:rFonts w:hint="default"/>
      </w:rPr>
    </w:lvl>
    <w:lvl w:ilvl="2" w:tentative="0">
      <w:start w:val="0"/>
      <w:numFmt w:val="bullet"/>
      <w:lvlText w:val="•"/>
      <w:lvlJc w:val="left"/>
      <w:pPr>
        <w:ind w:left="720" w:hanging="269"/>
      </w:pPr>
      <w:rPr>
        <w:rFonts w:hint="default"/>
      </w:rPr>
    </w:lvl>
    <w:lvl w:ilvl="3" w:tentative="0">
      <w:start w:val="0"/>
      <w:numFmt w:val="bullet"/>
      <w:lvlText w:val="•"/>
      <w:lvlJc w:val="left"/>
      <w:pPr>
        <w:ind w:left="1031" w:hanging="269"/>
      </w:pPr>
      <w:rPr>
        <w:rFonts w:hint="default"/>
      </w:rPr>
    </w:lvl>
    <w:lvl w:ilvl="4" w:tentative="0">
      <w:start w:val="0"/>
      <w:numFmt w:val="bullet"/>
      <w:lvlText w:val="•"/>
      <w:lvlJc w:val="left"/>
      <w:pPr>
        <w:ind w:left="1341" w:hanging="269"/>
      </w:pPr>
      <w:rPr>
        <w:rFonts w:hint="default"/>
      </w:rPr>
    </w:lvl>
    <w:lvl w:ilvl="5" w:tentative="0">
      <w:start w:val="0"/>
      <w:numFmt w:val="bullet"/>
      <w:lvlText w:val="•"/>
      <w:lvlJc w:val="left"/>
      <w:pPr>
        <w:ind w:left="1652" w:hanging="269"/>
      </w:pPr>
      <w:rPr>
        <w:rFonts w:hint="default"/>
      </w:rPr>
    </w:lvl>
    <w:lvl w:ilvl="6" w:tentative="0">
      <w:start w:val="0"/>
      <w:numFmt w:val="bullet"/>
      <w:lvlText w:val="•"/>
      <w:lvlJc w:val="left"/>
      <w:pPr>
        <w:ind w:left="1962" w:hanging="269"/>
      </w:pPr>
      <w:rPr>
        <w:rFonts w:hint="default"/>
      </w:rPr>
    </w:lvl>
    <w:lvl w:ilvl="7" w:tentative="0">
      <w:start w:val="0"/>
      <w:numFmt w:val="bullet"/>
      <w:lvlText w:val="•"/>
      <w:lvlJc w:val="left"/>
      <w:pPr>
        <w:ind w:left="2272" w:hanging="269"/>
      </w:pPr>
      <w:rPr>
        <w:rFonts w:hint="default"/>
      </w:rPr>
    </w:lvl>
    <w:lvl w:ilvl="8" w:tentative="0">
      <w:start w:val="0"/>
      <w:numFmt w:val="bullet"/>
      <w:lvlText w:val="•"/>
      <w:lvlJc w:val="left"/>
      <w:pPr>
        <w:ind w:left="2583" w:hanging="269"/>
      </w:pPr>
      <w:rPr>
        <w:rFonts w:hint="default"/>
      </w:rPr>
    </w:lvl>
  </w:abstractNum>
  <w:abstractNum w:abstractNumId="9">
    <w:nsid w:val="705F40A0"/>
    <w:multiLevelType w:val="multilevel"/>
    <w:tmpl w:val="705F40A0"/>
    <w:lvl w:ilvl="0" w:tentative="0">
      <w:start w:val="1"/>
      <w:numFmt w:val="lowerLetter"/>
      <w:lvlText w:val="%1)"/>
      <w:lvlJc w:val="left"/>
      <w:pPr>
        <w:ind w:left="108" w:hanging="269"/>
        <w:jc w:val="left"/>
      </w:pPr>
      <w:rPr>
        <w:rFonts w:hint="default" w:ascii="黑体" w:hAnsi="黑体" w:eastAsia="黑体" w:cs="黑体"/>
        <w:b w:val="0"/>
        <w:bCs w:val="0"/>
        <w:i w:val="0"/>
        <w:iCs w:val="0"/>
        <w:spacing w:val="-2"/>
        <w:w w:val="100"/>
        <w:sz w:val="18"/>
        <w:szCs w:val="18"/>
      </w:rPr>
    </w:lvl>
    <w:lvl w:ilvl="1" w:tentative="0">
      <w:start w:val="0"/>
      <w:numFmt w:val="bullet"/>
      <w:lvlText w:val="•"/>
      <w:lvlJc w:val="left"/>
      <w:pPr>
        <w:ind w:left="410" w:hanging="269"/>
      </w:pPr>
      <w:rPr>
        <w:rFonts w:hint="default"/>
      </w:rPr>
    </w:lvl>
    <w:lvl w:ilvl="2" w:tentative="0">
      <w:start w:val="0"/>
      <w:numFmt w:val="bullet"/>
      <w:lvlText w:val="•"/>
      <w:lvlJc w:val="left"/>
      <w:pPr>
        <w:ind w:left="720" w:hanging="269"/>
      </w:pPr>
      <w:rPr>
        <w:rFonts w:hint="default"/>
      </w:rPr>
    </w:lvl>
    <w:lvl w:ilvl="3" w:tentative="0">
      <w:start w:val="0"/>
      <w:numFmt w:val="bullet"/>
      <w:lvlText w:val="•"/>
      <w:lvlJc w:val="left"/>
      <w:pPr>
        <w:ind w:left="1031" w:hanging="269"/>
      </w:pPr>
      <w:rPr>
        <w:rFonts w:hint="default"/>
      </w:rPr>
    </w:lvl>
    <w:lvl w:ilvl="4" w:tentative="0">
      <w:start w:val="0"/>
      <w:numFmt w:val="bullet"/>
      <w:lvlText w:val="•"/>
      <w:lvlJc w:val="left"/>
      <w:pPr>
        <w:ind w:left="1341" w:hanging="269"/>
      </w:pPr>
      <w:rPr>
        <w:rFonts w:hint="default"/>
      </w:rPr>
    </w:lvl>
    <w:lvl w:ilvl="5" w:tentative="0">
      <w:start w:val="0"/>
      <w:numFmt w:val="bullet"/>
      <w:lvlText w:val="•"/>
      <w:lvlJc w:val="left"/>
      <w:pPr>
        <w:ind w:left="1652" w:hanging="269"/>
      </w:pPr>
      <w:rPr>
        <w:rFonts w:hint="default"/>
      </w:rPr>
    </w:lvl>
    <w:lvl w:ilvl="6" w:tentative="0">
      <w:start w:val="0"/>
      <w:numFmt w:val="bullet"/>
      <w:lvlText w:val="•"/>
      <w:lvlJc w:val="left"/>
      <w:pPr>
        <w:ind w:left="1962" w:hanging="269"/>
      </w:pPr>
      <w:rPr>
        <w:rFonts w:hint="default"/>
      </w:rPr>
    </w:lvl>
    <w:lvl w:ilvl="7" w:tentative="0">
      <w:start w:val="0"/>
      <w:numFmt w:val="bullet"/>
      <w:lvlText w:val="•"/>
      <w:lvlJc w:val="left"/>
      <w:pPr>
        <w:ind w:left="2272" w:hanging="269"/>
      </w:pPr>
      <w:rPr>
        <w:rFonts w:hint="default"/>
      </w:rPr>
    </w:lvl>
    <w:lvl w:ilvl="8" w:tentative="0">
      <w:start w:val="0"/>
      <w:numFmt w:val="bullet"/>
      <w:lvlText w:val="•"/>
      <w:lvlJc w:val="left"/>
      <w:pPr>
        <w:ind w:left="2583" w:hanging="269"/>
      </w:pPr>
      <w:rPr>
        <w:rFonts w:hint="default"/>
      </w:rPr>
    </w:lvl>
  </w:abstractNum>
  <w:num w:numId="1">
    <w:abstractNumId w:val="2"/>
  </w:num>
  <w:num w:numId="2">
    <w:abstractNumId w:val="1"/>
  </w:num>
  <w:num w:numId="3">
    <w:abstractNumId w:val="3"/>
  </w:num>
  <w:num w:numId="4">
    <w:abstractNumId w:val="7"/>
  </w:num>
  <w:num w:numId="5">
    <w:abstractNumId w:val="5"/>
  </w:num>
  <w:num w:numId="6">
    <w:abstractNumId w:val="4"/>
  </w:num>
  <w:num w:numId="7">
    <w:abstractNumId w:val="8"/>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249B5"/>
    <w:rsid w:val="03716745"/>
    <w:rsid w:val="037E6917"/>
    <w:rsid w:val="04644D0D"/>
    <w:rsid w:val="05D4174A"/>
    <w:rsid w:val="05F33253"/>
    <w:rsid w:val="06B47AF2"/>
    <w:rsid w:val="07BD1643"/>
    <w:rsid w:val="08D17F80"/>
    <w:rsid w:val="094C62EE"/>
    <w:rsid w:val="0B405E21"/>
    <w:rsid w:val="0BA900D3"/>
    <w:rsid w:val="0D2B5454"/>
    <w:rsid w:val="0E2E0CB9"/>
    <w:rsid w:val="0F6E669C"/>
    <w:rsid w:val="0FAC0443"/>
    <w:rsid w:val="10346AE1"/>
    <w:rsid w:val="10C57550"/>
    <w:rsid w:val="110B22CD"/>
    <w:rsid w:val="11157EAE"/>
    <w:rsid w:val="12966207"/>
    <w:rsid w:val="161E53F7"/>
    <w:rsid w:val="163A645A"/>
    <w:rsid w:val="16A76C83"/>
    <w:rsid w:val="175F3C66"/>
    <w:rsid w:val="181E6782"/>
    <w:rsid w:val="18322A41"/>
    <w:rsid w:val="190E015B"/>
    <w:rsid w:val="19D42FFE"/>
    <w:rsid w:val="1A1150A6"/>
    <w:rsid w:val="1BAA7A91"/>
    <w:rsid w:val="1CA9378A"/>
    <w:rsid w:val="1F38485A"/>
    <w:rsid w:val="20492EB3"/>
    <w:rsid w:val="22A30143"/>
    <w:rsid w:val="22C46DDD"/>
    <w:rsid w:val="234165E7"/>
    <w:rsid w:val="2386783E"/>
    <w:rsid w:val="23B20A48"/>
    <w:rsid w:val="23B7662B"/>
    <w:rsid w:val="245D2237"/>
    <w:rsid w:val="24A633CB"/>
    <w:rsid w:val="24D0665F"/>
    <w:rsid w:val="2537299B"/>
    <w:rsid w:val="255E54D8"/>
    <w:rsid w:val="25BA6E7C"/>
    <w:rsid w:val="27E11AF8"/>
    <w:rsid w:val="2A4E1513"/>
    <w:rsid w:val="2C910D54"/>
    <w:rsid w:val="2CB901E0"/>
    <w:rsid w:val="2D0333EA"/>
    <w:rsid w:val="2F88654B"/>
    <w:rsid w:val="3253154A"/>
    <w:rsid w:val="32A04A38"/>
    <w:rsid w:val="350D7F97"/>
    <w:rsid w:val="351B0B66"/>
    <w:rsid w:val="35324F6B"/>
    <w:rsid w:val="38844660"/>
    <w:rsid w:val="39D001E5"/>
    <w:rsid w:val="3A9E0ECF"/>
    <w:rsid w:val="3ACC59C2"/>
    <w:rsid w:val="3C7C6F08"/>
    <w:rsid w:val="3CB40057"/>
    <w:rsid w:val="3D0A57D9"/>
    <w:rsid w:val="3FAB6D01"/>
    <w:rsid w:val="414A4DD9"/>
    <w:rsid w:val="42E77C07"/>
    <w:rsid w:val="430D4EC0"/>
    <w:rsid w:val="43993A74"/>
    <w:rsid w:val="4459381E"/>
    <w:rsid w:val="468738D2"/>
    <w:rsid w:val="479D06E0"/>
    <w:rsid w:val="47EA1015"/>
    <w:rsid w:val="47EB27F0"/>
    <w:rsid w:val="481E082F"/>
    <w:rsid w:val="48E17788"/>
    <w:rsid w:val="4A3A28D9"/>
    <w:rsid w:val="4BAF264E"/>
    <w:rsid w:val="4BAF4C6C"/>
    <w:rsid w:val="4C6C1338"/>
    <w:rsid w:val="4CF15D4A"/>
    <w:rsid w:val="4E134341"/>
    <w:rsid w:val="4F9118CE"/>
    <w:rsid w:val="506A0CF3"/>
    <w:rsid w:val="50B47008"/>
    <w:rsid w:val="53351928"/>
    <w:rsid w:val="53C31DA0"/>
    <w:rsid w:val="5501162A"/>
    <w:rsid w:val="55571DB9"/>
    <w:rsid w:val="55640CA7"/>
    <w:rsid w:val="562E0F5E"/>
    <w:rsid w:val="569B2961"/>
    <w:rsid w:val="57C97540"/>
    <w:rsid w:val="57F8393B"/>
    <w:rsid w:val="587161BF"/>
    <w:rsid w:val="59211DA9"/>
    <w:rsid w:val="59451C63"/>
    <w:rsid w:val="595051D0"/>
    <w:rsid w:val="5A634509"/>
    <w:rsid w:val="5AC44680"/>
    <w:rsid w:val="5B4737A5"/>
    <w:rsid w:val="5C0579E3"/>
    <w:rsid w:val="5CA828B7"/>
    <w:rsid w:val="5CCA6757"/>
    <w:rsid w:val="5DEA087B"/>
    <w:rsid w:val="5E0D0005"/>
    <w:rsid w:val="5E794987"/>
    <w:rsid w:val="5FB15972"/>
    <w:rsid w:val="60321E20"/>
    <w:rsid w:val="6080663A"/>
    <w:rsid w:val="62C349E7"/>
    <w:rsid w:val="6315407C"/>
    <w:rsid w:val="63311455"/>
    <w:rsid w:val="64494AB8"/>
    <w:rsid w:val="65453DB0"/>
    <w:rsid w:val="65DC5FC6"/>
    <w:rsid w:val="66FE4406"/>
    <w:rsid w:val="67045531"/>
    <w:rsid w:val="68D36EE0"/>
    <w:rsid w:val="6A034E4C"/>
    <w:rsid w:val="6A617017"/>
    <w:rsid w:val="6D2141B4"/>
    <w:rsid w:val="6DA36803"/>
    <w:rsid w:val="6E197EC1"/>
    <w:rsid w:val="6E5B7343"/>
    <w:rsid w:val="6EED10D1"/>
    <w:rsid w:val="71B04B8B"/>
    <w:rsid w:val="71DA75A4"/>
    <w:rsid w:val="72465FB2"/>
    <w:rsid w:val="726B0D56"/>
    <w:rsid w:val="72E90162"/>
    <w:rsid w:val="75245F5E"/>
    <w:rsid w:val="76F90B5D"/>
    <w:rsid w:val="77250C14"/>
    <w:rsid w:val="78B97C1D"/>
    <w:rsid w:val="79B23B36"/>
    <w:rsid w:val="7A085C6F"/>
    <w:rsid w:val="7D766A58"/>
    <w:rsid w:val="7D865C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nhideWhenUsed="0" w:uiPriority="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9"/>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link w:val="38"/>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9"/>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0"/>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2"/>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3"/>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4"/>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5"/>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6"/>
    <w:unhideWhenUsed/>
    <w:qFormat/>
    <w:uiPriority w:val="9"/>
    <w:pPr>
      <w:keepNext/>
      <w:keepLines/>
      <w:spacing w:before="320" w:after="200"/>
      <w:outlineLvl w:val="8"/>
    </w:pPr>
    <w:rPr>
      <w:rFonts w:ascii="Arial" w:hAnsi="Arial" w:eastAsia="Arial" w:cs="Arial"/>
      <w:i/>
      <w:iCs/>
      <w:sz w:val="21"/>
      <w:szCs w:val="21"/>
    </w:rPr>
  </w:style>
  <w:style w:type="character" w:default="1" w:styleId="33">
    <w:name w:val="Default Paragraph Font"/>
    <w:semiHidden/>
    <w:qFormat/>
    <w:uiPriority w:val="0"/>
  </w:style>
  <w:style w:type="table" w:default="1" w:styleId="31">
    <w:name w:val="Normal Table"/>
    <w:semiHidden/>
    <w:qFormat/>
    <w:uiPriority w:val="0"/>
    <w:tblPr>
      <w:tblCellMar>
        <w:top w:w="0" w:type="dxa"/>
        <w:left w:w="108" w:type="dxa"/>
        <w:bottom w:w="0" w:type="dxa"/>
        <w:right w:w="108" w:type="dxa"/>
      </w:tblCellMar>
    </w:tblPr>
  </w:style>
  <w:style w:type="paragraph" w:customStyle="1" w:styleId="2">
    <w:name w:val="首行缩进"/>
    <w:next w:val="1"/>
    <w:qFormat/>
    <w:uiPriority w:val="0"/>
    <w:pPr>
      <w:widowControl w:val="0"/>
      <w:spacing w:line="360" w:lineRule="auto"/>
      <w:ind w:firstLine="480"/>
    </w:pPr>
    <w:rPr>
      <w:rFonts w:hint="default" w:ascii="宋体" w:hAnsi="宋体" w:eastAsia="宋体" w:cs="Times New Roman"/>
      <w:sz w:val="24"/>
      <w:szCs w:val="22"/>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4"/>
    <w:semiHidden/>
    <w:unhideWhenUsed/>
    <w:qFormat/>
    <w:uiPriority w:val="99"/>
    <w:pPr>
      <w:spacing w:after="0" w:line="240" w:lineRule="auto"/>
    </w:pPr>
    <w:rPr>
      <w:sz w:val="20"/>
    </w:rPr>
  </w:style>
  <w:style w:type="paragraph" w:styleId="19">
    <w:name w:val="footer"/>
    <w:basedOn w:val="1"/>
    <w:unhideWhenUsed/>
    <w:qFormat/>
    <w:uiPriority w:val="99"/>
    <w:pPr>
      <w:tabs>
        <w:tab w:val="center" w:pos="7143"/>
        <w:tab w:val="right" w:pos="14287"/>
      </w:tabs>
    </w:pPr>
  </w:style>
  <w:style w:type="paragraph" w:styleId="20">
    <w:name w:val="header"/>
    <w:basedOn w:val="1"/>
    <w:unhideWhenUsed/>
    <w:qFormat/>
    <w:uiPriority w:val="99"/>
    <w:pPr>
      <w:tabs>
        <w:tab w:val="center" w:pos="7143"/>
        <w:tab w:val="right" w:pos="14287"/>
      </w:tabs>
    </w:pPr>
  </w:style>
  <w:style w:type="paragraph" w:styleId="21">
    <w:name w:val="toc 1"/>
    <w:basedOn w:val="1"/>
    <w:next w:val="1"/>
    <w:qFormat/>
    <w:uiPriority w:val="0"/>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50"/>
    <w:qFormat/>
    <w:uiPriority w:val="11"/>
    <w:pPr>
      <w:spacing w:before="200" w:after="200"/>
    </w:pPr>
    <w:rPr>
      <w:sz w:val="24"/>
      <w:szCs w:val="24"/>
    </w:rPr>
  </w:style>
  <w:style w:type="paragraph" w:styleId="24">
    <w:name w:val="footnote text"/>
    <w:basedOn w:val="1"/>
    <w:link w:val="183"/>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Normal (Web)"/>
    <w:basedOn w:val="1"/>
    <w:qFormat/>
    <w:uiPriority w:val="99"/>
    <w:pPr>
      <w:widowControl/>
      <w:spacing w:before="100" w:beforeAutospacing="1" w:after="100" w:afterAutospacing="1"/>
      <w:jc w:val="left"/>
    </w:pPr>
    <w:rPr>
      <w:rFonts w:ascii="宋体" w:hAnsi="宋体" w:eastAsia="宋体" w:cs="宋体"/>
      <w:sz w:val="24"/>
      <w:szCs w:val="24"/>
    </w:rPr>
  </w:style>
  <w:style w:type="paragraph" w:styleId="30">
    <w:name w:val="Title"/>
    <w:basedOn w:val="1"/>
    <w:next w:val="1"/>
    <w:link w:val="49"/>
    <w:qFormat/>
    <w:uiPriority w:val="10"/>
    <w:pPr>
      <w:spacing w:before="300" w:after="200"/>
      <w:contextualSpacing/>
    </w:pPr>
    <w:rPr>
      <w:sz w:val="48"/>
      <w:szCs w:val="48"/>
    </w:rPr>
  </w:style>
  <w:style w:type="table" w:styleId="3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4">
    <w:name w:val="endnote reference"/>
    <w:basedOn w:val="33"/>
    <w:semiHidden/>
    <w:unhideWhenUsed/>
    <w:qFormat/>
    <w:uiPriority w:val="99"/>
    <w:rPr>
      <w:vertAlign w:val="superscript"/>
    </w:rPr>
  </w:style>
  <w:style w:type="character" w:styleId="35">
    <w:name w:val="Emphasis"/>
    <w:qFormat/>
    <w:uiPriority w:val="0"/>
    <w:rPr>
      <w:i/>
    </w:rPr>
  </w:style>
  <w:style w:type="character" w:styleId="36">
    <w:name w:val="Hyperlink"/>
    <w:unhideWhenUsed/>
    <w:qFormat/>
    <w:uiPriority w:val="99"/>
    <w:rPr>
      <w:color w:val="0000FF" w:themeColor="hyperlink"/>
      <w:u w:val="single"/>
      <w14:textFill>
        <w14:solidFill>
          <w14:schemeClr w14:val="hlink"/>
        </w14:solidFill>
      </w14:textFill>
    </w:rPr>
  </w:style>
  <w:style w:type="character" w:styleId="37">
    <w:name w:val="footnote reference"/>
    <w:basedOn w:val="33"/>
    <w:unhideWhenUsed/>
    <w:qFormat/>
    <w:uiPriority w:val="99"/>
    <w:rPr>
      <w:vertAlign w:val="superscript"/>
    </w:rPr>
  </w:style>
  <w:style w:type="character" w:customStyle="1" w:styleId="38">
    <w:name w:val="Heading 1 Char"/>
    <w:basedOn w:val="33"/>
    <w:link w:val="3"/>
    <w:qFormat/>
    <w:uiPriority w:val="9"/>
    <w:rPr>
      <w:rFonts w:ascii="Arial" w:hAnsi="Arial" w:eastAsia="Arial" w:cs="Arial"/>
      <w:sz w:val="40"/>
      <w:szCs w:val="40"/>
    </w:rPr>
  </w:style>
  <w:style w:type="character" w:customStyle="1" w:styleId="39">
    <w:name w:val="Heading 2 Char"/>
    <w:basedOn w:val="33"/>
    <w:link w:val="4"/>
    <w:qFormat/>
    <w:uiPriority w:val="9"/>
    <w:rPr>
      <w:rFonts w:ascii="Arial" w:hAnsi="Arial" w:eastAsia="Arial" w:cs="Arial"/>
      <w:sz w:val="34"/>
    </w:rPr>
  </w:style>
  <w:style w:type="character" w:customStyle="1" w:styleId="40">
    <w:name w:val="Heading 3 Char"/>
    <w:basedOn w:val="33"/>
    <w:link w:val="5"/>
    <w:qFormat/>
    <w:uiPriority w:val="9"/>
    <w:rPr>
      <w:rFonts w:ascii="Arial" w:hAnsi="Arial" w:eastAsia="Arial" w:cs="Arial"/>
      <w:sz w:val="30"/>
      <w:szCs w:val="30"/>
    </w:rPr>
  </w:style>
  <w:style w:type="character" w:customStyle="1" w:styleId="41">
    <w:name w:val="Heading 4 Char"/>
    <w:basedOn w:val="33"/>
    <w:link w:val="6"/>
    <w:qFormat/>
    <w:uiPriority w:val="9"/>
    <w:rPr>
      <w:rFonts w:ascii="Arial" w:hAnsi="Arial" w:eastAsia="Arial" w:cs="Arial"/>
      <w:b/>
      <w:bCs/>
      <w:sz w:val="26"/>
      <w:szCs w:val="26"/>
    </w:rPr>
  </w:style>
  <w:style w:type="character" w:customStyle="1" w:styleId="42">
    <w:name w:val="Heading 5 Char"/>
    <w:basedOn w:val="33"/>
    <w:link w:val="7"/>
    <w:qFormat/>
    <w:uiPriority w:val="9"/>
    <w:rPr>
      <w:rFonts w:ascii="Arial" w:hAnsi="Arial" w:eastAsia="Arial" w:cs="Arial"/>
      <w:b/>
      <w:bCs/>
      <w:sz w:val="24"/>
      <w:szCs w:val="24"/>
    </w:rPr>
  </w:style>
  <w:style w:type="character" w:customStyle="1" w:styleId="43">
    <w:name w:val="Heading 6 Char"/>
    <w:basedOn w:val="33"/>
    <w:link w:val="8"/>
    <w:qFormat/>
    <w:uiPriority w:val="9"/>
    <w:rPr>
      <w:rFonts w:ascii="Arial" w:hAnsi="Arial" w:eastAsia="Arial" w:cs="Arial"/>
      <w:b/>
      <w:bCs/>
      <w:sz w:val="22"/>
      <w:szCs w:val="22"/>
    </w:rPr>
  </w:style>
  <w:style w:type="character" w:customStyle="1" w:styleId="44">
    <w:name w:val="Heading 7 Char"/>
    <w:basedOn w:val="33"/>
    <w:link w:val="9"/>
    <w:qFormat/>
    <w:uiPriority w:val="9"/>
    <w:rPr>
      <w:rFonts w:ascii="Arial" w:hAnsi="Arial" w:eastAsia="Arial" w:cs="Arial"/>
      <w:b/>
      <w:bCs/>
      <w:i/>
      <w:iCs/>
      <w:sz w:val="22"/>
      <w:szCs w:val="22"/>
    </w:rPr>
  </w:style>
  <w:style w:type="character" w:customStyle="1" w:styleId="45">
    <w:name w:val="Heading 8 Char"/>
    <w:basedOn w:val="33"/>
    <w:link w:val="10"/>
    <w:qFormat/>
    <w:uiPriority w:val="9"/>
    <w:rPr>
      <w:rFonts w:ascii="Arial" w:hAnsi="Arial" w:eastAsia="Arial" w:cs="Arial"/>
      <w:i/>
      <w:iCs/>
      <w:sz w:val="22"/>
      <w:szCs w:val="22"/>
    </w:rPr>
  </w:style>
  <w:style w:type="character" w:customStyle="1" w:styleId="46">
    <w:name w:val="Heading 9 Char"/>
    <w:basedOn w:val="33"/>
    <w:link w:val="11"/>
    <w:qFormat/>
    <w:uiPriority w:val="9"/>
    <w:rPr>
      <w:rFonts w:ascii="Arial" w:hAnsi="Arial" w:eastAsia="Arial" w:cs="Arial"/>
      <w:i/>
      <w:iCs/>
      <w:sz w:val="21"/>
      <w:szCs w:val="21"/>
    </w:rPr>
  </w:style>
  <w:style w:type="paragraph" w:styleId="47">
    <w:name w:val="List Paragraph"/>
    <w:basedOn w:val="1"/>
    <w:qFormat/>
    <w:uiPriority w:val="34"/>
    <w:pPr>
      <w:ind w:left="720"/>
      <w:contextualSpacing/>
    </w:pPr>
  </w:style>
  <w:style w:type="paragraph" w:styleId="48">
    <w:name w:val="No Spacing"/>
    <w:qFormat/>
    <w:uiPriority w:val="1"/>
    <w:pPr>
      <w:spacing w:before="0" w:after="0" w:line="240" w:lineRule="auto"/>
    </w:pPr>
    <w:rPr>
      <w:rFonts w:hint="default" w:ascii="Times New Roman" w:hAnsi="Times New Roman" w:eastAsia="宋体" w:cs="Times New Roman"/>
    </w:rPr>
  </w:style>
  <w:style w:type="character" w:customStyle="1" w:styleId="49">
    <w:name w:val="Title Char"/>
    <w:basedOn w:val="33"/>
    <w:link w:val="30"/>
    <w:qFormat/>
    <w:uiPriority w:val="10"/>
    <w:rPr>
      <w:sz w:val="48"/>
      <w:szCs w:val="48"/>
    </w:rPr>
  </w:style>
  <w:style w:type="character" w:customStyle="1" w:styleId="50">
    <w:name w:val="Subtitle Char"/>
    <w:basedOn w:val="33"/>
    <w:link w:val="23"/>
    <w:qFormat/>
    <w:uiPriority w:val="11"/>
    <w:rPr>
      <w:sz w:val="24"/>
      <w:szCs w:val="24"/>
    </w:rPr>
  </w:style>
  <w:style w:type="paragraph" w:styleId="51">
    <w:name w:val="Quote"/>
    <w:basedOn w:val="1"/>
    <w:next w:val="1"/>
    <w:link w:val="52"/>
    <w:qFormat/>
    <w:uiPriority w:val="29"/>
    <w:pPr>
      <w:ind w:left="720" w:right="720"/>
    </w:pPr>
    <w:rPr>
      <w:i/>
    </w:rPr>
  </w:style>
  <w:style w:type="character" w:customStyle="1" w:styleId="52">
    <w:name w:val="Quote Char"/>
    <w:link w:val="51"/>
    <w:qFormat/>
    <w:uiPriority w:val="29"/>
    <w:rPr>
      <w:i/>
    </w:rPr>
  </w:style>
  <w:style w:type="paragraph" w:styleId="53">
    <w:name w:val="Intense Quote"/>
    <w:basedOn w:val="1"/>
    <w:next w:val="1"/>
    <w:link w:val="5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4">
    <w:name w:val="Intense Quote Char"/>
    <w:link w:val="53"/>
    <w:qFormat/>
    <w:uiPriority w:val="30"/>
    <w:rPr>
      <w:i/>
    </w:rPr>
  </w:style>
  <w:style w:type="character" w:customStyle="1" w:styleId="55">
    <w:name w:val="Header Char"/>
    <w:basedOn w:val="33"/>
    <w:qFormat/>
    <w:uiPriority w:val="99"/>
  </w:style>
  <w:style w:type="character" w:customStyle="1" w:styleId="56">
    <w:name w:val="Footer Char"/>
    <w:basedOn w:val="33"/>
    <w:qFormat/>
    <w:uiPriority w:val="99"/>
  </w:style>
  <w:style w:type="character" w:customStyle="1" w:styleId="57">
    <w:name w:val="Caption Char"/>
    <w:qFormat/>
    <w:uiPriority w:val="99"/>
  </w:style>
  <w:style w:type="table" w:customStyle="1" w:styleId="58">
    <w:name w:val="Table Grid Light"/>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9">
    <w:name w:val="Plain Table 1"/>
    <w:basedOn w:val="3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0">
    <w:name w:val="Plain Table 2"/>
    <w:basedOn w:val="3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1">
    <w:name w:val="Plain Table 3"/>
    <w:basedOn w:val="3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4"/>
    <w:basedOn w:val="3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5"/>
    <w:basedOn w:val="3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Grid Table 1 Light"/>
    <w:basedOn w:val="3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5">
    <w:name w:val="Grid Table 1 Light - Accent 1"/>
    <w:basedOn w:val="3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6">
    <w:name w:val="Grid Table 1 Light - Accent 2"/>
    <w:basedOn w:val="3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7">
    <w:name w:val="Grid Table 1 Light - Accent 3"/>
    <w:basedOn w:val="3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8">
    <w:name w:val="Grid Table 1 Light - Accent 4"/>
    <w:basedOn w:val="3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9">
    <w:name w:val="Grid Table 1 Light - Accent 5"/>
    <w:basedOn w:val="3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0">
    <w:name w:val="Grid Table 1 Light - Accent 6"/>
    <w:basedOn w:val="3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1">
    <w:name w:val="Grid Table 2"/>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2">
    <w:name w:val="Grid Table 2 - Accent 1"/>
    <w:basedOn w:val="3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3">
    <w:name w:val="Grid Table 2 - Accent 2"/>
    <w:basedOn w:val="3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4">
    <w:name w:val="Grid Table 2 - Accent 3"/>
    <w:basedOn w:val="3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5">
    <w:name w:val="Grid Table 2 - Accent 4"/>
    <w:basedOn w:val="3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6">
    <w:name w:val="Grid Table 2 - Accent 5"/>
    <w:basedOn w:val="3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7">
    <w:name w:val="Grid Table 2 - Accent 6"/>
    <w:basedOn w:val="3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8">
    <w:name w:val="Grid Table 3"/>
    <w:basedOn w:val="3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3 - Accent 1"/>
    <w:basedOn w:val="3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3 - Accent 2"/>
    <w:basedOn w:val="3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3 - Accent 3"/>
    <w:basedOn w:val="3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3 - Accent 4"/>
    <w:basedOn w:val="3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3 - Accent 5"/>
    <w:basedOn w:val="3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3 - Accent 6"/>
    <w:basedOn w:val="3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Grid Table 4"/>
    <w:basedOn w:val="3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4 - Accent 1"/>
    <w:basedOn w:val="3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7">
    <w:name w:val="Grid Table 4 - Accent 2"/>
    <w:basedOn w:val="3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4 - Accent 3"/>
    <w:basedOn w:val="3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4 - Accent 4"/>
    <w:basedOn w:val="3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4 - Accent 5"/>
    <w:basedOn w:val="3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4 - Accent 6"/>
    <w:basedOn w:val="3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5 Dark"/>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3">
    <w:name w:val="Grid Table 5 Dark- Accent 1"/>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4">
    <w:name w:val="Grid Table 5 Dark - Accent 2"/>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5">
    <w:name w:val="Grid Table 5 Dark - Accent 3"/>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6">
    <w:name w:val="Grid Table 5 Dark- Accent 4"/>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7">
    <w:name w:val="Grid Table 5 Dark - Accent 5"/>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8">
    <w:name w:val="Grid Table 5 Dark - Accent 6"/>
    <w:basedOn w:val="3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9">
    <w:name w:val="Grid Table 6 Colorful"/>
    <w:basedOn w:val="3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0">
    <w:name w:val="Grid Table 6 Colorful - Accent 1"/>
    <w:basedOn w:val="3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1">
    <w:name w:val="Grid Table 6 Colorful - Accent 2"/>
    <w:basedOn w:val="3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2">
    <w:name w:val="Grid Table 6 Colorful - Accent 3"/>
    <w:basedOn w:val="3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3">
    <w:name w:val="Grid Table 6 Colorful - Accent 4"/>
    <w:basedOn w:val="3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4">
    <w:name w:val="Grid Table 6 Colorful - Accent 5"/>
    <w:basedOn w:val="3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5">
    <w:name w:val="Grid Table 6 Colorful - Accent 6"/>
    <w:basedOn w:val="3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6">
    <w:name w:val="Grid Table 7 Colorful"/>
    <w:basedOn w:val="3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7 Colorful - Accent 1"/>
    <w:basedOn w:val="3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8">
    <w:name w:val="Grid Table 7 Colorful - Accent 2"/>
    <w:basedOn w:val="3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9">
    <w:name w:val="Grid Table 7 Colorful - Accent 3"/>
    <w:basedOn w:val="3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0">
    <w:name w:val="Grid Table 7 Colorful - Accent 4"/>
    <w:basedOn w:val="3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1">
    <w:name w:val="Grid Table 7 Colorful - Accent 5"/>
    <w:basedOn w:val="3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2">
    <w:name w:val="Grid Table 7 Colorful - Accent 6"/>
    <w:basedOn w:val="3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3">
    <w:name w:val="List Table 1 Light"/>
    <w:basedOn w:val="3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4">
    <w:name w:val="List Table 1 Light - Accent 1"/>
    <w:basedOn w:val="3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5">
    <w:name w:val="List Table 1 Light - Accent 2"/>
    <w:basedOn w:val="3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6">
    <w:name w:val="List Table 1 Light - Accent 3"/>
    <w:basedOn w:val="3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7">
    <w:name w:val="List Table 1 Light - Accent 4"/>
    <w:basedOn w:val="3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8">
    <w:name w:val="List Table 1 Light - Accent 5"/>
    <w:basedOn w:val="3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9">
    <w:name w:val="List Table 1 Light - Accent 6"/>
    <w:basedOn w:val="3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0">
    <w:name w:val="List Table 2"/>
    <w:basedOn w:val="3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1">
    <w:name w:val="List Table 2 - Accent 1"/>
    <w:basedOn w:val="3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2">
    <w:name w:val="List Table 2 - Accent 2"/>
    <w:basedOn w:val="3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3">
    <w:name w:val="List Table 2 - Accent 3"/>
    <w:basedOn w:val="3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4">
    <w:name w:val="List Table 2 - Accent 4"/>
    <w:basedOn w:val="3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5">
    <w:name w:val="List Table 2 - Accent 5"/>
    <w:basedOn w:val="3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6">
    <w:name w:val="List Table 2 - Accent 6"/>
    <w:basedOn w:val="3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7">
    <w:name w:val="List Table 3"/>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8">
    <w:name w:val="List Table 3 - Accent 1"/>
    <w:basedOn w:val="3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9">
    <w:name w:val="List Table 3 - Accent 2"/>
    <w:basedOn w:val="3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0">
    <w:name w:val="List Table 3 - Accent 3"/>
    <w:basedOn w:val="3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1">
    <w:name w:val="List Table 3 - Accent 4"/>
    <w:basedOn w:val="3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2">
    <w:name w:val="List Table 3 - Accent 5"/>
    <w:basedOn w:val="3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3">
    <w:name w:val="List Table 3 - Accent 6"/>
    <w:basedOn w:val="3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4">
    <w:name w:val="List Table 4"/>
    <w:basedOn w:val="3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4 - Accent 1"/>
    <w:basedOn w:val="3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4 - Accent 2"/>
    <w:basedOn w:val="3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4 - Accent 3"/>
    <w:basedOn w:val="3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4 - Accent 4"/>
    <w:basedOn w:val="3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4 - Accent 5"/>
    <w:basedOn w:val="3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4 - Accent 6"/>
    <w:basedOn w:val="3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5 Dark"/>
    <w:basedOn w:val="3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2">
    <w:name w:val="List Table 5 Dark - Accent 1"/>
    <w:basedOn w:val="3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3">
    <w:name w:val="List Table 5 Dark - Accent 2"/>
    <w:basedOn w:val="3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4">
    <w:name w:val="List Table 5 Dark - Accent 3"/>
    <w:basedOn w:val="3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5">
    <w:name w:val="List Table 5 Dark - Accent 4"/>
    <w:basedOn w:val="3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6">
    <w:name w:val="List Table 5 Dark - Accent 5"/>
    <w:basedOn w:val="3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7">
    <w:name w:val="List Table 5 Dark - Accent 6"/>
    <w:basedOn w:val="3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8">
    <w:name w:val="List Table 6 Colorful"/>
    <w:basedOn w:val="3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9">
    <w:name w:val="List Table 6 Colorful - Accent 1"/>
    <w:basedOn w:val="3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0">
    <w:name w:val="List Table 6 Colorful - Accent 2"/>
    <w:basedOn w:val="3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List Table 6 Colorful - Accent 3"/>
    <w:basedOn w:val="3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2">
    <w:name w:val="List Table 6 Colorful - Accent 4"/>
    <w:basedOn w:val="3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List Table 6 Colorful - Accent 5"/>
    <w:basedOn w:val="3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4">
    <w:name w:val="List Table 6 Colorful - Accent 6"/>
    <w:basedOn w:val="3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5">
    <w:name w:val="List Table 7 Colorful"/>
    <w:basedOn w:val="3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List Table 7 Colorful - Accent 1"/>
    <w:basedOn w:val="3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7">
    <w:name w:val="List Table 7 Colorful - Accent 2"/>
    <w:basedOn w:val="3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List Table 7 Colorful - Accent 3"/>
    <w:basedOn w:val="3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9">
    <w:name w:val="List Table 7 Colorful - Accent 4"/>
    <w:basedOn w:val="3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List Table 7 Colorful - Accent 5"/>
    <w:basedOn w:val="3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1">
    <w:name w:val="List Table 7 Colorful - Accent 6"/>
    <w:basedOn w:val="3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2">
    <w:name w:val="Lined - Accent"/>
    <w:basedOn w:val="3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3">
    <w:name w:val="Lined - Accent 1"/>
    <w:basedOn w:val="3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4">
    <w:name w:val="Lined - Accent 2"/>
    <w:basedOn w:val="3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5">
    <w:name w:val="Lined - Accent 3"/>
    <w:basedOn w:val="3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6">
    <w:name w:val="Lined - Accent 4"/>
    <w:basedOn w:val="3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7">
    <w:name w:val="Lined - Accent 5"/>
    <w:basedOn w:val="3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8">
    <w:name w:val="Lined - Accent 6"/>
    <w:basedOn w:val="3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9">
    <w:name w:val="Bordered &amp; Lined - Accent"/>
    <w:basedOn w:val="3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Bordered &amp; Lined - Accent 1"/>
    <w:basedOn w:val="3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Bordered &amp; Lined - Accent 2"/>
    <w:basedOn w:val="3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Bordered &amp; Lined - Accent 3"/>
    <w:basedOn w:val="3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Bordered &amp; Lined - Accent 4"/>
    <w:basedOn w:val="3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Bordered &amp; Lined - Accent 5"/>
    <w:basedOn w:val="3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Bordered &amp; Lined - Accent 6"/>
    <w:basedOn w:val="3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w:basedOn w:val="3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7">
    <w:name w:val="Bordered - Accent 1"/>
    <w:basedOn w:val="3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8">
    <w:name w:val="Bordered - Accent 2"/>
    <w:basedOn w:val="3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9">
    <w:name w:val="Bordered - Accent 3"/>
    <w:basedOn w:val="3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0">
    <w:name w:val="Bordered - Accent 4"/>
    <w:basedOn w:val="3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1">
    <w:name w:val="Bordered - Accent 5"/>
    <w:basedOn w:val="3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2">
    <w:name w:val="Bordered - Accent 6"/>
    <w:basedOn w:val="3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3">
    <w:name w:val="Footnote Text Char"/>
    <w:link w:val="24"/>
    <w:qFormat/>
    <w:uiPriority w:val="99"/>
    <w:rPr>
      <w:sz w:val="18"/>
    </w:rPr>
  </w:style>
  <w:style w:type="character" w:customStyle="1" w:styleId="184">
    <w:name w:val="Endnote Text Char"/>
    <w:link w:val="18"/>
    <w:qFormat/>
    <w:uiPriority w:val="99"/>
    <w:rPr>
      <w:sz w:val="20"/>
    </w:rPr>
  </w:style>
  <w:style w:type="paragraph" w:customStyle="1" w:styleId="185">
    <w:name w:val="TOC Heading"/>
    <w:unhideWhenUsed/>
    <w:qFormat/>
    <w:uiPriority w:val="39"/>
    <w:rPr>
      <w:rFonts w:hint="default" w:ascii="Times New Roman" w:hAnsi="Times New Roman" w:eastAsia="宋体" w:cs="Times New Roman"/>
    </w:rPr>
  </w:style>
  <w:style w:type="paragraph" w:customStyle="1" w:styleId="186">
    <w:name w:val="标题 11"/>
    <w:qFormat/>
    <w:uiPriority w:val="0"/>
    <w:pPr>
      <w:keepNext/>
      <w:keepLines/>
      <w:widowControl w:val="0"/>
      <w:spacing w:before="480" w:after="200"/>
      <w:jc w:val="both"/>
      <w:outlineLvl w:val="0"/>
    </w:pPr>
    <w:rPr>
      <w:rFonts w:hint="default" w:ascii="Arial" w:hAnsi="Arial" w:eastAsia="Arial" w:cs="Times New Roman"/>
      <w:sz w:val="40"/>
      <w:szCs w:val="40"/>
      <w:lang w:val="en-US" w:eastAsia="zh-CN" w:bidi="ar-SA"/>
    </w:rPr>
  </w:style>
  <w:style w:type="paragraph" w:customStyle="1" w:styleId="187">
    <w:name w:val="标题 212"/>
    <w:basedOn w:val="1"/>
    <w:qFormat/>
    <w:uiPriority w:val="0"/>
    <w:pPr>
      <w:keepNext/>
      <w:keepLines/>
      <w:spacing w:before="360" w:after="200"/>
      <w:outlineLvl w:val="1"/>
    </w:pPr>
    <w:rPr>
      <w:rFonts w:ascii="Arial" w:hAnsi="Arial"/>
      <w:sz w:val="34"/>
      <w:szCs w:val="22"/>
    </w:rPr>
  </w:style>
  <w:style w:type="character" w:customStyle="1" w:styleId="188">
    <w:name w:val="默认段落字体13"/>
    <w:link w:val="1"/>
    <w:semiHidden/>
    <w:qFormat/>
    <w:uiPriority w:val="0"/>
  </w:style>
  <w:style w:type="table" w:customStyle="1" w:styleId="189">
    <w:name w:val="普通表格1"/>
    <w:semiHidden/>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paragraph" w:customStyle="1" w:styleId="190">
    <w:name w:val="正文缩进11"/>
    <w:basedOn w:val="1"/>
    <w:qFormat/>
    <w:uiPriority w:val="0"/>
    <w:pPr>
      <w:ind w:firstLine="420"/>
      <w:jc w:val="left"/>
    </w:pPr>
    <w:rPr>
      <w:sz w:val="24"/>
      <w:szCs w:val="24"/>
    </w:rPr>
  </w:style>
  <w:style w:type="paragraph" w:customStyle="1" w:styleId="191">
    <w:name w:val="批注文字1"/>
    <w:basedOn w:val="1"/>
    <w:qFormat/>
    <w:uiPriority w:val="0"/>
    <w:pPr>
      <w:jc w:val="left"/>
    </w:pPr>
  </w:style>
  <w:style w:type="paragraph" w:customStyle="1" w:styleId="192">
    <w:name w:val="正文文本缩进11"/>
    <w:basedOn w:val="1"/>
    <w:qFormat/>
    <w:uiPriority w:val="0"/>
    <w:pPr>
      <w:widowControl w:val="0"/>
      <w:ind w:firstLine="645"/>
      <w:jc w:val="both"/>
    </w:pPr>
    <w:rPr>
      <w:rFonts w:ascii="楷体_GB2312" w:hAnsi="宋体" w:eastAsia="楷体_GB2312"/>
      <w:sz w:val="32"/>
      <w:szCs w:val="32"/>
      <w:lang w:val="en-US" w:eastAsia="zh-CN" w:bidi="ar-SA"/>
    </w:rPr>
  </w:style>
  <w:style w:type="paragraph" w:customStyle="1" w:styleId="193">
    <w:name w:val="寄信人地址11"/>
    <w:qFormat/>
    <w:uiPriority w:val="0"/>
    <w:pPr>
      <w:widowControl w:val="0"/>
      <w:jc w:val="both"/>
    </w:pPr>
    <w:rPr>
      <w:rFonts w:hint="default" w:ascii="Arial" w:hAnsi="Arial" w:eastAsia="宋体" w:cs="Times New Roman"/>
      <w:sz w:val="21"/>
      <w:szCs w:val="22"/>
      <w:lang w:val="en-US" w:eastAsia="zh-CN" w:bidi="ar-SA"/>
    </w:rPr>
  </w:style>
  <w:style w:type="paragraph" w:customStyle="1" w:styleId="194">
    <w:name w:val="普通(网站)1"/>
    <w:basedOn w:val="1"/>
    <w:qFormat/>
    <w:uiPriority w:val="0"/>
    <w:pPr>
      <w:widowControl w:val="0"/>
      <w:spacing w:beforeAutospacing="1" w:afterAutospacing="1"/>
      <w:jc w:val="left"/>
    </w:pPr>
    <w:rPr>
      <w:rFonts w:ascii="Calibri" w:hAnsi="Calibri" w:eastAsia="宋体"/>
      <w:sz w:val="24"/>
      <w:szCs w:val="22"/>
      <w:lang w:val="en-US" w:eastAsia="zh-CN" w:bidi="ar-SA"/>
    </w:rPr>
  </w:style>
  <w:style w:type="paragraph" w:customStyle="1" w:styleId="195">
    <w:name w:val="正文首行缩进 21"/>
    <w:basedOn w:val="192"/>
    <w:qFormat/>
    <w:uiPriority w:val="0"/>
    <w:pPr>
      <w:widowControl w:val="0"/>
      <w:spacing w:line="360" w:lineRule="exact"/>
      <w:ind w:left="420" w:firstLine="420"/>
      <w:jc w:val="both"/>
    </w:pPr>
    <w:rPr>
      <w:rFonts w:ascii="Times New Roman" w:hAnsi="Times New Roman" w:eastAsia="宋体"/>
      <w:sz w:val="21"/>
      <w:szCs w:val="22"/>
      <w:lang w:val="en-US" w:eastAsia="zh-CN" w:bidi="ar-SA"/>
    </w:rPr>
  </w:style>
  <w:style w:type="table" w:customStyle="1" w:styleId="196">
    <w:name w:val="网格型11"/>
    <w:qFormat/>
    <w:uiPriority w:val="0"/>
    <w:rPr>
      <w:lang w:val="en-US" w:eastAsia="zh-CN" w:bidi="ar-SA"/>
    </w:rPr>
  </w:style>
  <w:style w:type="character" w:customStyle="1" w:styleId="197">
    <w:name w:val="要点1"/>
    <w:link w:val="1"/>
    <w:qFormat/>
    <w:uiPriority w:val="0"/>
    <w:rPr>
      <w:b/>
    </w:rPr>
  </w:style>
  <w:style w:type="character" w:customStyle="1" w:styleId="198">
    <w:name w:val="超链接1"/>
    <w:basedOn w:val="188"/>
    <w:link w:val="1"/>
    <w:qFormat/>
    <w:uiPriority w:val="0"/>
    <w:rPr>
      <w:color w:val="0000FF"/>
      <w:u w:val="single"/>
    </w:rPr>
  </w:style>
  <w:style w:type="character" w:customStyle="1" w:styleId="199">
    <w:name w:val="默认段落字体11"/>
    <w:link w:val="1"/>
    <w:qFormat/>
    <w:uiPriority w:val="0"/>
    <w:rPr>
      <w:rFonts w:ascii="Calibri" w:hAnsi="Calibri" w:eastAsia="宋体"/>
      <w:sz w:val="21"/>
      <w:szCs w:val="22"/>
      <w:lang w:val="en-US" w:eastAsia="zh-CN" w:bidi="ar-SA"/>
    </w:rPr>
  </w:style>
  <w:style w:type="paragraph" w:customStyle="1" w:styleId="200">
    <w:name w:val="标题 211"/>
    <w:basedOn w:val="1"/>
    <w:qFormat/>
    <w:uiPriority w:val="0"/>
    <w:pPr>
      <w:keepNext/>
      <w:keepLines/>
      <w:spacing w:before="260" w:after="260" w:line="416" w:lineRule="auto"/>
      <w:jc w:val="center"/>
      <w:outlineLvl w:val="1"/>
    </w:pPr>
    <w:rPr>
      <w:rFonts w:ascii="幼圆" w:eastAsia="楷体_GB2312"/>
      <w:b/>
      <w:sz w:val="44"/>
      <w:szCs w:val="20"/>
    </w:rPr>
  </w:style>
  <w:style w:type="character" w:customStyle="1" w:styleId="201">
    <w:name w:val="已访问的超链接1"/>
    <w:link w:val="1"/>
    <w:qFormat/>
    <w:uiPriority w:val="0"/>
    <w:rPr>
      <w:color w:val="800080"/>
      <w:u w:val="single"/>
    </w:rPr>
  </w:style>
  <w:style w:type="paragraph" w:customStyle="1" w:styleId="202">
    <w:name w:val="普通正文"/>
    <w:qFormat/>
    <w:uiPriority w:val="0"/>
    <w:pPr>
      <w:widowControl w:val="0"/>
      <w:spacing w:before="120" w:after="120" w:line="360" w:lineRule="auto"/>
      <w:ind w:firstLine="480"/>
    </w:pPr>
    <w:rPr>
      <w:rFonts w:hint="default" w:ascii="Arial" w:hAnsi="Arial" w:eastAsia="宋体" w:cs="Times New Roman"/>
      <w:sz w:val="24"/>
      <w:szCs w:val="22"/>
      <w:lang w:val="en-US" w:eastAsia="zh-CN" w:bidi="ar-SA"/>
    </w:rPr>
  </w:style>
  <w:style w:type="paragraph" w:customStyle="1" w:styleId="203">
    <w:name w:val="日期1"/>
    <w:qFormat/>
    <w:uiPriority w:val="0"/>
    <w:pPr>
      <w:widowControl w:val="0"/>
      <w:jc w:val="both"/>
    </w:pPr>
    <w:rPr>
      <w:rFonts w:hint="default" w:ascii="Calibri" w:hAnsi="Calibri" w:eastAsia="宋体" w:cs="Times New Roman"/>
      <w:sz w:val="24"/>
      <w:szCs w:val="22"/>
      <w:lang w:val="en-US" w:eastAsia="zh-CN" w:bidi="ar-SA"/>
    </w:rPr>
  </w:style>
  <w:style w:type="paragraph" w:customStyle="1" w:styleId="204">
    <w:name w:val="WPSOffice手动目录 1"/>
    <w:qFormat/>
    <w:uiPriority w:val="0"/>
    <w:rPr>
      <w:rFonts w:hint="default" w:ascii="Times New Roman" w:hAnsi="Times New Roman" w:eastAsia="宋体" w:cs="Times New Roman"/>
      <w:lang w:val="en-US" w:eastAsia="zh-CN" w:bidi="ar-SA"/>
    </w:rPr>
  </w:style>
  <w:style w:type="paragraph" w:customStyle="1" w:styleId="205">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206">
    <w:name w:val="标题11"/>
    <w:qFormat/>
    <w:uiPriority w:val="0"/>
    <w:pPr>
      <w:widowControl w:val="0"/>
      <w:spacing w:before="240" w:after="60"/>
      <w:jc w:val="center"/>
      <w:outlineLvl w:val="0"/>
    </w:pPr>
    <w:rPr>
      <w:rFonts w:hint="default" w:ascii="Arial" w:hAnsi="Arial" w:eastAsia="黑体" w:cs="Times New Roman"/>
      <w:b/>
      <w:bCs/>
      <w:sz w:val="44"/>
      <w:szCs w:val="32"/>
      <w:lang w:val="en-US" w:eastAsia="zh-CN" w:bidi="ar-SA"/>
    </w:rPr>
  </w:style>
  <w:style w:type="paragraph" w:customStyle="1" w:styleId="207">
    <w:name w:val="标题 21"/>
    <w:qFormat/>
    <w:uiPriority w:val="0"/>
    <w:pPr>
      <w:keepNext/>
      <w:keepLines/>
      <w:widowControl w:val="0"/>
      <w:spacing w:before="260" w:after="260" w:line="415" w:lineRule="auto"/>
      <w:jc w:val="center"/>
      <w:outlineLvl w:val="1"/>
    </w:pPr>
    <w:rPr>
      <w:rFonts w:hint="default" w:ascii="Arial" w:hAnsi="Arial" w:eastAsia="幼圆" w:cs="Times New Roman"/>
      <w:b/>
      <w:bCs/>
      <w:sz w:val="44"/>
      <w:szCs w:val="44"/>
      <w:lang w:val="en-US" w:eastAsia="zh-CN" w:bidi="ar-SA"/>
    </w:rPr>
  </w:style>
  <w:style w:type="character" w:customStyle="1" w:styleId="208">
    <w:name w:val="标题 4 Char"/>
    <w:link w:val="1"/>
    <w:qFormat/>
    <w:uiPriority w:val="0"/>
    <w:rPr>
      <w:rFonts w:ascii="Cambria" w:hAnsi="Cambria" w:eastAsia="宋体"/>
      <w:b/>
      <w:bCs/>
      <w:sz w:val="28"/>
      <w:szCs w:val="28"/>
    </w:rPr>
  </w:style>
  <w:style w:type="paragraph" w:customStyle="1" w:styleId="209">
    <w:name w:val="p0"/>
    <w:qFormat/>
    <w:uiPriority w:val="0"/>
    <w:pPr>
      <w:jc w:val="both"/>
    </w:pPr>
    <w:rPr>
      <w:rFonts w:hint="default" w:ascii="Calibri" w:hAnsi="Calibri" w:eastAsia="宋体" w:cs="Times New Roman"/>
      <w:sz w:val="21"/>
      <w:szCs w:val="21"/>
      <w:lang w:val="en-US" w:eastAsia="zh-CN" w:bidi="ar-SA"/>
    </w:rPr>
  </w:style>
  <w:style w:type="paragraph" w:customStyle="1" w:styleId="210">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211">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12">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13">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14">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215">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216">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17">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218">
    <w:name w:val="Normal_21"/>
    <w:qFormat/>
    <w:uiPriority w:val="0"/>
    <w:rPr>
      <w:rFonts w:hint="default" w:ascii="Times New Roman" w:hAnsi="Times New Roman" w:eastAsia="Times New Roman" w:cs="Times New Roman"/>
      <w:sz w:val="24"/>
      <w:szCs w:val="24"/>
      <w:lang w:val="en-US" w:eastAsia="zh-CN" w:bidi="ar-SA"/>
    </w:rPr>
  </w:style>
  <w:style w:type="paragraph" w:customStyle="1" w:styleId="219">
    <w:name w:val="Normal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20">
    <w:name w:val="首行缩进_0"/>
    <w:qFormat/>
    <w:uiPriority w:val="0"/>
    <w:pPr>
      <w:widowControl w:val="0"/>
      <w:spacing w:line="360" w:lineRule="auto"/>
      <w:ind w:firstLine="480"/>
    </w:pPr>
    <w:rPr>
      <w:rFonts w:hint="default" w:ascii="宋体" w:hAnsi="宋体" w:eastAsia="宋体" w:cs="Times New Roman"/>
      <w:sz w:val="24"/>
      <w:szCs w:val="24"/>
      <w:lang w:val="en-US" w:eastAsia="zh-CN" w:bidi="ar-SA"/>
    </w:rPr>
  </w:style>
  <w:style w:type="paragraph" w:customStyle="1" w:styleId="221">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22">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23">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25">
    <w:name w:val="Normal_0_0_2"/>
    <w:qFormat/>
    <w:uiPriority w:val="0"/>
    <w:rPr>
      <w:rFonts w:hint="default" w:ascii="Times New Roman" w:hAnsi="Times New Roman" w:eastAsia="Times New Roman" w:cs="Times New Roman"/>
      <w:sz w:val="24"/>
      <w:szCs w:val="24"/>
      <w:lang w:val="en-US" w:eastAsia="zh-CN" w:bidi="ar-SA"/>
    </w:rPr>
  </w:style>
  <w:style w:type="paragraph" w:customStyle="1" w:styleId="226">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27">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228">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230">
    <w:name w:val="Normal_12"/>
    <w:qFormat/>
    <w:uiPriority w:val="0"/>
    <w:rPr>
      <w:rFonts w:hint="default" w:ascii="Times New Roman" w:hAnsi="Times New Roman" w:eastAsia="Times New Roman" w:cs="Times New Roman"/>
      <w:sz w:val="24"/>
      <w:szCs w:val="24"/>
      <w:lang w:val="en-US" w:eastAsia="zh-CN" w:bidi="ar-SA"/>
    </w:rPr>
  </w:style>
  <w:style w:type="paragraph" w:customStyle="1" w:styleId="231">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0_7"/>
    <w:qFormat/>
    <w:uiPriority w:val="0"/>
    <w:rPr>
      <w:rFonts w:hint="default" w:ascii="Times New Roman" w:hAnsi="Times New Roman" w:eastAsia="Times New Roman" w:cs="Times New Roman"/>
      <w:sz w:val="24"/>
      <w:szCs w:val="24"/>
      <w:lang w:val="en-US" w:eastAsia="zh-CN" w:bidi="ar-SA"/>
    </w:rPr>
  </w:style>
  <w:style w:type="paragraph" w:customStyle="1" w:styleId="235">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36">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237">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38">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39">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240">
    <w:name w:val="Normal_6_1"/>
    <w:qFormat/>
    <w:uiPriority w:val="0"/>
    <w:rPr>
      <w:rFonts w:hint="default" w:ascii="Times New Roman" w:hAnsi="Times New Roman" w:eastAsia="Times New Roman" w:cs="Times New Roman"/>
      <w:sz w:val="24"/>
      <w:szCs w:val="24"/>
      <w:lang w:val="en-US" w:eastAsia="zh-CN" w:bidi="ar-SA"/>
    </w:rPr>
  </w:style>
  <w:style w:type="paragraph" w:customStyle="1" w:styleId="241">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242">
    <w:name w:val="样式1"/>
    <w:qFormat/>
    <w:uiPriority w:val="0"/>
    <w:pPr>
      <w:widowControl w:val="0"/>
      <w:numPr>
        <w:ilvl w:val="0"/>
        <w:numId w:val="1"/>
      </w:numPr>
      <w:jc w:val="both"/>
    </w:pPr>
    <w:rPr>
      <w:rFonts w:hint="default" w:ascii="宋体" w:hAnsi="宋体" w:eastAsia="宋体" w:cs="Times New Roman"/>
      <w:sz w:val="21"/>
      <w:szCs w:val="21"/>
      <w:lang w:val="en-US" w:eastAsia="zh-CN" w:bidi="ar-SA"/>
    </w:rPr>
  </w:style>
  <w:style w:type="paragraph" w:customStyle="1" w:styleId="243">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44">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245">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248">
    <w:name w:val="正文缩进1"/>
    <w:qFormat/>
    <w:uiPriority w:val="0"/>
    <w:pPr>
      <w:widowControl w:val="0"/>
      <w:ind w:firstLine="420"/>
      <w:jc w:val="both"/>
    </w:pPr>
    <w:rPr>
      <w:rFonts w:hint="default" w:ascii="Calibri" w:hAnsi="Calibri" w:eastAsia="宋体" w:cs="Times New Roman"/>
      <w:sz w:val="21"/>
      <w:szCs w:val="21"/>
      <w:lang w:val="en-US" w:eastAsia="zh-CN" w:bidi="ar-SA"/>
    </w:rPr>
  </w:style>
  <w:style w:type="paragraph" w:customStyle="1" w:styleId="249">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250">
    <w:name w:val="Normal_23"/>
    <w:qFormat/>
    <w:uiPriority w:val="0"/>
    <w:rPr>
      <w:rFonts w:hint="default" w:ascii="Times New Roman" w:hAnsi="Times New Roman" w:eastAsia="Times New Roman" w:cs="Times New Roman"/>
      <w:sz w:val="24"/>
      <w:szCs w:val="24"/>
      <w:lang w:val="en-US" w:eastAsia="zh-CN" w:bidi="ar-SA"/>
    </w:rPr>
  </w:style>
  <w:style w:type="paragraph" w:customStyle="1" w:styleId="251">
    <w:name w:val="Normal_43"/>
    <w:qFormat/>
    <w:uiPriority w:val="0"/>
    <w:rPr>
      <w:rFonts w:hint="default" w:ascii="Times New Roman" w:hAnsi="Times New Roman" w:eastAsia="Times New Roman" w:cs="Times New Roman"/>
      <w:sz w:val="24"/>
      <w:szCs w:val="24"/>
      <w:lang w:val="en-US" w:eastAsia="zh-CN" w:bidi="ar-SA"/>
    </w:rPr>
  </w:style>
  <w:style w:type="paragraph" w:customStyle="1" w:styleId="252">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253">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254">
    <w:name w:val="正文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5">
    <w:name w:val="正文文本_0"/>
    <w:qFormat/>
    <w:uiPriority w:val="0"/>
    <w:pPr>
      <w:widowControl w:val="0"/>
      <w:spacing w:line="400" w:lineRule="exact"/>
      <w:jc w:val="both"/>
    </w:pPr>
    <w:rPr>
      <w:rFonts w:hint="default" w:ascii="Times New Roman" w:hAnsi="Times New Roman" w:eastAsia="宋体" w:cs="Times New Roman"/>
      <w:sz w:val="24"/>
      <w:lang w:val="en-US" w:eastAsia="zh-CN" w:bidi="ar-SA"/>
    </w:rPr>
  </w:style>
  <w:style w:type="paragraph" w:customStyle="1" w:styleId="256">
    <w:name w:val="正文_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57">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58">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259">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260">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261">
    <w:name w:val="Normal_34"/>
    <w:qFormat/>
    <w:uiPriority w:val="0"/>
    <w:rPr>
      <w:rFonts w:hint="default" w:ascii="Times New Roman" w:hAnsi="Times New Roman" w:eastAsia="Times New Roman" w:cs="Times New Roman"/>
      <w:sz w:val="24"/>
      <w:szCs w:val="24"/>
      <w:lang w:val="en-US" w:eastAsia="zh-CN" w:bidi="ar-SA"/>
    </w:rPr>
  </w:style>
  <w:style w:type="paragraph" w:customStyle="1" w:styleId="262">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263">
    <w:name w:val="页眉1"/>
    <w:qFormat/>
    <w:uiPriority w:val="0"/>
    <w:pPr>
      <w:widowControl w:val="0"/>
      <w:pBdr>
        <w:bottom w:val="single" w:color="auto" w:sz="6" w:space="1"/>
      </w:pBdr>
      <w:tabs>
        <w:tab w:val="center" w:pos="4153"/>
        <w:tab w:val="right" w:pos="8306"/>
      </w:tabs>
      <w:jc w:val="center"/>
    </w:pPr>
    <w:rPr>
      <w:rFonts w:hint="default" w:ascii="Calibri" w:hAnsi="Calibri" w:eastAsia="宋体" w:cs="Times New Roman"/>
      <w:sz w:val="18"/>
      <w:szCs w:val="18"/>
      <w:lang w:val="en-US" w:eastAsia="zh-CN" w:bidi="ar-SA"/>
    </w:rPr>
  </w:style>
  <w:style w:type="paragraph" w:customStyle="1" w:styleId="264">
    <w:name w:val="页脚1"/>
    <w:qFormat/>
    <w:uiPriority w:val="0"/>
    <w:pPr>
      <w:widowControl w:val="0"/>
      <w:tabs>
        <w:tab w:val="center" w:pos="4153"/>
        <w:tab w:val="right" w:pos="8306"/>
      </w:tabs>
    </w:pPr>
    <w:rPr>
      <w:rFonts w:hint="default" w:ascii="Calibri" w:hAnsi="Calibri" w:eastAsia="宋体" w:cs="Times New Roman"/>
      <w:sz w:val="18"/>
      <w:szCs w:val="18"/>
      <w:lang w:val="en-US" w:eastAsia="zh-CN" w:bidi="ar-SA"/>
    </w:rPr>
  </w:style>
  <w:style w:type="character" w:customStyle="1" w:styleId="265">
    <w:name w:val="页码1"/>
    <w:link w:val="1"/>
    <w:qFormat/>
    <w:uiPriority w:val="0"/>
  </w:style>
  <w:style w:type="character" w:customStyle="1" w:styleId="266">
    <w:name w:val="标题 4 Char3"/>
    <w:link w:val="1"/>
    <w:qFormat/>
    <w:uiPriority w:val="0"/>
    <w:rPr>
      <w:rFonts w:ascii="Cambria" w:hAnsi="Cambria" w:eastAsia="宋体"/>
      <w:b/>
      <w:bCs/>
      <w:sz w:val="28"/>
      <w:szCs w:val="28"/>
    </w:rPr>
  </w:style>
  <w:style w:type="paragraph" w:customStyle="1" w:styleId="267">
    <w:name w:val="Normal_0_1"/>
    <w:qFormat/>
    <w:uiPriority w:val="0"/>
    <w:rPr>
      <w:rFonts w:hint="default" w:ascii="Times New Roman" w:hAnsi="Times New Roman" w:eastAsia="Times New Roman" w:cs="Times New Roman"/>
      <w:sz w:val="24"/>
      <w:szCs w:val="24"/>
      <w:lang w:val="en-US" w:eastAsia="zh-CN" w:bidi="ar-SA"/>
    </w:rPr>
  </w:style>
  <w:style w:type="paragraph" w:customStyle="1" w:styleId="268">
    <w:name w:val="Normal_0_1_0"/>
    <w:qFormat/>
    <w:uiPriority w:val="0"/>
    <w:rPr>
      <w:rFonts w:hint="default" w:ascii="Times New Roman" w:hAnsi="Times New Roman" w:eastAsia="Times New Roman" w:cs="Times New Roman"/>
      <w:sz w:val="24"/>
      <w:szCs w:val="24"/>
      <w:lang w:val="en-US" w:eastAsia="zh-CN" w:bidi="ar-SA"/>
    </w:rPr>
  </w:style>
  <w:style w:type="paragraph" w:customStyle="1" w:styleId="269">
    <w:name w:val="Normal_5_0"/>
    <w:qFormat/>
    <w:uiPriority w:val="0"/>
    <w:rPr>
      <w:rFonts w:hint="default" w:ascii="Times New Roman" w:hAnsi="Times New Roman" w:eastAsia="Times New Roman" w:cs="Times New Roman"/>
      <w:sz w:val="24"/>
      <w:szCs w:val="24"/>
      <w:lang w:val="en-US" w:eastAsia="zh-CN" w:bidi="ar-SA"/>
    </w:rPr>
  </w:style>
  <w:style w:type="character" w:customStyle="1" w:styleId="270">
    <w:name w:val="默认段落字体12"/>
    <w:link w:val="1"/>
    <w:qFormat/>
    <w:uiPriority w:val="0"/>
  </w:style>
  <w:style w:type="character" w:customStyle="1" w:styleId="271">
    <w:name w:val="默认段落字体111"/>
    <w:link w:val="1"/>
    <w:qFormat/>
    <w:uiPriority w:val="0"/>
  </w:style>
  <w:style w:type="paragraph" w:customStyle="1" w:styleId="272">
    <w:name w:val="Plain Text1"/>
    <w:basedOn w:val="1"/>
    <w:qFormat/>
    <w:uiPriority w:val="0"/>
    <w:rPr>
      <w:rFonts w:ascii="宋体" w:hAnsi="Courier New"/>
      <w:szCs w:val="24"/>
    </w:rPr>
  </w:style>
  <w:style w:type="paragraph" w:customStyle="1" w:styleId="273">
    <w:name w:val="纯文本11"/>
    <w:basedOn w:val="1"/>
    <w:qFormat/>
    <w:uiPriority w:val="0"/>
    <w:pPr>
      <w:widowControl/>
      <w:jc w:val="left"/>
    </w:pPr>
    <w:rPr>
      <w:rFonts w:ascii="宋体" w:hAnsi="Courier New" w:eastAsia="楷体_GB2312"/>
      <w:sz w:val="26"/>
    </w:rPr>
  </w:style>
  <w:style w:type="character" w:customStyle="1" w:styleId="274">
    <w:name w:val="15"/>
    <w:basedOn w:val="188"/>
    <w:link w:val="1"/>
    <w:qFormat/>
    <w:uiPriority w:val="0"/>
    <w:rPr>
      <w:rFonts w:ascii="Times New Roman" w:hAnsi="Times New Roman"/>
    </w:rPr>
  </w:style>
  <w:style w:type="paragraph" w:customStyle="1" w:styleId="275">
    <w:name w:val="纯文本1"/>
    <w:basedOn w:val="1"/>
    <w:qFormat/>
    <w:uiPriority w:val="0"/>
    <w:rPr>
      <w:rFonts w:hint="eastAsia" w:ascii="宋体" w:hAnsi="Courier New"/>
      <w:sz w:val="28"/>
      <w:szCs w:val="20"/>
    </w:rPr>
  </w:style>
  <w:style w:type="paragraph" w:customStyle="1" w:styleId="276">
    <w:name w:val="寄信人地址1"/>
    <w:basedOn w:val="1"/>
    <w:qFormat/>
    <w:uiPriority w:val="0"/>
    <w:rPr>
      <w:rFonts w:ascii="Arial" w:hAnsi="Arial"/>
      <w:sz w:val="21"/>
      <w:szCs w:val="22"/>
    </w:rPr>
  </w:style>
  <w:style w:type="paragraph" w:customStyle="1" w:styleId="277">
    <w:name w:val="正文文本缩进1"/>
    <w:qFormat/>
    <w:uiPriority w:val="0"/>
    <w:pPr>
      <w:widowControl w:val="0"/>
      <w:ind w:firstLine="645"/>
      <w:jc w:val="both"/>
    </w:pPr>
    <w:rPr>
      <w:rFonts w:hint="default" w:ascii="楷体_GB2312" w:hAnsi="宋体" w:eastAsia="楷体_GB2312" w:cs="Times New Roman"/>
      <w:sz w:val="32"/>
      <w:szCs w:val="32"/>
      <w:lang w:val="en-US" w:eastAsia="zh-CN" w:bidi="ar-SA"/>
    </w:rPr>
  </w:style>
  <w:style w:type="table" w:customStyle="1" w:styleId="278">
    <w:name w:val="网格型1"/>
    <w:qFormat/>
    <w:uiPriority w:val="0"/>
    <w:rPr>
      <w:lang w:val="en-US" w:eastAsia="zh-CN" w:bidi="ar-SA"/>
    </w:rPr>
  </w:style>
  <w:style w:type="character" w:customStyle="1" w:styleId="279">
    <w:name w:val="默认段落字体1"/>
    <w:link w:val="1"/>
    <w:qFormat/>
    <w:uiPriority w:val="0"/>
  </w:style>
  <w:style w:type="paragraph" w:customStyle="1" w:styleId="280">
    <w:name w:val="页眉2"/>
    <w:basedOn w:val="1"/>
    <w:link w:val="281"/>
    <w:qFormat/>
    <w:uiPriority w:val="0"/>
    <w:pPr>
      <w:pBdr>
        <w:bottom w:val="single" w:color="auto" w:sz="6" w:space="1"/>
      </w:pBdr>
      <w:tabs>
        <w:tab w:val="center" w:pos="4153"/>
        <w:tab w:val="right" w:pos="8306"/>
      </w:tabs>
      <w:jc w:val="center"/>
    </w:pPr>
    <w:rPr>
      <w:sz w:val="18"/>
      <w:szCs w:val="18"/>
    </w:rPr>
  </w:style>
  <w:style w:type="character" w:customStyle="1" w:styleId="281">
    <w:name w:val="页眉 Char"/>
    <w:basedOn w:val="188"/>
    <w:link w:val="280"/>
    <w:qFormat/>
    <w:uiPriority w:val="0"/>
    <w:rPr>
      <w:rFonts w:ascii="Calibri" w:hAnsi="Calibri"/>
      <w:sz w:val="18"/>
      <w:szCs w:val="18"/>
    </w:rPr>
  </w:style>
  <w:style w:type="paragraph" w:customStyle="1" w:styleId="282">
    <w:name w:val="页脚2"/>
    <w:basedOn w:val="1"/>
    <w:link w:val="283"/>
    <w:qFormat/>
    <w:uiPriority w:val="0"/>
    <w:pPr>
      <w:tabs>
        <w:tab w:val="center" w:pos="4153"/>
        <w:tab w:val="right" w:pos="8306"/>
      </w:tabs>
      <w:jc w:val="left"/>
    </w:pPr>
    <w:rPr>
      <w:sz w:val="18"/>
      <w:szCs w:val="18"/>
    </w:rPr>
  </w:style>
  <w:style w:type="character" w:customStyle="1" w:styleId="283">
    <w:name w:val="页脚 Char"/>
    <w:basedOn w:val="188"/>
    <w:link w:val="282"/>
    <w:qFormat/>
    <w:uiPriority w:val="0"/>
    <w:rPr>
      <w:rFonts w:ascii="Calibri" w:hAnsi="Calibri"/>
      <w:sz w:val="18"/>
      <w:szCs w:val="18"/>
    </w:rPr>
  </w:style>
  <w:style w:type="paragraph" w:customStyle="1" w:styleId="284">
    <w:name w:val="批注框文本1"/>
    <w:basedOn w:val="1"/>
    <w:link w:val="285"/>
    <w:qFormat/>
    <w:uiPriority w:val="0"/>
    <w:rPr>
      <w:sz w:val="18"/>
      <w:szCs w:val="18"/>
    </w:rPr>
  </w:style>
  <w:style w:type="character" w:customStyle="1" w:styleId="285">
    <w:name w:val="批注框文本 Char"/>
    <w:basedOn w:val="188"/>
    <w:link w:val="284"/>
    <w:qFormat/>
    <w:uiPriority w:val="0"/>
    <w:rPr>
      <w:rFonts w:ascii="Calibri" w:hAnsi="Calibri"/>
      <w:sz w:val="18"/>
      <w:szCs w:val="18"/>
    </w:rPr>
  </w:style>
  <w:style w:type="paragraph" w:customStyle="1" w:styleId="286">
    <w:name w:val="Normal_0_0_0_0"/>
    <w:qFormat/>
    <w:uiPriority w:val="0"/>
    <w:rPr>
      <w:rFonts w:hint="default" w:ascii="Times New Roman" w:hAnsi="Times New Roman" w:eastAsia="Times New Roman" w:cs="Times New Roman"/>
      <w:sz w:val="24"/>
      <w:szCs w:val="24"/>
      <w:lang w:val="en-US" w:eastAsia="zh-CN" w:bidi="ar-SA"/>
    </w:rPr>
  </w:style>
  <w:style w:type="paragraph" w:customStyle="1" w:styleId="287">
    <w:name w:val="Normal_1_3"/>
    <w:qFormat/>
    <w:uiPriority w:val="0"/>
    <w:rPr>
      <w:rFonts w:hint="default" w:ascii="Times New Roman" w:hAnsi="Times New Roman" w:eastAsia="Times New Roman" w:cs="Times New Roman"/>
      <w:sz w:val="24"/>
      <w:szCs w:val="24"/>
      <w:lang w:val="en-US" w:eastAsia="zh-CN" w:bidi="ar-SA"/>
    </w:rPr>
  </w:style>
  <w:style w:type="paragraph" w:customStyle="1" w:styleId="288">
    <w:name w:val="Normal_39"/>
    <w:qFormat/>
    <w:uiPriority w:val="0"/>
    <w:rPr>
      <w:rFonts w:hint="default" w:ascii="Times New Roman" w:hAnsi="Times New Roman" w:eastAsia="Times New Roman" w:cs="Times New Roman"/>
      <w:sz w:val="24"/>
      <w:szCs w:val="24"/>
      <w:lang w:val="en-US" w:eastAsia="zh-CN" w:bidi="ar-SA"/>
    </w:rPr>
  </w:style>
  <w:style w:type="paragraph" w:customStyle="1" w:styleId="289">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290">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291">
    <w:name w:val="段"/>
    <w:next w:val="1"/>
    <w:qFormat/>
    <w:uiPriority w:val="0"/>
    <w:pPr>
      <w:ind w:firstLine="200"/>
      <w:jc w:val="both"/>
    </w:pPr>
    <w:rPr>
      <w:rFonts w:hint="default" w:ascii="宋体" w:hAnsi="Times New Roman" w:eastAsia="Times New Roman" w:cs="Times New Roman"/>
      <w:sz w:val="21"/>
      <w:szCs w:val="22"/>
      <w:lang w:val="en-US" w:eastAsia="zh-CN" w:bidi="ar-SA"/>
    </w:rPr>
  </w:style>
  <w:style w:type="paragraph" w:customStyle="1" w:styleId="292">
    <w:name w:val="Normal_1_0_0"/>
    <w:qFormat/>
    <w:uiPriority w:val="0"/>
    <w:rPr>
      <w:rFonts w:hint="default" w:ascii="Times New Roman" w:hAnsi="Times New Roman" w:eastAsia="Times New Roman" w:cs="Times New Roman"/>
      <w:sz w:val="24"/>
      <w:szCs w:val="24"/>
    </w:rPr>
  </w:style>
  <w:style w:type="paragraph" w:customStyle="1" w:styleId="293">
    <w:name w:val="标题 411"/>
    <w:basedOn w:val="1"/>
    <w:next w:val="1"/>
    <w:unhideWhenUsed/>
    <w:qFormat/>
    <w:uiPriority w:val="0"/>
    <w:pPr>
      <w:keepNext/>
      <w:keepLines/>
      <w:spacing w:before="280" w:after="290" w:line="374" w:lineRule="auto"/>
      <w:outlineLvl w:val="3"/>
    </w:pPr>
    <w:rPr>
      <w:rFonts w:ascii="Arial" w:hAnsi="Arial" w:eastAsia="黑体" w:cs="Arial"/>
      <w:b/>
      <w:bCs/>
      <w:sz w:val="28"/>
      <w:szCs w:val="28"/>
    </w:rPr>
  </w:style>
  <w:style w:type="table" w:customStyle="1" w:styleId="294">
    <w:name w:val="Table Normal"/>
    <w:semiHidden/>
    <w:unhideWhenUsed/>
    <w:qFormat/>
    <w:uiPriority w:val="0"/>
    <w:tblPr>
      <w:tblCellMar>
        <w:top w:w="0" w:type="dxa"/>
        <w:left w:w="0" w:type="dxa"/>
        <w:bottom w:w="0" w:type="dxa"/>
        <w:right w:w="0" w:type="dxa"/>
      </w:tblCellMar>
    </w:tblPr>
  </w:style>
  <w:style w:type="table" w:customStyle="1" w:styleId="295">
    <w:name w:val="网格型3"/>
    <w:qFormat/>
    <w:uiPriority w:val="39"/>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emf"/><Relationship Id="rId11" Type="http://schemas.openxmlformats.org/officeDocument/2006/relationships/oleObject" Target="embeddings/oleObject1.bin"/><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252</Pages>
  <Words>15589</Words>
  <Characters>16961</Characters>
  <TotalTime>0</TotalTime>
  <ScaleCrop>false</ScaleCrop>
  <LinksUpToDate>false</LinksUpToDate>
  <CharactersWithSpaces>17535</CharactersWithSpaces>
  <Application>WPS Office_12.8.2.17148_F1E327BC-269C-435d-A152-05C5408002CA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2025-09-16T01:10:00Z</dcterms:created>
  <dc:creator>林空鹿饮溪</dc:creator>
  <cp:lastModifiedBy>Administrator</cp:lastModifiedBy>
  <cp:lastPrinted>2026-07-27T08:22:00Z</cp:lastPrinted>
  <dcterms:modified xsi:type="dcterms:W3CDTF">2026-08-07T02:42:54Z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2052-12.8.2.17148</vt:lpwstr>
  </property>
  <property fmtid="{D5CDD505-2E9C-101B-9397-08002B2CF9AE}" pid="3" name="ICV">
    <vt:lpwstr>299FCFD5A8E14215A139AB1F486A0AC2_13</vt:lpwstr>
  </property>
  <property fmtid="{D5CDD505-2E9C-101B-9397-08002B2CF9AE}" pid="4" name="KSOTemplateDocerSaveRecord">
    <vt:lpwstr>eyJoZGlkIjoiZDQwZjJiNTY1M2FiNGU4OTYwMjIwNjU3MTJjYjYwNzciLCJ1c2VySWQiOiIzMDI5OTY2MzUifQ==</vt:lpwstr>
  </property>
</Properties>
</file>