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8"/>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彩色多普勒超声诊断仪</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8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JSZC-320400-CTZB-G2026-0113</w:t>
      </w:r>
      <w:r>
        <w:rPr>
          <w:rFonts w:ascii="宋体" w:hAnsi="宋体"/>
          <w:bCs/>
          <w:color w:val="000000"/>
          <w:sz w:val="36"/>
          <w:szCs w:val="36"/>
          <w:highlight w:val="none"/>
        </w:rPr>
      </w:r>
      <w:r/>
    </w:p>
    <w:p>
      <w:pPr>
        <w:pStyle w:val="108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8"/>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8"/>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8"/>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8"/>
        <w:rPr>
          <w:rFonts w:ascii="宋体" w:hAnsi="宋体"/>
          <w:color w:val="000000"/>
          <w:highlight w:val="none"/>
        </w:rPr>
      </w:pPr>
      <w:r>
        <w:rPr>
          <w:rFonts w:ascii="宋体" w:hAnsi="宋体"/>
          <w:color w:val="000000"/>
          <w:highlight w:val="none"/>
        </w:rPr>
      </w:r>
      <w:r/>
    </w:p>
    <w:p>
      <w:pPr>
        <w:pStyle w:val="1088"/>
        <w:rPr>
          <w:rFonts w:ascii="宋体" w:hAnsi="宋体"/>
          <w:color w:val="000000"/>
          <w:highlight w:val="none"/>
        </w:rPr>
      </w:pPr>
      <w:r>
        <w:rPr>
          <w:rFonts w:ascii="宋体" w:hAnsi="宋体"/>
          <w:color w:val="000000"/>
          <w:highlight w:val="none"/>
        </w:rPr>
      </w:r>
      <w:r/>
    </w:p>
    <w:p>
      <w:pPr>
        <w:pStyle w:val="1088"/>
        <w:rPr>
          <w:rFonts w:ascii="宋体" w:hAnsi="宋体"/>
          <w:color w:val="000000"/>
          <w:highlight w:val="none"/>
        </w:rPr>
      </w:pPr>
      <w:r>
        <w:rPr>
          <w:rFonts w:ascii="宋体" w:hAnsi="宋体"/>
          <w:color w:val="000000"/>
          <w:highlight w:val="none"/>
        </w:rPr>
      </w:r>
      <w:r/>
    </w:p>
    <w:p>
      <w:pPr>
        <w:pStyle w:val="114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3"/>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3"/>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3"/>
          <w:color w:val="000000"/>
          <w:sz w:val="32"/>
          <w:szCs w:val="32"/>
          <w:highlight w:val="none"/>
        </w:rPr>
        <w:t xml:space="preserve">第三章   资</w:t>
      </w:r>
      <w:bookmarkStart w:id="1" w:name="_Hlt100754117"/>
      <w:r>
        <w:rPr>
          <w:rStyle w:val="1163"/>
          <w:color w:val="000000"/>
          <w:sz w:val="32"/>
          <w:szCs w:val="32"/>
          <w:highlight w:val="none"/>
        </w:rPr>
        <w:t xml:space="preserve">格</w:t>
      </w:r>
      <w:bookmarkEnd w:id="1"/>
      <w:r>
        <w:rPr>
          <w:rStyle w:val="1163"/>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3"/>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3"/>
          <w:color w:val="000000"/>
          <w:sz w:val="32"/>
          <w:szCs w:val="32"/>
          <w:highlight w:val="none"/>
        </w:rPr>
        <w:t xml:space="preserve">第五章   采购</w:t>
      </w:r>
      <w:bookmarkStart w:id="2" w:name="_Hlt100754102"/>
      <w:r/>
      <w:bookmarkStart w:id="3" w:name="_Hlt100754103"/>
      <w:r>
        <w:rPr>
          <w:rStyle w:val="1163"/>
          <w:color w:val="000000"/>
          <w:sz w:val="32"/>
          <w:szCs w:val="32"/>
          <w:highlight w:val="none"/>
        </w:rPr>
        <w:t xml:space="preserve">需</w:t>
      </w:r>
      <w:bookmarkEnd w:id="2"/>
      <w:r/>
      <w:bookmarkEnd w:id="3"/>
      <w:r>
        <w:rPr>
          <w:rStyle w:val="1163"/>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3"/>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3"/>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8"/>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彩色多普勒超声诊断仪</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90"/>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621"/>
      <w:r/>
      <w:bookmarkStart w:id="7" w:name="_Toc35393790"/>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JSZC-320400-CTZB-G2026-0113</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彩色多普勒超声诊断仪</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900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（包01/02/03：各300万元）</w:t>
      </w:r>
      <w:r>
        <w:rPr>
          <w:rFonts w:hint="eastAsia" w:ascii="仿宋" w:hAnsi="仿宋" w:eastAsia="仿宋"/>
          <w:color w:val="000000"/>
          <w:sz w:val="32"/>
          <w:szCs w:val="32"/>
          <w:highlight w:val="none"/>
          <w:lang w:val="en-US" w:eastAsia="zh-CN"/>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900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（包01/02/03：各300万元）</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833"/>
        <w:gridCol w:w="1641"/>
        <w:gridCol w:w="915"/>
        <w:gridCol w:w="3975"/>
      </w:tblGrid>
      <w:tr>
        <w:trPr>
          <w:trHeight w:val="454"/>
        </w:trPr>
        <w:tc>
          <w:tcPr>
            <w:tcW w:w="47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99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88"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495"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151" w:type="dxa"/>
            <w:vAlign w:val="center"/>
            <w:textDirection w:val="lrTb"/>
            <w:noWrap w:val="false"/>
          </w:tcPr>
          <w:p>
            <w:pPr>
              <w:pStyle w:val="1088"/>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028"/>
        </w:trPr>
        <w:tc>
          <w:tcPr>
            <w:tcW w:w="47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992" w:type="dxa"/>
            <w:vAlign w:val="center"/>
            <w:textDirection w:val="lrTb"/>
            <w:noWrap w:val="false"/>
          </w:tcPr>
          <w:p>
            <w:pPr>
              <w:pStyle w:val="1088"/>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全身超</w:t>
            </w:r>
            <w:r>
              <w:rPr>
                <w:rFonts w:hint="eastAsia" w:ascii="仿宋" w:hAnsi="仿宋" w:eastAsia="仿宋"/>
                <w:bCs/>
                <w:color w:val="000000"/>
                <w:sz w:val="32"/>
                <w:szCs w:val="32"/>
                <w:highlight w:val="none"/>
                <w:lang w:val="en-US" w:eastAsia="zh-CN"/>
              </w:rPr>
            </w:r>
            <w:r/>
          </w:p>
          <w:p>
            <w:pPr>
              <w:pStyle w:val="1088"/>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val="en-US" w:eastAsia="zh-CN"/>
              </w:rPr>
              <w:t xml:space="preserve">（</w:t>
            </w:r>
            <w:r>
              <w:rPr>
                <w:rFonts w:hint="eastAsia" w:ascii="仿宋" w:hAnsi="仿宋" w:eastAsia="仿宋"/>
                <w:bCs/>
                <w:color w:val="000000"/>
                <w:sz w:val="32"/>
                <w:szCs w:val="32"/>
                <w:highlight w:val="none"/>
                <w:lang w:val="en-US" w:eastAsia="zh-CN"/>
              </w:rPr>
              <w:t xml:space="preserve">超高频</w:t>
            </w:r>
            <w:r>
              <w:rPr>
                <w:rFonts w:hint="eastAsia" w:ascii="仿宋" w:hAnsi="仿宋" w:eastAsia="仿宋"/>
                <w:bCs/>
                <w:color w:val="000000"/>
                <w:sz w:val="32"/>
                <w:szCs w:val="32"/>
                <w:highlight w:val="none"/>
                <w:lang w:val="en-US" w:eastAsia="zh-CN"/>
              </w:rPr>
              <w:t xml:space="preserve">）</w:t>
            </w:r>
            <w:r>
              <w:rPr>
                <w:rFonts w:hint="eastAsia" w:ascii="仿宋" w:hAnsi="仿宋" w:eastAsia="仿宋"/>
                <w:bCs/>
                <w:color w:val="000000"/>
                <w:sz w:val="32"/>
                <w:szCs w:val="32"/>
                <w:highlight w:val="none"/>
                <w:lang w:eastAsia="zh-CN"/>
              </w:rPr>
            </w:r>
            <w:r/>
          </w:p>
        </w:tc>
        <w:tc>
          <w:tcPr>
            <w:tcW w:w="888"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300</w:t>
            </w:r>
            <w:r>
              <w:rPr>
                <w:rFonts w:ascii="仿宋" w:hAnsi="仿宋" w:eastAsia="仿宋"/>
                <w:bCs/>
                <w:color w:val="000000"/>
                <w:sz w:val="32"/>
                <w:szCs w:val="32"/>
                <w:highlight w:val="none"/>
                <w:lang w:val="en-US" w:eastAsia="zh-CN"/>
              </w:rPr>
            </w:r>
            <w:r/>
          </w:p>
        </w:tc>
        <w:tc>
          <w:tcPr>
            <w:tcW w:w="495"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2套</w:t>
            </w:r>
            <w:r>
              <w:rPr>
                <w:rFonts w:ascii="仿宋" w:hAnsi="仿宋" w:eastAsia="仿宋"/>
                <w:bCs/>
                <w:color w:val="000000"/>
                <w:sz w:val="32"/>
                <w:szCs w:val="32"/>
                <w:highlight w:val="none"/>
                <w:lang w:val="en-US" w:eastAsia="zh-CN"/>
              </w:rPr>
            </w:r>
            <w:r/>
          </w:p>
        </w:tc>
        <w:tc>
          <w:tcPr>
            <w:tcW w:w="2151" w:type="dxa"/>
            <w:vAlign w:val="center"/>
            <w:vMerge w:val="restart"/>
            <w:textDirection w:val="lrTb"/>
            <w:noWrap w:val="false"/>
          </w:tcPr>
          <w:p>
            <w:pPr>
              <w:pStyle w:val="1088"/>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r>
        <w:trPr>
          <w:trHeight w:val="1016"/>
        </w:trPr>
        <w:tc>
          <w:tcPr>
            <w:tcW w:w="472"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02</w:t>
            </w:r>
            <w:r>
              <w:rPr>
                <w:rFonts w:ascii="仿宋" w:hAnsi="仿宋" w:eastAsia="仿宋"/>
                <w:bCs/>
                <w:color w:val="000000"/>
                <w:sz w:val="32"/>
                <w:szCs w:val="32"/>
                <w:highlight w:val="none"/>
                <w:lang w:val="en-US" w:eastAsia="zh-CN"/>
              </w:rPr>
            </w:r>
            <w:r/>
          </w:p>
        </w:tc>
        <w:tc>
          <w:tcPr>
            <w:tcW w:w="992" w:type="dxa"/>
            <w:vAlign w:val="center"/>
            <w:textDirection w:val="lrTb"/>
            <w:noWrap w:val="false"/>
          </w:tcPr>
          <w:p>
            <w:pPr>
              <w:pStyle w:val="1088"/>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全身超</w:t>
            </w:r>
            <w:r>
              <w:rPr>
                <w:rFonts w:hint="eastAsia" w:ascii="仿宋" w:hAnsi="仿宋" w:eastAsia="仿宋"/>
                <w:bCs/>
                <w:color w:val="000000"/>
                <w:sz w:val="32"/>
                <w:szCs w:val="32"/>
                <w:highlight w:val="none"/>
                <w:lang w:val="en-US" w:eastAsia="zh-CN"/>
              </w:rPr>
            </w:r>
            <w:r/>
          </w:p>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（介入）</w:t>
            </w:r>
            <w:r>
              <w:rPr>
                <w:rFonts w:ascii="仿宋" w:hAnsi="仿宋" w:eastAsia="仿宋"/>
                <w:bCs/>
                <w:color w:val="000000"/>
                <w:sz w:val="32"/>
                <w:szCs w:val="32"/>
                <w:highlight w:val="none"/>
                <w:lang w:val="en-US" w:eastAsia="zh-CN"/>
              </w:rPr>
            </w:r>
            <w:r/>
          </w:p>
        </w:tc>
        <w:tc>
          <w:tcPr>
            <w:tcW w:w="888" w:type="dxa"/>
            <w:vAlign w:val="center"/>
            <w:textDirection w:val="lrTb"/>
            <w:noWrap w:val="false"/>
          </w:tcPr>
          <w:p>
            <w:pPr>
              <w:pStyle w:val="1088"/>
              <w:jc w:val="center"/>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300</w:t>
            </w:r>
            <w:r>
              <w:rPr>
                <w:rFonts w:hint="eastAsia" w:ascii="仿宋" w:hAnsi="仿宋" w:eastAsia="仿宋"/>
                <w:color w:val="000000"/>
                <w:sz w:val="32"/>
                <w:szCs w:val="32"/>
                <w:highlight w:val="none"/>
                <w:lang w:val="en-US" w:eastAsia="zh-CN"/>
              </w:rPr>
            </w:r>
            <w:r/>
          </w:p>
        </w:tc>
        <w:tc>
          <w:tcPr>
            <w:tcW w:w="495" w:type="dxa"/>
            <w:vAlign w:val="center"/>
            <w:textDirection w:val="lrTb"/>
            <w:noWrap w:val="false"/>
          </w:tcPr>
          <w:p>
            <w:pPr>
              <w:pStyle w:val="1088"/>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2套</w:t>
            </w:r>
            <w:r>
              <w:rPr>
                <w:rFonts w:hint="eastAsia" w:ascii="仿宋" w:hAnsi="仿宋" w:eastAsia="仿宋"/>
                <w:bCs/>
                <w:color w:val="000000"/>
                <w:sz w:val="32"/>
                <w:szCs w:val="32"/>
                <w:highlight w:val="none"/>
                <w:lang w:val="en-US" w:eastAsia="zh-CN"/>
              </w:rPr>
            </w:r>
            <w:r/>
          </w:p>
        </w:tc>
        <w:tc>
          <w:tcPr>
            <w:tcW w:w="2151" w:type="dxa"/>
            <w:vAlign w:val="center"/>
            <w:vMerge w:val="continue"/>
            <w:textDirection w:val="lrTb"/>
            <w:noWrap w:val="false"/>
          </w:tcPr>
          <w:p>
            <w:pPr>
              <w:pStyle w:val="1088"/>
              <w:jc w:val="left"/>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tc>
      </w:tr>
      <w:tr>
        <w:trPr>
          <w:trHeight w:val="415"/>
        </w:trPr>
        <w:tc>
          <w:tcPr>
            <w:tcW w:w="472"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03</w:t>
            </w:r>
            <w:r>
              <w:rPr>
                <w:rFonts w:ascii="仿宋" w:hAnsi="仿宋" w:eastAsia="仿宋"/>
                <w:bCs/>
                <w:color w:val="000000"/>
                <w:sz w:val="32"/>
                <w:szCs w:val="32"/>
                <w:highlight w:val="none"/>
                <w:lang w:val="en-US" w:eastAsia="zh-CN"/>
              </w:rPr>
            </w:r>
            <w:r/>
          </w:p>
        </w:tc>
        <w:tc>
          <w:tcPr>
            <w:tcW w:w="992"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妇产机</w:t>
            </w:r>
            <w:r>
              <w:rPr>
                <w:rFonts w:ascii="仿宋" w:hAnsi="仿宋" w:eastAsia="仿宋"/>
                <w:bCs/>
                <w:color w:val="000000"/>
                <w:sz w:val="32"/>
                <w:szCs w:val="32"/>
                <w:highlight w:val="none"/>
                <w:lang w:val="en-US" w:eastAsia="zh-CN"/>
              </w:rPr>
            </w:r>
            <w:r/>
          </w:p>
        </w:tc>
        <w:tc>
          <w:tcPr>
            <w:tcW w:w="888" w:type="dxa"/>
            <w:vAlign w:val="center"/>
            <w:textDirection w:val="lrTb"/>
            <w:noWrap w:val="false"/>
          </w:tcPr>
          <w:p>
            <w:pPr>
              <w:pStyle w:val="1088"/>
              <w:jc w:val="center"/>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300</w:t>
            </w:r>
            <w:r>
              <w:rPr>
                <w:rFonts w:hint="eastAsia" w:ascii="仿宋" w:hAnsi="仿宋" w:eastAsia="仿宋"/>
                <w:color w:val="000000"/>
                <w:sz w:val="32"/>
                <w:szCs w:val="32"/>
                <w:highlight w:val="none"/>
                <w:lang w:val="en-US" w:eastAsia="zh-CN"/>
              </w:rPr>
            </w:r>
            <w:r/>
          </w:p>
        </w:tc>
        <w:tc>
          <w:tcPr>
            <w:tcW w:w="495" w:type="dxa"/>
            <w:vAlign w:val="center"/>
            <w:textDirection w:val="lrTb"/>
            <w:noWrap w:val="false"/>
          </w:tcPr>
          <w:p>
            <w:pPr>
              <w:pStyle w:val="1088"/>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2套</w:t>
            </w:r>
            <w:r>
              <w:rPr>
                <w:rFonts w:hint="eastAsia" w:ascii="仿宋" w:hAnsi="仿宋" w:eastAsia="仿宋"/>
                <w:bCs/>
                <w:color w:val="000000"/>
                <w:sz w:val="32"/>
                <w:szCs w:val="32"/>
                <w:highlight w:val="none"/>
                <w:lang w:val="en-US" w:eastAsia="zh-CN"/>
              </w:rPr>
            </w:r>
            <w:r/>
          </w:p>
        </w:tc>
        <w:tc>
          <w:tcPr>
            <w:tcW w:w="2151" w:type="dxa"/>
            <w:vAlign w:val="center"/>
            <w:vMerge w:val="continue"/>
            <w:textDirection w:val="lrTb"/>
            <w:noWrap w:val="false"/>
          </w:tcPr>
          <w:p>
            <w:pPr>
              <w:pStyle w:val="1088"/>
              <w:jc w:val="left"/>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tc>
      </w:tr>
    </w:tbl>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s="宋体"/>
          <w:color w:val="000000"/>
          <w:sz w:val="32"/>
          <w:szCs w:val="32"/>
          <w:highlight w:val="none"/>
        </w:rPr>
        <w:t xml:space="preserve">本项目</w:t>
      </w:r>
      <w:r>
        <w:rPr>
          <w:rFonts w:hint="eastAsia" w:ascii="仿宋" w:hAnsi="仿宋" w:eastAsia="仿宋" w:cs="宋体"/>
          <w:color w:val="000000"/>
          <w:sz w:val="32"/>
          <w:szCs w:val="32"/>
          <w:highlight w:val="none"/>
        </w:rPr>
        <w:t xml:space="preserve">共分</w:t>
      </w:r>
      <w:r>
        <w:rPr>
          <w:rFonts w:hint="eastAsia" w:ascii="仿宋" w:hAnsi="仿宋" w:eastAsia="仿宋" w:cs="宋体"/>
          <w:color w:val="000000"/>
          <w:sz w:val="32"/>
          <w:szCs w:val="32"/>
          <w:highlight w:val="none"/>
          <w:lang w:val="en-US" w:eastAsia="zh-CN"/>
        </w:rPr>
        <w:t xml:space="preserve">3</w:t>
      </w:r>
      <w:r>
        <w:rPr>
          <w:rFonts w:hint="eastAsia" w:ascii="仿宋" w:hAnsi="仿宋" w:eastAsia="仿宋" w:cs="宋体"/>
          <w:color w:val="000000"/>
          <w:sz w:val="32"/>
          <w:szCs w:val="32"/>
          <w:highlight w:val="none"/>
        </w:rPr>
        <w:t xml:space="preserve">个采购包，投标人可对本次采购的单个采购包或全部采购包进行响应，在投</w:t>
      </w:r>
      <w:r>
        <w:rPr>
          <w:rFonts w:hint="eastAsia" w:ascii="仿宋" w:hAnsi="仿宋" w:eastAsia="仿宋" w:cs="宋体"/>
          <w:color w:val="000000"/>
          <w:sz w:val="32"/>
          <w:szCs w:val="32"/>
          <w:highlight w:val="none"/>
        </w:rPr>
        <w:t xml:space="preserve">标文件中注明所投采购包并响应该采购包全部内容。每个供</w:t>
      </w:r>
      <w:r>
        <w:rPr>
          <w:rFonts w:hint="eastAsia" w:ascii="仿宋" w:hAnsi="仿宋" w:eastAsia="仿宋" w:cs="宋体"/>
          <w:color w:val="000000"/>
          <w:sz w:val="32"/>
          <w:szCs w:val="32"/>
          <w:highlight w:val="none"/>
        </w:rPr>
        <w:t xml:space="preserve">应商仅限中标一个采购包。</w:t>
      </w:r>
      <w:r>
        <w:rPr>
          <w:rFonts w:hint="eastAsia" w:ascii="仿宋" w:hAnsi="仿宋" w:eastAsia="仿宋" w:cs="宋体"/>
          <w:bCs/>
          <w:color w:val="000000"/>
          <w:spacing w:val="2"/>
          <w:sz w:val="32"/>
          <w:szCs w:val="32"/>
          <w:highlight w:val="none"/>
          <w:lang w:val="en-US" w:eastAsia="zh-CN"/>
        </w:rPr>
        <w:t xml:space="preserve">3</w:t>
      </w:r>
      <w:r>
        <w:rPr>
          <w:rFonts w:hint="eastAsia" w:ascii="仿宋" w:hAnsi="仿宋" w:eastAsia="仿宋" w:cs="宋体"/>
          <w:bCs/>
          <w:color w:val="000000"/>
          <w:spacing w:val="2"/>
          <w:sz w:val="32"/>
          <w:szCs w:val="32"/>
          <w:highlight w:val="none"/>
        </w:rPr>
        <w:t xml:space="preserve">个采购包同时评审，按采购包1、采购包2</w:t>
      </w:r>
      <w:r>
        <w:rPr>
          <w:rFonts w:hint="eastAsia" w:ascii="仿宋" w:hAnsi="仿宋" w:eastAsia="仿宋" w:cs="宋体"/>
          <w:bCs/>
          <w:color w:val="000000"/>
          <w:spacing w:val="2"/>
          <w:sz w:val="32"/>
          <w:szCs w:val="32"/>
          <w:highlight w:val="none"/>
          <w:lang w:eastAsia="zh-CN"/>
        </w:rPr>
        <w:t xml:space="preserve">、</w:t>
      </w:r>
      <w:r>
        <w:rPr>
          <w:rFonts w:hint="eastAsia" w:ascii="仿宋" w:hAnsi="仿宋" w:eastAsia="仿宋" w:cs="宋体"/>
          <w:bCs/>
          <w:color w:val="000000"/>
          <w:spacing w:val="2"/>
          <w:sz w:val="32"/>
          <w:szCs w:val="32"/>
          <w:highlight w:val="none"/>
          <w:lang w:val="en-US" w:eastAsia="zh-CN"/>
        </w:rPr>
        <w:t xml:space="preserve">采购包3</w:t>
      </w:r>
      <w:r>
        <w:rPr>
          <w:rFonts w:hint="eastAsia" w:ascii="仿宋" w:hAnsi="仿宋" w:eastAsia="仿宋" w:cs="宋体"/>
          <w:bCs/>
          <w:color w:val="000000"/>
          <w:spacing w:val="2"/>
          <w:sz w:val="32"/>
          <w:szCs w:val="32"/>
          <w:highlight w:val="none"/>
        </w:rPr>
        <w:t xml:space="preserve">的顺序依次确定中标人，前1采购包确定为第一中标候选人的投标人不再列为后续采购包的中标候选人，由第二中标候选人递补</w:t>
      </w:r>
      <w:r>
        <w:rPr>
          <w:rFonts w:hint="eastAsia" w:ascii="仿宋" w:hAnsi="仿宋" w:eastAsia="仿宋" w:cs="宋体"/>
          <w:bCs/>
          <w:color w:val="000000"/>
          <w:spacing w:val="2"/>
          <w:sz w:val="32"/>
          <w:szCs w:val="32"/>
          <w:highlight w:val="none"/>
          <w:lang w:eastAsia="zh-CN"/>
        </w:rPr>
        <w:t xml:space="preserve">，</w:t>
      </w:r>
      <w:r>
        <w:rPr>
          <w:rFonts w:hint="eastAsia" w:ascii="仿宋" w:hAnsi="仿宋" w:eastAsia="仿宋" w:cs="宋体"/>
          <w:bCs/>
          <w:color w:val="000000"/>
          <w:spacing w:val="2"/>
          <w:sz w:val="32"/>
          <w:szCs w:val="32"/>
          <w:highlight w:val="none"/>
          <w:lang w:val="en-US" w:eastAsia="zh-CN"/>
        </w:rPr>
        <w:t xml:space="preserve">以此类推</w:t>
      </w:r>
      <w:r>
        <w:rPr>
          <w:rFonts w:hint="eastAsia" w:ascii="仿宋" w:hAnsi="仿宋" w:eastAsia="仿宋" w:cs="宋体"/>
          <w:bCs/>
          <w:color w:val="000000"/>
          <w:spacing w:val="2"/>
          <w:sz w:val="32"/>
          <w:szCs w:val="32"/>
          <w:highlight w:val="none"/>
        </w:rPr>
        <w:t xml:space="preserve">。</w:t>
      </w:r>
      <w:r>
        <w:rPr>
          <w:rFonts w:hint="eastAsia"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w:t>
      </w: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rPr>
        <w:t xml:space="preserve">个月内货物运抵医院。</w:t>
      </w:r>
      <w:r>
        <w:rPr>
          <w:rFonts w:ascii="仿宋" w:hAnsi="仿宋" w:eastAsia="仿宋"/>
          <w:color w:val="000000"/>
          <w:sz w:val="32"/>
          <w:szCs w:val="32"/>
          <w:highlight w:val="none"/>
          <w:u w:val="singl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622"/>
      <w:r/>
      <w:bookmarkStart w:id="12" w:name="_Toc28359080"/>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w:t>
      </w:r>
      <w:r>
        <w:rPr>
          <w:rFonts w:ascii="仿宋" w:hAnsi="仿宋" w:eastAsia="仿宋"/>
          <w:color w:val="000000"/>
          <w:sz w:val="32"/>
          <w:szCs w:val="32"/>
          <w:highlight w:val="none"/>
        </w:rPr>
        <w:t xml:space="preserve">政策</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8"/>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w:t>
      </w:r>
      <w:r>
        <w:rPr>
          <w:rFonts w:ascii="仿宋" w:hAnsi="仿宋" w:eastAsia="仿宋"/>
          <w:color w:val="000000"/>
          <w:sz w:val="32"/>
          <w:szCs w:val="32"/>
          <w:highlight w:val="none"/>
        </w:rPr>
        <w:t xml:space="preserve">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w:t>
      </w:r>
      <w:r>
        <w:rPr>
          <w:rFonts w:ascii="仿宋" w:hAnsi="仿宋" w:eastAsia="仿宋"/>
          <w:color w:val="000000"/>
          <w:sz w:val="32"/>
          <w:szCs w:val="32"/>
          <w:highlight w:val="none"/>
        </w:rPr>
        <w:t xml:space="preserve">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包01/包02：</w:t>
      </w:r>
      <w:r>
        <w:rPr>
          <w:rFonts w:ascii="仿宋" w:hAnsi="仿宋" w:eastAsia="仿宋"/>
          <w:color w:val="000000"/>
          <w:sz w:val="32"/>
          <w:szCs w:val="32"/>
          <w:highlight w:val="none"/>
          <w:lang w:val="en-US" w:eastAsia="zh-CN"/>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bookmarkEnd w:id="14"/>
      <w:r/>
      <w:bookmarkEnd w:id="15"/>
      <w:r/>
      <w:bookmarkStart w:id="16" w:name="_Toc35393623"/>
      <w:r/>
      <w:bookmarkStart w:id="17" w:name="_Toc35393792"/>
      <w:r>
        <w:rPr>
          <w:rFonts w:hint="eastAsia" w:ascii="仿宋" w:hAnsi="仿宋" w:eastAsia="仿宋"/>
          <w:b w:val="0"/>
          <w:bCs/>
          <w:color w:val="000000"/>
          <w:sz w:val="32"/>
          <w:szCs w:val="32"/>
          <w:highlight w:val="none"/>
        </w:rPr>
        <w:t xml:space="preserve">（1）满足以下两项中任意一项要求：</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①投标人为所投产品制造商：具有有效期内的医疗器械生产许可证；</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②投标人为所投产品经销商：具有有效期内的医疗器械经营许可证；</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（2）提供所投产品的有效</w:t>
      </w:r>
      <w:r>
        <w:rPr>
          <w:rFonts w:hint="eastAsia" w:ascii="仿宋" w:hAnsi="仿宋" w:eastAsia="仿宋"/>
          <w:b w:val="0"/>
          <w:bCs/>
          <w:color w:val="000000"/>
          <w:sz w:val="32"/>
          <w:szCs w:val="32"/>
          <w:highlight w:val="none"/>
          <w:lang w:val="en-US" w:eastAsia="zh-CN"/>
        </w:rPr>
        <w:t xml:space="preserve">第三类</w:t>
      </w:r>
      <w:r>
        <w:rPr>
          <w:rFonts w:hint="eastAsia" w:ascii="仿宋" w:hAnsi="仿宋" w:eastAsia="仿宋"/>
          <w:b w:val="0"/>
          <w:bCs/>
          <w:color w:val="000000"/>
          <w:sz w:val="32"/>
          <w:szCs w:val="32"/>
          <w:highlight w:val="none"/>
        </w:rPr>
        <w:t xml:space="preserve">医疗器械注册证；</w:t>
      </w:r>
      <w:r>
        <w:rPr>
          <w:rFonts w:hint="eastAsia" w:ascii="仿宋" w:hAnsi="仿宋" w:eastAsia="仿宋"/>
          <w:b w:val="0"/>
          <w:bCs/>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包03：</w:t>
      </w:r>
      <w:r>
        <w:rPr>
          <w:rFonts w:ascii="仿宋" w:hAnsi="仿宋" w:eastAsia="仿宋"/>
          <w:color w:val="000000"/>
          <w:sz w:val="32"/>
          <w:szCs w:val="32"/>
          <w:highlight w:val="none"/>
          <w:lang w:val="en-US" w:eastAsia="zh-CN"/>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（1）满足以下两项中任意一项要求：</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①投标人为所投产品制造商：具有有效期内的医疗器械生产许可证；</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②投标人为所投产品经销商：</w:t>
      </w:r>
      <w:r>
        <w:rPr>
          <w:rFonts w:hint="eastAsia" w:ascii="仿宋" w:hAnsi="仿宋" w:eastAsia="仿宋"/>
          <w:b w:val="0"/>
          <w:bCs/>
          <w:color w:val="000000"/>
          <w:sz w:val="32"/>
          <w:szCs w:val="32"/>
          <w:highlight w:val="none"/>
          <w:lang w:val="en-US" w:eastAsia="zh-CN"/>
        </w:rPr>
        <w:t xml:space="preserve">如所投产品注册类别为第二类的，</w:t>
      </w:r>
      <w:r>
        <w:rPr>
          <w:rFonts w:hint="eastAsia" w:ascii="仿宋" w:hAnsi="仿宋" w:eastAsia="仿宋"/>
          <w:b w:val="0"/>
          <w:bCs/>
          <w:color w:val="000000"/>
          <w:sz w:val="32"/>
          <w:szCs w:val="32"/>
          <w:highlight w:val="none"/>
        </w:rPr>
        <w:t xml:space="preserve">具有有效期内的医疗器械</w:t>
      </w:r>
      <w:r>
        <w:rPr>
          <w:rFonts w:hint="eastAsia" w:ascii="仿宋" w:hAnsi="仿宋" w:eastAsia="仿宋"/>
          <w:b w:val="0"/>
          <w:bCs/>
          <w:color w:val="000000"/>
          <w:sz w:val="32"/>
          <w:szCs w:val="32"/>
          <w:highlight w:val="none"/>
          <w:lang w:val="en-US" w:eastAsia="zh-CN"/>
        </w:rPr>
        <w:t xml:space="preserve">经营备案凭证；如所投产品注册类别为第三类的，</w:t>
      </w:r>
      <w:r>
        <w:rPr>
          <w:rFonts w:hint="eastAsia" w:ascii="仿宋" w:hAnsi="仿宋" w:eastAsia="仿宋"/>
          <w:b w:val="0"/>
          <w:bCs/>
          <w:color w:val="000000"/>
          <w:sz w:val="32"/>
          <w:szCs w:val="32"/>
          <w:highlight w:val="none"/>
        </w:rPr>
        <w:t xml:space="preserve">具有有效期内的医疗器械经营许可证；</w:t>
      </w:r>
      <w:r>
        <w:rPr>
          <w:rFonts w:hint="eastAsia" w:ascii="仿宋" w:hAnsi="仿宋" w:eastAsia="仿宋"/>
          <w:b w:val="0"/>
          <w:bCs/>
          <w:color w:val="000000"/>
          <w:sz w:val="32"/>
          <w:szCs w:val="32"/>
          <w:highlight w:val="none"/>
        </w:rPr>
      </w:r>
      <w:r/>
    </w:p>
    <w:p>
      <w:pPr>
        <w:pStyle w:val="1102"/>
        <w:rPr>
          <w:color w:val="000000"/>
          <w:highlight w:val="none"/>
        </w:rPr>
      </w:pPr>
      <w:r>
        <w:rPr>
          <w:rFonts w:hint="eastAsia" w:ascii="仿宋" w:hAnsi="仿宋" w:eastAsia="仿宋"/>
          <w:b w:val="0"/>
          <w:bCs/>
          <w:color w:val="000000"/>
          <w:sz w:val="32"/>
          <w:szCs w:val="32"/>
          <w:highlight w:val="none"/>
        </w:rPr>
        <w:t xml:space="preserve">（2）提供所投产品的有效</w:t>
      </w:r>
      <w:r>
        <w:rPr>
          <w:rFonts w:hint="eastAsia" w:ascii="仿宋" w:hAnsi="仿宋" w:eastAsia="仿宋"/>
          <w:b w:val="0"/>
          <w:bCs/>
          <w:color w:val="000000"/>
          <w:sz w:val="32"/>
          <w:szCs w:val="32"/>
          <w:highlight w:val="none"/>
          <w:lang w:val="en-US" w:eastAsia="zh-CN"/>
        </w:rPr>
        <w:t xml:space="preserve">第二类或第三类</w:t>
      </w:r>
      <w:r>
        <w:rPr>
          <w:rFonts w:hint="eastAsia" w:ascii="仿宋" w:hAnsi="仿宋" w:eastAsia="仿宋"/>
          <w:b w:val="0"/>
          <w:bCs/>
          <w:color w:val="000000"/>
          <w:sz w:val="32"/>
          <w:szCs w:val="32"/>
          <w:highlight w:val="none"/>
        </w:rPr>
        <w:t xml:space="preserve">医疗器械注册证；</w:t>
      </w:r>
      <w:r>
        <w:rPr>
          <w:color w:val="000000"/>
          <w:highlight w:val="none"/>
        </w:rPr>
      </w:r>
      <w:r/>
    </w:p>
    <w:p>
      <w:pPr>
        <w:pStyle w:val="1090"/>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w:t>
      </w:r>
      <w:r>
        <w:rPr>
          <w:rFonts w:ascii="仿宋" w:hAnsi="仿宋" w:eastAsia="仿宋"/>
          <w:color w:val="000000"/>
          <w:sz w:val="32"/>
          <w:szCs w:val="32"/>
          <w:highlight w:val="none"/>
        </w:rPr>
        <w:t xml:space="preserve">获取招标文件</w:t>
      </w:r>
      <w:bookmarkEnd w:id="16"/>
      <w:r/>
      <w:bookmarkEnd w:id="17"/>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28</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8"/>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w:t>
      </w:r>
      <w:r>
        <w:rPr>
          <w:rFonts w:hint="eastAsia" w:ascii="仿宋" w:hAnsi="仿宋" w:eastAsia="仿宋"/>
          <w:color w:val="000000"/>
          <w:sz w:val="32"/>
          <w:szCs w:val="32"/>
          <w:highlight w:val="none"/>
          <w:lang w:bidi="ar"/>
        </w:rPr>
        <w:t xml:space="preserve">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8"/>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90"/>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w:t>
      </w:r>
      <w:r>
        <w:rPr>
          <w:rFonts w:ascii="仿宋" w:hAnsi="仿宋" w:eastAsia="仿宋"/>
          <w:color w:val="000000"/>
          <w:sz w:val="32"/>
          <w:szCs w:val="32"/>
          <w:highlight w:val="none"/>
        </w:rPr>
        <w:t xml:space="preserve">止时间、开标时间和地点</w:t>
      </w:r>
      <w:bookmarkEnd w:id="20"/>
      <w:r/>
      <w:bookmarkEnd w:id="21"/>
      <w:r>
        <w:rPr>
          <w:rFonts w:ascii="仿宋" w:hAnsi="仿宋" w:eastAsia="仿宋"/>
          <w:color w:val="000000"/>
          <w:sz w:val="32"/>
          <w:szCs w:val="32"/>
          <w:highlight w:val="none"/>
        </w:rPr>
      </w:r>
      <w:r/>
    </w:p>
    <w:p>
      <w:pPr>
        <w:pStyle w:val="1088"/>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8"/>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22" w:name="_Toc35393794"/>
      <w:r/>
      <w:bookmarkStart w:id="23" w:name="_Toc35393625"/>
      <w:r/>
      <w:bookmarkStart w:id="24" w:name="_Toc28359007"/>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90"/>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85"/>
      <w:r/>
      <w:bookmarkStart w:id="30" w:name="_Toc28359008"/>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8"/>
        <w:ind w:firstLine="640"/>
        <w:spacing w:line="360" w:lineRule="auto"/>
        <w:rPr>
          <w:rFonts w:ascii="仿宋" w:hAnsi="仿宋" w:eastAsia="仿宋" w:cs="Times New Roman"/>
          <w:color w:val="000000"/>
          <w:sz w:val="32"/>
          <w:szCs w:val="32"/>
          <w:highlight w:val="none"/>
          <w:lang w:val="en-US" w:eastAsia="zh-CN"/>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8"/>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8"/>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8"/>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w:t>
      </w:r>
      <w:r>
        <w:rPr>
          <w:rFonts w:hint="eastAsia" w:ascii="仿宋" w:hAnsi="仿宋" w:eastAsia="仿宋"/>
          <w:color w:val="000000"/>
          <w:sz w:val="32"/>
          <w:szCs w:val="32"/>
          <w:highlight w:val="none"/>
        </w:rPr>
        <w:t xml:space="preserve">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8"/>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8"/>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53825548"/>
      <w:r/>
      <w:bookmarkStart w:id="37" w:name="_Toc226965856"/>
      <w:r/>
      <w:bookmarkStart w:id="38" w:name="_Toc127161488"/>
      <w:r/>
      <w:bookmarkStart w:id="39" w:name="_Toc265228423"/>
      <w:r/>
      <w:bookmarkStart w:id="40" w:name="_Toc127151777"/>
      <w:r/>
      <w:bookmarkStart w:id="41" w:name="_Toc195842950"/>
      <w:r/>
      <w:bookmarkStart w:id="42" w:name="_Toc264969275"/>
      <w:r/>
      <w:bookmarkStart w:id="43" w:name="_Toc305158854"/>
      <w:r/>
      <w:bookmarkStart w:id="44" w:name="_Toc150774783"/>
      <w:r/>
      <w:bookmarkStart w:id="45" w:name="_Toc99301420"/>
      <w:r/>
      <w:bookmarkStart w:id="46" w:name="_Toc512937850"/>
      <w:r/>
      <w:bookmarkStart w:id="47" w:name="_Toc305158928"/>
      <w:r/>
      <w:bookmarkStart w:id="48" w:name="_Toc35387393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90"/>
        <w:spacing w:before="0" w:line="360" w:lineRule="auto"/>
        <w:tabs>
          <w:tab w:val="center" w:pos="4592" w:leader="none"/>
          <w:tab w:val="left" w:pos="7860" w:leader="none"/>
        </w:tabs>
        <w:rPr>
          <w:rFonts w:ascii="宋体" w:hAnsi="宋体" w:eastAsia="宋体"/>
          <w:color w:val="000000"/>
          <w:sz w:val="28"/>
          <w:highlight w:val="none"/>
        </w:rPr>
      </w:pPr>
      <w:r/>
      <w:bookmarkStart w:id="49" w:name="_Toc164229214"/>
      <w:r/>
      <w:bookmarkStart w:id="50" w:name="_Toc150774619"/>
      <w:r/>
      <w:bookmarkStart w:id="51" w:name="_Toc520356144"/>
      <w:r/>
      <w:bookmarkStart w:id="52" w:name="_Toc151193761"/>
      <w:r/>
      <w:bookmarkStart w:id="53" w:name="_Toc151193617"/>
      <w:r/>
      <w:bookmarkStart w:id="54" w:name="_Toc151190146"/>
      <w:r/>
      <w:bookmarkStart w:id="55" w:name="_Toc164608633"/>
      <w:r/>
      <w:bookmarkStart w:id="56" w:name="_Toc226965792"/>
      <w:r/>
      <w:bookmarkStart w:id="57" w:name="_Toc127161433"/>
      <w:r/>
      <w:bookmarkStart w:id="58" w:name="_Toc195842884"/>
      <w:r/>
      <w:bookmarkStart w:id="59" w:name="_Toc149720812"/>
      <w:r/>
      <w:bookmarkStart w:id="60" w:name="_Toc226309763"/>
      <w:r/>
      <w:bookmarkStart w:id="61" w:name="_Toc164229360"/>
      <w:r/>
      <w:bookmarkStart w:id="62" w:name="_Toc164608788"/>
      <w:r/>
      <w:bookmarkStart w:id="63" w:name="_Toc164351613"/>
      <w:r/>
      <w:bookmarkStart w:id="64" w:name="_Toc226965709"/>
      <w:r/>
      <w:bookmarkStart w:id="65" w:name="_Toc151193689"/>
      <w:r/>
      <w:bookmarkStart w:id="66" w:name="_Toc127151720"/>
      <w:r/>
      <w:bookmarkStart w:id="67" w:name="_Toc142311021"/>
      <w:r/>
      <w:bookmarkStart w:id="68" w:name="_Toc127151519"/>
      <w:r/>
      <w:bookmarkStart w:id="69" w:name="_Toc150480757"/>
      <w:r/>
      <w:bookmarkStart w:id="70" w:name="_Toc151193907"/>
      <w:r/>
      <w:bookmarkStart w:id="71" w:name="_Toc151193833"/>
      <w:r/>
      <w:bookmarkStart w:id="72" w:name="_Toc150774724"/>
      <w:r/>
      <w:bookmarkStart w:id="73" w:name="_Toc150509270"/>
      <w:r/>
      <w:bookmarkStart w:id="74" w:name="_Toc226337215"/>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8"/>
        <w:jc w:val="center"/>
        <w:rPr>
          <w:rFonts w:ascii="宋体" w:hAnsi="宋体"/>
          <w:b/>
          <w:color w:val="000000"/>
          <w:sz w:val="28"/>
          <w:szCs w:val="28"/>
          <w:highlight w:val="none"/>
        </w:rPr>
      </w:pPr>
      <w:r>
        <w:rPr>
          <w:rFonts w:ascii="宋体" w:hAnsi="宋体"/>
          <w:b/>
          <w:color w:val="000000"/>
          <w:sz w:val="28"/>
          <w:szCs w:val="28"/>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7"/>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7"/>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01/02/03</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8"/>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w:t>
            </w:r>
            <w:r>
              <w:rPr>
                <w:rFonts w:hint="eastAsia" w:ascii="宋体" w:hAnsi="宋体" w:cs="宋体"/>
                <w:color w:val="000000"/>
                <w:sz w:val="24"/>
                <w:highlight w:val="none"/>
              </w:rPr>
              <w:t xml:space="preserve">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8"/>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90"/>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31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w:t>
            </w:r>
            <w:r>
              <w:rPr>
                <w:rFonts w:hint="eastAsia" w:ascii="宋体" w:hAnsi="宋体" w:cs="宋体"/>
                <w:color w:val="000000"/>
                <w:sz w:val="24"/>
                <w:highlight w:val="none"/>
              </w:rPr>
              <w:t xml:space="preserve">术部；</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8"/>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8"/>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中标金额（单位：万元）</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货物类</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100 以下</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100-500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500-1000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0.8%</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1000-5000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0.5%</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5000-10000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0.25%</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按上述计算方法不足</w:t>
                  </w:r>
                  <w:r>
                    <w:rPr>
                      <w:rFonts w:hint="eastAsia" w:ascii="宋体" w:hAnsi="宋体"/>
                      <w:color w:val="000000"/>
                      <w:szCs w:val="21"/>
                      <w:highlight w:val="none"/>
                      <w:lang w:val="en-US" w:eastAsia="zh-CN"/>
                    </w:rPr>
                    <w:t xml:space="preserve">3000</w:t>
                  </w:r>
                  <w:r>
                    <w:rPr>
                      <w:rFonts w:hint="eastAsia" w:ascii="宋体" w:hAnsi="宋体"/>
                      <w:color w:val="000000"/>
                      <w:szCs w:val="21"/>
                      <w:highlight w:val="none"/>
                    </w:rPr>
                    <w:t xml:space="preserve">元</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固定值：</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000元（不打折）</w:t>
                  </w:r>
                  <w:r>
                    <w:rPr>
                      <w:rFonts w:ascii="宋体" w:hAnsi="宋体"/>
                      <w:color w:val="000000"/>
                      <w:szCs w:val="21"/>
                      <w:highlight w:val="none"/>
                    </w:rPr>
                  </w:r>
                  <w:r/>
                </w:p>
              </w:tc>
            </w:tr>
            <w:tr>
              <w:trPr/>
              <w:tc>
                <w:tcPr>
                  <w:gridSpan w:val="3"/>
                  <w:tcW w:w="7313" w:type="dxa"/>
                  <w:vAlign w:val="center"/>
                  <w:textDirection w:val="lrTb"/>
                  <w:noWrap w:val="false"/>
                </w:tcPr>
                <w:p>
                  <w:pPr>
                    <w:pStyle w:val="1088"/>
                    <w:jc w:val="left"/>
                    <w:rPr>
                      <w:rFonts w:hint="eastAsia" w:ascii="宋体" w:hAnsi="宋体" w:cs="宋体"/>
                      <w:color w:val="000000"/>
                      <w:szCs w:val="21"/>
                      <w:highlight w:val="none"/>
                      <w:lang w:val="en-US" w:eastAsia="zh-CN"/>
                    </w:rPr>
                  </w:pPr>
                  <w:r>
                    <w:rPr>
                      <w:rFonts w:hint="eastAsia" w:ascii="宋体" w:hAnsi="宋体" w:eastAsia="宋体" w:cs="宋体"/>
                      <w:b w:val="0"/>
                      <w:bCs/>
                      <w:color w:val="000000"/>
                      <w:sz w:val="24"/>
                      <w:highlight w:val="none"/>
                      <w:lang w:val="en-US" w:eastAsia="zh-CN"/>
                    </w:rPr>
                    <w:t xml:space="preserve">注：①成交服务收费按差额定率累进法计算；②服务费按照上述标准的60%收取。</w:t>
                  </w:r>
                  <w:r>
                    <w:rPr>
                      <w:rFonts w:hint="eastAsia" w:ascii="宋体" w:hAnsi="宋体" w:cs="宋体"/>
                      <w:color w:val="000000"/>
                      <w:szCs w:val="21"/>
                      <w:highlight w:val="none"/>
                      <w:lang w:val="en-US" w:eastAsia="zh-CN"/>
                    </w:rPr>
                  </w:r>
                  <w:r/>
                </w:p>
              </w:tc>
            </w:tr>
          </w:tbl>
          <w:p>
            <w:pPr>
              <w:pStyle w:val="1088"/>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rPr>
              <w:t xml:space="preserve">领</w:t>
            </w:r>
            <w:r>
              <w:rPr>
                <w:rFonts w:hint="eastAsia" w:ascii="宋体" w:hAnsi="宋体" w:cs="宋体"/>
                <w:color w:val="000000"/>
                <w:sz w:val="24"/>
                <w:highlight w:val="none"/>
              </w:rPr>
              <w:t xml:space="preserve">取中标通知书</w:t>
            </w:r>
            <w:r>
              <w:rPr>
                <w:rFonts w:hint="eastAsia" w:ascii="宋体" w:hAnsi="宋体" w:cs="宋体"/>
                <w:color w:val="000000"/>
                <w:sz w:val="24"/>
                <w:highlight w:val="none"/>
              </w:rPr>
              <w:t xml:space="preserve">时将代理费支付至常州市城投建设工程招标有限公司账户。</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8"/>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8"/>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8"/>
        <w:jc w:val="center"/>
        <w:spacing w:before="240" w:after="240"/>
        <w:rPr>
          <w:rFonts w:hint="eastAsia" w:ascii="宋体" w:hAnsi="宋体" w:cs="宋体"/>
          <w:b/>
          <w:color w:val="000000"/>
          <w:sz w:val="28"/>
          <w:szCs w:val="28"/>
          <w:highlight w:val="none"/>
        </w:rPr>
      </w:pPr>
      <w:r/>
      <w:bookmarkStart w:id="75" w:name="_Toc305158859"/>
      <w:r/>
      <w:bookmarkStart w:id="76" w:name="_Toc150480755"/>
      <w:r/>
      <w:bookmarkStart w:id="77" w:name="_Toc226965790"/>
      <w:r/>
      <w:bookmarkStart w:id="78" w:name="_Toc264969207"/>
      <w:r/>
      <w:bookmarkStart w:id="79" w:name="_Toc150774722"/>
      <w:r/>
      <w:bookmarkStart w:id="80" w:name="_Toc265228355"/>
      <w:r/>
      <w:bookmarkStart w:id="81" w:name="_Toc353873662"/>
      <w:r/>
      <w:bookmarkStart w:id="82" w:name="_Toc305158785"/>
      <w:r/>
      <w:bookmarkStart w:id="83" w:name="_Toc142311019"/>
      <w:r/>
      <w:bookmarkStart w:id="84" w:name="_Toc127151517"/>
      <w:r/>
      <w:bookmarkStart w:id="85" w:name="_Toc195842882"/>
      <w:r/>
      <w:bookmarkStart w:id="86" w:name="_Toc353873932"/>
      <w:r/>
      <w:bookmarkStart w:id="87" w:name="_Toc353825542"/>
      <w:r/>
      <w:bookmarkStart w:id="88" w:name="_Toc226337213"/>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9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264969208"/>
      <w:r/>
      <w:bookmarkStart w:id="92" w:name="_Toc265228356"/>
      <w:r/>
      <w:bookmarkStart w:id="93" w:name="_Toc226337214"/>
      <w:r/>
      <w:bookmarkStart w:id="94" w:name="_Toc142311020"/>
      <w:r/>
      <w:bookmarkStart w:id="95" w:name="_Toc305158860"/>
      <w:r/>
      <w:bookmarkStart w:id="96" w:name="_Toc226965791"/>
      <w:r/>
      <w:bookmarkStart w:id="97" w:name="_Toc151193688"/>
      <w:r/>
      <w:bookmarkStart w:id="98" w:name="_Toc150509269"/>
      <w:r/>
      <w:bookmarkStart w:id="99" w:name="_Toc151193906"/>
      <w:r/>
      <w:bookmarkStart w:id="100" w:name="_Toc226309762"/>
      <w:r/>
      <w:bookmarkStart w:id="101" w:name="_Toc151193760"/>
      <w:r/>
      <w:bookmarkStart w:id="102" w:name="_Toc150774618"/>
      <w:r/>
      <w:bookmarkStart w:id="103" w:name="_Toc151190145"/>
      <w:r/>
      <w:bookmarkStart w:id="104" w:name="_Toc226965708"/>
      <w:r/>
      <w:bookmarkStart w:id="105" w:name="_Toc150480756"/>
      <w:r/>
      <w:bookmarkStart w:id="106" w:name="_Toc150774723"/>
      <w:r/>
      <w:bookmarkStart w:id="107" w:name="_Toc195842883"/>
      <w:r/>
      <w:bookmarkStart w:id="108" w:name="_Toc151193616"/>
      <w:r/>
      <w:bookmarkStart w:id="109" w:name="_Toc305158786"/>
      <w:r/>
      <w:bookmarkStart w:id="110" w:name="_Toc151193832"/>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305158861"/>
      <w:r/>
      <w:bookmarkStart w:id="113" w:name="_Toc265228357"/>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608634"/>
      <w:r/>
      <w:bookmarkStart w:id="116" w:name="_Toc195842885"/>
      <w:r/>
      <w:bookmarkStart w:id="117" w:name="_Toc151193690"/>
      <w:r/>
      <w:bookmarkStart w:id="118" w:name="_Toc151193618"/>
      <w:r/>
      <w:bookmarkStart w:id="119" w:name="_Toc265228358"/>
      <w:r/>
      <w:bookmarkStart w:id="120" w:name="_Toc151193908"/>
      <w:r/>
      <w:bookmarkStart w:id="121" w:name="_Toc127151520"/>
      <w:r/>
      <w:bookmarkStart w:id="122" w:name="_Toc305158788"/>
      <w:r/>
      <w:bookmarkStart w:id="123" w:name="_Toc226965793"/>
      <w:r/>
      <w:bookmarkStart w:id="124" w:name="_Toc164229215"/>
      <w:r/>
      <w:bookmarkStart w:id="125" w:name="_Toc264969210"/>
      <w:r/>
      <w:bookmarkStart w:id="126" w:name="_Toc151193834"/>
      <w:r/>
      <w:bookmarkStart w:id="127" w:name="_Toc150509271"/>
      <w:r/>
      <w:bookmarkStart w:id="128" w:name="_Toc149720813"/>
      <w:r/>
      <w:bookmarkStart w:id="129" w:name="_Toc150480758"/>
      <w:r/>
      <w:bookmarkStart w:id="130" w:name="_Toc150774620"/>
      <w:r/>
      <w:bookmarkStart w:id="131" w:name="_Toc151193762"/>
      <w:r/>
      <w:bookmarkStart w:id="132" w:name="_Toc226309764"/>
      <w:r/>
      <w:bookmarkStart w:id="133" w:name="_Toc226337216"/>
      <w:r/>
      <w:bookmarkStart w:id="134" w:name="_Toc142311022"/>
      <w:r/>
      <w:bookmarkStart w:id="135" w:name="_Toc127161434"/>
      <w:r/>
      <w:bookmarkStart w:id="136" w:name="_Toc127151721"/>
      <w:r/>
      <w:bookmarkStart w:id="137" w:name="_Toc226965710"/>
      <w:r/>
      <w:bookmarkStart w:id="138" w:name="_Toc164608789"/>
      <w:r/>
      <w:bookmarkStart w:id="139" w:name="_Toc305158862"/>
      <w:r/>
      <w:bookmarkStart w:id="140" w:name="_Toc164229361"/>
      <w:r/>
      <w:bookmarkStart w:id="141" w:name="_Toc150774725"/>
      <w:r/>
      <w:bookmarkStart w:id="142" w:name="_Toc151190147"/>
      <w:r/>
      <w:bookmarkStart w:id="143" w:name="_Toc164351614"/>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764"/>
      <w:r/>
      <w:bookmarkStart w:id="145" w:name="_Toc226965712"/>
      <w:r/>
      <w:bookmarkStart w:id="146" w:name="_Toc265228360"/>
      <w:r/>
      <w:bookmarkStart w:id="147" w:name="_Toc151193692"/>
      <w:r/>
      <w:bookmarkStart w:id="148" w:name="_Toc142311024"/>
      <w:r/>
      <w:bookmarkStart w:id="149" w:name="_Toc151193910"/>
      <w:r/>
      <w:bookmarkStart w:id="150" w:name="_Toc226965795"/>
      <w:r/>
      <w:bookmarkStart w:id="151" w:name="_Toc151190149"/>
      <w:r/>
      <w:bookmarkStart w:id="152" w:name="_Toc226309766"/>
      <w:r/>
      <w:bookmarkStart w:id="153" w:name="_Toc150509273"/>
      <w:r/>
      <w:bookmarkStart w:id="154" w:name="_Toc305158790"/>
      <w:r/>
      <w:bookmarkStart w:id="155" w:name="_Toc150774727"/>
      <w:r/>
      <w:bookmarkStart w:id="156" w:name="_Toc305158864"/>
      <w:r/>
      <w:bookmarkStart w:id="157" w:name="_Toc520356146"/>
      <w:r/>
      <w:bookmarkStart w:id="158" w:name="_Toc195842887"/>
      <w:r/>
      <w:bookmarkStart w:id="159" w:name="_Toc150774622"/>
      <w:r/>
      <w:bookmarkStart w:id="160" w:name="_Toc264969212"/>
      <w:r/>
      <w:bookmarkStart w:id="161" w:name="_Toc151193620"/>
      <w:r/>
      <w:bookmarkStart w:id="162" w:name="_Toc151193836"/>
      <w:r/>
      <w:bookmarkStart w:id="163" w:name="_Toc226337218"/>
      <w:r/>
      <w:bookmarkStart w:id="164" w:name="_Toc150480760"/>
      <w:r/>
      <w:bookmarkStart w:id="165" w:name="_Toc127151522"/>
      <w:r>
        <w:rPr>
          <w:rFonts w:hint="eastAsia" w:ascii="宋体" w:hAnsi="宋体" w:cs="宋体"/>
          <w:color w:val="000000"/>
          <w:sz w:val="28"/>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2"/>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8"/>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w:t>
      </w:r>
      <w:r>
        <w:rPr>
          <w:rFonts w:hint="eastAsia" w:ascii="宋体" w:hAnsi="宋体"/>
          <w:color w:val="000000"/>
          <w:sz w:val="24"/>
          <w:highlight w:val="none"/>
        </w:rPr>
        <w:t xml:space="preserve">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8"/>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9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693"/>
      <w:r/>
      <w:bookmarkStart w:id="168" w:name="_Toc151193911"/>
      <w:r/>
      <w:bookmarkStart w:id="169" w:name="_Toc164608792"/>
      <w:r/>
      <w:bookmarkStart w:id="170" w:name="_Toc127161437"/>
      <w:r/>
      <w:bookmarkStart w:id="171" w:name="_Toc305158865"/>
      <w:r/>
      <w:bookmarkStart w:id="172" w:name="_Toc151190150"/>
      <w:r/>
      <w:bookmarkStart w:id="173" w:name="_Toc520356147"/>
      <w:r/>
      <w:bookmarkStart w:id="174" w:name="_Toc142311025"/>
      <w:r/>
      <w:bookmarkStart w:id="175" w:name="_Toc150480761"/>
      <w:r/>
      <w:bookmarkStart w:id="176" w:name="_Toc150774623"/>
      <w:r/>
      <w:bookmarkStart w:id="177" w:name="_Toc264969213"/>
      <w:r/>
      <w:bookmarkStart w:id="178" w:name="_Toc164229218"/>
      <w:r/>
      <w:bookmarkStart w:id="179" w:name="_Toc151193837"/>
      <w:r/>
      <w:bookmarkStart w:id="180" w:name="_Toc226965713"/>
      <w:r/>
      <w:bookmarkStart w:id="181" w:name="_Toc265228361"/>
      <w:r/>
      <w:bookmarkStart w:id="182" w:name="_Toc226965796"/>
      <w:r/>
      <w:bookmarkStart w:id="183" w:name="_Toc164608637"/>
      <w:r/>
      <w:bookmarkStart w:id="184" w:name="_Toc127151523"/>
      <w:r/>
      <w:bookmarkStart w:id="185" w:name="_Toc149720816"/>
      <w:r/>
      <w:bookmarkStart w:id="186" w:name="_Toc195842888"/>
      <w:r/>
      <w:bookmarkStart w:id="187" w:name="_Toc151193621"/>
      <w:r/>
      <w:bookmarkStart w:id="188" w:name="_Toc226337219"/>
      <w:r/>
      <w:bookmarkStart w:id="189" w:name="_Toc127151724"/>
      <w:r/>
      <w:bookmarkStart w:id="190" w:name="_Toc164351617"/>
      <w:r/>
      <w:bookmarkStart w:id="191" w:name="_Toc305158791"/>
      <w:r/>
      <w:bookmarkStart w:id="192" w:name="_Toc150774728"/>
      <w:r/>
      <w:bookmarkStart w:id="193" w:name="_Toc151193765"/>
      <w:r/>
      <w:bookmarkStart w:id="194" w:name="_Toc226309767"/>
      <w:r/>
      <w:bookmarkStart w:id="195" w:name="_Toc150509274"/>
      <w:r/>
      <w:bookmarkStart w:id="196" w:name="_Toc164229364"/>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197" w:name="_Toc520356150"/>
      <w:r/>
      <w:bookmarkStart w:id="198" w:name="_Toc226337222"/>
      <w:r/>
      <w:bookmarkStart w:id="199" w:name="_Toc226309770"/>
      <w:r/>
      <w:bookmarkStart w:id="200" w:name="_Toc226965716"/>
      <w:r/>
      <w:bookmarkStart w:id="201" w:name="_Toc151190153"/>
      <w:r/>
      <w:bookmarkStart w:id="202" w:name="_Toc151193624"/>
      <w:r/>
      <w:bookmarkStart w:id="203" w:name="_Toc151193768"/>
      <w:r/>
      <w:bookmarkStart w:id="204" w:name="_Toc150509277"/>
      <w:r/>
      <w:bookmarkStart w:id="205" w:name="_Toc195842891"/>
      <w:r/>
      <w:bookmarkStart w:id="206" w:name="_Toc150774731"/>
      <w:r/>
      <w:bookmarkStart w:id="207" w:name="_Toc150480764"/>
      <w:r/>
      <w:bookmarkStart w:id="208" w:name="_Toc150774626"/>
      <w:r/>
      <w:bookmarkStart w:id="209" w:name="_Toc305158794"/>
      <w:r/>
      <w:bookmarkStart w:id="210" w:name="_Toc516367020"/>
      <w:r/>
      <w:bookmarkStart w:id="211" w:name="_Toc151193840"/>
      <w:r/>
      <w:bookmarkStart w:id="212" w:name="_Toc142311028"/>
      <w:r/>
      <w:bookmarkStart w:id="213" w:name="_Toc151193696"/>
      <w:r/>
      <w:bookmarkStart w:id="214" w:name="_Toc264969216"/>
      <w:r/>
      <w:bookmarkStart w:id="215" w:name="_Toc151193914"/>
      <w:r/>
      <w:bookmarkStart w:id="216" w:name="_Toc265228364"/>
      <w:r/>
      <w:bookmarkStart w:id="217" w:name="_Toc226965799"/>
      <w:r/>
      <w:bookmarkStart w:id="218" w:name="_Toc127151526"/>
      <w:r/>
      <w:bookmarkStart w:id="219" w:name="_Toc30515886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229222"/>
      <w:r/>
      <w:bookmarkStart w:id="221" w:name="_Toc151193841"/>
      <w:r/>
      <w:bookmarkStart w:id="222" w:name="_Toc151193769"/>
      <w:r/>
      <w:bookmarkStart w:id="223" w:name="_Toc151193915"/>
      <w:r/>
      <w:bookmarkStart w:id="224" w:name="_Toc226965800"/>
      <w:r/>
      <w:bookmarkStart w:id="225" w:name="_Toc150509278"/>
      <w:r/>
      <w:bookmarkStart w:id="226" w:name="_Toc149720820"/>
      <w:r/>
      <w:bookmarkStart w:id="227" w:name="_Toc127151527"/>
      <w:r/>
      <w:bookmarkStart w:id="228" w:name="_Toc305158795"/>
      <w:r/>
      <w:bookmarkStart w:id="229" w:name="_Toc226337223"/>
      <w:r/>
      <w:bookmarkStart w:id="230" w:name="_Toc151190154"/>
      <w:r/>
      <w:bookmarkStart w:id="231" w:name="_Toc150480765"/>
      <w:r/>
      <w:bookmarkStart w:id="232" w:name="_Toc127161441"/>
      <w:r/>
      <w:bookmarkStart w:id="233" w:name="_Toc305158869"/>
      <w:r/>
      <w:bookmarkStart w:id="234" w:name="_Toc127151728"/>
      <w:r/>
      <w:bookmarkStart w:id="235" w:name="_Toc150774627"/>
      <w:r/>
      <w:bookmarkStart w:id="236" w:name="_Toc226309771"/>
      <w:r/>
      <w:bookmarkStart w:id="237" w:name="_Toc226965717"/>
      <w:r/>
      <w:bookmarkStart w:id="238" w:name="_Toc516367021"/>
      <w:r/>
      <w:bookmarkStart w:id="239" w:name="_Toc520356151"/>
      <w:r/>
      <w:bookmarkStart w:id="240" w:name="_Toc164608641"/>
      <w:r/>
      <w:bookmarkStart w:id="241" w:name="_Toc264969217"/>
      <w:r/>
      <w:bookmarkStart w:id="242" w:name="_Toc265228365"/>
      <w:r/>
      <w:bookmarkStart w:id="243" w:name="_Toc195842892"/>
      <w:r/>
      <w:bookmarkStart w:id="244" w:name="_Toc151193625"/>
      <w:r/>
      <w:bookmarkStart w:id="245" w:name="_Toc142311029"/>
      <w:r/>
      <w:bookmarkStart w:id="246" w:name="_Toc164229368"/>
      <w:r/>
      <w:bookmarkStart w:id="247" w:name="_Toc150774732"/>
      <w:r/>
      <w:bookmarkStart w:id="248" w:name="_Toc164351621"/>
      <w:r/>
      <w:bookmarkStart w:id="249" w:name="_Toc164608796"/>
      <w:r/>
      <w:bookmarkStart w:id="250" w:name="_Toc151193697"/>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608642"/>
      <w:r/>
      <w:bookmarkStart w:id="252" w:name="_Toc164351622"/>
      <w:r/>
      <w:bookmarkStart w:id="253" w:name="_Toc150480766"/>
      <w:r/>
      <w:bookmarkStart w:id="254" w:name="_Toc305158870"/>
      <w:r/>
      <w:bookmarkStart w:id="255" w:name="_Toc149720821"/>
      <w:r/>
      <w:bookmarkStart w:id="256" w:name="_Toc127151528"/>
      <w:r/>
      <w:bookmarkStart w:id="257" w:name="_Toc164229369"/>
      <w:r/>
      <w:bookmarkStart w:id="258" w:name="_Ref467306676"/>
      <w:r/>
      <w:bookmarkStart w:id="259" w:name="_Ref467306195"/>
      <w:r/>
      <w:bookmarkStart w:id="260" w:name="_Toc516367022"/>
      <w:r/>
      <w:bookmarkStart w:id="261" w:name="_Toc151193842"/>
      <w:r/>
      <w:bookmarkStart w:id="262" w:name="_Toc520356152"/>
      <w:r/>
      <w:bookmarkStart w:id="263" w:name="_Toc226309772"/>
      <w:r/>
      <w:bookmarkStart w:id="264" w:name="_Toc127151729"/>
      <w:r/>
      <w:bookmarkStart w:id="265" w:name="_Toc164229223"/>
      <w:r/>
      <w:bookmarkStart w:id="266" w:name="_Toc151190155"/>
      <w:r/>
      <w:bookmarkStart w:id="267" w:name="_Toc264969218"/>
      <w:r/>
      <w:bookmarkStart w:id="268" w:name="_Toc151193626"/>
      <w:r/>
      <w:bookmarkStart w:id="269" w:name="_Toc164608797"/>
      <w:r/>
      <w:bookmarkStart w:id="270" w:name="_Toc150509279"/>
      <w:r/>
      <w:bookmarkStart w:id="271" w:name="_Toc265228366"/>
      <w:r/>
      <w:bookmarkStart w:id="272" w:name="_Toc305158796"/>
      <w:r/>
      <w:bookmarkStart w:id="273" w:name="_Toc150774628"/>
      <w:r/>
      <w:bookmarkStart w:id="274" w:name="_Toc127161442"/>
      <w:r/>
      <w:bookmarkStart w:id="275" w:name="_Toc151193770"/>
      <w:r/>
      <w:bookmarkStart w:id="276" w:name="_Toc226965801"/>
      <w:r/>
      <w:bookmarkStart w:id="277" w:name="_Toc150774733"/>
      <w:r/>
      <w:bookmarkStart w:id="278" w:name="_Toc226337224"/>
      <w:r/>
      <w:bookmarkStart w:id="279" w:name="_Toc226965718"/>
      <w:r/>
      <w:bookmarkStart w:id="280" w:name="_Toc151193916"/>
      <w:r/>
      <w:bookmarkStart w:id="281" w:name="_Toc142311030"/>
      <w:r/>
      <w:bookmarkStart w:id="282" w:name="_Toc151193698"/>
      <w:r/>
      <w:bookmarkStart w:id="283" w:name="_Toc195842893"/>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774735"/>
      <w:r/>
      <w:bookmarkStart w:id="286" w:name="_Toc164608644"/>
      <w:r/>
      <w:bookmarkStart w:id="287" w:name="_Toc151193628"/>
      <w:r/>
      <w:bookmarkStart w:id="288" w:name="_Toc150480768"/>
      <w:r/>
      <w:bookmarkStart w:id="289" w:name="_Toc151193918"/>
      <w:r/>
      <w:bookmarkStart w:id="290" w:name="_Toc164229371"/>
      <w:r/>
      <w:bookmarkStart w:id="291" w:name="_Toc151193772"/>
      <w:r/>
      <w:bookmarkStart w:id="292" w:name="_Toc151193844"/>
      <w:r/>
      <w:bookmarkStart w:id="293" w:name="_Toc142311032"/>
      <w:r/>
      <w:bookmarkStart w:id="294" w:name="_Toc164351624"/>
      <w:r/>
      <w:bookmarkStart w:id="295" w:name="_Toc127151530"/>
      <w:r/>
      <w:bookmarkStart w:id="296" w:name="_Toc150509281"/>
      <w:r/>
      <w:bookmarkStart w:id="297" w:name="_Toc151193700"/>
      <w:r/>
      <w:bookmarkStart w:id="298" w:name="_Toc164608799"/>
      <w:r/>
      <w:bookmarkStart w:id="299" w:name="_Toc127151731"/>
      <w:r/>
      <w:bookmarkStart w:id="300" w:name="_Toc195842895"/>
      <w:r/>
      <w:bookmarkStart w:id="301" w:name="_Toc151190157"/>
      <w:r/>
      <w:bookmarkStart w:id="302" w:name="_Toc150774630"/>
      <w:r/>
      <w:bookmarkStart w:id="303" w:name="_Toc149720823"/>
      <w:r/>
      <w:bookmarkStart w:id="304" w:name="_Toc520356155"/>
      <w:r/>
      <w:bookmarkStart w:id="305" w:name="_Toc164229225"/>
      <w:r/>
      <w:bookmarkStart w:id="306" w:name="_Toc127161444"/>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226309775"/>
      <w:r/>
      <w:bookmarkStart w:id="308" w:name="_Toc151193919"/>
      <w:r/>
      <w:bookmarkStart w:id="309" w:name="_Toc226337227"/>
      <w:r/>
      <w:bookmarkStart w:id="310" w:name="_Toc151190158"/>
      <w:r/>
      <w:bookmarkStart w:id="311" w:name="_Toc305158873"/>
      <w:r/>
      <w:bookmarkStart w:id="312" w:name="_Toc151193629"/>
      <w:r/>
      <w:bookmarkStart w:id="313" w:name="_Toc195842896"/>
      <w:r/>
      <w:bookmarkStart w:id="314" w:name="_Toc164608645"/>
      <w:r/>
      <w:bookmarkStart w:id="315" w:name="_Toc151193701"/>
      <w:r/>
      <w:bookmarkStart w:id="316" w:name="_Toc164229372"/>
      <w:r/>
      <w:bookmarkStart w:id="317" w:name="_Toc150509282"/>
      <w:r/>
      <w:bookmarkStart w:id="318" w:name="_Toc265228369"/>
      <w:r/>
      <w:bookmarkStart w:id="319" w:name="_Toc142311033"/>
      <w:r/>
      <w:bookmarkStart w:id="320" w:name="_Ref467306513"/>
      <w:r/>
      <w:bookmarkStart w:id="321" w:name="_Toc151193845"/>
      <w:r/>
      <w:bookmarkStart w:id="322" w:name="_Toc305158799"/>
      <w:r/>
      <w:bookmarkStart w:id="323" w:name="_Toc127151732"/>
      <w:r/>
      <w:bookmarkStart w:id="324" w:name="_Toc150774631"/>
      <w:r/>
      <w:bookmarkStart w:id="325" w:name="_Toc164608800"/>
      <w:r/>
      <w:bookmarkStart w:id="326" w:name="_Toc150480769"/>
      <w:r/>
      <w:bookmarkStart w:id="327" w:name="_Toc164351625"/>
      <w:r/>
      <w:bookmarkStart w:id="328" w:name="_Toc149720824"/>
      <w:r/>
      <w:bookmarkStart w:id="329" w:name="_Toc150774736"/>
      <w:r/>
      <w:bookmarkStart w:id="330" w:name="_Toc151193773"/>
      <w:r/>
      <w:bookmarkStart w:id="331" w:name="_Toc226965721"/>
      <w:r/>
      <w:bookmarkStart w:id="332" w:name="_Toc164229226"/>
      <w:r/>
      <w:bookmarkStart w:id="333" w:name="_Toc226965804"/>
      <w:r/>
      <w:bookmarkStart w:id="334" w:name="_Toc127161445"/>
      <w:r/>
      <w:bookmarkStart w:id="335" w:name="_Toc127151531"/>
      <w:r/>
      <w:bookmarkStart w:id="336" w:name="_Toc520356156"/>
      <w:r/>
      <w:bookmarkStart w:id="337" w:name="_Toc264969221"/>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8"/>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64229227"/>
      <w:r/>
      <w:bookmarkStart w:id="339" w:name="_Toc151193630"/>
      <w:r/>
      <w:bookmarkStart w:id="340" w:name="_Toc150774632"/>
      <w:r/>
      <w:bookmarkStart w:id="341" w:name="_Toc305158874"/>
      <w:r/>
      <w:bookmarkStart w:id="342" w:name="_Toc226965722"/>
      <w:r/>
      <w:bookmarkStart w:id="343" w:name="_Toc520356157"/>
      <w:r/>
      <w:bookmarkStart w:id="344" w:name="_Toc151190159"/>
      <w:r/>
      <w:bookmarkStart w:id="345" w:name="_Toc149720825"/>
      <w:r/>
      <w:bookmarkStart w:id="346" w:name="_Toc195842897"/>
      <w:r/>
      <w:bookmarkStart w:id="347" w:name="_Toc164608801"/>
      <w:r/>
      <w:bookmarkStart w:id="348" w:name="_Toc151193702"/>
      <w:r/>
      <w:bookmarkStart w:id="349" w:name="_Toc264969222"/>
      <w:r/>
      <w:bookmarkStart w:id="350" w:name="_Toc127161446"/>
      <w:r/>
      <w:bookmarkStart w:id="351" w:name="_Toc150509283"/>
      <w:r/>
      <w:bookmarkStart w:id="352" w:name="_Toc151193774"/>
      <w:r/>
      <w:bookmarkStart w:id="353" w:name="_Toc226309776"/>
      <w:r/>
      <w:bookmarkStart w:id="354" w:name="_Toc265228370"/>
      <w:r/>
      <w:bookmarkStart w:id="355" w:name="_Toc127151532"/>
      <w:r/>
      <w:bookmarkStart w:id="356" w:name="_Toc127151733"/>
      <w:r/>
      <w:bookmarkStart w:id="357" w:name="_Toc226965805"/>
      <w:r/>
      <w:bookmarkStart w:id="358" w:name="_Toc164229373"/>
      <w:r/>
      <w:bookmarkStart w:id="359" w:name="_Toc151193846"/>
      <w:r/>
      <w:bookmarkStart w:id="360" w:name="_Toc150480770"/>
      <w:r/>
      <w:bookmarkStart w:id="361" w:name="_Toc226337228"/>
      <w:r/>
      <w:bookmarkStart w:id="362" w:name="_Toc142311034"/>
      <w:r/>
      <w:bookmarkStart w:id="363" w:name="_Toc305158800"/>
      <w:r/>
      <w:bookmarkStart w:id="364" w:name="_Toc164608646"/>
      <w:r/>
      <w:bookmarkStart w:id="365" w:name="_Toc151193920"/>
      <w:r/>
      <w:bookmarkStart w:id="366" w:name="_Toc164351626"/>
      <w:r/>
      <w:bookmarkStart w:id="367" w:name="_Toc150774737"/>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775"/>
      <w:r/>
      <w:bookmarkStart w:id="369" w:name="_Toc265228371"/>
      <w:r/>
      <w:bookmarkStart w:id="370" w:name="_Toc127151533"/>
      <w:r/>
      <w:bookmarkStart w:id="371" w:name="_Toc151193631"/>
      <w:r/>
      <w:bookmarkStart w:id="372" w:name="_Toc164229374"/>
      <w:r/>
      <w:bookmarkStart w:id="373" w:name="_Toc226309777"/>
      <w:r/>
      <w:bookmarkStart w:id="374" w:name="_Toc164608647"/>
      <w:r/>
      <w:bookmarkStart w:id="375" w:name="_Toc195842898"/>
      <w:r/>
      <w:bookmarkStart w:id="376" w:name="_Toc151193847"/>
      <w:r/>
      <w:bookmarkStart w:id="377" w:name="_Toc150480771"/>
      <w:r/>
      <w:bookmarkStart w:id="378" w:name="_Toc305158875"/>
      <w:r/>
      <w:bookmarkStart w:id="379" w:name="_Toc226965806"/>
      <w:r/>
      <w:bookmarkStart w:id="380" w:name="_Toc142311035"/>
      <w:r/>
      <w:bookmarkStart w:id="381" w:name="_Toc127151734"/>
      <w:r/>
      <w:bookmarkStart w:id="382" w:name="_Toc164351627"/>
      <w:r/>
      <w:bookmarkStart w:id="383" w:name="_Toc151193921"/>
      <w:r/>
      <w:bookmarkStart w:id="384" w:name="_Toc149720826"/>
      <w:r/>
      <w:bookmarkStart w:id="385" w:name="_Toc226965723"/>
      <w:r/>
      <w:bookmarkStart w:id="386" w:name="_Toc164229228"/>
      <w:r/>
      <w:bookmarkStart w:id="387" w:name="_Toc151193703"/>
      <w:r/>
      <w:bookmarkStart w:id="388" w:name="_Toc150774633"/>
      <w:r/>
      <w:bookmarkStart w:id="389" w:name="_Toc150509284"/>
      <w:r/>
      <w:bookmarkStart w:id="390" w:name="_Toc151190160"/>
      <w:r/>
      <w:bookmarkStart w:id="391" w:name="_Toc226337229"/>
      <w:r/>
      <w:bookmarkStart w:id="392" w:name="_Toc150774738"/>
      <w:r/>
      <w:bookmarkStart w:id="393" w:name="_Toc127161447"/>
      <w:r/>
      <w:bookmarkStart w:id="394" w:name="_Toc264969223"/>
      <w:r/>
      <w:bookmarkStart w:id="395" w:name="_Toc520356158"/>
      <w:r/>
      <w:bookmarkStart w:id="396" w:name="_Toc164608802"/>
      <w:r/>
      <w:bookmarkStart w:id="397" w:name="_Toc30515880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26309778"/>
      <w:r/>
      <w:bookmarkStart w:id="399" w:name="_Toc226965807"/>
      <w:r/>
      <w:bookmarkStart w:id="400" w:name="_Toc226965724"/>
      <w:r/>
      <w:bookmarkStart w:id="401" w:name="_Toc150774634"/>
      <w:r/>
      <w:bookmarkStart w:id="402" w:name="_Toc195842899"/>
      <w:r/>
      <w:bookmarkStart w:id="403" w:name="_Toc151193704"/>
      <w:r/>
      <w:bookmarkStart w:id="404" w:name="_Toc226337230"/>
      <w:r/>
      <w:bookmarkStart w:id="405" w:name="_Toc151193922"/>
      <w:r/>
      <w:bookmarkStart w:id="406" w:name="_Toc305158802"/>
      <w:r/>
      <w:bookmarkStart w:id="407" w:name="_Toc520356159"/>
      <w:r/>
      <w:bookmarkStart w:id="408" w:name="_Toc151190161"/>
      <w:r/>
      <w:bookmarkStart w:id="409" w:name="_Toc150774739"/>
      <w:r/>
      <w:bookmarkStart w:id="410" w:name="_Toc305158876"/>
      <w:r/>
      <w:bookmarkStart w:id="411" w:name="_Toc264969224"/>
      <w:r/>
      <w:bookmarkStart w:id="412" w:name="_Toc127151534"/>
      <w:r/>
      <w:bookmarkStart w:id="413" w:name="_Toc151193848"/>
      <w:r/>
      <w:bookmarkStart w:id="414" w:name="_Toc151193776"/>
      <w:r/>
      <w:bookmarkStart w:id="415" w:name="_Toc142311036"/>
      <w:r/>
      <w:bookmarkStart w:id="416" w:name="_Toc151193632"/>
      <w:r/>
      <w:bookmarkStart w:id="417" w:name="_Toc150480772"/>
      <w:r/>
      <w:bookmarkStart w:id="418" w:name="_Toc150509285"/>
      <w:r/>
      <w:bookmarkStart w:id="419" w:name="_Toc26522837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8"/>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9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64608804"/>
      <w:r/>
      <w:bookmarkStart w:id="421" w:name="_Toc195842900"/>
      <w:r/>
      <w:bookmarkStart w:id="422" w:name="_Toc520356160"/>
      <w:r/>
      <w:bookmarkStart w:id="423" w:name="_Toc127151736"/>
      <w:r/>
      <w:bookmarkStart w:id="424" w:name="_Toc226965808"/>
      <w:r/>
      <w:bookmarkStart w:id="425" w:name="_Toc164608649"/>
      <w:r/>
      <w:bookmarkStart w:id="426" w:name="_Toc226337231"/>
      <w:r/>
      <w:bookmarkStart w:id="427" w:name="_Toc151193849"/>
      <w:r/>
      <w:bookmarkStart w:id="428" w:name="_Toc150480773"/>
      <w:r/>
      <w:bookmarkStart w:id="429" w:name="_Toc265228373"/>
      <w:r/>
      <w:bookmarkStart w:id="430" w:name="_Toc305158803"/>
      <w:r/>
      <w:bookmarkStart w:id="431" w:name="_Toc149720828"/>
      <w:r/>
      <w:bookmarkStart w:id="432" w:name="_Toc151193923"/>
      <w:r/>
      <w:bookmarkStart w:id="433" w:name="_Toc164351629"/>
      <w:r/>
      <w:bookmarkStart w:id="434" w:name="_Toc151190162"/>
      <w:r/>
      <w:bookmarkStart w:id="435" w:name="_Toc305158877"/>
      <w:r/>
      <w:bookmarkStart w:id="436" w:name="_Toc151193633"/>
      <w:r/>
      <w:bookmarkStart w:id="437" w:name="_Toc151193705"/>
      <w:r/>
      <w:bookmarkStart w:id="438" w:name="_Toc150774740"/>
      <w:r/>
      <w:bookmarkStart w:id="439" w:name="_Toc226965725"/>
      <w:r/>
      <w:bookmarkStart w:id="440" w:name="_Toc151193777"/>
      <w:r/>
      <w:bookmarkStart w:id="441" w:name="_Toc164229230"/>
      <w:r/>
      <w:bookmarkStart w:id="442" w:name="_Toc150509286"/>
      <w:r/>
      <w:bookmarkStart w:id="443" w:name="_Toc127161449"/>
      <w:r/>
      <w:bookmarkStart w:id="444" w:name="_Toc226309779"/>
      <w:r/>
      <w:bookmarkStart w:id="445" w:name="_Toc150774635"/>
      <w:r/>
      <w:bookmarkStart w:id="446" w:name="_Toc142311037"/>
      <w:r/>
      <w:bookmarkStart w:id="447" w:name="_Toc264969225"/>
      <w:r/>
      <w:bookmarkStart w:id="448" w:name="_Toc127151535"/>
      <w:r/>
      <w:bookmarkStart w:id="449" w:name="_Toc164229376"/>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634"/>
      <w:r/>
      <w:bookmarkStart w:id="451" w:name="_Toc195842901"/>
      <w:r/>
      <w:bookmarkStart w:id="452" w:name="_Toc127151536"/>
      <w:r/>
      <w:bookmarkStart w:id="453" w:name="_Toc149720829"/>
      <w:r/>
      <w:bookmarkStart w:id="454" w:name="_Toc151193924"/>
      <w:r/>
      <w:bookmarkStart w:id="455" w:name="_Toc150774636"/>
      <w:r/>
      <w:bookmarkStart w:id="456" w:name="_Toc127151737"/>
      <w:r/>
      <w:bookmarkStart w:id="457" w:name="_Toc127161450"/>
      <w:r/>
      <w:bookmarkStart w:id="458" w:name="_Toc305158804"/>
      <w:r/>
      <w:bookmarkStart w:id="459" w:name="_Toc150774741"/>
      <w:r/>
      <w:bookmarkStart w:id="460" w:name="_Toc150509287"/>
      <w:r/>
      <w:bookmarkStart w:id="461" w:name="_Toc151193778"/>
      <w:r/>
      <w:bookmarkStart w:id="462" w:name="_Toc151190163"/>
      <w:r/>
      <w:bookmarkStart w:id="463" w:name="_Toc226309780"/>
      <w:r/>
      <w:bookmarkStart w:id="464" w:name="_Toc265228374"/>
      <w:r/>
      <w:bookmarkStart w:id="465" w:name="_Toc226337232"/>
      <w:r/>
      <w:bookmarkStart w:id="466" w:name="_Toc151193850"/>
      <w:r/>
      <w:bookmarkStart w:id="467" w:name="_Toc305158878"/>
      <w:r/>
      <w:bookmarkStart w:id="468" w:name="_Toc164351630"/>
      <w:r/>
      <w:bookmarkStart w:id="469" w:name="_Toc164608650"/>
      <w:r/>
      <w:bookmarkStart w:id="470" w:name="_Toc226965809"/>
      <w:r/>
      <w:bookmarkStart w:id="471" w:name="_Toc264969226"/>
      <w:r/>
      <w:bookmarkStart w:id="472" w:name="_Toc142311038"/>
      <w:r/>
      <w:bookmarkStart w:id="473" w:name="_Toc226965726"/>
      <w:r/>
      <w:bookmarkStart w:id="474" w:name="_Toc164229231"/>
      <w:r/>
      <w:bookmarkStart w:id="475" w:name="_Toc151193706"/>
      <w:r/>
      <w:bookmarkStart w:id="476" w:name="_Toc164608805"/>
      <w:r/>
      <w:bookmarkStart w:id="477" w:name="_Toc150480774"/>
      <w:r/>
      <w:bookmarkStart w:id="478" w:name="_Toc164229377"/>
      <w:r/>
      <w:bookmarkStart w:id="479" w:name="_Toc520356161"/>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305158805"/>
      <w:r/>
      <w:bookmarkStart w:id="481" w:name="_Toc150774742"/>
      <w:r/>
      <w:bookmarkStart w:id="482" w:name="_Toc151193779"/>
      <w:r/>
      <w:bookmarkStart w:id="483" w:name="_Toc226337233"/>
      <w:r/>
      <w:bookmarkStart w:id="484" w:name="_Toc305158879"/>
      <w:r/>
      <w:bookmarkStart w:id="485" w:name="_Toc127151738"/>
      <w:r/>
      <w:bookmarkStart w:id="486" w:name="_Toc164608806"/>
      <w:r/>
      <w:bookmarkStart w:id="487" w:name="_Toc164608651"/>
      <w:r/>
      <w:bookmarkStart w:id="488" w:name="_Toc142311039"/>
      <w:r/>
      <w:bookmarkStart w:id="489" w:name="_Toc164351631"/>
      <w:r/>
      <w:bookmarkStart w:id="490" w:name="_Toc151193851"/>
      <w:r/>
      <w:bookmarkStart w:id="491" w:name="_Toc164229378"/>
      <w:r/>
      <w:bookmarkStart w:id="492" w:name="_Toc226965810"/>
      <w:r/>
      <w:bookmarkStart w:id="493" w:name="_Toc264969227"/>
      <w:r/>
      <w:bookmarkStart w:id="494" w:name="_Toc151193925"/>
      <w:r/>
      <w:bookmarkStart w:id="495" w:name="_Toc164229232"/>
      <w:r/>
      <w:bookmarkStart w:id="496" w:name="_Toc150774637"/>
      <w:r/>
      <w:bookmarkStart w:id="497" w:name="_Toc149720830"/>
      <w:r/>
      <w:bookmarkStart w:id="498" w:name="_Toc150509288"/>
      <w:r/>
      <w:bookmarkStart w:id="499" w:name="_Toc520356162"/>
      <w:r/>
      <w:bookmarkStart w:id="500" w:name="_Toc150480775"/>
      <w:r/>
      <w:bookmarkStart w:id="501" w:name="_Toc151193707"/>
      <w:r/>
      <w:bookmarkStart w:id="502" w:name="_Toc226965727"/>
      <w:r/>
      <w:bookmarkStart w:id="503" w:name="_Toc151190164"/>
      <w:r/>
      <w:bookmarkStart w:id="504" w:name="_Toc195842902"/>
      <w:r/>
      <w:bookmarkStart w:id="505" w:name="_Toc265228375"/>
      <w:r/>
      <w:bookmarkStart w:id="506" w:name="_Toc127161451"/>
      <w:r/>
      <w:bookmarkStart w:id="507" w:name="_Toc127151537"/>
      <w:r/>
      <w:bookmarkStart w:id="508" w:name="_Toc151193635"/>
      <w:r/>
      <w:bookmarkStart w:id="509" w:name="_Toc226309781"/>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510" w:name="_Toc265228376"/>
      <w:r/>
      <w:bookmarkStart w:id="511" w:name="_Toc150774638"/>
      <w:r/>
      <w:bookmarkStart w:id="512" w:name="_Toc150774743"/>
      <w:r/>
      <w:bookmarkStart w:id="513" w:name="_Toc151190165"/>
      <w:r/>
      <w:bookmarkStart w:id="514" w:name="_Toc151193636"/>
      <w:r/>
      <w:bookmarkStart w:id="515" w:name="_Toc264969228"/>
      <w:r/>
      <w:bookmarkStart w:id="516" w:name="_Toc520356163"/>
      <w:r/>
      <w:bookmarkStart w:id="517" w:name="_Toc226309782"/>
      <w:r/>
      <w:bookmarkStart w:id="518" w:name="_Toc150480776"/>
      <w:r/>
      <w:bookmarkStart w:id="519" w:name="_Toc305158880"/>
      <w:r/>
      <w:bookmarkStart w:id="520" w:name="_Toc226337234"/>
      <w:r/>
      <w:bookmarkStart w:id="521" w:name="_Toc150509289"/>
      <w:r/>
      <w:bookmarkStart w:id="522" w:name="_Toc151193852"/>
      <w:r/>
      <w:bookmarkStart w:id="523" w:name="_Toc226965728"/>
      <w:r/>
      <w:bookmarkStart w:id="524" w:name="_Toc151193708"/>
      <w:r/>
      <w:bookmarkStart w:id="525" w:name="_Toc151193926"/>
      <w:r/>
      <w:bookmarkStart w:id="526" w:name="_Toc142311040"/>
      <w:r/>
      <w:bookmarkStart w:id="527" w:name="_Toc127151538"/>
      <w:r/>
      <w:bookmarkStart w:id="528" w:name="_Toc195842903"/>
      <w:r/>
      <w:bookmarkStart w:id="529" w:name="_Toc151193780"/>
      <w:r/>
      <w:bookmarkStart w:id="530" w:name="_Toc226965811"/>
      <w:r/>
      <w:bookmarkStart w:id="531" w:name="_Toc30515880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264969229"/>
      <w:r/>
      <w:bookmarkStart w:id="533" w:name="_Toc151193781"/>
      <w:r/>
      <w:bookmarkStart w:id="534" w:name="_Toc226965729"/>
      <w:r/>
      <w:bookmarkStart w:id="535" w:name="_Toc164229234"/>
      <w:r/>
      <w:bookmarkStart w:id="536" w:name="_Toc150774639"/>
      <w:r/>
      <w:bookmarkStart w:id="537" w:name="_Toc150774744"/>
      <w:r/>
      <w:bookmarkStart w:id="538" w:name="_Toc226965812"/>
      <w:r/>
      <w:bookmarkStart w:id="539" w:name="_Toc226337235"/>
      <w:r/>
      <w:bookmarkStart w:id="540" w:name="_Toc520356164"/>
      <w:r/>
      <w:bookmarkStart w:id="541" w:name="_Toc150509290"/>
      <w:r/>
      <w:bookmarkStart w:id="542" w:name="_Toc226309783"/>
      <w:r/>
      <w:bookmarkStart w:id="543" w:name="_Toc142311041"/>
      <w:r/>
      <w:bookmarkStart w:id="544" w:name="_Toc127151740"/>
      <w:r/>
      <w:bookmarkStart w:id="545" w:name="_Toc151190166"/>
      <w:r/>
      <w:bookmarkStart w:id="546" w:name="_Toc164229380"/>
      <w:r/>
      <w:bookmarkStart w:id="547" w:name="_Toc265228377"/>
      <w:r/>
      <w:bookmarkStart w:id="548" w:name="_Toc164351633"/>
      <w:r/>
      <w:bookmarkStart w:id="549" w:name="_Toc151193709"/>
      <w:r/>
      <w:bookmarkStart w:id="550" w:name="_Toc149720832"/>
      <w:r/>
      <w:bookmarkStart w:id="551" w:name="_Toc127161453"/>
      <w:r/>
      <w:bookmarkStart w:id="552" w:name="_Toc150480777"/>
      <w:r/>
      <w:bookmarkStart w:id="553" w:name="_Toc151193927"/>
      <w:r/>
      <w:bookmarkStart w:id="554" w:name="_Toc127151539"/>
      <w:r/>
      <w:bookmarkStart w:id="555" w:name="_Toc305158807"/>
      <w:r/>
      <w:bookmarkStart w:id="556" w:name="_Toc151193853"/>
      <w:r/>
      <w:bookmarkStart w:id="557" w:name="_Toc164608653"/>
      <w:r/>
      <w:bookmarkStart w:id="558" w:name="_Toc151193637"/>
      <w:r/>
      <w:bookmarkStart w:id="559" w:name="_Toc195842904"/>
      <w:r/>
      <w:bookmarkStart w:id="560" w:name="_Toc305158881"/>
      <w:r/>
      <w:bookmarkStart w:id="561" w:name="_Toc164608808"/>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8"/>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8"/>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305158882"/>
      <w:r/>
      <w:bookmarkStart w:id="564" w:name="_Toc164608809"/>
      <w:r/>
      <w:bookmarkStart w:id="565" w:name="_Toc226965730"/>
      <w:r/>
      <w:bookmarkStart w:id="566" w:name="_Toc151190167"/>
      <w:r/>
      <w:bookmarkStart w:id="567" w:name="_Toc226965813"/>
      <w:r/>
      <w:bookmarkStart w:id="568" w:name="_Toc127161454"/>
      <w:r/>
      <w:bookmarkStart w:id="569" w:name="_Toc150509291"/>
      <w:r/>
      <w:bookmarkStart w:id="570" w:name="_Toc195842905"/>
      <w:r/>
      <w:bookmarkStart w:id="571" w:name="_Toc226309784"/>
      <w:r/>
      <w:bookmarkStart w:id="572" w:name="_Toc164229381"/>
      <w:r/>
      <w:bookmarkStart w:id="573" w:name="_Toc265228378"/>
      <w:r/>
      <w:bookmarkStart w:id="574" w:name="_Toc127151540"/>
      <w:r/>
      <w:bookmarkStart w:id="575" w:name="_Toc150774745"/>
      <w:r/>
      <w:bookmarkStart w:id="576" w:name="_Toc151193710"/>
      <w:r/>
      <w:bookmarkStart w:id="577" w:name="_Toc151193638"/>
      <w:r/>
      <w:bookmarkStart w:id="578" w:name="_Toc150774640"/>
      <w:r/>
      <w:bookmarkStart w:id="579" w:name="_Toc142311042"/>
      <w:r/>
      <w:bookmarkStart w:id="580" w:name="_Toc164229235"/>
      <w:r/>
      <w:bookmarkStart w:id="581" w:name="_Toc127151741"/>
      <w:r/>
      <w:bookmarkStart w:id="582" w:name="_Toc226337236"/>
      <w:r/>
      <w:bookmarkStart w:id="583" w:name="_Toc305158808"/>
      <w:r/>
      <w:bookmarkStart w:id="584" w:name="_Toc150480778"/>
      <w:r/>
      <w:bookmarkStart w:id="585" w:name="_Toc149720833"/>
      <w:r/>
      <w:bookmarkStart w:id="586" w:name="_Toc164608654"/>
      <w:r/>
      <w:bookmarkStart w:id="587" w:name="_Toc164351634"/>
      <w:r/>
      <w:bookmarkStart w:id="588" w:name="_Toc264969230"/>
      <w:r/>
      <w:bookmarkStart w:id="589" w:name="_Toc151193928"/>
      <w:r/>
      <w:bookmarkStart w:id="590" w:name="_Toc151193854"/>
      <w:r/>
      <w:bookmarkStart w:id="591" w:name="_Toc151193782"/>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8"/>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594" w:name="_Toc265228383"/>
      <w:r/>
      <w:bookmarkStart w:id="595" w:name="_Toc226965818"/>
      <w:r/>
      <w:bookmarkStart w:id="596" w:name="_Toc151193787"/>
      <w:r/>
      <w:bookmarkStart w:id="597" w:name="_Toc305158813"/>
      <w:r/>
      <w:bookmarkStart w:id="598" w:name="_Toc142311047"/>
      <w:r/>
      <w:bookmarkStart w:id="599" w:name="_Toc226309789"/>
      <w:r/>
      <w:bookmarkStart w:id="600" w:name="_Toc150774645"/>
      <w:r/>
      <w:bookmarkStart w:id="601" w:name="_Toc305158887"/>
      <w:r/>
      <w:bookmarkStart w:id="602" w:name="_Toc150774750"/>
      <w:r/>
      <w:bookmarkStart w:id="603" w:name="_Toc151193859"/>
      <w:r/>
      <w:bookmarkStart w:id="604" w:name="_Toc151193933"/>
      <w:r/>
      <w:bookmarkStart w:id="605" w:name="_Toc226965735"/>
      <w:r/>
      <w:bookmarkStart w:id="606" w:name="_Toc150480783"/>
      <w:r/>
      <w:bookmarkStart w:id="607" w:name="_Toc195842910"/>
      <w:r/>
      <w:bookmarkStart w:id="608" w:name="_Toc151190172"/>
      <w:r/>
      <w:bookmarkStart w:id="609" w:name="_Toc264969235"/>
      <w:r/>
      <w:bookmarkStart w:id="610" w:name="_Toc151193643"/>
      <w:r/>
      <w:bookmarkStart w:id="611" w:name="_Toc127151545"/>
      <w:r/>
      <w:bookmarkStart w:id="612" w:name="_Toc151193715"/>
      <w:r/>
      <w:bookmarkStart w:id="613" w:name="_Toc150509296"/>
      <w:r/>
      <w:bookmarkStart w:id="614" w:name="_Toc226337241"/>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265228385"/>
      <w:r/>
      <w:bookmarkStart w:id="617" w:name="_Toc226965737"/>
      <w:r/>
      <w:bookmarkStart w:id="618" w:name="_Toc164608661"/>
      <w:r/>
      <w:bookmarkStart w:id="619" w:name="_Toc142311049"/>
      <w:r/>
      <w:bookmarkStart w:id="620" w:name="_Toc226309791"/>
      <w:r/>
      <w:bookmarkStart w:id="621" w:name="_Toc149720840"/>
      <w:r/>
      <w:bookmarkStart w:id="622" w:name="_Toc127161461"/>
      <w:r/>
      <w:bookmarkStart w:id="623" w:name="_Toc150480785"/>
      <w:r/>
      <w:bookmarkStart w:id="624" w:name="_Toc195842912"/>
      <w:r/>
      <w:bookmarkStart w:id="625" w:name="_Toc264969237"/>
      <w:r/>
      <w:bookmarkStart w:id="626" w:name="_Toc151193717"/>
      <w:r/>
      <w:bookmarkStart w:id="627" w:name="_Toc164351641"/>
      <w:r/>
      <w:bookmarkStart w:id="628" w:name="_Toc151193645"/>
      <w:r/>
      <w:bookmarkStart w:id="629" w:name="_Toc164229242"/>
      <w:r/>
      <w:bookmarkStart w:id="630" w:name="_Toc305158815"/>
      <w:r/>
      <w:bookmarkStart w:id="631" w:name="_Toc305158889"/>
      <w:r/>
      <w:bookmarkStart w:id="632" w:name="_Toc127151547"/>
      <w:r/>
      <w:bookmarkStart w:id="633" w:name="_Toc150509298"/>
      <w:r/>
      <w:bookmarkStart w:id="634" w:name="_Toc164229388"/>
      <w:r/>
      <w:bookmarkStart w:id="635" w:name="_Toc151190174"/>
      <w:r/>
      <w:bookmarkStart w:id="636" w:name="_Toc226337243"/>
      <w:r/>
      <w:bookmarkStart w:id="637" w:name="_Toc127151748"/>
      <w:r/>
      <w:bookmarkStart w:id="638" w:name="_Toc164608816"/>
      <w:r/>
      <w:bookmarkStart w:id="639" w:name="_Toc150774647"/>
      <w:r/>
      <w:bookmarkStart w:id="640" w:name="_Toc151193861"/>
      <w:r/>
      <w:bookmarkStart w:id="641" w:name="_Toc226965820"/>
      <w:r/>
      <w:bookmarkStart w:id="642" w:name="_Toc151193935"/>
      <w:r/>
      <w:bookmarkStart w:id="643" w:name="_Toc151193789"/>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3791"/>
      <w:r/>
      <w:bookmarkStart w:id="645" w:name="_Toc164351643"/>
      <w:r/>
      <w:bookmarkStart w:id="646" w:name="_Toc151193647"/>
      <w:r/>
      <w:bookmarkStart w:id="647" w:name="_Toc305158817"/>
      <w:r/>
      <w:bookmarkStart w:id="648" w:name="_Toc164229244"/>
      <w:r/>
      <w:bookmarkStart w:id="649" w:name="_Toc164608663"/>
      <w:r/>
      <w:bookmarkStart w:id="650" w:name="_Toc265228387"/>
      <w:r/>
      <w:bookmarkStart w:id="651" w:name="_Toc195842914"/>
      <w:r/>
      <w:bookmarkStart w:id="652" w:name="_Toc520356176"/>
      <w:r/>
      <w:bookmarkStart w:id="653" w:name="_Ref467306425"/>
      <w:r/>
      <w:bookmarkStart w:id="654" w:name="_Ref467307090"/>
      <w:r/>
      <w:bookmarkStart w:id="655" w:name="_Toc127151549"/>
      <w:r/>
      <w:bookmarkStart w:id="656" w:name="_Toc226965822"/>
      <w:r/>
      <w:bookmarkStart w:id="657" w:name="_Toc150774754"/>
      <w:r/>
      <w:bookmarkStart w:id="658" w:name="_Toc142311051"/>
      <w:r/>
      <w:bookmarkStart w:id="659" w:name="_Toc151190176"/>
      <w:r/>
      <w:bookmarkStart w:id="660" w:name="_Toc150774649"/>
      <w:r/>
      <w:bookmarkStart w:id="661" w:name="_Toc305158891"/>
      <w:r/>
      <w:bookmarkStart w:id="662" w:name="_Toc127161463"/>
      <w:r/>
      <w:bookmarkStart w:id="663" w:name="_Toc151193937"/>
      <w:r/>
      <w:bookmarkStart w:id="664" w:name="_Toc151193719"/>
      <w:r/>
      <w:bookmarkStart w:id="665" w:name="_Toc164229390"/>
      <w:r/>
      <w:bookmarkStart w:id="666" w:name="_Toc226309793"/>
      <w:r/>
      <w:bookmarkStart w:id="667" w:name="_Toc149720842"/>
      <w:r/>
      <w:bookmarkStart w:id="668" w:name="_Toc226337245"/>
      <w:r/>
      <w:bookmarkStart w:id="669" w:name="_Toc264969239"/>
      <w:r/>
      <w:bookmarkStart w:id="670" w:name="_Toc150509300"/>
      <w:r/>
      <w:bookmarkStart w:id="671" w:name="_Toc150480787"/>
      <w:r/>
      <w:bookmarkStart w:id="672" w:name="_Toc164608818"/>
      <w:r/>
      <w:bookmarkStart w:id="673" w:name="_Toc127151750"/>
      <w:r/>
      <w:bookmarkStart w:id="674" w:name="_Toc151193863"/>
      <w:r/>
      <w:bookmarkStart w:id="675" w:name="_Toc22696573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8"/>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09794"/>
      <w:r/>
      <w:bookmarkStart w:id="677" w:name="_Toc164229391"/>
      <w:r/>
      <w:bookmarkStart w:id="678" w:name="_Toc142311052"/>
      <w:r/>
      <w:bookmarkStart w:id="679" w:name="_Toc226965823"/>
      <w:r/>
      <w:bookmarkStart w:id="680" w:name="_Ref467306377"/>
      <w:r/>
      <w:bookmarkStart w:id="681" w:name="_Toc151193720"/>
      <w:r/>
      <w:bookmarkStart w:id="682" w:name="_Toc305158892"/>
      <w:r/>
      <w:bookmarkStart w:id="683" w:name="_Toc305158818"/>
      <w:r/>
      <w:bookmarkStart w:id="684" w:name="_Toc151193864"/>
      <w:r/>
      <w:bookmarkStart w:id="685" w:name="_Ref467306978"/>
      <w:r/>
      <w:bookmarkStart w:id="686" w:name="_Toc164351644"/>
      <w:r/>
      <w:bookmarkStart w:id="687" w:name="_Toc164608819"/>
      <w:r/>
      <w:bookmarkStart w:id="688" w:name="_Toc151193938"/>
      <w:r/>
      <w:bookmarkStart w:id="689" w:name="_Ref467307062"/>
      <w:r/>
      <w:bookmarkStart w:id="690" w:name="_Toc164608664"/>
      <w:r/>
      <w:bookmarkStart w:id="691" w:name="_Ref467307204"/>
      <w:r/>
      <w:bookmarkStart w:id="692" w:name="_Toc127161464"/>
      <w:r/>
      <w:bookmarkStart w:id="693" w:name="_Toc150774755"/>
      <w:r/>
      <w:bookmarkStart w:id="694" w:name="_Toc520356175"/>
      <w:r/>
      <w:bookmarkStart w:id="695" w:name="_Toc226965740"/>
      <w:r/>
      <w:bookmarkStart w:id="696" w:name="_Toc151190177"/>
      <w:r/>
      <w:bookmarkStart w:id="697" w:name="_Toc149720843"/>
      <w:r/>
      <w:bookmarkStart w:id="698" w:name="_Toc164229245"/>
      <w:r/>
      <w:bookmarkStart w:id="699" w:name="_Toc150774650"/>
      <w:r/>
      <w:bookmarkStart w:id="700" w:name="_Toc226337246"/>
      <w:r/>
      <w:bookmarkStart w:id="701" w:name="_Toc151193792"/>
      <w:r/>
      <w:bookmarkStart w:id="702" w:name="_Toc265228388"/>
      <w:r/>
      <w:bookmarkStart w:id="703" w:name="_Toc150509301"/>
      <w:r/>
      <w:bookmarkStart w:id="704" w:name="_Toc264969240"/>
      <w:r/>
      <w:bookmarkStart w:id="705" w:name="_Toc150480788"/>
      <w:r/>
      <w:bookmarkStart w:id="706" w:name="_Toc127151550"/>
      <w:r/>
      <w:bookmarkStart w:id="707" w:name="_Toc127151751"/>
      <w:r/>
      <w:bookmarkStart w:id="708" w:name="_Toc195842915"/>
      <w:r/>
      <w:bookmarkStart w:id="709" w:name="_Toc151193648"/>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8"/>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3"/>
          <w:rFonts w:hint="eastAsia" w:ascii="宋体" w:hAnsi="宋体" w:cs="宋体"/>
          <w:color w:val="000000"/>
          <w:highlight w:val="none"/>
        </w:rPr>
        <w:t xml:space="preserve">http://gk</w:t>
      </w:r>
      <w:bookmarkStart w:id="710" w:name="_Hlt100654014"/>
      <w:r>
        <w:rPr>
          <w:rStyle w:val="1163"/>
          <w:rFonts w:hint="eastAsia" w:ascii="宋体" w:hAnsi="宋体" w:cs="宋体"/>
          <w:color w:val="000000"/>
          <w:highlight w:val="none"/>
        </w:rPr>
        <w:t xml:space="preserve">s</w:t>
      </w:r>
      <w:bookmarkEnd w:id="710"/>
      <w:r>
        <w:rPr>
          <w:rStyle w:val="1163"/>
          <w:rFonts w:hint="eastAsia" w:ascii="宋体" w:hAnsi="宋体" w:cs="宋体"/>
          <w:color w:val="000000"/>
          <w:highlight w:val="none"/>
        </w:rPr>
        <w:t xml:space="preserve">.m</w:t>
      </w:r>
      <w:bookmarkStart w:id="711" w:name="_Hlt100653994"/>
      <w:r/>
      <w:bookmarkStart w:id="712" w:name="_Hlt100653993"/>
      <w:r>
        <w:rPr>
          <w:rStyle w:val="1163"/>
          <w:rFonts w:hint="eastAsia" w:ascii="宋体" w:hAnsi="宋体" w:cs="宋体"/>
          <w:color w:val="000000"/>
          <w:highlight w:val="none"/>
        </w:rPr>
        <w:t xml:space="preserve">o</w:t>
      </w:r>
      <w:bookmarkEnd w:id="711"/>
      <w:r/>
      <w:bookmarkEnd w:id="712"/>
      <w:r>
        <w:rPr>
          <w:rStyle w:val="1163"/>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8"/>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jc w:val="center"/>
        <w:spacing w:line="360" w:lineRule="auto"/>
        <w:rPr>
          <w:rFonts w:hint="eastAsia" w:ascii="宋体" w:hAnsi="宋体" w:cs="宋体"/>
          <w:b/>
          <w:color w:val="000000"/>
          <w:sz w:val="36"/>
          <w:szCs w:val="36"/>
          <w:highlight w:val="none"/>
        </w:rPr>
        <w:outlineLvl w:val="0"/>
      </w:pPr>
      <w:r/>
      <w:bookmarkStart w:id="713" w:name="_Toc264969244"/>
      <w:r/>
      <w:bookmarkStart w:id="714" w:name="_Toc353873664"/>
      <w:r/>
      <w:bookmarkStart w:id="715" w:name="_Toc305158896"/>
      <w:r/>
      <w:bookmarkStart w:id="716" w:name="_Toc305158822"/>
      <w:r/>
      <w:bookmarkStart w:id="717" w:name="_Toc353825544"/>
      <w:r/>
      <w:bookmarkStart w:id="718" w:name="_Toc142311056"/>
      <w:r/>
      <w:bookmarkStart w:id="719" w:name="_Toc226965827"/>
      <w:r/>
      <w:bookmarkStart w:id="720" w:name="_Toc265228392"/>
      <w:r/>
      <w:bookmarkStart w:id="721" w:name="_Toc127151554"/>
      <w:r/>
      <w:bookmarkStart w:id="722" w:name="_Toc226337250"/>
      <w:r/>
      <w:bookmarkStart w:id="723" w:name="_Toc150480792"/>
      <w:r/>
      <w:bookmarkStart w:id="724" w:name="_Toc353873934"/>
      <w:r/>
      <w:bookmarkStart w:id="725" w:name="_Toc150774759"/>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8"/>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8"/>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8"/>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353873940"/>
      <w:r/>
      <w:bookmarkStart w:id="732" w:name="_Toc127151779"/>
      <w:r/>
      <w:bookmarkStart w:id="733" w:name="_Toc12716149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8"/>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8"/>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8"/>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0774746"/>
      <w:r/>
      <w:bookmarkStart w:id="738" w:name="_Toc226965731"/>
      <w:r/>
      <w:bookmarkStart w:id="739" w:name="_Toc151193711"/>
      <w:r/>
      <w:bookmarkStart w:id="740" w:name="_Toc164351635"/>
      <w:r/>
      <w:bookmarkStart w:id="741" w:name="_Toc305158809"/>
      <w:r/>
      <w:bookmarkStart w:id="742" w:name="_Toc142311043"/>
      <w:r/>
      <w:bookmarkStart w:id="743" w:name="_Toc226309785"/>
      <w:r/>
      <w:bookmarkStart w:id="744" w:name="_Toc164608655"/>
      <w:r/>
      <w:bookmarkStart w:id="745" w:name="_Toc264969231"/>
      <w:r/>
      <w:bookmarkStart w:id="746" w:name="_Toc127151541"/>
      <w:r/>
      <w:bookmarkStart w:id="747" w:name="_Toc150774641"/>
      <w:r/>
      <w:bookmarkStart w:id="748" w:name="_Toc150480779"/>
      <w:r/>
      <w:bookmarkStart w:id="749" w:name="_Toc149720834"/>
      <w:r/>
      <w:bookmarkStart w:id="750" w:name="_Toc127161455"/>
      <w:r/>
      <w:bookmarkStart w:id="751" w:name="_Toc305158883"/>
      <w:r/>
      <w:bookmarkStart w:id="752" w:name="_Toc151193639"/>
      <w:r/>
      <w:bookmarkStart w:id="753" w:name="_Toc164229236"/>
      <w:r/>
      <w:bookmarkStart w:id="754" w:name="_Toc151190168"/>
      <w:r/>
      <w:bookmarkStart w:id="755" w:name="_Toc151193783"/>
      <w:r/>
      <w:bookmarkStart w:id="756" w:name="_Toc265228379"/>
      <w:r/>
      <w:bookmarkStart w:id="757" w:name="_Toc151193929"/>
      <w:r/>
      <w:bookmarkStart w:id="758" w:name="_Toc151193855"/>
      <w:r/>
      <w:bookmarkStart w:id="759" w:name="_Toc195842906"/>
      <w:r/>
      <w:bookmarkStart w:id="760" w:name="_Toc226965814"/>
      <w:r/>
      <w:bookmarkStart w:id="761" w:name="_Toc127151742"/>
      <w:r/>
      <w:bookmarkStart w:id="762" w:name="_Toc226337237"/>
      <w:r/>
      <w:bookmarkStart w:id="763" w:name="_Toc164608810"/>
      <w:r/>
      <w:bookmarkStart w:id="764" w:name="_Toc164229382"/>
      <w:r/>
      <w:bookmarkStart w:id="765" w:name="_Toc150509292"/>
      <w:r/>
      <w:bookmarkStart w:id="766" w:name="_Toc353825551"/>
      <w:r/>
      <w:bookmarkStart w:id="767" w:name="_Toc353873941"/>
      <w:r/>
      <w:bookmarkStart w:id="768" w:name="_Toc353825545"/>
      <w:r/>
      <w:bookmarkStart w:id="769" w:name="_Toc150774760"/>
      <w:r/>
      <w:bookmarkStart w:id="770" w:name="_Toc150480793"/>
      <w:r/>
      <w:bookmarkStart w:id="771" w:name="_Toc353873665"/>
      <w:r/>
      <w:bookmarkStart w:id="772" w:name="_Toc305158897"/>
      <w:r/>
      <w:bookmarkStart w:id="773" w:name="_Toc226965828"/>
      <w:r/>
      <w:bookmarkStart w:id="774" w:name="_Toc142311057"/>
      <w:r/>
      <w:bookmarkStart w:id="775" w:name="_Toc195842920"/>
      <w:r/>
      <w:bookmarkStart w:id="776" w:name="_Toc265228393"/>
      <w:r/>
      <w:bookmarkStart w:id="777" w:name="_Toc226337251"/>
      <w:r/>
      <w:bookmarkStart w:id="778" w:name="_Toc264969245"/>
      <w:r/>
      <w:bookmarkStart w:id="779" w:name="_Toc127151555"/>
      <w:r/>
      <w:bookmarkStart w:id="780" w:name="_Toc305158823"/>
      <w:r/>
      <w:bookmarkStart w:id="781" w:name="_Toc35387393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8"/>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w:t>
      </w:r>
      <w:r>
        <w:rPr>
          <w:rFonts w:hint="eastAsia" w:ascii="宋体" w:hAnsi="宋体" w:cs="宋体"/>
          <w:b/>
          <w:color w:val="000000"/>
          <w:sz w:val="24"/>
          <w:highlight w:val="none"/>
        </w:rPr>
        <w:t xml:space="preserve">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w:t>
      </w:r>
      <w:r>
        <w:rPr>
          <w:rFonts w:hint="eastAsia" w:ascii="宋体" w:hAnsi="宋体" w:cs="宋体"/>
          <w:color w:val="000000"/>
          <w:sz w:val="24"/>
          <w:highlight w:val="none"/>
        </w:rPr>
        <w:t xml:space="preserve">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w:t>
      </w:r>
      <w:r>
        <w:rPr>
          <w:rFonts w:hint="eastAsia" w:ascii="宋体" w:hAnsi="宋体" w:cs="宋体"/>
          <w:color w:val="000000"/>
          <w:sz w:val="24"/>
          <w:highlight w:val="none"/>
        </w:rPr>
        <w:t xml:space="preserve">重复享受小微企业价格扣减的优惠政策。</w:t>
      </w:r>
      <w:r>
        <w:rPr>
          <w:rFonts w:hint="eastAsia" w:ascii="宋体" w:hAnsi="宋体" w:cs="宋体"/>
          <w:color w:val="000000"/>
          <w:sz w:val="24"/>
          <w:highlight w:val="none"/>
        </w:rPr>
      </w:r>
      <w:r/>
    </w:p>
    <w:p>
      <w:pPr>
        <w:pStyle w:val="10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w:t>
      </w:r>
      <w:r>
        <w:rPr>
          <w:rFonts w:hint="eastAsia" w:ascii="宋体" w:hAnsi="宋体" w:cs="宋体"/>
          <w:color w:val="000000"/>
          <w:sz w:val="24"/>
          <w:highlight w:val="none"/>
        </w:rPr>
        <w:t xml:space="preserve">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49720839"/>
      <w:r/>
      <w:bookmarkStart w:id="784" w:name="_Toc151193934"/>
      <w:r/>
      <w:bookmarkStart w:id="785" w:name="_Toc150774751"/>
      <w:r/>
      <w:bookmarkStart w:id="786" w:name="_Toc195842911"/>
      <w:r/>
      <w:bookmarkStart w:id="787" w:name="_Toc164608815"/>
      <w:r/>
      <w:bookmarkStart w:id="788" w:name="_Toc127151546"/>
      <w:r/>
      <w:bookmarkStart w:id="789" w:name="_Toc151193788"/>
      <w:r/>
      <w:bookmarkStart w:id="790" w:name="_Toc520356170"/>
      <w:r/>
      <w:bookmarkStart w:id="791" w:name="_Toc150509297"/>
      <w:r/>
      <w:bookmarkStart w:id="792" w:name="_Toc226965736"/>
      <w:r/>
      <w:bookmarkStart w:id="793" w:name="_Toc151193860"/>
      <w:r/>
      <w:bookmarkStart w:id="794" w:name="_Toc226965819"/>
      <w:r/>
      <w:bookmarkStart w:id="795" w:name="_Toc151193716"/>
      <w:r/>
      <w:bookmarkStart w:id="796" w:name="_Toc265228384"/>
      <w:r/>
      <w:bookmarkStart w:id="797" w:name="_Toc164351640"/>
      <w:r/>
      <w:bookmarkStart w:id="798" w:name="_Toc142311048"/>
      <w:r/>
      <w:bookmarkStart w:id="799" w:name="_Toc164608660"/>
      <w:r/>
      <w:bookmarkStart w:id="800" w:name="_Toc264969236"/>
      <w:r/>
      <w:bookmarkStart w:id="801" w:name="_Toc164229387"/>
      <w:r/>
      <w:bookmarkStart w:id="802" w:name="_Toc226309790"/>
      <w:r/>
      <w:bookmarkStart w:id="803" w:name="_Toc127151747"/>
      <w:r/>
      <w:bookmarkStart w:id="804" w:name="_Toc305158888"/>
      <w:r/>
      <w:bookmarkStart w:id="805" w:name="_Ref467307010"/>
      <w:r/>
      <w:bookmarkStart w:id="806" w:name="_Toc226337242"/>
      <w:r/>
      <w:bookmarkStart w:id="807" w:name="_Toc150480784"/>
      <w:r/>
      <w:bookmarkStart w:id="808" w:name="_Toc164229241"/>
      <w:r/>
      <w:bookmarkStart w:id="809" w:name="_Toc151190173"/>
      <w:r/>
      <w:bookmarkStart w:id="810" w:name="_Toc305158814"/>
      <w:r/>
      <w:bookmarkStart w:id="811" w:name="_Toc127161460"/>
      <w:r/>
      <w:bookmarkStart w:id="812" w:name="_Toc150774646"/>
      <w:r/>
      <w:bookmarkStart w:id="813" w:name="_Toc151193644"/>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8"/>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8"/>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8"/>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49"/>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b/>
                <w:color w:val="000000"/>
                <w:sz w:val="24"/>
                <w:highlight w:val="none"/>
              </w:rPr>
            </w:pPr>
            <w:r/>
            <w:bookmarkStart w:id="814" w:name="OLE_LINK38"/>
            <w:r/>
            <w:bookmarkStart w:id="815" w:name="OLE_LINK39"/>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8"/>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2" w:type="dxa"/>
            <w:vAlign w:val="center"/>
            <w:textDirection w:val="lrTb"/>
            <w:noWrap w:val="false"/>
          </w:tcPr>
          <w:p>
            <w:pPr>
              <w:pStyle w:val="108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包01：</w:t>
            </w: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技术要求的符合性，即对提供货物的技术参数、配置、性能是否符合或优于招标文件要求进行评价。符合技术要求的得35分；技术要求中带“▲”参数为重要参数，每有一项负偏离的，扣</w:t>
            </w:r>
            <w:r>
              <w:rPr>
                <w:rFonts w:hint="eastAsia" w:ascii="宋体" w:hAnsi="宋体" w:cs="宋体"/>
                <w:color w:val="000000"/>
                <w:sz w:val="24"/>
                <w:highlight w:val="none"/>
                <w:lang w:val="en-US" w:eastAsia="zh-CN" w:bidi="ar"/>
              </w:rPr>
              <w:t xml:space="preserve">3.25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1088"/>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包02：</w:t>
            </w: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技术要求的符合性，即对提供货物的技术参数、配置、性能是否符合或优于招标文件要求进行评价。符合技术要求的得35分；技术要求中带“▲”参数为重要参数，每有一项负偏离的，扣</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1088"/>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包03：</w:t>
            </w: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技术要求的符合性，即对提供货物的技术参数、配置、性能是否符合或优于招标文件要求进行评价。符合技术要求的得35分；技术要求中带“▲”参数为重要参数，每有一项负偏离的，扣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88"/>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），每提供一份有效合同得1分，最多得2分。</w:t>
            </w:r>
            <w:r>
              <w:rPr>
                <w:rFonts w:hint="eastAsia"/>
                <w:b/>
                <w:color w:val="000000"/>
                <w:highlight w:val="none"/>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88"/>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lang w:bidi="ar"/>
              </w:rPr>
            </w:pPr>
            <w:r/>
            <w:bookmarkStart w:id="821" w:name="OLE_LINK24"/>
            <w:r/>
            <w:bookmarkStart w:id="822" w:name="OLE_LINK41"/>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bookmarkEnd w:id="823"/>
            <w:r>
              <w:rPr>
                <w:rFonts w:hint="eastAsia"/>
                <w:color w:val="000000"/>
                <w:highlight w:val="none"/>
                <w:lang w:eastAsia="zh-CN" w:bidi="ar"/>
              </w:rPr>
              <w:t xml:space="preserve">，</w:t>
            </w:r>
            <w:r>
              <w:rPr>
                <w:rFonts w:hint="eastAsia"/>
                <w:bCs/>
                <w:color w:val="000000"/>
                <w:highlight w:val="none"/>
              </w:rPr>
              <w:t xml:space="preserve">最多得2分。</w:t>
            </w:r>
            <w:r>
              <w:rPr>
                <w:rFonts w:hint="eastAsia"/>
                <w:color w:val="000000"/>
                <w:highlight w:val="none"/>
                <w:lang w:bidi="ar"/>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88"/>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8"/>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8"/>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49"/>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88"/>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8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49"/>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w:t>
            </w:r>
            <w:r>
              <w:rPr>
                <w:rFonts w:hint="eastAsia"/>
                <w:color w:val="000000"/>
                <w:highlight w:val="none"/>
                <w:lang w:eastAsia="zh-CN" w:bidi="ar"/>
              </w:rPr>
              <w:t xml:space="preserve">；</w:t>
            </w:r>
            <w:r>
              <w:rPr>
                <w:rFonts w:hint="eastAsia"/>
                <w:color w:val="000000"/>
                <w:highlight w:val="none"/>
                <w:lang w:bidi="ar"/>
              </w:rPr>
              <w:t xml:space="preserve">未提供的不得分。</w:t>
            </w:r>
            <w:r>
              <w:rPr>
                <w:rFonts w:hint="eastAsia"/>
                <w:color w:val="000000"/>
                <w:highlight w:val="none"/>
                <w:lang w:val="zh-CN" w:bidi="ar"/>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49"/>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49"/>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88"/>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88"/>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88"/>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8"/>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182"/>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8"/>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彩色多普勒超声诊断仪</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2"/>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8"/>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8"/>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2"/>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3328"/>
        <w:gridCol w:w="1086"/>
        <w:gridCol w:w="3881"/>
      </w:tblGrid>
      <w:tr>
        <w:trPr>
          <w:trHeight w:val="454"/>
        </w:trPr>
        <w:tc>
          <w:tcPr>
            <w:tcW w:w="531" w:type="dxa"/>
            <w:vAlign w:val="center"/>
            <w:textDirection w:val="lrTb"/>
            <w:noWrap w:val="false"/>
          </w:tcPr>
          <w:p>
            <w:pPr>
              <w:pStyle w:val="1088"/>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包号</w:t>
            </w:r>
            <w:r>
              <w:rPr>
                <w:rFonts w:hint="eastAsia" w:ascii="宋体" w:hAnsi="宋体" w:eastAsia="宋体" w:cs="宋体"/>
                <w:bCs/>
                <w:color w:val="000000"/>
                <w:sz w:val="24"/>
                <w:highlight w:val="none"/>
                <w:lang w:eastAsia="zh-CN"/>
              </w:rPr>
            </w:r>
            <w:r/>
          </w:p>
        </w:tc>
        <w:tc>
          <w:tcPr>
            <w:tcW w:w="1792"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585"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090" w:type="dxa"/>
            <w:vAlign w:val="center"/>
            <w:textDirection w:val="lrTb"/>
            <w:noWrap w:val="false"/>
          </w:tcPr>
          <w:p>
            <w:pPr>
              <w:pStyle w:val="1088"/>
              <w:jc w:val="center"/>
              <w:rPr>
                <w:rFonts w:ascii="宋体" w:hAnsi="宋体" w:eastAsia="宋体" w:cs="宋体"/>
                <w:b/>
                <w:bCs/>
                <w:i/>
                <w:iCs/>
                <w:color w:val="000000"/>
                <w:sz w:val="24"/>
                <w:highlight w:val="none"/>
                <w:lang w:val="en-US" w:eastAsia="zh-CN"/>
              </w:rPr>
            </w:pPr>
            <w:r>
              <w:rPr>
                <w:rFonts w:hint="eastAsia" w:ascii="宋体" w:hAnsi="宋体" w:eastAsia="宋体" w:cs="宋体"/>
                <w:b/>
                <w:bCs/>
                <w:i/>
                <w:iCs/>
                <w:color w:val="000000"/>
                <w:sz w:val="22"/>
                <w:szCs w:val="22"/>
                <w:highlight w:val="none"/>
                <w:u w:val="none"/>
                <w:lang w:val="en-US" w:eastAsia="zh-CN" w:bidi="ar"/>
              </w:rPr>
              <w:t xml:space="preserve">★</w:t>
            </w:r>
            <w:r>
              <w:rPr>
                <w:rFonts w:hint="eastAsia" w:ascii="宋体" w:hAnsi="宋体" w:cs="宋体"/>
                <w:b/>
                <w:bCs/>
                <w:i/>
                <w:iCs/>
                <w:color w:val="000000"/>
                <w:sz w:val="24"/>
                <w:highlight w:val="none"/>
                <w:lang w:val="en-US" w:eastAsia="zh-CN"/>
              </w:rPr>
              <w:t xml:space="preserve">单套配置要求</w:t>
            </w:r>
            <w:r>
              <w:rPr>
                <w:rFonts w:ascii="宋体" w:hAnsi="宋体" w:eastAsia="宋体" w:cs="宋体"/>
                <w:b/>
                <w:bCs/>
                <w:i/>
                <w:iCs/>
                <w:color w:val="000000"/>
                <w:sz w:val="24"/>
                <w:highlight w:val="none"/>
                <w:lang w:val="en-US" w:eastAsia="zh-CN"/>
              </w:rPr>
            </w:r>
            <w:r/>
          </w:p>
        </w:tc>
      </w:tr>
      <w:tr>
        <w:trPr>
          <w:trHeight w:val="454"/>
        </w:trPr>
        <w:tc>
          <w:tcPr>
            <w:tcW w:w="531" w:type="dxa"/>
            <w:vAlign w:val="center"/>
            <w:textDirection w:val="lrTb"/>
            <w:noWrap w:val="false"/>
          </w:tcPr>
          <w:p>
            <w:pPr>
              <w:pStyle w:val="1088"/>
              <w:jc w:val="center"/>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792" w:type="dxa"/>
            <w:vAlign w:val="center"/>
            <w:textDirection w:val="lrTb"/>
            <w:noWrap w:val="false"/>
          </w:tcPr>
          <w:p>
            <w:pPr>
              <w:pStyle w:val="1088"/>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全身超（超高频）</w:t>
            </w:r>
            <w:r>
              <w:rPr>
                <w:rFonts w:hint="eastAsia" w:ascii="宋体" w:hAnsi="宋体" w:eastAsia="宋体" w:cs="宋体"/>
                <w:bCs/>
                <w:color w:val="000000"/>
                <w:sz w:val="24"/>
                <w:highlight w:val="none"/>
                <w:lang w:eastAsia="zh-CN"/>
              </w:rPr>
            </w:r>
            <w:r/>
          </w:p>
        </w:tc>
        <w:tc>
          <w:tcPr>
            <w:tcW w:w="585"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套</w:t>
            </w:r>
            <w:r>
              <w:rPr>
                <w:rFonts w:hint="eastAsia" w:ascii="宋体" w:hAnsi="宋体" w:cs="宋体"/>
                <w:bCs/>
                <w:color w:val="000000"/>
                <w:sz w:val="24"/>
                <w:highlight w:val="none"/>
              </w:rPr>
            </w:r>
            <w:r/>
          </w:p>
        </w:tc>
        <w:tc>
          <w:tcPr>
            <w:tcW w:w="2090" w:type="dxa"/>
            <w:vAlign w:val="center"/>
            <w:textDirection w:val="lrTb"/>
            <w:noWrap w:val="false"/>
          </w:tcPr>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1、探头配置清单：</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单晶凸阵探头*1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矩阵线阵探头</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单晶腔内</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超高频线阵探头</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8"/>
              <w:jc w:val="both"/>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2、配套金马扬名图文工作站*1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3、配套数据处理终端*1</w:t>
            </w:r>
            <w:r>
              <w:rPr>
                <w:rFonts w:ascii="宋体" w:hAnsi="宋体" w:cs="宋体"/>
                <w:b/>
                <w:bCs/>
                <w:i/>
                <w:iCs/>
                <w:color w:val="000000"/>
                <w:sz w:val="24"/>
                <w:highlight w:val="none"/>
                <w:lang w:val="en-US" w:eastAsia="zh-CN"/>
              </w:rPr>
            </w:r>
            <w:r/>
          </w:p>
        </w:tc>
      </w:tr>
      <w:tr>
        <w:trPr>
          <w:trHeight w:val="454"/>
        </w:trPr>
        <w:tc>
          <w:tcPr>
            <w:tcW w:w="531" w:type="dxa"/>
            <w:vAlign w:val="center"/>
            <w:textDirection w:val="lrTb"/>
            <w:noWrap w:val="false"/>
          </w:tcPr>
          <w:p>
            <w:pPr>
              <w:pStyle w:val="1088"/>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r>
            <w:r/>
          </w:p>
        </w:tc>
        <w:tc>
          <w:tcPr>
            <w:tcW w:w="1792" w:type="dxa"/>
            <w:vAlign w:val="center"/>
            <w:textDirection w:val="lrTb"/>
            <w:noWrap w:val="false"/>
          </w:tcPr>
          <w:p>
            <w:pPr>
              <w:pStyle w:val="1088"/>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全身超（介入）</w:t>
            </w:r>
            <w:r>
              <w:rPr>
                <w:rFonts w:hint="eastAsia" w:ascii="宋体" w:hAnsi="宋体" w:eastAsia="宋体" w:cs="宋体"/>
                <w:bCs/>
                <w:color w:val="000000"/>
                <w:sz w:val="24"/>
                <w:highlight w:val="none"/>
                <w:lang w:eastAsia="zh-CN"/>
              </w:rPr>
            </w:r>
            <w:r/>
          </w:p>
        </w:tc>
        <w:tc>
          <w:tcPr>
            <w:tcW w:w="585" w:type="dxa"/>
            <w:vAlign w:val="center"/>
            <w:textDirection w:val="lrTb"/>
            <w:noWrap w:val="false"/>
          </w:tcPr>
          <w:p>
            <w:pPr>
              <w:pStyle w:val="1088"/>
              <w:jc w:val="center"/>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套</w:t>
            </w:r>
            <w:r>
              <w:rPr>
                <w:rFonts w:hint="eastAsia" w:ascii="宋体" w:hAnsi="宋体" w:cs="宋体"/>
                <w:bCs/>
                <w:color w:val="000000"/>
                <w:sz w:val="24"/>
                <w:highlight w:val="none"/>
                <w:lang w:val="en-US" w:eastAsia="zh-CN"/>
              </w:rPr>
            </w:r>
            <w:r/>
          </w:p>
        </w:tc>
        <w:tc>
          <w:tcPr>
            <w:tcW w:w="2090" w:type="dxa"/>
            <w:vAlign w:val="center"/>
            <w:textDirection w:val="lrTb"/>
            <w:noWrap w:val="false"/>
          </w:tcPr>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1、探头配置清单：</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成人腹部单晶体凸阵探头*1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小器官单晶体线阵探头*1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微凸介入探头*1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腔内单晶体凸阵探头*1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2、配套金马扬名图文工作站*1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3、配套数据处理终端*1</w:t>
            </w:r>
            <w:r>
              <w:rPr>
                <w:rFonts w:hint="eastAsia" w:ascii="宋体" w:hAnsi="宋体" w:cs="宋体"/>
                <w:b/>
                <w:bCs/>
                <w:i/>
                <w:iCs/>
                <w:color w:val="000000"/>
                <w:sz w:val="24"/>
                <w:highlight w:val="none"/>
                <w:lang w:val="en-US" w:eastAsia="zh-CN"/>
              </w:rPr>
            </w:r>
            <w:r/>
          </w:p>
        </w:tc>
      </w:tr>
      <w:tr>
        <w:trPr>
          <w:trHeight w:val="454"/>
        </w:trPr>
        <w:tc>
          <w:tcPr>
            <w:tcW w:w="531" w:type="dxa"/>
            <w:vAlign w:val="center"/>
            <w:textDirection w:val="lrTb"/>
            <w:noWrap w:val="false"/>
          </w:tcPr>
          <w:p>
            <w:pPr>
              <w:pStyle w:val="1088"/>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r>
            <w:r/>
          </w:p>
        </w:tc>
        <w:tc>
          <w:tcPr>
            <w:tcW w:w="1792" w:type="dxa"/>
            <w:vAlign w:val="center"/>
            <w:textDirection w:val="lrTb"/>
            <w:noWrap w:val="false"/>
          </w:tcPr>
          <w:p>
            <w:pPr>
              <w:pStyle w:val="1088"/>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妇产机</w:t>
            </w:r>
            <w:r>
              <w:rPr>
                <w:rFonts w:hint="eastAsia" w:ascii="宋体" w:hAnsi="宋体" w:eastAsia="宋体" w:cs="宋体"/>
                <w:bCs/>
                <w:color w:val="000000"/>
                <w:sz w:val="24"/>
                <w:highlight w:val="none"/>
                <w:lang w:eastAsia="zh-CN"/>
              </w:rPr>
            </w:r>
            <w:r/>
          </w:p>
        </w:tc>
        <w:tc>
          <w:tcPr>
            <w:tcW w:w="585" w:type="dxa"/>
            <w:vAlign w:val="center"/>
            <w:textDirection w:val="lrTb"/>
            <w:noWrap w:val="false"/>
          </w:tcPr>
          <w:p>
            <w:pPr>
              <w:pStyle w:val="1088"/>
              <w:jc w:val="center"/>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套</w:t>
            </w:r>
            <w:r>
              <w:rPr>
                <w:rFonts w:hint="eastAsia" w:ascii="宋体" w:hAnsi="宋体" w:cs="宋体"/>
                <w:bCs/>
                <w:color w:val="000000"/>
                <w:sz w:val="24"/>
                <w:highlight w:val="none"/>
                <w:lang w:val="en-US" w:eastAsia="zh-CN"/>
              </w:rPr>
            </w:r>
            <w:r/>
          </w:p>
        </w:tc>
        <w:tc>
          <w:tcPr>
            <w:tcW w:w="2090" w:type="dxa"/>
            <w:vAlign w:val="center"/>
            <w:textDirection w:val="lrTb"/>
            <w:noWrap w:val="false"/>
          </w:tcPr>
          <w:p>
            <w:pPr>
              <w:pStyle w:val="1088"/>
              <w:jc w:val="left"/>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1、探头配置清单：</w:t>
            </w:r>
            <w:r>
              <w:rPr>
                <w:rFonts w:hint="eastAsia" w:ascii="宋体" w:hAnsi="宋体" w:cs="宋体"/>
                <w:b/>
                <w:bCs/>
                <w:i/>
                <w:iCs/>
                <w:color w:val="000000"/>
                <w:sz w:val="24"/>
                <w:highlight w:val="none"/>
                <w:lang w:val="en-US" w:eastAsia="zh-CN"/>
              </w:rPr>
            </w:r>
            <w:r/>
          </w:p>
          <w:p>
            <w:pPr>
              <w:pStyle w:val="1088"/>
              <w:jc w:val="left"/>
              <w:rPr>
                <w:rFonts w:hint="eastAsia" w:ascii="宋体" w:hAnsi="宋体" w:cs="宋体"/>
                <w:b/>
                <w:bCs/>
                <w:i/>
                <w:iCs/>
                <w:color w:val="000000"/>
                <w:sz w:val="24"/>
                <w:highlight w:val="none"/>
                <w:lang w:val="en-US" w:eastAsia="zh-CN"/>
              </w:rPr>
            </w:pPr>
            <w:r>
              <w:rPr>
                <w:rFonts w:hint="eastAsia" w:ascii="宋体" w:hAnsi="宋体" w:eastAsia="宋体" w:cs="宋体"/>
                <w:b/>
                <w:bCs/>
                <w:i/>
                <w:iCs/>
                <w:color w:val="000000"/>
                <w:sz w:val="24"/>
                <w:highlight w:val="none"/>
                <w:lang w:eastAsia="zh-CN" w:bidi="ar"/>
              </w:rPr>
              <w:t xml:space="preserve">腹部单晶体二维凸阵</w:t>
            </w:r>
            <w:r>
              <w:rPr>
                <w:rFonts w:hint="eastAsia" w:ascii="宋体" w:hAnsi="宋体" w:cs="宋体"/>
                <w:b/>
                <w:bCs/>
                <w:i/>
                <w:iCs/>
                <w:color w:val="000000"/>
                <w:sz w:val="24"/>
                <w:highlight w:val="none"/>
                <w:lang w:val="en-US" w:eastAsia="zh-CN"/>
              </w:rPr>
              <w:t xml:space="preserve">探头*1</w:t>
            </w:r>
            <w:r>
              <w:rPr>
                <w:rFonts w:hint="eastAsia" w:ascii="宋体" w:hAnsi="宋体" w:cs="宋体"/>
                <w:b/>
                <w:bCs/>
                <w:i/>
                <w:iCs/>
                <w:color w:val="000000"/>
                <w:sz w:val="24"/>
                <w:highlight w:val="none"/>
                <w:lang w:val="en-US" w:eastAsia="zh-CN"/>
              </w:rPr>
              <w:br w:type="textWrapping" w:clear="all"/>
            </w:r>
            <w:r>
              <w:rPr>
                <w:rFonts w:hint="eastAsia" w:ascii="宋体" w:hAnsi="宋体" w:eastAsia="宋体" w:cs="宋体"/>
                <w:b/>
                <w:bCs/>
                <w:i/>
                <w:iCs/>
                <w:color w:val="000000"/>
                <w:sz w:val="24"/>
                <w:highlight w:val="none"/>
                <w:lang w:eastAsia="zh-CN" w:bidi="ar"/>
              </w:rPr>
              <w:t xml:space="preserve">面阵线阵</w:t>
            </w:r>
            <w:r>
              <w:rPr>
                <w:rFonts w:hint="eastAsia" w:ascii="宋体" w:hAnsi="宋体" w:cs="宋体"/>
                <w:b/>
                <w:bCs/>
                <w:i/>
                <w:iCs/>
                <w:color w:val="000000"/>
                <w:sz w:val="24"/>
                <w:highlight w:val="none"/>
                <w:lang w:val="en-US" w:eastAsia="zh-CN"/>
              </w:rPr>
              <w:t xml:space="preserve">探头*1</w:t>
            </w:r>
            <w:r>
              <w:rPr>
                <w:rFonts w:hint="eastAsia" w:ascii="宋体" w:hAnsi="宋体" w:cs="宋体"/>
                <w:b/>
                <w:bCs/>
                <w:i/>
                <w:iCs/>
                <w:color w:val="000000"/>
                <w:sz w:val="24"/>
                <w:highlight w:val="none"/>
                <w:lang w:val="en-US" w:eastAsia="zh-CN"/>
              </w:rPr>
            </w:r>
            <w:r/>
          </w:p>
          <w:p>
            <w:pPr>
              <w:pStyle w:val="1088"/>
              <w:jc w:val="left"/>
              <w:rPr>
                <w:rFonts w:hint="eastAsia" w:ascii="宋体" w:hAnsi="宋体" w:cs="宋体"/>
                <w:b/>
                <w:bCs/>
                <w:i/>
                <w:iCs/>
                <w:color w:val="000000"/>
                <w:sz w:val="24"/>
                <w:highlight w:val="none"/>
                <w:lang w:val="en-US" w:eastAsia="zh-CN"/>
              </w:rPr>
            </w:pPr>
            <w:r>
              <w:rPr>
                <w:rFonts w:hint="eastAsia" w:ascii="宋体" w:hAnsi="宋体" w:eastAsia="宋体" w:cs="宋体"/>
                <w:b/>
                <w:bCs/>
                <w:i/>
                <w:iCs/>
                <w:color w:val="000000"/>
                <w:sz w:val="24"/>
                <w:highlight w:val="none"/>
                <w:lang w:eastAsia="zh-CN" w:bidi="ar"/>
              </w:rPr>
              <w:t xml:space="preserve">腔内微凸</w:t>
            </w:r>
            <w:r>
              <w:rPr>
                <w:rFonts w:hint="eastAsia" w:ascii="宋体" w:hAnsi="宋体" w:cs="宋体"/>
                <w:b/>
                <w:bCs/>
                <w:i/>
                <w:iCs/>
                <w:color w:val="000000"/>
                <w:sz w:val="24"/>
                <w:highlight w:val="none"/>
                <w:lang w:val="en-US" w:eastAsia="zh-CN"/>
              </w:rPr>
              <w:t xml:space="preserve">探头*1</w:t>
            </w:r>
            <w:r>
              <w:rPr>
                <w:rFonts w:hint="eastAsia" w:ascii="宋体" w:hAnsi="宋体" w:cs="宋体"/>
                <w:b/>
                <w:bCs/>
                <w:i/>
                <w:iCs/>
                <w:color w:val="000000"/>
                <w:sz w:val="24"/>
                <w:highlight w:val="none"/>
                <w:lang w:val="en-US" w:eastAsia="zh-CN"/>
              </w:rPr>
            </w:r>
            <w:r/>
          </w:p>
          <w:p>
            <w:pPr>
              <w:pStyle w:val="1088"/>
              <w:jc w:val="left"/>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腔内容积探头*1</w:t>
            </w:r>
            <w:r>
              <w:rPr>
                <w:rFonts w:hint="eastAsia" w:ascii="宋体" w:hAnsi="宋体" w:cs="宋体"/>
                <w:b/>
                <w:bCs/>
                <w:i/>
                <w:iCs/>
                <w:color w:val="000000"/>
                <w:sz w:val="24"/>
                <w:highlight w:val="none"/>
                <w:lang w:val="en-US" w:eastAsia="zh-CN"/>
              </w:rPr>
            </w:r>
            <w:r/>
          </w:p>
          <w:p>
            <w:pPr>
              <w:pStyle w:val="1088"/>
              <w:jc w:val="left"/>
              <w:rPr>
                <w:rFonts w:hint="eastAsia" w:ascii="宋体" w:hAnsi="宋体" w:cs="宋体"/>
                <w:b/>
                <w:bCs/>
                <w:i/>
                <w:iCs/>
                <w:color w:val="000000"/>
                <w:sz w:val="24"/>
                <w:highlight w:val="none"/>
                <w:lang w:val="en-US" w:eastAsia="zh-CN"/>
              </w:rPr>
            </w:pPr>
            <w:r>
              <w:rPr>
                <w:rFonts w:hint="eastAsia" w:ascii="宋体" w:hAnsi="宋体" w:eastAsia="宋体" w:cs="宋体"/>
                <w:b/>
                <w:bCs/>
                <w:i/>
                <w:iCs/>
                <w:color w:val="000000"/>
                <w:sz w:val="24"/>
                <w:highlight w:val="none"/>
                <w:lang w:eastAsia="zh-CN" w:bidi="ar"/>
              </w:rPr>
              <w:t xml:space="preserve">腹部凸阵容积</w:t>
            </w:r>
            <w:r>
              <w:rPr>
                <w:rFonts w:hint="eastAsia" w:ascii="宋体" w:hAnsi="宋体" w:cs="宋体"/>
                <w:b/>
                <w:bCs/>
                <w:i/>
                <w:iCs/>
                <w:color w:val="000000"/>
                <w:sz w:val="24"/>
                <w:highlight w:val="none"/>
                <w:lang w:val="en-US" w:eastAsia="zh-CN"/>
              </w:rPr>
              <w:t xml:space="preserve">探头*1</w:t>
            </w:r>
            <w:r>
              <w:rPr>
                <w:rFonts w:hint="eastAsia" w:ascii="宋体" w:hAnsi="宋体" w:cs="宋体"/>
                <w:b/>
                <w:bCs/>
                <w:i/>
                <w:iCs/>
                <w:color w:val="000000"/>
                <w:sz w:val="24"/>
                <w:highlight w:val="none"/>
                <w:lang w:val="en-US" w:eastAsia="zh-CN"/>
              </w:rPr>
            </w:r>
            <w:r/>
          </w:p>
          <w:p>
            <w:pPr>
              <w:pStyle w:val="1088"/>
              <w:jc w:val="left"/>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2、配套金马扬名图文工作站*1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3、配套数据处理终端*1</w:t>
            </w:r>
            <w:r>
              <w:rPr>
                <w:rFonts w:hint="eastAsia" w:ascii="宋体" w:hAnsi="宋体" w:cs="宋体"/>
                <w:b/>
                <w:bCs/>
                <w:i/>
                <w:iCs/>
                <w:color w:val="000000"/>
                <w:sz w:val="24"/>
                <w:highlight w:val="none"/>
                <w:lang w:val="en-US" w:eastAsia="zh-CN"/>
              </w:rPr>
            </w:r>
            <w:r/>
          </w:p>
        </w:tc>
      </w:tr>
    </w:tbl>
    <w:p>
      <w:pPr>
        <w:pStyle w:val="1182"/>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88"/>
        <w:contextualSpacing/>
        <w:ind w:left="-2" w:firstLine="482"/>
        <w:spacing w:line="360" w:lineRule="auto"/>
        <w:tabs>
          <w:tab w:val="left" w:pos="567" w:leader="none"/>
        </w:tabs>
        <w:rPr>
          <w:rFonts w:hint="eastAsia"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采购包1：全身超（超高频）</w:t>
      </w:r>
      <w:r>
        <w:rPr>
          <w:rFonts w:hint="eastAsia" w:ascii="宋体" w:hAnsi="宋体" w:cs="宋体"/>
          <w:b/>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1.全身应用型彩色多普勒超声波诊断系统，主要用于腹部、心脏、妇产科、泌尿科、 浅表组织与小器官、神经、血管、儿科、急重症等应用。</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2.▲显示器要求：≥26英寸高分辨率彩色液晶显示器，可上下移动、左右旋转、前后移动。 </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3.液晶触摸屏要求：≥15英寸彩色触摸屏，触摸屏角度可以独立于主机调节</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4.探头接口数量≥5个，均为无针式接口且大小一致，可全激活。</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5.▲中央刹车系统</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6.配置内置电池，不插电状态下，支持≥60分钟超声检查。</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7.▲高分辨率成像，可清晰显示直径≤100um的血管内膜</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8.二维/彩色取样框角度独立偏转技术，彩色取样框偏转角度≥30度。</w:t>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9.▲频谱多普勒成像，连续多普勒成像（要求线阵探头可支持连续多普勒成像）</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 xml:space="preserve">10.造影成像功能支持腹部探头、浅表探头、相控阵探头、腔内探头</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11.支持造影灌注图像与剪切波弹性图像同一切面同屏显示， 应用于微循环灌注和弹性联合评估和分析。</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12.▲支持在机实现微米级的超高分辨率造影成像技术，可显示出＜100um以下直径的微小血管</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13.弹性定量的参数包括杨氏模量E（单位：kPa），剪切波速度Cs （单位：m/s），剪切模量G （单位：kPa）等定量数据</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14.实时剪切波弹性成像及二维成像双实时成像，显示格式包括上下，左右多种方式可调。支持剪切波弹性成像全屏显示，支持可信度图显示，运动稳定性指数显示</w:t>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15.支持在同一切面下同时成像应变式弹性和剪切波弹性，并实时双幅显示。</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16.支持造影灌注图像与剪切波弹性图像同一切面同屏显示， 应用于微循环灌注和弹性联合评估和分析</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17.配置全科测量包，自动生成报告： 腹部、妇科、产科、心脏、泌尿、小器官、儿科、血管、急诊科</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18.血管内中膜自动测量技术，测量数据至少包括最大值、最小值、平均值、标准差、ROI长度、测量长度及质量指标，具有IMT分析评估曲线</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19.▲支持浅表与腹部粘度系数、频散系数测量</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20.小儿髋关节自动测量功能，超声主机可自动识别组织结构，自动计算α角,β角，自动进行临床分型</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21.支持DICOM 3.0，支持DICOM结构化报告</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22.▲探头阵元数：≥1000阵元</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23.所配探头频率范围：</w:t>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23.1 单晶体凸阵探头频率：1.5-6.0 MHz</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23.2 矩阵线阵探头频率：3.5-18.0 MHz</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23.3 单晶体腔内探头频率:  2.0-9.0 MHz</w:t>
      </w:r>
      <w:r>
        <w:rPr>
          <w:rFonts w:hint="eastAsia" w:ascii="宋体" w:hAnsi="宋体" w:cs="宋体"/>
          <w:b w:val="0"/>
          <w:bCs/>
          <w:color w:val="000000"/>
          <w:sz w:val="24"/>
          <w:highlight w:val="none"/>
          <w:lang w:val="en-US" w:eastAsia="zh-CN" w:bidi="ar"/>
        </w:rPr>
        <w:tab/>
      </w:r>
      <w:r>
        <w:rPr>
          <w:rFonts w:hint="eastAsia" w:ascii="宋体" w:hAnsi="宋体" w:cs="宋体"/>
          <w:b w:val="0"/>
          <w:bCs/>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cs="宋体"/>
          <w:b w:val="0"/>
          <w:bCs/>
          <w:color w:val="000000"/>
          <w:sz w:val="24"/>
          <w:highlight w:val="none"/>
          <w:lang w:val="en-US" w:eastAsia="zh-CN" w:bidi="ar"/>
        </w:rPr>
      </w:pPr>
      <w:r>
        <w:rPr>
          <w:rFonts w:hint="eastAsia" w:ascii="宋体" w:hAnsi="宋体" w:cs="宋体"/>
          <w:b w:val="0"/>
          <w:bCs/>
          <w:color w:val="000000"/>
          <w:sz w:val="24"/>
          <w:highlight w:val="none"/>
          <w:lang w:val="en-US" w:eastAsia="zh-CN" w:bidi="ar"/>
        </w:rPr>
        <w:t xml:space="preserve">23.4 </w:t>
      </w:r>
      <w:r>
        <w:rPr>
          <w:rFonts w:hint="eastAsia" w:ascii="宋体" w:hAnsi="宋体" w:eastAsia="宋体" w:cs="Times New Roman"/>
          <w:bCs/>
          <w:color w:val="000000"/>
          <w:sz w:val="24"/>
          <w:highlight w:val="none"/>
          <w:lang w:val="en-US" w:eastAsia="zh-CN"/>
        </w:rPr>
        <w:t xml:space="preserve">▲</w:t>
      </w:r>
      <w:r>
        <w:rPr>
          <w:rFonts w:hint="eastAsia" w:ascii="宋体" w:hAnsi="宋体" w:cs="宋体"/>
          <w:b w:val="0"/>
          <w:bCs/>
          <w:color w:val="000000"/>
          <w:sz w:val="24"/>
          <w:highlight w:val="none"/>
          <w:lang w:val="en-US" w:eastAsia="zh-CN" w:bidi="ar"/>
        </w:rPr>
        <w:t xml:space="preserve">超高频线阵探头频率：8.5-30.0MHZ</w:t>
      </w:r>
      <w:r>
        <w:rPr>
          <w:rFonts w:hint="eastAsia" w:ascii="宋体" w:hAnsi="宋体" w:cs="宋体"/>
          <w:b w:val="0"/>
          <w:bCs/>
          <w:color w:val="000000"/>
          <w:sz w:val="24"/>
          <w:highlight w:val="none"/>
          <w:lang w:val="en-US" w:eastAsia="zh-CN" w:bidi="ar"/>
        </w:rPr>
      </w:r>
      <w:r/>
    </w:p>
    <w:p>
      <w:pPr>
        <w:pStyle w:val="1088"/>
        <w:contextualSpacing/>
        <w:ind w:left="-2" w:firstLine="482"/>
        <w:spacing w:line="360" w:lineRule="auto"/>
        <w:tabs>
          <w:tab w:val="left" w:pos="567" w:leader="none"/>
        </w:tabs>
        <w:rPr>
          <w:rFonts w:hint="eastAsia"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采购包2：全身超（介入）</w:t>
      </w:r>
      <w:r>
        <w:rPr>
          <w:rFonts w:hint="eastAsia" w:ascii="宋体" w:hAnsi="宋体" w:cs="宋体"/>
          <w:b/>
          <w:color w:val="000000"/>
          <w:sz w:val="24"/>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6"/>
        <w:gridCol w:w="8162"/>
      </w:tblGrid>
      <w:tr>
        <w:trPr>
          <w:trHeight w:val="580"/>
        </w:trPr>
        <w:tc>
          <w:tcPr>
            <w:gridSpan w:val="2"/>
            <w:tcW w:w="9288" w:type="dxa"/>
            <w:vAlign w:val="center"/>
            <w:textDirection w:val="lrTb"/>
            <w:noWrap/>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一</w:t>
            </w:r>
            <w:r>
              <w:rPr>
                <w:rFonts w:hint="eastAsia" w:ascii="宋体" w:hAnsi="宋体" w:eastAsia="宋体" w:cs="宋体"/>
                <w:color w:val="000000"/>
                <w:sz w:val="24"/>
                <w:szCs w:val="24"/>
                <w:highlight w:val="none"/>
                <w:lang w:eastAsia="zh-CN" w:bidi="ar"/>
              </w:rPr>
              <w:t xml:space="preserve">）设备用途说明：于腹部、妇产、胎儿心脏、成人心脏、泌尿、新生儿、小儿、血管(外周、颅脑、腹部)、小器官、骨骼肌肉、神经、术中，造影、介入等方面的临床诊断和科研教学工作。</w:t>
            </w:r>
            <w:r>
              <w:rPr>
                <w:rFonts w:hint="eastAsia" w:ascii="宋体" w:hAnsi="宋体" w:eastAsia="宋体" w:cs="宋体"/>
                <w:i w:val="0"/>
                <w:iCs w:val="0"/>
                <w:color w:val="000000"/>
                <w:sz w:val="24"/>
                <w:szCs w:val="24"/>
                <w:highlight w:val="none"/>
                <w:u w:val="none"/>
                <w:lang w:val="en-US" w:eastAsia="zh-CN" w:bidi="ar"/>
              </w:rPr>
            </w:r>
            <w:r/>
          </w:p>
        </w:tc>
      </w:tr>
      <w:tr>
        <w:trPr>
          <w:trHeight w:val="580"/>
        </w:trPr>
        <w:tc>
          <w:tcPr>
            <w:gridSpan w:val="2"/>
            <w:tcW w:w="9288" w:type="dxa"/>
            <w:vAlign w:val="center"/>
            <w:textDirection w:val="lrTb"/>
            <w:noWrap/>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bCs/>
                <w:color w:val="000000"/>
                <w:sz w:val="24"/>
                <w:szCs w:val="24"/>
                <w:highlight w:val="none"/>
                <w:lang w:eastAsia="zh-CN" w:bidi="ar"/>
              </w:rPr>
              <w:t xml:space="preserve">（</w:t>
            </w:r>
            <w:r>
              <w:rPr>
                <w:rFonts w:hint="eastAsia" w:ascii="宋体" w:hAnsi="宋体" w:eastAsia="宋体" w:cs="宋体"/>
                <w:b w:val="0"/>
                <w:bCs/>
                <w:color w:val="000000"/>
                <w:sz w:val="24"/>
                <w:szCs w:val="24"/>
                <w:highlight w:val="none"/>
                <w:lang w:val="en-US" w:eastAsia="zh-CN" w:bidi="ar"/>
              </w:rPr>
              <w:t xml:space="preserve">二</w:t>
            </w:r>
            <w:r>
              <w:rPr>
                <w:rFonts w:hint="eastAsia" w:ascii="宋体" w:hAnsi="宋体" w:eastAsia="宋体" w:cs="宋体"/>
                <w:b w:val="0"/>
                <w:bCs/>
                <w:color w:val="000000"/>
                <w:sz w:val="24"/>
                <w:szCs w:val="24"/>
                <w:highlight w:val="none"/>
                <w:lang w:eastAsia="zh-CN" w:bidi="ar"/>
              </w:rPr>
              <w:t xml:space="preserve">）主要技术规格及系统概述：</w:t>
            </w:r>
            <w:r>
              <w:rPr>
                <w:rFonts w:hint="eastAsia" w:ascii="宋体" w:hAnsi="宋体" w:eastAsia="宋体" w:cs="宋体"/>
                <w:i w:val="0"/>
                <w:iCs w:val="0"/>
                <w:color w:val="000000"/>
                <w:sz w:val="24"/>
                <w:szCs w:val="24"/>
                <w:highlight w:val="none"/>
                <w:u w:val="none"/>
                <w:lang w:val="en-US" w:eastAsia="zh-CN" w:bidi="ar"/>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eastAsia="zh-CN" w:bidi="ar"/>
              </w:rPr>
              <w:t xml:space="preserve">主机系统性能概括</w:t>
            </w:r>
            <w:r>
              <w:rPr>
                <w:rFonts w:hint="eastAsia" w:ascii="宋体" w:hAnsi="宋体" w:eastAsia="宋体" w:cs="宋体"/>
                <w:i w:val="0"/>
                <w:iCs w:val="0"/>
                <w:color w:val="000000"/>
                <w:sz w:val="24"/>
                <w:szCs w:val="24"/>
                <w:highlight w:val="none"/>
                <w:u w:val="none"/>
                <w:lang w:val="en-US" w:eastAsia="zh-CN" w:bidi="ar"/>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具备集束精准发射技术，全程动态聚焦发射声束</w:t>
            </w:r>
            <w:r>
              <w:rPr>
                <w:rFonts w:hint="eastAsia" w:ascii="宋体" w:hAnsi="宋体" w:eastAsia="宋体" w:cs="宋体"/>
                <w:i w:val="0"/>
                <w:iCs w:val="0"/>
                <w:color w:val="000000"/>
                <w:sz w:val="24"/>
                <w:szCs w:val="24"/>
                <w:highlight w:val="none"/>
                <w:u w:val="none"/>
              </w:rPr>
            </w:r>
            <w:r/>
          </w:p>
        </w:tc>
      </w:tr>
      <w:tr>
        <w:trPr>
          <w:trHeight w:val="6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rPr>
              <w:t xml:space="preserve">高分辨率液晶显示器≥2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英寸</w:t>
            </w:r>
            <w:r>
              <w:rPr>
                <w:rFonts w:hint="eastAsia" w:ascii="宋体" w:hAnsi="宋体" w:eastAsia="宋体" w:cs="宋体"/>
                <w:i w:val="0"/>
                <w:iCs w:val="0"/>
                <w:color w:val="000000"/>
                <w:sz w:val="24"/>
                <w:szCs w:val="24"/>
                <w:highlight w:val="none"/>
                <w:u w:val="none"/>
                <w:lang w:val="en-US" w:eastAsia="zh-CN" w:bidi="ar"/>
              </w:rPr>
              <w:t xml:space="preserve">，可上下左右旋转、可前后折叠</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液晶触摸屏≥12英寸,可与显示器同步显示超声实时图像，支持滑屏翻页功能</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动态范围≥390dB</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具备频谱多普勒显示单元及分析系统</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脉冲反向谐波成像单元</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超宽视野成像扫描技术</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立体血流成像技术</w:t>
            </w:r>
            <w:r>
              <w:rPr>
                <w:rFonts w:hint="eastAsia" w:ascii="宋体" w:hAnsi="宋体" w:eastAsia="宋体" w:cs="宋体"/>
                <w:i w:val="0"/>
                <w:iCs w:val="0"/>
                <w:color w:val="000000"/>
                <w:sz w:val="24"/>
                <w:szCs w:val="24"/>
                <w:highlight w:val="none"/>
                <w:u w:val="none"/>
              </w:rPr>
            </w:r>
            <w:r/>
          </w:p>
        </w:tc>
      </w:tr>
      <w:tr>
        <w:trPr>
          <w:trHeight w:val="78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★1.9</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支持主机直接浏览阅读CT，MR图像数据，非融合导航功能下实现多影像实时对比，在不使用融合导航技术时，主机也可直接获取和浏览CT、MR、钼靶或超声DICOM图像，与超声图像同屏显示，以便对疾病进行更好的评估、诊断。</w:t>
            </w:r>
            <w:r>
              <w:rPr>
                <w:rFonts w:hint="eastAsia" w:ascii="宋体" w:hAnsi="宋体" w:eastAsia="宋体" w:cs="宋体"/>
                <w:b/>
                <w:bCs/>
                <w:i/>
                <w:iCs/>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超声造影成像单元</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1.10.1</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造影技术支持凸阵，线阵，腔内探头，相控阵，微凸探头，可满足临床对腹部、妇产、浅表、乳腺、腔内的前列腺、经阴道妇科</w:t>
            </w:r>
            <w:r>
              <w:rPr>
                <w:rFonts w:hint="eastAsia" w:ascii="宋体" w:hAnsi="宋体" w:eastAsia="宋体" w:cs="宋体"/>
                <w:i w:val="0"/>
                <w:iCs w:val="0"/>
                <w:color w:val="000000"/>
                <w:sz w:val="24"/>
                <w:szCs w:val="24"/>
                <w:highlight w:val="none"/>
                <w:u w:val="none"/>
              </w:rPr>
            </w:r>
            <w:r/>
          </w:p>
        </w:tc>
      </w:tr>
      <w:tr>
        <w:trPr>
          <w:trHeight w:val="110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1.10.2</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实时微血管造影成像技术（以双幅形式同时显示实时造影和造影复合处理模式）可清晰显示组织内微小血管的灌注及走行，可早期评价病变的恶变倾向及放化疗效果</w:t>
            </w:r>
            <w:r>
              <w:rPr>
                <w:rFonts w:hint="eastAsia" w:ascii="宋体" w:hAnsi="宋体" w:eastAsia="宋体" w:cs="宋体"/>
                <w:i w:val="0"/>
                <w:iCs w:val="0"/>
                <w:color w:val="000000"/>
                <w:sz w:val="24"/>
                <w:szCs w:val="24"/>
                <w:highlight w:val="none"/>
                <w:u w:val="none"/>
              </w:rPr>
            </w:r>
            <w:r/>
          </w:p>
        </w:tc>
      </w:tr>
      <w:tr>
        <w:trPr>
          <w:trHeight w:val="9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1.10.3</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超分辨造影微血流成像：使用超分辨率处理方法和高级运动补偿技术来提高血管空间分辨率和减少运动伪像。可用于评估组织内微血管架构和微循环血流灌注情况。支持凸阵、微凸阵、线阵、心脏、腔内探头。</w:t>
            </w:r>
            <w:r>
              <w:rPr>
                <w:rFonts w:hint="eastAsia" w:ascii="宋体" w:hAnsi="宋体" w:eastAsia="宋体" w:cs="宋体"/>
                <w:i w:val="0"/>
                <w:iCs w:val="0"/>
                <w:color w:val="000000"/>
                <w:sz w:val="24"/>
                <w:szCs w:val="24"/>
                <w:highlight w:val="none"/>
                <w:u w:val="none"/>
              </w:rPr>
            </w:r>
            <w:r/>
          </w:p>
        </w:tc>
      </w:tr>
      <w:tr>
        <w:trPr>
          <w:trHeight w:val="9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1.10.4</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分辨造影微血流时间到达成像：在超分辨造影微血流成像技术的基础上，安照灌注时间顺序，用不同的颜色标识，提高造影图像的时间分辨率及微血管显示能力，增加造影鉴别诊断能力。并可进行自定义起始到达强度5挡可调，较少造影伪像干扰。</w:t>
            </w:r>
            <w:r>
              <w:rPr>
                <w:rFonts w:hint="eastAsia" w:ascii="宋体" w:hAnsi="宋体" w:eastAsia="宋体" w:cs="宋体"/>
                <w:i w:val="0"/>
                <w:iCs w:val="0"/>
                <w:color w:val="000000"/>
                <w:sz w:val="24"/>
                <w:szCs w:val="24"/>
                <w:highlight w:val="none"/>
                <w:u w:val="none"/>
                <w:lang w:val="en-US" w:eastAsia="zh-CN" w:bidi="ar"/>
              </w:rPr>
            </w:r>
            <w:r/>
          </w:p>
        </w:tc>
      </w:tr>
      <w:tr>
        <w:trPr>
          <w:trHeight w:val="568"/>
        </w:trPr>
        <w:tc>
          <w:tcPr>
            <w:tcW w:w="606" w:type="dxa"/>
            <w:vAlign w:val="center"/>
            <w:textDirection w:val="lrTb"/>
            <w:noWrap/>
          </w:tcPr>
          <w:p>
            <w:pPr>
              <w:pStyle w:val="1088"/>
              <w:jc w:val="center"/>
              <w:keepLines w:val="0"/>
              <w:keepNext w:val="0"/>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1.11</w:t>
            </w:r>
            <w:r>
              <w:rPr>
                <w:rFonts w:hint="eastAsia" w:ascii="宋体" w:hAnsi="宋体" w:eastAsia="宋体" w:cs="宋体"/>
                <w:b w:val="0"/>
                <w:bCs w:val="0"/>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弹性成像技术</w:t>
            </w:r>
            <w:r>
              <w:rPr>
                <w:rFonts w:hint="eastAsia" w:ascii="宋体" w:hAnsi="宋体" w:eastAsia="宋体" w:cs="宋体"/>
                <w:b w:val="0"/>
                <w:bCs w:val="0"/>
                <w:i w:val="0"/>
                <w:iCs w:val="0"/>
                <w:color w:val="000000"/>
                <w:sz w:val="24"/>
                <w:szCs w:val="24"/>
                <w:highlight w:val="none"/>
                <w:u w:val="none"/>
              </w:rPr>
            </w:r>
            <w:r/>
          </w:p>
        </w:tc>
      </w:tr>
      <w:tr>
        <w:trPr>
          <w:trHeight w:val="55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★1.11.1</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具备囊实性结构鉴别弹性成像技术</w:t>
            </w:r>
            <w:r>
              <w:rPr>
                <w:rFonts w:hint="eastAsia" w:ascii="宋体" w:hAnsi="宋体" w:eastAsia="宋体" w:cs="宋体"/>
                <w:b/>
                <w:bCs/>
                <w:i/>
                <w:iCs/>
                <w:color w:val="000000"/>
                <w:sz w:val="24"/>
                <w:szCs w:val="24"/>
                <w:highlight w:val="none"/>
                <w:u w:val="none"/>
              </w:rPr>
            </w:r>
            <w:r/>
          </w:p>
        </w:tc>
      </w:tr>
      <w:tr>
        <w:trPr>
          <w:trHeight w:val="478"/>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★1.11.2</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具备浅表及腔内弹性成像</w:t>
            </w:r>
            <w:r>
              <w:rPr>
                <w:rFonts w:hint="eastAsia" w:ascii="宋体" w:hAnsi="宋体" w:eastAsia="宋体" w:cs="宋体"/>
                <w:b/>
                <w:bCs/>
                <w:i/>
                <w:iCs/>
                <w:color w:val="000000"/>
                <w:sz w:val="24"/>
                <w:szCs w:val="24"/>
                <w:highlight w:val="none"/>
                <w:u w:val="none"/>
              </w:rPr>
            </w:r>
            <w:r/>
          </w:p>
        </w:tc>
      </w:tr>
      <w:tr>
        <w:trPr>
          <w:trHeight w:val="817"/>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★1.11.3</w:t>
            </w:r>
            <w:r>
              <w:rPr>
                <w:rFonts w:hint="eastAsia" w:ascii="宋体" w:hAnsi="宋体" w:eastAsia="宋体" w:cs="宋体"/>
                <w:b/>
                <w:bCs/>
                <w:i/>
                <w:iCs/>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主机内置一体化实时弹性定量分析技术，可对弹性图像进行直径面积对比分析、动态弹性应变分析、动态弹性参数成像。</w:t>
            </w:r>
            <w:r>
              <w:rPr>
                <w:rFonts w:hint="eastAsia" w:ascii="宋体" w:hAnsi="宋体" w:eastAsia="宋体" w:cs="宋体"/>
                <w:b/>
                <w:bCs/>
                <w:i/>
                <w:iCs/>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图像存储与（电影）回放重现及病案管理单元</w:t>
            </w:r>
            <w:r>
              <w:rPr>
                <w:rFonts w:hint="eastAsia" w:ascii="宋体" w:hAnsi="宋体" w:eastAsia="宋体" w:cs="宋体"/>
                <w:b/>
                <w:bCs/>
                <w:i w:val="0"/>
                <w:iCs w:val="0"/>
                <w:color w:val="000000"/>
                <w:sz w:val="24"/>
                <w:szCs w:val="24"/>
                <w:highlight w:val="none"/>
                <w:u w:val="none"/>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数字化捕捉、回放、存储动、静态图像，实时图像传输，实时 JPEG 解压缩，可进行参数编程调节</w:t>
            </w:r>
            <w:r>
              <w:rPr>
                <w:rFonts w:hint="eastAsia" w:ascii="宋体" w:hAnsi="宋体" w:eastAsia="宋体" w:cs="宋体"/>
                <w:i w:val="0"/>
                <w:iCs w:val="0"/>
                <w:color w:val="000000"/>
                <w:sz w:val="24"/>
                <w:szCs w:val="24"/>
                <w:highlight w:val="none"/>
                <w:u w:val="none"/>
              </w:rPr>
            </w:r>
            <w:r/>
          </w:p>
        </w:tc>
      </w:tr>
      <w:tr>
        <w:trPr>
          <w:trHeight w:val="425"/>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★1.14</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主机硬盘容量≥2TB</w:t>
            </w:r>
            <w:r>
              <w:rPr>
                <w:rFonts w:hint="eastAsia" w:ascii="宋体" w:hAnsi="宋体" w:eastAsia="宋体" w:cs="宋体"/>
                <w:b/>
                <w:bCs/>
                <w:i/>
                <w:iCs/>
                <w:color w:val="000000"/>
                <w:sz w:val="24"/>
                <w:szCs w:val="24"/>
                <w:highlight w:val="none"/>
                <w:u w:val="none"/>
              </w:rPr>
            </w:r>
            <w:r/>
          </w:p>
        </w:tc>
      </w:tr>
      <w:tr>
        <w:trPr>
          <w:trHeight w:val="640"/>
        </w:trPr>
        <w:tc>
          <w:tcPr>
            <w:gridSpan w:val="2"/>
            <w:tcW w:w="9288" w:type="dxa"/>
            <w:vAlign w:val="center"/>
            <w:textDirection w:val="lrTb"/>
            <w:noWrap/>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（三）技术参数及要求</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系统通用功能</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★1.1</w:t>
            </w:r>
            <w:r>
              <w:rPr>
                <w:rFonts w:hint="eastAsia" w:ascii="宋体" w:hAnsi="宋体" w:eastAsia="宋体" w:cs="宋体"/>
                <w:b/>
                <w:bCs/>
                <w:i/>
                <w:iCs/>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通用成像探头接口≥4个，均为微型无针式接口，4个接口通用，可同时支持矩阵实时三维探头并可任意互换</w:t>
            </w:r>
            <w:r>
              <w:rPr>
                <w:rFonts w:hint="eastAsia" w:ascii="宋体" w:hAnsi="宋体" w:eastAsia="宋体" w:cs="宋体"/>
                <w:b/>
                <w:bCs/>
                <w:i/>
                <w:iCs/>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预设条件: 针对不同的检查脏器,预置最佳化图像的检查条件,减少操作时的调节,及常用所需的外部调节及组合调节。</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所配探头频率范围：</w:t>
            </w:r>
            <w:r>
              <w:rPr>
                <w:rFonts w:hint="eastAsia" w:ascii="宋体" w:hAnsi="宋体" w:eastAsia="宋体" w:cs="宋体"/>
                <w:b/>
                <w:bCs/>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成人</w:t>
            </w:r>
            <w:r>
              <w:rPr>
                <w:rFonts w:hint="eastAsia" w:ascii="宋体" w:hAnsi="宋体" w:eastAsia="宋体" w:cs="宋体"/>
                <w:color w:val="000000"/>
                <w:sz w:val="24"/>
                <w:szCs w:val="24"/>
                <w:highlight w:val="none"/>
              </w:rPr>
              <w:t xml:space="preserve">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凸阵探头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-5.0MHz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小器官</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线阵探头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微凸介入</w:t>
            </w:r>
            <w:r>
              <w:rPr>
                <w:rFonts w:hint="eastAsia" w:ascii="宋体" w:hAnsi="宋体" w:eastAsia="宋体" w:cs="宋体"/>
                <w:color w:val="000000"/>
                <w:sz w:val="24"/>
                <w:szCs w:val="24"/>
                <w:highlight w:val="none"/>
              </w:rPr>
              <w:t xml:space="preserve">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腔内</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凸阵探头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★3</w:t>
            </w:r>
            <w:r>
              <w:rPr>
                <w:rFonts w:hint="eastAsia" w:ascii="宋体" w:hAnsi="宋体" w:eastAsia="宋体" w:cs="宋体"/>
                <w:b/>
                <w:bCs/>
                <w:i/>
                <w:iCs/>
                <w:color w:val="000000"/>
                <w:sz w:val="24"/>
                <w:szCs w:val="24"/>
                <w:highlight w:val="none"/>
                <w:u w:val="none"/>
                <w:lang w:val="en-US" w:eastAsia="zh-CN" w:bidi="ar"/>
              </w:rPr>
            </w:r>
            <w:r/>
          </w:p>
        </w:tc>
        <w:tc>
          <w:tcPr>
            <w:tcW w:w="4393" w:type="dxa"/>
            <w:vAlign w:val="center"/>
            <w:textDirection w:val="lrTb"/>
            <w:noWrap w:val="false"/>
          </w:tcPr>
          <w:p>
            <w:pPr>
              <w:pStyle w:val="1088"/>
              <w:jc w:val="both"/>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增益调节：TGC增益补偿≥8 段，LGC侧向增益补偿≥8 段，B/M 可独立调节；TGC 调节：图像实时或冻结后均可以调节TGC，优化图像。</w:t>
            </w:r>
            <w:r>
              <w:rPr>
                <w:rFonts w:hint="eastAsia" w:ascii="宋体" w:hAnsi="宋体" w:eastAsia="宋体" w:cs="宋体"/>
                <w:b/>
                <w:bCs/>
                <w:i/>
                <w:iCs/>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数字声束形成器：数字式全程动态聚焦，数字式可变孔径及动态变迹，A/D≥12bit</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投标设备法定使用年限≥10年（提供主机铭牌证明）</w:t>
            </w:r>
            <w:r>
              <w:rPr>
                <w:rFonts w:hint="eastAsia" w:ascii="宋体" w:hAnsi="宋体" w:eastAsia="宋体" w:cs="宋体"/>
                <w:i w:val="0"/>
                <w:iCs w:val="0"/>
                <w:color w:val="000000"/>
                <w:sz w:val="24"/>
                <w:szCs w:val="24"/>
                <w:highlight w:val="none"/>
                <w:u w:val="none"/>
                <w:lang w:val="en-US" w:eastAsia="zh-CN" w:bidi="ar"/>
              </w:rPr>
            </w:r>
            <w:r/>
          </w:p>
        </w:tc>
      </w:tr>
    </w:tbl>
    <w:p>
      <w:pPr>
        <w:pStyle w:val="1088"/>
        <w:contextualSpacing/>
        <w:ind w:left="-2" w:firstLine="482"/>
        <w:spacing w:line="360" w:lineRule="auto"/>
        <w:tabs>
          <w:tab w:val="left" w:pos="567" w:leader="none"/>
        </w:tabs>
        <w:rPr>
          <w:rFonts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采购包3：妇产机</w:t>
      </w:r>
      <w:r>
        <w:rPr>
          <w:rFonts w:ascii="宋体" w:hAnsi="宋体" w:cs="宋体"/>
          <w:b/>
          <w:color w:val="000000"/>
          <w:sz w:val="24"/>
          <w:highlight w:val="none"/>
          <w:lang w:val="en-US"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（一）设备用途及说明：</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妇产科、腹部、胎儿心脏、新生儿、心脏、泌尿科、浅表组织与小器官、外周血管及科研的高档四维彩色多普勒超声诊断仪，满足产科超声诊断，妇科疑难病例超声诊断，胎儿畸形产前诊断及科研。</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（二）主要规格及系统概述</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2.1彩色多普勒超声波诊断仪包括：</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2.1.1主机一体化LCD显示器 ≥23英寸。</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2.1.2 液晶触摸屏≥14英寸。</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2.1.3实时四维成像单元。 </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w:t>
      </w:r>
      <w:r>
        <w:rPr>
          <w:rFonts w:hint="eastAsia" w:ascii="宋体" w:hAnsi="宋体" w:eastAsia="宋体" w:cs="宋体"/>
          <w:b w:val="0"/>
          <w:bCs/>
          <w:color w:val="000000"/>
          <w:sz w:val="24"/>
          <w:highlight w:val="none"/>
          <w:lang w:val="en-US" w:eastAsia="zh-CN" w:bidi="ar"/>
        </w:rPr>
        <w:t xml:space="preserve">4</w:t>
      </w:r>
      <w:r>
        <w:rPr>
          <w:rFonts w:hint="eastAsia" w:ascii="宋体" w:hAnsi="宋体" w:eastAsia="宋体" w:cs="宋体"/>
          <w:b w:val="0"/>
          <w:bCs/>
          <w:color w:val="000000"/>
          <w:sz w:val="24"/>
          <w:highlight w:val="none"/>
          <w:lang w:eastAsia="zh-CN" w:bidi="ar"/>
        </w:rPr>
        <w:t xml:space="preserve"> 二维立体血流成像技术。</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w:t>
      </w:r>
      <w:r>
        <w:rPr>
          <w:rFonts w:hint="eastAsia" w:ascii="宋体" w:hAnsi="宋体" w:eastAsia="宋体" w:cs="宋体"/>
          <w:b w:val="0"/>
          <w:bCs/>
          <w:color w:val="000000"/>
          <w:sz w:val="24"/>
          <w:highlight w:val="none"/>
          <w:lang w:val="en-US" w:eastAsia="zh-CN" w:bidi="ar"/>
        </w:rPr>
        <w:t xml:space="preserve">5</w:t>
      </w:r>
      <w:r>
        <w:rPr>
          <w:rFonts w:hint="eastAsia" w:ascii="宋体" w:hAnsi="宋体" w:eastAsia="宋体" w:cs="宋体"/>
          <w:b w:val="0"/>
          <w:bCs/>
          <w:color w:val="000000"/>
          <w:sz w:val="24"/>
          <w:highlight w:val="none"/>
          <w:lang w:eastAsia="zh-CN" w:bidi="ar"/>
        </w:rPr>
        <w:t xml:space="preserve">弹性成像技术。</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w:t>
      </w:r>
      <w:r>
        <w:rPr>
          <w:rFonts w:hint="eastAsia" w:ascii="宋体" w:hAnsi="宋体" w:eastAsia="宋体" w:cs="宋体"/>
          <w:b w:val="0"/>
          <w:bCs/>
          <w:color w:val="000000"/>
          <w:sz w:val="24"/>
          <w:highlight w:val="none"/>
          <w:lang w:val="en-US" w:eastAsia="zh-CN" w:bidi="ar"/>
        </w:rPr>
        <w:t xml:space="preserve">6</w:t>
      </w:r>
      <w:r>
        <w:rPr>
          <w:rFonts w:hint="eastAsia" w:ascii="宋体" w:hAnsi="宋体" w:eastAsia="宋体" w:cs="宋体"/>
          <w:b w:val="0"/>
          <w:bCs/>
          <w:color w:val="000000"/>
          <w:sz w:val="24"/>
          <w:highlight w:val="none"/>
          <w:lang w:eastAsia="zh-CN" w:bidi="ar"/>
        </w:rPr>
        <w:t xml:space="preserve">宽景成像技术，支持所有凸阵和线阵探头。</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▲2.1.</w:t>
      </w:r>
      <w:r>
        <w:rPr>
          <w:rFonts w:hint="eastAsia" w:ascii="宋体" w:hAnsi="宋体" w:eastAsia="宋体" w:cs="宋体"/>
          <w:b w:val="0"/>
          <w:bCs/>
          <w:color w:val="000000"/>
          <w:sz w:val="24"/>
          <w:highlight w:val="none"/>
          <w:lang w:val="en-US" w:eastAsia="zh-CN" w:bidi="ar"/>
        </w:rPr>
        <w:t xml:space="preserve">7</w:t>
      </w:r>
      <w:r>
        <w:rPr>
          <w:rFonts w:hint="eastAsia" w:ascii="宋体" w:hAnsi="宋体" w:eastAsia="宋体" w:cs="宋体"/>
          <w:b w:val="0"/>
          <w:bCs/>
          <w:color w:val="000000"/>
          <w:sz w:val="24"/>
          <w:highlight w:val="none"/>
          <w:lang w:eastAsia="zh-CN" w:bidi="ar"/>
        </w:rPr>
        <w:t xml:space="preserve">智能胎儿多普勒技术：六种血流预设，随心切换，提升彩色/频谱/测量工作效率（可自定义设置）。</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2.2容积四维成像技术</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2.2.1腔内容积探头具有四维实时对比谐波造影功能，支持阴道子宫输卵管超声造影检查。</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▲2.2.2具备或支持智能三维产程监测功能。</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▲2.2.3专用窦卵泡智能容积成像。</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2.2.4卵泡智能容积成像。</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2.2.5 </w:t>
      </w:r>
      <w:r>
        <w:rPr>
          <w:rFonts w:hint="eastAsia" w:ascii="宋体" w:hAnsi="宋体" w:eastAsia="宋体" w:cs="宋体"/>
          <w:b w:val="0"/>
          <w:bCs/>
          <w:color w:val="000000"/>
          <w:sz w:val="24"/>
          <w:highlight w:val="none"/>
          <w:lang w:eastAsia="zh-CN" w:bidi="ar"/>
        </w:rPr>
        <w:t xml:space="preserve">具备或支持</w:t>
      </w:r>
      <w:r>
        <w:rPr>
          <w:rFonts w:hint="eastAsia" w:ascii="宋体" w:hAnsi="宋体" w:eastAsia="宋体" w:cs="宋体"/>
          <w:b w:val="0"/>
          <w:bCs/>
          <w:color w:val="000000"/>
          <w:sz w:val="24"/>
          <w:highlight w:val="none"/>
          <w:lang w:eastAsia="zh-CN" w:bidi="ar"/>
        </w:rPr>
        <w:t xml:space="preserve">时间空间相关成像技术。</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▲2.2.6 </w:t>
      </w:r>
      <w:r>
        <w:rPr>
          <w:rFonts w:hint="eastAsia" w:ascii="宋体" w:hAnsi="宋体" w:eastAsia="宋体" w:cs="宋体"/>
          <w:b w:val="0"/>
          <w:bCs/>
          <w:color w:val="000000"/>
          <w:sz w:val="24"/>
          <w:highlight w:val="none"/>
          <w:lang w:eastAsia="zh-CN" w:bidi="ar"/>
        </w:rPr>
        <w:t xml:space="preserve">具备或支持</w:t>
      </w:r>
      <w:r>
        <w:rPr>
          <w:rFonts w:hint="eastAsia" w:ascii="宋体" w:hAnsi="宋体" w:eastAsia="宋体" w:cs="宋体"/>
          <w:b w:val="0"/>
          <w:bCs/>
          <w:color w:val="000000"/>
          <w:sz w:val="24"/>
          <w:highlight w:val="none"/>
          <w:lang w:eastAsia="zh-CN" w:bidi="ar"/>
        </w:rPr>
        <w:t xml:space="preserve">时间空间相关成像技术胎心容积切面识别技术， 时间空间相关成像技术模式下容积数据获取≥8个切面。</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2.2.7具有胎儿颜面自动识别技术，可实时自动跟踪，快速获得胎儿表面容积成像。</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2.2.8具有实时四维穿刺引导功能，有穿刺引导线。</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2.2.9支持灰阶及血流三维/四维成像模式，具有虚拟光源移动技术，最大支持3个独立的可移动光源。</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2.2.10智能中枢神经系统检查：人工智能工具，自动寻找成像切面位置，自动识别胎儿颅脑4个标准平面，自动同时测量6组生物指标。</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2.3智能筛查系列技术</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▲2.3.1具有智能盆底测量检查技术:基于人工智能，自动识别Valsalva状态下，最大裂孔平面位置,自动测量肛提肌裂孔的面积等。</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▲2.3.2智能产筛切面识别：遵循 ISUOG 常规孕中期胎儿超声扫描实践指南，实时自动检测识别胎儿产前筛查标准切面。</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▲2.3.3智能产筛质量控制，系统将获取的图像或切面与标准切面进行比较，以确保其符合临床标准。能够帮助提高准确性和质量，有解剖示意图和并可插入标准图像进行参考比较。</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2.4 测量和分析（B型、M型、频谱多普勒、彩色模式）</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2.4.1胎儿生长指标自动测量功能，包括胎儿双顶径、枕额径、头围、腹围、股骨长、肱骨长。</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2.4.2支持自动NT及IT测量技术。</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2.4.3容积能量模式直方图技术，结合不规则体积测量可计算血管指数VI，FI和VFI。</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▲2.4.4二维凸阵探头及高频线阵探头可以支持CW连续波多普勒成像，便于进行胎儿心脏血流速度测量。</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2.5图像存储、管理及回放重现。</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2.5.1超声图像存档和病案管理系统，</w:t>
      </w:r>
      <w:r>
        <w:rPr>
          <w:rFonts w:hint="eastAsia" w:ascii="宋体" w:hAnsi="宋体" w:eastAsia="宋体" w:cs="宋体"/>
          <w:b w:val="0"/>
          <w:bCs/>
          <w:color w:val="000000"/>
          <w:sz w:val="24"/>
          <w:highlight w:val="none"/>
          <w:lang w:eastAsia="zh-CN" w:bidi="ar"/>
        </w:rPr>
        <w:t xml:space="preserve">硬盘容量≥1T</w:t>
      </w:r>
      <w:r>
        <w:rPr>
          <w:rFonts w:hint="eastAsia" w:ascii="宋体" w:hAnsi="宋体" w:eastAsia="宋体" w:cs="宋体"/>
          <w:b w:val="0"/>
          <w:bCs/>
          <w:color w:val="000000"/>
          <w:sz w:val="24"/>
          <w:highlight w:val="none"/>
          <w:lang w:eastAsia="zh-CN" w:bidi="ar"/>
        </w:rPr>
        <w:t xml:space="preserve">。</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2.5.2支持一键式输出3D打印格式，包括STL、OBJ、PLY、3MF、XYZ格式。</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2.5.3可支持3D/4D容积数据离线处理软件，实现与主机相同的3D超声影像数据分析功能。</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2.6探头规格       </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2.6.1频率：超宽频、变频探头，工作频率可显示。</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2.6.2腹部单晶体二维凸阵探头：超声频率2.0-5.0 MHz，非扩展成像角度≥110°。</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2.6.3腹部凸阵容积探头：超声频率2.0-7.0 MHz。</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2.6.4腔内微凸探头：超声频率4.0-8.0MHz。</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2.6.5腔内容积探头：超声频率4.0-9.0 MHz，成像角度≥180°。</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▲2.6.6面阵线阵探头：超声频率5.0-13.0Mhz，阵元数≥1000。</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2.7二维灰阶及容积成像主要参数。</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2.7.1二维成像扫描深度≥45cm。</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2.7.2系统动态范围≥390dB 。</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2.8频谱多普勒</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2.8.1包括脉冲多普勒、连续多普勒。</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2.8.2最低测量速度：≤5mm/s。</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2.9彩色多普勒</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2.9.1显示方式：能量显示、速度显示、二维立体血流显示。</w:t>
      </w:r>
      <w:r>
        <w:rPr>
          <w:rFonts w:hint="eastAsia" w:ascii="宋体" w:hAnsi="宋体" w:eastAsia="宋体" w:cs="宋体"/>
          <w:b w:val="0"/>
          <w:bCs/>
          <w:color w:val="000000"/>
          <w:sz w:val="24"/>
          <w:highlight w:val="none"/>
          <w:lang w:eastAsia="zh-CN" w:bidi="ar"/>
        </w:rPr>
      </w:r>
      <w:r/>
    </w:p>
    <w:p>
      <w:pPr>
        <w:pStyle w:val="1088"/>
        <w:contextualSpacing/>
        <w:ind w:left="-2" w:firstLine="480"/>
        <w:spacing w:line="360" w:lineRule="auto"/>
        <w:tabs>
          <w:tab w:val="left" w:pos="567" w:leader="none"/>
        </w:tabs>
        <w:rPr>
          <w:rFonts w:hint="eastAsia" w:ascii="宋体" w:hAnsi="宋体" w:eastAsia="宋体" w:cs="宋体"/>
          <w:b w:val="0"/>
          <w:bCs/>
          <w:color w:val="000000"/>
          <w:sz w:val="24"/>
          <w:highlight w:val="none"/>
          <w:lang w:eastAsia="zh-CN" w:bidi="ar"/>
        </w:rPr>
      </w:pPr>
      <w:r>
        <w:rPr>
          <w:rFonts w:hint="eastAsia" w:ascii="宋体" w:hAnsi="宋体" w:eastAsia="宋体" w:cs="宋体"/>
          <w:b w:val="0"/>
          <w:bCs/>
          <w:color w:val="000000"/>
          <w:sz w:val="24"/>
          <w:highlight w:val="none"/>
          <w:lang w:eastAsia="zh-CN" w:bidi="ar"/>
        </w:rPr>
        <w:t xml:space="preserve">2.9.2彩色显示速度：最低平均血流测量速度≤5mm/s(非噪声信号)。</w:t>
      </w:r>
      <w:r>
        <w:rPr>
          <w:rFonts w:hint="eastAsia" w:ascii="宋体" w:hAnsi="宋体" w:eastAsia="宋体" w:cs="宋体"/>
          <w:b w:val="0"/>
          <w:bCs/>
          <w:color w:val="000000"/>
          <w:sz w:val="24"/>
          <w:highlight w:val="none"/>
          <w:lang w:eastAsia="zh-CN" w:bidi="ar"/>
        </w:rPr>
      </w:r>
      <w:r/>
    </w:p>
    <w:p>
      <w:pPr>
        <w:pStyle w:val="1088"/>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个月内货物运抵医院。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包1：</w:t>
      </w:r>
      <w:r>
        <w:rPr>
          <w:rFonts w:hint="eastAsia" w:ascii="宋体" w:hAnsi="宋体" w:cs="宋体"/>
          <w:color w:val="000000"/>
          <w:sz w:val="24"/>
          <w:highlight w:val="none"/>
        </w:rPr>
        <w:t xml:space="preserve">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包2：</w:t>
      </w:r>
      <w:r>
        <w:rPr>
          <w:rFonts w:hint="eastAsia" w:ascii="宋体" w:hAnsi="宋体" w:cs="宋体"/>
          <w:color w:val="000000"/>
          <w:sz w:val="24"/>
          <w:highlight w:val="none"/>
        </w:rPr>
        <w:t xml:space="preserve">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包3：</w:t>
      </w:r>
      <w:r>
        <w:rPr>
          <w:rFonts w:hint="eastAsia" w:ascii="宋体" w:hAnsi="宋体" w:cs="宋体"/>
          <w:color w:val="000000"/>
          <w:sz w:val="24"/>
          <w:highlight w:val="none"/>
        </w:rPr>
        <w:t xml:space="preserve">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8"/>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outlineLvl w:val="0"/>
      </w:pPr>
      <w:r/>
      <w:bookmarkStart w:id="828" w:name="_Toc99301425"/>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088"/>
        <w:spacing w:line="360" w:lineRule="auto"/>
        <w:rPr>
          <w:szCs w:val="21"/>
        </w:rPr>
      </w:pPr>
      <w:r/>
      <w:bookmarkStart w:id="829" w:name="_Toc99301426"/>
      <w:r>
        <w:rPr>
          <w:szCs w:val="21"/>
        </w:rPr>
        <w:t xml:space="preserve">甲    方：  </w:t>
      </w:r>
      <w:r>
        <w:rPr>
          <w:b/>
          <w:szCs w:val="21"/>
          <w:u w:val="single"/>
        </w:rPr>
        <w:t xml:space="preserve">常州市第二人民医院</w:t>
      </w:r>
      <w:r>
        <w:rPr>
          <w:szCs w:val="21"/>
          <w:u w:val="single"/>
        </w:rPr>
        <w:t xml:space="preserve">     </w:t>
      </w:r>
      <w:r>
        <w:rPr>
          <w:szCs w:val="21"/>
        </w:rPr>
        <w:t xml:space="preserve">    </w:t>
      </w:r>
      <w:r>
        <w:rPr>
          <w:szCs w:val="21"/>
        </w:rPr>
        <w:tab/>
      </w:r>
      <w:r>
        <w:rPr>
          <w:szCs w:val="21"/>
        </w:rPr>
        <w:tab/>
      </w:r>
      <w:r>
        <w:rPr>
          <w:szCs w:val="21"/>
        </w:rPr>
        <w:t xml:space="preserve">   乙方：  </w:t>
      </w:r>
      <w:r>
        <w:rPr>
          <w:b/>
          <w:szCs w:val="21"/>
          <w:u w:val="single"/>
        </w:rPr>
        <w:t xml:space="preserve">                         </w:t>
      </w:r>
      <w:r>
        <w:rPr>
          <w:szCs w:val="21"/>
        </w:rPr>
      </w:r>
      <w:r/>
    </w:p>
    <w:p>
      <w:pPr>
        <w:pStyle w:val="1088"/>
        <w:spacing w:line="360" w:lineRule="auto"/>
        <w:rPr>
          <w:szCs w:val="21"/>
        </w:rPr>
      </w:pPr>
      <w:r>
        <w:rPr>
          <w:szCs w:val="21"/>
        </w:rPr>
        <w:t xml:space="preserve">招标编号:   </w:t>
      </w:r>
      <w:r>
        <w:rPr>
          <w:b/>
          <w:szCs w:val="21"/>
          <w:u w:val="single"/>
        </w:rPr>
        <w:t xml:space="preserve">                       </w:t>
      </w:r>
      <w:r>
        <w:rPr>
          <w:b/>
          <w:szCs w:val="21"/>
        </w:rPr>
        <w:t xml:space="preserve">            </w:t>
      </w:r>
      <w:r>
        <w:rPr>
          <w:szCs w:val="21"/>
        </w:rPr>
        <w:t xml:space="preserve">中标通知书日期:</w:t>
      </w:r>
      <w:r>
        <w:rPr>
          <w:b/>
          <w:szCs w:val="21"/>
          <w:u w:val="single"/>
        </w:rPr>
        <w:t xml:space="preserve">      年     月     日</w:t>
      </w:r>
      <w:r>
        <w:rPr>
          <w:szCs w:val="21"/>
        </w:rPr>
      </w:r>
      <w:r/>
    </w:p>
    <w:p>
      <w:pPr>
        <w:pStyle w:val="1088"/>
        <w:spacing w:line="360" w:lineRule="auto"/>
        <w:rPr>
          <w:b/>
          <w:szCs w:val="21"/>
          <w:u w:val="single"/>
        </w:rPr>
      </w:pPr>
      <w:r>
        <w:rPr>
          <w:szCs w:val="21"/>
        </w:rPr>
        <w:t xml:space="preserve">合同签署地：</w:t>
      </w:r>
      <w:r>
        <w:rPr>
          <w:b/>
          <w:szCs w:val="21"/>
          <w:u w:val="single"/>
        </w:rPr>
        <w:t xml:space="preserve">常州市第二人民医院     </w:t>
      </w:r>
      <w:r>
        <w:rPr>
          <w:b/>
          <w:szCs w:val="21"/>
        </w:rPr>
        <w:t xml:space="preserve">            </w:t>
      </w:r>
      <w:r>
        <w:rPr>
          <w:szCs w:val="21"/>
        </w:rPr>
        <w:t xml:space="preserve">合同签订日期：</w:t>
      </w:r>
      <w:r>
        <w:rPr>
          <w:b/>
          <w:szCs w:val="21"/>
          <w:u w:val="single"/>
        </w:rPr>
        <w:t xml:space="preserve">      年     月     日</w:t>
      </w:r>
      <w:r>
        <w:rPr>
          <w:b/>
          <w:szCs w:val="21"/>
          <w:u w:val="single"/>
        </w:rPr>
      </w:r>
      <w:r/>
    </w:p>
    <w:p>
      <w:pPr>
        <w:pStyle w:val="1088"/>
        <w:spacing w:line="360" w:lineRule="auto"/>
        <w:rPr>
          <w:b/>
          <w:szCs w:val="21"/>
          <w:u w:val="single"/>
        </w:rPr>
      </w:pPr>
      <w:r>
        <w:rPr>
          <w:szCs w:val="21"/>
        </w:rPr>
        <w:t xml:space="preserve">院区：</w:t>
      </w:r>
      <w:r>
        <w:rPr>
          <w:b/>
          <w:szCs w:val="21"/>
        </w:rPr>
        <w:t xml:space="preserve">     </w:t>
      </w:r>
      <w:r>
        <w:rPr>
          <w:b/>
          <w:szCs w:val="21"/>
          <w:u w:val="single"/>
        </w:rPr>
        <w:t xml:space="preserve">                       </w:t>
      </w:r>
      <w:r>
        <w:rPr>
          <w:b/>
          <w:szCs w:val="21"/>
          <w:u w:val="single"/>
        </w:rPr>
      </w:r>
      <w:r/>
    </w:p>
    <w:p>
      <w:pPr>
        <w:pStyle w:val="1088"/>
        <w:ind w:firstLine="420"/>
        <w:jc w:val="left"/>
        <w:spacing w:after="150" w:line="360" w:lineRule="auto"/>
        <w:shd w:val="clear" w:color="auto" w:fill="ffffff"/>
        <w:widowControl/>
        <w:rPr>
          <w:szCs w:val="21"/>
        </w:rPr>
        <w:outlineLvl w:val="0"/>
      </w:pPr>
      <w:r>
        <w:rPr>
          <w:szCs w:val="21"/>
        </w:rPr>
        <w:t xml:space="preserve">根据</w:t>
      </w:r>
      <w:r>
        <w:rPr>
          <w:szCs w:val="21"/>
          <w:u w:val="single"/>
        </w:rPr>
        <w:t xml:space="preserve">                  </w:t>
      </w:r>
      <w:r>
        <w:rPr>
          <w:szCs w:val="21"/>
        </w:rPr>
        <w:t xml:space="preserve">(招标机构)于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日进行的</w:t>
      </w:r>
      <w:r>
        <w:rPr>
          <w:szCs w:val="21"/>
          <w:u w:val="single"/>
        </w:rPr>
        <w:t xml:space="preserve">                  </w:t>
      </w:r>
      <w:r>
        <w:rPr>
          <w:szCs w:val="21"/>
        </w:rPr>
        <w:t xml:space="preserve">号招标，甲、乙双方就乙方中标的</w:t>
      </w:r>
      <w:r>
        <w:rPr>
          <w:szCs w:val="21"/>
          <w:u w:val="single"/>
        </w:rPr>
        <w:t xml:space="preserve">                </w:t>
      </w:r>
      <w:r>
        <w:rPr>
          <w:szCs w:val="21"/>
        </w:rPr>
        <w:t xml:space="preserve">项目</w:t>
      </w:r>
      <w:r>
        <w:rPr>
          <w:bCs/>
          <w:szCs w:val="21"/>
        </w:rPr>
        <w:t xml:space="preserve">，</w:t>
      </w:r>
      <w:r>
        <w:rPr>
          <w:szCs w:val="21"/>
        </w:rPr>
        <w:t xml:space="preserve">本着平等互利的原则，通过共同协商，根据</w:t>
      </w:r>
      <w:r>
        <w:rPr>
          <w:bCs/>
          <w:szCs w:val="21"/>
        </w:rPr>
        <w:t xml:space="preserve">《中华人民共和国</w:t>
      </w:r>
      <w:r>
        <w:rPr>
          <w:rFonts w:hint="eastAsia"/>
          <w:bCs/>
          <w:szCs w:val="21"/>
        </w:rPr>
        <w:t xml:space="preserve">民法典</w:t>
      </w:r>
      <w:r>
        <w:rPr>
          <w:bCs/>
          <w:szCs w:val="21"/>
        </w:rPr>
        <w:t xml:space="preserve">》、《中华人民</w:t>
      </w:r>
      <w:r>
        <w:rPr>
          <w:szCs w:val="21"/>
        </w:rPr>
        <w:t xml:space="preserve">共和国政府采购法》及有关法律法规，就相关事宜达成如下合同。                 </w:t>
      </w:r>
      <w:r>
        <w:rPr>
          <w:szCs w:val="21"/>
        </w:rPr>
      </w:r>
      <w:r/>
    </w:p>
    <w:p>
      <w:pPr>
        <w:pStyle w:val="1088"/>
        <w:numPr>
          <w:ilvl w:val="0"/>
          <w:numId w:val="15"/>
        </w:numPr>
        <w:ind w:left="567" w:hanging="567"/>
        <w:spacing w:line="400" w:lineRule="exact"/>
        <w:rPr>
          <w:szCs w:val="21"/>
        </w:rPr>
      </w:pPr>
      <w:r>
        <w:rPr>
          <w:rFonts w:hint="eastAsia"/>
          <w:b/>
          <w:szCs w:val="21"/>
        </w:rPr>
        <w:t xml:space="preserve">合同</w:t>
      </w:r>
      <w:r>
        <w:rPr>
          <w:b/>
          <w:szCs w:val="21"/>
        </w:rPr>
        <w:t xml:space="preserve">标的</w:t>
      </w:r>
      <w:r>
        <w:rPr>
          <w:szCs w:val="21"/>
        </w:rPr>
        <w:t xml:space="preserve">：</w:t>
      </w:r>
      <w:r>
        <w:rPr>
          <w:rFonts w:hint="eastAsia"/>
          <w:szCs w:val="21"/>
        </w:rPr>
        <w:t xml:space="preserve">乙方</w:t>
      </w:r>
      <w:r>
        <w:rPr>
          <w:szCs w:val="21"/>
        </w:rPr>
        <w:t xml:space="preserve">根据甲方需求提供下列产品：</w:t>
      </w:r>
      <w:r>
        <w:rPr>
          <w:szCs w:val="21"/>
          <w:u w:val="single"/>
        </w:rPr>
        <w:t xml:space="preserve">                        </w:t>
      </w:r>
      <w:r>
        <w:rPr>
          <w:szCs w:val="21"/>
        </w:rPr>
        <w:t xml:space="preserve">项目</w:t>
      </w:r>
      <w:r>
        <w:rPr>
          <w:bCs/>
          <w:szCs w:val="21"/>
        </w:rPr>
        <w:t xml:space="preserve">，产品名称、品牌、规格及数量详见招标响应文件。</w:t>
      </w:r>
      <w:r>
        <w:rPr>
          <w:szCs w:val="21"/>
        </w:rPr>
      </w:r>
      <w:r/>
    </w:p>
    <w:p>
      <w:pPr>
        <w:pStyle w:val="1088"/>
        <w:numPr>
          <w:ilvl w:val="0"/>
          <w:numId w:val="15"/>
        </w:numPr>
        <w:ind w:left="567" w:hanging="567"/>
        <w:spacing w:line="400" w:lineRule="exact"/>
        <w:rPr>
          <w:szCs w:val="21"/>
        </w:rPr>
      </w:pPr>
      <w:r>
        <w:rPr>
          <w:b/>
          <w:szCs w:val="21"/>
        </w:rPr>
        <w:t xml:space="preserve">合同价格：</w:t>
      </w:r>
      <w:r>
        <w:rPr>
          <w:szCs w:val="21"/>
        </w:rPr>
        <w:t xml:space="preserve">签约合同总价格（人民币）：</w:t>
      </w:r>
      <w:r>
        <w:rPr>
          <w:szCs w:val="21"/>
          <w:u w:val="single"/>
        </w:rPr>
        <w:t xml:space="preserve">                          </w:t>
      </w:r>
      <w:r>
        <w:rPr>
          <w:szCs w:val="21"/>
        </w:rPr>
        <w:t xml:space="preserve">（小写：</w:t>
      </w:r>
      <w:r>
        <w:rPr>
          <w:rFonts w:hint="eastAsia"/>
          <w:szCs w:val="21"/>
        </w:rPr>
        <w:t xml:space="preserve"> </w:t>
      </w:r>
      <w:r>
        <w:rPr>
          <w:szCs w:val="21"/>
        </w:rPr>
        <w:t xml:space="preserve">       ）</w:t>
      </w:r>
      <w:r>
        <w:rPr>
          <w:szCs w:val="21"/>
        </w:rPr>
      </w:r>
      <w:r/>
    </w:p>
    <w:p>
      <w:pPr>
        <w:pStyle w:val="1088"/>
        <w:ind w:left="567"/>
        <w:spacing w:line="400" w:lineRule="exact"/>
        <w:rPr>
          <w:szCs w:val="21"/>
        </w:rPr>
      </w:pPr>
      <w:r>
        <w:rPr>
          <w:szCs w:val="21"/>
        </w:rPr>
        <w:t xml:space="preserve">本合同总价</w:t>
      </w:r>
      <w:r>
        <w:rPr>
          <w:rFonts w:hint="eastAsia"/>
          <w:szCs w:val="21"/>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szCs w:val="21"/>
        </w:rPr>
        <w:t xml:space="preserve">本次报价还包括成交供应商办理与本货物相关的进口、运输、免税等手续所产生的费用。</w:t>
      </w:r>
      <w:r>
        <w:rPr>
          <w:szCs w:val="21"/>
        </w:rPr>
      </w:r>
      <w:r/>
    </w:p>
    <w:p>
      <w:pPr>
        <w:pStyle w:val="1088"/>
        <w:numPr>
          <w:ilvl w:val="0"/>
          <w:numId w:val="15"/>
        </w:numPr>
        <w:ind w:left="567" w:hanging="567"/>
        <w:spacing w:line="400" w:lineRule="exact"/>
        <w:rPr>
          <w:szCs w:val="21"/>
        </w:rPr>
      </w:pPr>
      <w:r>
        <w:rPr>
          <w:b/>
          <w:szCs w:val="21"/>
        </w:rPr>
        <w:t xml:space="preserve">合同文件</w:t>
      </w:r>
      <w:r>
        <w:rPr>
          <w:szCs w:val="21"/>
        </w:rPr>
        <w:t xml:space="preserve">：下列文件是构成合同不可分割的部分，并与本合同具有同等法律效力，</w:t>
      </w:r>
      <w:r>
        <w:rPr>
          <w:bCs/>
          <w:szCs w:val="21"/>
        </w:rPr>
        <w:t xml:space="preserve">这些文件包括但不限于：</w:t>
      </w:r>
      <w:r>
        <w:rPr>
          <w:szCs w:val="21"/>
        </w:rPr>
      </w:r>
      <w:r/>
    </w:p>
    <w:p>
      <w:pPr>
        <w:pStyle w:val="1088"/>
        <w:ind w:left="420"/>
        <w:jc w:val="left"/>
        <w:spacing w:line="360" w:lineRule="auto"/>
        <w:rPr>
          <w:szCs w:val="21"/>
        </w:rPr>
      </w:pPr>
      <w:r>
        <w:rPr>
          <w:szCs w:val="21"/>
        </w:rPr>
        <w:t xml:space="preserve">1、</w:t>
      </w:r>
      <w:r>
        <w:rPr>
          <w:color w:val="000000"/>
          <w:szCs w:val="21"/>
        </w:rPr>
        <w:t xml:space="preserve">招标采购文件（编号：</w:t>
      </w:r>
      <w:r>
        <w:rPr>
          <w:szCs w:val="21"/>
          <w:u w:val="single"/>
        </w:rPr>
        <w:t xml:space="preserve">                </w:t>
      </w:r>
      <w:r>
        <w:rPr>
          <w:color w:val="000000"/>
          <w:szCs w:val="21"/>
        </w:rPr>
        <w:t xml:space="preserve"> ）</w:t>
      </w:r>
      <w:r>
        <w:rPr>
          <w:szCs w:val="21"/>
        </w:rPr>
        <w:t xml:space="preserve">；</w:t>
      </w:r>
      <w:r>
        <w:rPr>
          <w:szCs w:val="21"/>
        </w:rPr>
      </w:r>
      <w:r/>
    </w:p>
    <w:p>
      <w:pPr>
        <w:pStyle w:val="1088"/>
        <w:ind w:left="420"/>
        <w:jc w:val="left"/>
        <w:spacing w:line="360" w:lineRule="auto"/>
        <w:rPr>
          <w:szCs w:val="21"/>
        </w:rPr>
      </w:pPr>
      <w:r>
        <w:rPr>
          <w:szCs w:val="21"/>
        </w:rPr>
        <w:t xml:space="preserve">2、乙方提交的投标文件；</w:t>
      </w:r>
      <w:r>
        <w:rPr>
          <w:szCs w:val="21"/>
        </w:rPr>
      </w:r>
      <w:r/>
    </w:p>
    <w:p>
      <w:pPr>
        <w:pStyle w:val="1088"/>
        <w:ind w:left="420"/>
        <w:jc w:val="left"/>
        <w:spacing w:line="360" w:lineRule="auto"/>
        <w:rPr>
          <w:szCs w:val="21"/>
        </w:rPr>
      </w:pPr>
      <w:r>
        <w:rPr>
          <w:szCs w:val="21"/>
        </w:rPr>
        <w:t xml:space="preserve">3、乙方投标的其他资料及承诺；</w:t>
      </w:r>
      <w:r>
        <w:rPr>
          <w:szCs w:val="21"/>
        </w:rPr>
      </w:r>
      <w:r/>
    </w:p>
    <w:p>
      <w:pPr>
        <w:pStyle w:val="1088"/>
        <w:ind w:left="420"/>
        <w:jc w:val="left"/>
        <w:spacing w:line="360" w:lineRule="auto"/>
        <w:rPr>
          <w:szCs w:val="21"/>
        </w:rPr>
      </w:pPr>
      <w:r>
        <w:rPr>
          <w:szCs w:val="21"/>
        </w:rPr>
        <w:t xml:space="preserve">4、</w:t>
      </w:r>
      <w:r>
        <w:rPr>
          <w:color w:val="000000"/>
          <w:szCs w:val="21"/>
        </w:rPr>
        <w:t xml:space="preserve">甲乙双方商定的其他文件等。</w:t>
      </w:r>
      <w:r>
        <w:rPr>
          <w:szCs w:val="21"/>
        </w:rPr>
      </w:r>
      <w:r/>
    </w:p>
    <w:p>
      <w:pPr>
        <w:pStyle w:val="1088"/>
        <w:numPr>
          <w:ilvl w:val="0"/>
          <w:numId w:val="15"/>
        </w:numPr>
        <w:ind w:left="567" w:hanging="567"/>
        <w:spacing w:line="400" w:lineRule="exact"/>
        <w:rPr>
          <w:szCs w:val="21"/>
        </w:rPr>
      </w:pPr>
      <w:r>
        <w:rPr>
          <w:b/>
          <w:szCs w:val="21"/>
        </w:rPr>
        <w:t xml:space="preserve">付款方式</w:t>
      </w:r>
      <w:r>
        <w:rPr>
          <w:szCs w:val="21"/>
        </w:rPr>
        <w:t xml:space="preserve">：</w:t>
      </w:r>
      <w:r>
        <w:rPr>
          <w:rFonts w:hint="eastAsia"/>
          <w:szCs w:val="21"/>
          <w:u w:val="single"/>
        </w:rPr>
        <w:t xml:space="preserve">满足合同约定支付条件的，自安装调试验收合格收到发票后</w:t>
      </w:r>
      <w:r>
        <w:rPr>
          <w:rFonts w:hint="eastAsia"/>
          <w:b/>
          <w:szCs w:val="21"/>
          <w:u w:val="single"/>
        </w:rPr>
        <w:t xml:space="preserve">四个月付全款</w:t>
      </w:r>
      <w:r>
        <w:rPr>
          <w:rFonts w:hint="eastAsia"/>
          <w:szCs w:val="21"/>
          <w:u w:val="single"/>
        </w:rPr>
        <w:t xml:space="preserve">。乙方向甲方申请付款需提供等额的正规税务发票</w:t>
      </w:r>
      <w:r>
        <w:rPr>
          <w:rFonts w:hint="eastAsia"/>
          <w:szCs w:val="21"/>
          <w:u w:val="single"/>
          <w:lang w:eastAsia="zh-CN"/>
        </w:rPr>
        <w:t xml:space="preserve">，开票单位必须为乙方，任何乙方分公司、子公司、联合体开具的发票均视为无效发票</w:t>
      </w:r>
      <w:r>
        <w:rPr>
          <w:rFonts w:hint="eastAsia"/>
          <w:szCs w:val="21"/>
          <w:u w:val="single"/>
        </w:rPr>
        <w:t xml:space="preserve">。</w:t>
      </w:r>
      <w:r>
        <w:rPr>
          <w:szCs w:val="21"/>
        </w:rPr>
      </w:r>
      <w:r/>
    </w:p>
    <w:p>
      <w:pPr>
        <w:pStyle w:val="1088"/>
        <w:numPr>
          <w:ilvl w:val="0"/>
          <w:numId w:val="15"/>
        </w:numPr>
        <w:ind w:left="567" w:hanging="567"/>
        <w:spacing w:line="400" w:lineRule="exact"/>
        <w:rPr>
          <w:szCs w:val="21"/>
        </w:rPr>
      </w:pPr>
      <w:r>
        <w:rPr>
          <w:b/>
          <w:szCs w:val="21"/>
        </w:rPr>
        <w:t xml:space="preserve">交货期</w:t>
      </w:r>
      <w:r>
        <w:rPr>
          <w:szCs w:val="21"/>
        </w:rPr>
        <w:t xml:space="preserve">：合同签订之日起接到医院通知后</w:t>
      </w:r>
      <w:r>
        <w:rPr>
          <w:rFonts w:hint="eastAsia"/>
          <w:b/>
          <w:szCs w:val="21"/>
          <w:u w:val="single"/>
          <w:lang w:val="en-US" w:eastAsia="zh-CN"/>
        </w:rPr>
        <w:t xml:space="preserve">     </w:t>
      </w:r>
      <w:r>
        <w:rPr>
          <w:b/>
          <w:szCs w:val="21"/>
          <w:u w:val="single"/>
        </w:rPr>
        <w:t xml:space="preserve">天</w:t>
      </w:r>
      <w:r>
        <w:rPr>
          <w:szCs w:val="21"/>
        </w:rPr>
        <w:t xml:space="preserve">之内货物运抵医院。</w:t>
      </w:r>
      <w:r>
        <w:rPr>
          <w:szCs w:val="21"/>
        </w:rPr>
      </w:r>
      <w:r/>
    </w:p>
    <w:p>
      <w:pPr>
        <w:pStyle w:val="1088"/>
        <w:numPr>
          <w:ilvl w:val="0"/>
          <w:numId w:val="15"/>
        </w:numPr>
        <w:ind w:left="567" w:hanging="567"/>
        <w:spacing w:line="400" w:lineRule="exact"/>
        <w:rPr>
          <w:szCs w:val="21"/>
        </w:rPr>
      </w:pPr>
      <w:r>
        <w:rPr>
          <w:b/>
          <w:szCs w:val="21"/>
        </w:rPr>
        <w:t xml:space="preserve">交货地点</w:t>
      </w:r>
      <w:r>
        <w:rPr>
          <w:szCs w:val="21"/>
        </w:rPr>
        <w:t xml:space="preserve">：常州市第二人民医院指定地点。</w:t>
      </w:r>
      <w:r>
        <w:rPr>
          <w:szCs w:val="21"/>
        </w:rPr>
      </w:r>
      <w:r/>
    </w:p>
    <w:p>
      <w:pPr>
        <w:pStyle w:val="1088"/>
        <w:numPr>
          <w:ilvl w:val="0"/>
          <w:numId w:val="15"/>
        </w:numPr>
        <w:ind w:left="567" w:hanging="567"/>
        <w:spacing w:line="400" w:lineRule="exact"/>
        <w:rPr>
          <w:szCs w:val="21"/>
        </w:rPr>
      </w:pPr>
      <w:r>
        <w:rPr>
          <w:b/>
          <w:szCs w:val="21"/>
        </w:rPr>
        <w:t xml:space="preserve">质保期：</w:t>
      </w:r>
      <w:r>
        <w:rPr>
          <w:szCs w:val="21"/>
        </w:rPr>
        <w:t xml:space="preserve">上述设备免费原厂保修 </w:t>
      </w:r>
      <w:r>
        <w:rPr>
          <w:b/>
          <w:szCs w:val="21"/>
          <w:u w:val="single"/>
        </w:rPr>
        <w:t xml:space="preserve">      </w:t>
      </w:r>
      <w:r>
        <w:rPr>
          <w:szCs w:val="21"/>
        </w:rPr>
        <w:t xml:space="preserve">年，保修期内同一故障经两次维修仍无法修复的，乙方负责包换或退货；</w:t>
      </w:r>
      <w:r>
        <w:rPr>
          <w:rFonts w:hint="eastAsia"/>
          <w:szCs w:val="21"/>
          <w:lang w:val="en-US" w:eastAsia="zh-CN"/>
        </w:rPr>
        <w:t xml:space="preserve">乙方承诺设备验收时提供原厂保修卡或质保承诺书；</w:t>
      </w:r>
      <w:r>
        <w:rPr>
          <w:szCs w:val="21"/>
        </w:rPr>
        <w:t xml:space="preserve">保修期外乙方对本设备终身负责维修。</w:t>
      </w:r>
      <w:r>
        <w:rPr>
          <w:szCs w:val="21"/>
        </w:rPr>
      </w:r>
      <w:r/>
    </w:p>
    <w:p>
      <w:pPr>
        <w:pStyle w:val="1088"/>
        <w:ind w:left="567"/>
        <w:spacing w:line="400" w:lineRule="exact"/>
        <w:rPr>
          <w:szCs w:val="21"/>
        </w:rPr>
      </w:pPr>
      <w:r>
        <w:rPr>
          <w:szCs w:val="21"/>
        </w:rPr>
        <w:t xml:space="preserve">过保后整机年维保</w:t>
      </w:r>
      <w:r>
        <w:rPr>
          <w:rFonts w:hint="eastAsia"/>
          <w:szCs w:val="21"/>
          <w:lang w:eastAsia="zh-CN"/>
        </w:rPr>
        <w:t xml:space="preserve">（</w:t>
      </w:r>
      <w:r>
        <w:rPr>
          <w:rFonts w:hint="eastAsia"/>
          <w:szCs w:val="21"/>
          <w:lang w:val="en-US" w:eastAsia="zh-CN"/>
        </w:rPr>
        <w:t xml:space="preserve">承诺原厂维保服务</w:t>
      </w:r>
      <w:r>
        <w:rPr>
          <w:rFonts w:hint="eastAsia"/>
          <w:szCs w:val="21"/>
          <w:lang w:eastAsia="zh-CN"/>
        </w:rPr>
        <w:t xml:space="preserve">）</w:t>
      </w:r>
      <w:r>
        <w:rPr>
          <w:szCs w:val="21"/>
        </w:rPr>
        <w:t xml:space="preserve">参考价格</w:t>
      </w:r>
      <w:r>
        <w:rPr>
          <w:rFonts w:hint="eastAsia"/>
          <w:szCs w:val="21"/>
          <w:lang w:val="en-US" w:eastAsia="zh-CN"/>
        </w:rPr>
        <w:t xml:space="preserve">不高于</w:t>
      </w:r>
      <w:r>
        <w:rPr>
          <w:szCs w:val="21"/>
          <w:u w:val="single"/>
        </w:rPr>
        <w:t xml:space="preserve">         </w:t>
      </w:r>
      <w:r>
        <w:rPr>
          <w:szCs w:val="21"/>
        </w:rPr>
        <w:t xml:space="preserve">万元，或参考单台设备成交总金额的</w:t>
      </w:r>
      <w:r>
        <w:rPr>
          <w:szCs w:val="21"/>
          <w:u w:val="single"/>
        </w:rPr>
        <w:t xml:space="preserve">        </w:t>
      </w:r>
      <w:r>
        <w:rPr>
          <w:szCs w:val="21"/>
        </w:rPr>
        <w:t xml:space="preserve">%，主要配件更换参考价格请附页说明。</w:t>
      </w:r>
      <w:r>
        <w:rPr>
          <w:szCs w:val="21"/>
        </w:rPr>
      </w:r>
      <w:r/>
    </w:p>
    <w:p>
      <w:pPr>
        <w:pStyle w:val="1088"/>
        <w:numPr>
          <w:ilvl w:val="0"/>
          <w:numId w:val="15"/>
        </w:numPr>
        <w:ind w:left="567" w:hanging="567"/>
        <w:spacing w:line="400" w:lineRule="exact"/>
        <w:rPr>
          <w:b/>
          <w:szCs w:val="21"/>
        </w:rPr>
      </w:pPr>
      <w:r>
        <w:rPr>
          <w:b/>
          <w:szCs w:val="21"/>
        </w:rPr>
        <w:t xml:space="preserve">资质、质量要求及技术标准：</w:t>
      </w:r>
      <w:r>
        <w:rPr>
          <w:b/>
          <w:szCs w:val="21"/>
        </w:rPr>
      </w:r>
      <w:r/>
    </w:p>
    <w:p>
      <w:pPr>
        <w:pStyle w:val="1088"/>
        <w:numPr>
          <w:ilvl w:val="0"/>
          <w:numId w:val="16"/>
        </w:numPr>
        <w:spacing w:line="400" w:lineRule="exact"/>
        <w:rPr>
          <w:b/>
          <w:szCs w:val="21"/>
        </w:rPr>
      </w:pPr>
      <w:r>
        <w:rPr>
          <w:szCs w:val="21"/>
        </w:rPr>
        <w:t xml:space="preserve">特别提醒条款：</w:t>
      </w:r>
      <w:r>
        <w:rPr>
          <w:b/>
          <w:szCs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szCs w:val="21"/>
        </w:rPr>
      </w:r>
      <w:r/>
    </w:p>
    <w:p>
      <w:pPr>
        <w:pStyle w:val="1088"/>
        <w:numPr>
          <w:ilvl w:val="0"/>
          <w:numId w:val="16"/>
        </w:numPr>
        <w:spacing w:line="400" w:lineRule="exact"/>
        <w:rPr>
          <w:szCs w:val="21"/>
        </w:rPr>
      </w:pPr>
      <w:r>
        <w:rPr>
          <w:szCs w:val="21"/>
        </w:rPr>
        <w:t xml:space="preserve">乙方向甲方提供医用材料及医疗器械产品的本地区代理证明、经营许可证、生产许可证、产品注册证、营业执照。（复印件加盖公章，经办人需法人授权委托书，出示身份证及提交身份证复印件）</w:t>
      </w:r>
      <w:r>
        <w:rPr>
          <w:szCs w:val="21"/>
        </w:rPr>
      </w:r>
      <w:r/>
    </w:p>
    <w:p>
      <w:pPr>
        <w:pStyle w:val="1088"/>
        <w:numPr>
          <w:ilvl w:val="0"/>
          <w:numId w:val="16"/>
        </w:numPr>
        <w:spacing w:line="400" w:lineRule="exact"/>
        <w:rPr>
          <w:szCs w:val="21"/>
        </w:rPr>
      </w:pPr>
      <w:r>
        <w:rPr>
          <w:szCs w:val="21"/>
        </w:rPr>
        <w:t xml:space="preserve">乙方保证向甲方提供的设备满足中国国家标准或相关行业标准。根据国家规定，如需要提供３c认证证书和标记的设备及相关配置，必须提供上述证书和标记。</w:t>
      </w:r>
      <w:r>
        <w:rPr>
          <w:szCs w:val="21"/>
        </w:rPr>
      </w:r>
      <w:r/>
    </w:p>
    <w:p>
      <w:pPr>
        <w:pStyle w:val="1088"/>
        <w:numPr>
          <w:ilvl w:val="0"/>
          <w:numId w:val="16"/>
        </w:numPr>
        <w:spacing w:line="400" w:lineRule="exact"/>
        <w:rPr>
          <w:szCs w:val="21"/>
        </w:rPr>
      </w:pPr>
      <w:r>
        <w:rPr>
          <w:szCs w:val="21"/>
        </w:rPr>
        <w:t xml:space="preserve">乙方保证所供设备按规定材料和工艺制成、全新，并严格保持原包装，否则造成的一切损失由乙方负全部责任。</w:t>
      </w:r>
      <w:r>
        <w:rPr>
          <w:szCs w:val="21"/>
        </w:rPr>
      </w:r>
      <w:r/>
    </w:p>
    <w:p>
      <w:pPr>
        <w:pStyle w:val="1088"/>
        <w:numPr>
          <w:ilvl w:val="0"/>
          <w:numId w:val="16"/>
        </w:numPr>
        <w:spacing w:line="400" w:lineRule="exact"/>
        <w:rPr>
          <w:szCs w:val="21"/>
        </w:rPr>
      </w:pPr>
      <w:r>
        <w:rPr>
          <w:szCs w:val="21"/>
        </w:rPr>
        <w:t xml:space="preserve">乙方保证货物不存在危及人身及财产安全的产品缺陷，否则应承担全部法律责任。</w:t>
      </w:r>
      <w:r>
        <w:rPr>
          <w:szCs w:val="21"/>
        </w:rPr>
      </w:r>
      <w:r/>
    </w:p>
    <w:p>
      <w:pPr>
        <w:pStyle w:val="1088"/>
        <w:numPr>
          <w:ilvl w:val="0"/>
          <w:numId w:val="16"/>
        </w:numPr>
        <w:spacing w:line="360" w:lineRule="exact"/>
        <w:rPr>
          <w:szCs w:val="21"/>
        </w:rPr>
      </w:pPr>
      <w:r>
        <w:rPr>
          <w:szCs w:val="21"/>
        </w:rPr>
        <w:t xml:space="preserve">乙方应保证甲方在使用该货物或其任何一部分时不受第三方提出侵犯其专利权、版权、商标权或其他权利的起诉。一旦出现侵权，索赔或诉讼，乙方应承担全部责任。</w:t>
      </w:r>
      <w:r>
        <w:rPr>
          <w:szCs w:val="21"/>
        </w:rPr>
      </w:r>
      <w:r/>
    </w:p>
    <w:p>
      <w:pPr>
        <w:pStyle w:val="1088"/>
        <w:numPr>
          <w:ilvl w:val="0"/>
          <w:numId w:val="16"/>
        </w:numPr>
        <w:spacing w:line="400" w:lineRule="exact"/>
        <w:rPr>
          <w:szCs w:val="21"/>
        </w:rPr>
      </w:pPr>
      <w:r>
        <w:rPr>
          <w:szCs w:val="21"/>
        </w:rPr>
        <w:t xml:space="preserve">乙方所供设备如验收不合格，根据甲方的要求，乙方必须无条件换货或退货，由此引起的一切损失由乙方承担。</w:t>
      </w:r>
      <w:r>
        <w:rPr>
          <w:szCs w:val="21"/>
        </w:rPr>
      </w:r>
      <w:r/>
    </w:p>
    <w:p>
      <w:pPr>
        <w:pStyle w:val="1088"/>
        <w:numPr>
          <w:ilvl w:val="0"/>
          <w:numId w:val="15"/>
        </w:numPr>
        <w:ind w:left="567" w:hanging="567"/>
        <w:spacing w:line="400" w:lineRule="exact"/>
        <w:rPr>
          <w:b/>
          <w:szCs w:val="21"/>
        </w:rPr>
      </w:pPr>
      <w:r>
        <w:rPr>
          <w:b/>
          <w:szCs w:val="21"/>
        </w:rPr>
        <w:t xml:space="preserve">设备安装和验收要求：</w:t>
      </w:r>
      <w:r>
        <w:rPr>
          <w:b/>
          <w:szCs w:val="21"/>
        </w:rPr>
      </w:r>
      <w:r/>
    </w:p>
    <w:p>
      <w:pPr>
        <w:pStyle w:val="1088"/>
        <w:numPr>
          <w:ilvl w:val="0"/>
          <w:numId w:val="17"/>
        </w:numPr>
        <w:spacing w:line="400" w:lineRule="exact"/>
        <w:rPr>
          <w:szCs w:val="21"/>
        </w:rPr>
      </w:pPr>
      <w:r>
        <w:rPr>
          <w:szCs w:val="21"/>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szCs w:val="21"/>
        </w:rPr>
      </w:r>
      <w:r/>
    </w:p>
    <w:p>
      <w:pPr>
        <w:pStyle w:val="1088"/>
        <w:numPr>
          <w:ilvl w:val="0"/>
          <w:numId w:val="17"/>
        </w:numPr>
        <w:spacing w:line="400" w:lineRule="exact"/>
        <w:rPr>
          <w:szCs w:val="21"/>
        </w:rPr>
      </w:pPr>
      <w:r>
        <w:rPr>
          <w:szCs w:val="21"/>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szCs w:val="21"/>
        </w:rPr>
      </w:r>
      <w:r/>
    </w:p>
    <w:p>
      <w:pPr>
        <w:pStyle w:val="1088"/>
        <w:numPr>
          <w:ilvl w:val="0"/>
          <w:numId w:val="17"/>
        </w:numPr>
        <w:spacing w:line="400" w:lineRule="exact"/>
        <w:rPr>
          <w:szCs w:val="21"/>
        </w:rPr>
      </w:pPr>
      <w:r>
        <w:rPr>
          <w:szCs w:val="21"/>
        </w:rPr>
        <w:t xml:space="preserve">如乙方提供的设备设有维修软件密码，乙方应保证无条件的为甲方永久免费打开。</w:t>
      </w:r>
      <w:r>
        <w:rPr>
          <w:szCs w:val="21"/>
        </w:rPr>
      </w:r>
      <w:r/>
    </w:p>
    <w:p>
      <w:pPr>
        <w:pStyle w:val="1088"/>
        <w:numPr>
          <w:ilvl w:val="0"/>
          <w:numId w:val="17"/>
        </w:numPr>
        <w:spacing w:line="400" w:lineRule="exact"/>
        <w:rPr>
          <w:szCs w:val="21"/>
        </w:rPr>
      </w:pPr>
      <w:r>
        <w:rPr>
          <w:szCs w:val="21"/>
        </w:rPr>
        <w:t xml:space="preserve">设备安装、调试结束后，甲方对设备试用后进行验收（时间由甲、乙双方商定），乙方免费派工程师到达现场协助验收工作，双方共同填写验收报告。</w:t>
      </w:r>
      <w:r>
        <w:rPr>
          <w:szCs w:val="21"/>
        </w:rPr>
      </w:r>
      <w:r/>
    </w:p>
    <w:p>
      <w:pPr>
        <w:pStyle w:val="1088"/>
        <w:numPr>
          <w:ilvl w:val="0"/>
          <w:numId w:val="17"/>
        </w:numPr>
        <w:spacing w:line="400" w:lineRule="exact"/>
        <w:rPr>
          <w:szCs w:val="21"/>
        </w:rPr>
      </w:pPr>
      <w:r>
        <w:rPr>
          <w:szCs w:val="21"/>
        </w:rPr>
        <w:t xml:space="preserve">保修期自我院验收合格之日算起。</w:t>
      </w:r>
      <w:r>
        <w:rPr>
          <w:szCs w:val="21"/>
        </w:rPr>
      </w:r>
      <w:r/>
    </w:p>
    <w:p>
      <w:pPr>
        <w:pStyle w:val="1088"/>
        <w:numPr>
          <w:ilvl w:val="0"/>
          <w:numId w:val="15"/>
        </w:numPr>
        <w:ind w:left="567" w:hanging="567"/>
        <w:spacing w:line="400" w:lineRule="exact"/>
        <w:rPr>
          <w:b/>
          <w:szCs w:val="21"/>
        </w:rPr>
      </w:pPr>
      <w:r>
        <w:rPr>
          <w:b/>
          <w:szCs w:val="21"/>
        </w:rPr>
        <w:t xml:space="preserve">售后服务要求：</w:t>
      </w:r>
      <w:r>
        <w:rPr>
          <w:b/>
          <w:szCs w:val="21"/>
        </w:rPr>
      </w:r>
      <w:r/>
    </w:p>
    <w:p>
      <w:pPr>
        <w:pStyle w:val="1088"/>
        <w:numPr>
          <w:ilvl w:val="0"/>
          <w:numId w:val="18"/>
        </w:numPr>
        <w:spacing w:line="400" w:lineRule="exact"/>
        <w:rPr>
          <w:szCs w:val="21"/>
        </w:rPr>
      </w:pPr>
      <w:r>
        <w:rPr>
          <w:szCs w:val="21"/>
        </w:rPr>
        <w:t xml:space="preserve">乙方应按照国家有关法律法规规章和“三包”规定以及合同所附的“服务承诺”提供服务。</w:t>
      </w:r>
      <w:r>
        <w:rPr>
          <w:szCs w:val="21"/>
        </w:rPr>
      </w:r>
      <w:r/>
    </w:p>
    <w:p>
      <w:pPr>
        <w:pStyle w:val="1088"/>
        <w:numPr>
          <w:ilvl w:val="0"/>
          <w:numId w:val="18"/>
        </w:numPr>
        <w:spacing w:line="400" w:lineRule="exact"/>
        <w:rPr>
          <w:szCs w:val="21"/>
        </w:rPr>
      </w:pPr>
      <w:r>
        <w:rPr>
          <w:szCs w:val="21"/>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szCs w:val="21"/>
        </w:rPr>
      </w:r>
      <w:r/>
    </w:p>
    <w:p>
      <w:pPr>
        <w:pStyle w:val="1088"/>
        <w:numPr>
          <w:ilvl w:val="0"/>
          <w:numId w:val="18"/>
        </w:numPr>
        <w:spacing w:line="400" w:lineRule="exact"/>
        <w:rPr>
          <w:szCs w:val="21"/>
        </w:rPr>
      </w:pPr>
      <w:r>
        <w:rPr>
          <w:szCs w:val="21"/>
        </w:rPr>
        <w:t xml:space="preserve">保修期内，乙方负责对所供货物提供免费维护和质量保证，对其提供的货物整机进行维修和系统维护，不再收取任何费用，但不可抗力（如火灾、</w:t>
      </w:r>
      <w:r>
        <w:rPr>
          <w:rFonts w:hint="eastAsia"/>
          <w:szCs w:val="21"/>
        </w:rPr>
        <w:t xml:space="preserve">地震</w:t>
      </w:r>
      <w:r>
        <w:rPr>
          <w:szCs w:val="21"/>
        </w:rPr>
        <w:t xml:space="preserve">等）造成的故障除外。</w:t>
      </w:r>
      <w:r>
        <w:rPr>
          <w:szCs w:val="21"/>
        </w:rPr>
      </w:r>
      <w:r/>
    </w:p>
    <w:p>
      <w:pPr>
        <w:pStyle w:val="1088"/>
        <w:numPr>
          <w:ilvl w:val="0"/>
          <w:numId w:val="18"/>
        </w:numPr>
        <w:spacing w:line="400" w:lineRule="exact"/>
        <w:rPr>
          <w:szCs w:val="21"/>
        </w:rPr>
      </w:pPr>
      <w:r>
        <w:rPr>
          <w:szCs w:val="21"/>
        </w:rPr>
        <w:t xml:space="preserve">确保设备保修期内开机率为９５％，如设备故障停机率超过５％（一年按３６５天计算，每年１８天），每超过一天，保修期延长两周。</w:t>
      </w:r>
      <w:r>
        <w:rPr>
          <w:szCs w:val="21"/>
        </w:rPr>
      </w:r>
      <w:r/>
    </w:p>
    <w:p>
      <w:pPr>
        <w:pStyle w:val="1088"/>
        <w:numPr>
          <w:ilvl w:val="0"/>
          <w:numId w:val="18"/>
        </w:numPr>
        <w:spacing w:line="400" w:lineRule="exact"/>
        <w:rPr>
          <w:szCs w:val="21"/>
        </w:rPr>
      </w:pPr>
      <w:r>
        <w:rPr>
          <w:szCs w:val="21"/>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szCs w:val="21"/>
        </w:rPr>
      </w:r>
      <w:r/>
    </w:p>
    <w:p>
      <w:pPr>
        <w:pStyle w:val="1088"/>
        <w:numPr>
          <w:ilvl w:val="0"/>
          <w:numId w:val="18"/>
        </w:numPr>
        <w:spacing w:line="400" w:lineRule="exact"/>
        <w:rPr>
          <w:szCs w:val="21"/>
        </w:rPr>
      </w:pPr>
      <w:r>
        <w:rPr>
          <w:szCs w:val="21"/>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szCs w:val="21"/>
        </w:rPr>
      </w:r>
      <w:r/>
    </w:p>
    <w:p>
      <w:pPr>
        <w:pStyle w:val="1088"/>
        <w:numPr>
          <w:ilvl w:val="0"/>
          <w:numId w:val="18"/>
        </w:numPr>
        <w:spacing w:line="400" w:lineRule="exact"/>
        <w:rPr>
          <w:szCs w:val="21"/>
        </w:rPr>
      </w:pPr>
      <w:r>
        <w:rPr>
          <w:szCs w:val="21"/>
        </w:rPr>
        <w:t xml:space="preserve">乙方免费提供全套技术资料（维修说明书包括详细电路图、操作说明书及光盘），如技术资料不全，甲方有权不支付货款。　</w:t>
      </w:r>
      <w:r>
        <w:rPr>
          <w:szCs w:val="21"/>
        </w:rPr>
      </w:r>
      <w:r/>
    </w:p>
    <w:p>
      <w:pPr>
        <w:pStyle w:val="1088"/>
        <w:numPr>
          <w:ilvl w:val="0"/>
          <w:numId w:val="15"/>
        </w:numPr>
        <w:ind w:left="567" w:hanging="567"/>
        <w:spacing w:line="400" w:lineRule="exact"/>
        <w:rPr>
          <w:b/>
          <w:szCs w:val="21"/>
        </w:rPr>
      </w:pPr>
      <w:r>
        <w:rPr>
          <w:b/>
          <w:szCs w:val="21"/>
        </w:rPr>
        <w:t xml:space="preserve">技术培训：</w:t>
      </w:r>
      <w:r>
        <w:rPr>
          <w:b/>
          <w:szCs w:val="21"/>
        </w:rPr>
      </w:r>
      <w:r/>
    </w:p>
    <w:p>
      <w:pPr>
        <w:pStyle w:val="1088"/>
        <w:ind w:firstLine="420"/>
        <w:spacing w:line="400" w:lineRule="exact"/>
        <w:rPr>
          <w:szCs w:val="21"/>
        </w:rPr>
      </w:pPr>
      <w:r>
        <w:rPr>
          <w:szCs w:val="21"/>
        </w:rPr>
        <w:t xml:space="preserve">在安装过程中或安装结束后，乙方工程师或有关人员有义务对甲方工程师和操作人员进行现场操作、保养、维修培训，并解答甲方人员提出的问题。</w:t>
      </w:r>
      <w:r>
        <w:rPr>
          <w:szCs w:val="21"/>
        </w:rPr>
      </w:r>
      <w:r/>
    </w:p>
    <w:p>
      <w:pPr>
        <w:pStyle w:val="1088"/>
        <w:numPr>
          <w:ilvl w:val="0"/>
          <w:numId w:val="15"/>
        </w:numPr>
        <w:ind w:left="567" w:hanging="567"/>
        <w:spacing w:line="400" w:lineRule="exact"/>
        <w:rPr>
          <w:b/>
          <w:szCs w:val="21"/>
        </w:rPr>
      </w:pPr>
      <w:r>
        <w:rPr>
          <w:b/>
          <w:szCs w:val="21"/>
        </w:rPr>
        <w:t xml:space="preserve">廉政建设：</w:t>
      </w:r>
      <w:r>
        <w:rPr>
          <w:b/>
          <w:szCs w:val="21"/>
        </w:rPr>
      </w:r>
      <w:r/>
    </w:p>
    <w:p>
      <w:pPr>
        <w:pStyle w:val="1088"/>
        <w:ind w:firstLine="420"/>
        <w:spacing w:line="400" w:lineRule="exact"/>
        <w:rPr>
          <w:szCs w:val="21"/>
        </w:rPr>
      </w:pPr>
      <w:r>
        <w:rPr>
          <w:szCs w:val="21"/>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szCs w:val="21"/>
        </w:rPr>
      </w:r>
      <w:r/>
    </w:p>
    <w:p>
      <w:pPr>
        <w:pStyle w:val="1088"/>
        <w:numPr>
          <w:ilvl w:val="0"/>
          <w:numId w:val="15"/>
        </w:numPr>
        <w:ind w:left="567" w:hanging="567"/>
        <w:spacing w:line="400" w:lineRule="exact"/>
        <w:rPr>
          <w:b/>
          <w:szCs w:val="21"/>
        </w:rPr>
      </w:pPr>
      <w:r>
        <w:rPr>
          <w:b/>
          <w:szCs w:val="21"/>
        </w:rPr>
        <w:t xml:space="preserve">合同生效：</w:t>
      </w:r>
      <w:r>
        <w:rPr>
          <w:b/>
          <w:szCs w:val="21"/>
        </w:rPr>
      </w:r>
      <w:r/>
    </w:p>
    <w:p>
      <w:pPr>
        <w:pStyle w:val="1088"/>
        <w:ind w:firstLine="420"/>
        <w:spacing w:line="400" w:lineRule="exact"/>
        <w:rPr>
          <w:szCs w:val="21"/>
        </w:rPr>
      </w:pPr>
      <w:r>
        <w:rPr>
          <w:szCs w:val="21"/>
        </w:rPr>
        <w:t xml:space="preserve">本合同经双方盖章签字后生效，如有变动，必须经双方协商一致后，方可更改。</w:t>
      </w:r>
      <w:bookmarkStart w:id="830" w:name="_Hlk214885099"/>
      <w:r>
        <w:rPr>
          <w:b/>
          <w:szCs w:val="21"/>
        </w:rPr>
        <w:t xml:space="preserve">本合同一式</w:t>
      </w:r>
      <w:r>
        <w:rPr>
          <w:rFonts w:hint="eastAsia"/>
          <w:b/>
          <w:szCs w:val="21"/>
        </w:rPr>
        <w:t xml:space="preserve">伍</w:t>
      </w:r>
      <w:r>
        <w:rPr>
          <w:b/>
          <w:szCs w:val="21"/>
        </w:rPr>
        <w:t xml:space="preserve">份，甲方</w:t>
      </w:r>
      <w:r>
        <w:rPr>
          <w:rFonts w:hint="eastAsia"/>
          <w:b/>
          <w:szCs w:val="21"/>
        </w:rPr>
        <w:t xml:space="preserve">叁</w:t>
      </w:r>
      <w:r>
        <w:rPr>
          <w:b/>
          <w:szCs w:val="21"/>
        </w:rPr>
        <w:t xml:space="preserve">份，乙方壹份，招标代理机构壹份</w:t>
      </w:r>
      <w:r>
        <w:rPr>
          <w:szCs w:val="21"/>
        </w:rPr>
        <w:t xml:space="preserve">。</w:t>
      </w:r>
      <w:bookmarkEnd w:id="830"/>
      <w:r>
        <w:rPr>
          <w:szCs w:val="21"/>
        </w:rPr>
      </w:r>
      <w:r/>
    </w:p>
    <w:p>
      <w:pPr>
        <w:pStyle w:val="1088"/>
        <w:ind w:firstLine="600"/>
        <w:jc w:val="left"/>
        <w:spacing w:line="360" w:lineRule="auto"/>
        <w:rPr>
          <w:szCs w:val="21"/>
        </w:rPr>
      </w:pPr>
      <w:r>
        <w:rPr>
          <w:szCs w:val="21"/>
        </w:rPr>
        <w:t xml:space="preserve">其他未尽事宜，参照相关法律，双方协商解决。</w:t>
      </w:r>
      <w:r>
        <w:rPr>
          <w:szCs w:val="21"/>
        </w:rPr>
      </w:r>
      <w:r/>
    </w:p>
    <w:p>
      <w:pPr>
        <w:pStyle w:val="1088"/>
        <w:spacing w:line="400" w:lineRule="exact"/>
        <w:rPr>
          <w:szCs w:val="21"/>
        </w:rPr>
      </w:pPr>
      <w:r/>
      <w:bookmarkStart w:id="831" w:name="_Hlk214885154"/>
      <w:r/>
      <w:bookmarkStart w:id="832" w:name="_Hlk214885337"/>
      <w:r>
        <w:rPr>
          <w:rFonts w:hAnsi="宋体"/>
          <w:szCs w:val="21"/>
        </w:rPr>
        <w:t xml:space="preserve">甲方（盖章）：常州市第二人民医院</w:t>
      </w:r>
      <w:r>
        <w:rPr>
          <w:szCs w:val="21"/>
        </w:rPr>
        <w:tab/>
      </w:r>
      <w:r>
        <w:rPr>
          <w:szCs w:val="21"/>
        </w:rPr>
        <w:tab/>
      </w:r>
      <w:r>
        <w:rPr>
          <w:szCs w:val="21"/>
        </w:rPr>
        <w:t xml:space="preserve">           </w:t>
      </w:r>
      <w:r>
        <w:rPr>
          <w:rFonts w:hAnsi="宋体"/>
          <w:szCs w:val="21"/>
        </w:rPr>
        <w:t xml:space="preserve">乙方（盖章）：</w:t>
      </w:r>
      <w:r>
        <w:rPr>
          <w:b/>
          <w:szCs w:val="21"/>
          <w:u w:val="single"/>
        </w:rPr>
        <w:t xml:space="preserve">***</w:t>
      </w:r>
      <w:r>
        <w:rPr>
          <w:rFonts w:hAnsi="宋体"/>
          <w:szCs w:val="21"/>
        </w:rPr>
        <w:t xml:space="preserve">有限公司</w:t>
      </w:r>
      <w:r>
        <w:rPr>
          <w:szCs w:val="21"/>
        </w:rPr>
      </w:r>
      <w:r/>
    </w:p>
    <w:p>
      <w:pPr>
        <w:pStyle w:val="1088"/>
        <w:ind w:firstLine="420"/>
        <w:spacing w:after="156" w:line="400" w:lineRule="exact"/>
        <w:rPr>
          <w:szCs w:val="21"/>
        </w:rPr>
      </w:pPr>
      <w:r>
        <w:rPr>
          <w:rFonts w:hint="eastAsia"/>
          <w:szCs w:val="21"/>
        </w:rPr>
        <w:t xml:space="preserve"> </w:t>
      </w:r>
      <w:r>
        <w:rPr>
          <w:szCs w:val="21"/>
        </w:rPr>
        <w:t xml:space="preserve">                                          </w:t>
      </w:r>
      <w:r>
        <w:rPr>
          <w:szCs w:val="21"/>
        </w:rPr>
      </w:r>
      <w:r/>
    </w:p>
    <w:p>
      <w:pPr>
        <w:pStyle w:val="1088"/>
        <w:ind w:firstLine="420"/>
        <w:spacing w:after="156" w:line="400" w:lineRule="exact"/>
        <w:rPr>
          <w:szCs w:val="21"/>
        </w:rPr>
      </w:pPr>
      <w:r/>
      <w:bookmarkStart w:id="833" w:name="_Hlk214885142"/>
      <w:r>
        <w:rPr>
          <w:rFonts w:hAnsi="宋体"/>
          <w:szCs w:val="21"/>
        </w:rPr>
        <w:t xml:space="preserve">甲方代表：</w:t>
      </w:r>
      <w:r>
        <w:rPr>
          <w:rFonts w:hint="eastAsia" w:hAnsi="宋体"/>
          <w:szCs w:val="21"/>
        </w:rPr>
        <w:t xml:space="preserve"> </w:t>
      </w:r>
      <w:r>
        <w:rPr>
          <w:rFonts w:hAnsi="宋体"/>
          <w:szCs w:val="21"/>
        </w:rPr>
        <w:t xml:space="preserve">                                乙方代表：</w:t>
      </w:r>
      <w:r>
        <w:rPr>
          <w:szCs w:val="21"/>
        </w:rPr>
      </w:r>
      <w:r/>
    </w:p>
    <w:p>
      <w:pPr>
        <w:pStyle w:val="1088"/>
        <w:ind w:firstLine="1470"/>
        <w:spacing w:after="156" w:line="400" w:lineRule="exact"/>
        <w:rPr>
          <w:rFonts w:hint="eastAsia"/>
          <w:szCs w:val="21"/>
        </w:rPr>
      </w:pPr>
      <w:r>
        <w:rPr>
          <w:rFonts w:hAnsi="宋体"/>
          <w:szCs w:val="21"/>
        </w:rPr>
        <w:t xml:space="preserve">　　　　　　　　　　　　　　　</w:t>
      </w:r>
      <w:r>
        <w:rPr>
          <w:szCs w:val="21"/>
        </w:rPr>
        <w:t xml:space="preserve">   </w:t>
      </w:r>
      <w:r>
        <w:rPr>
          <w:rFonts w:hint="eastAsia"/>
          <w:szCs w:val="21"/>
        </w:rPr>
      </w:r>
      <w:r/>
    </w:p>
    <w:p>
      <w:pPr>
        <w:pStyle w:val="1088"/>
        <w:ind w:firstLine="420"/>
        <w:spacing w:after="156" w:line="400" w:lineRule="exact"/>
        <w:rPr>
          <w:szCs w:val="21"/>
        </w:rPr>
      </w:pPr>
      <w:r/>
      <w:bookmarkStart w:id="834" w:name="_Hlk214884917"/>
      <w:r>
        <w:rPr>
          <w:rFonts w:hint="eastAsia" w:hAnsi="宋体"/>
          <w:szCs w:val="21"/>
        </w:rPr>
        <w:t xml:space="preserve">项目归口分管院长</w:t>
      </w:r>
      <w:r>
        <w:rPr>
          <w:rFonts w:hAnsi="宋体"/>
          <w:szCs w:val="21"/>
        </w:rPr>
        <w:t xml:space="preserve">：</w:t>
      </w:r>
      <w:r>
        <w:rPr>
          <w:rFonts w:hint="eastAsia"/>
          <w:szCs w:val="21"/>
        </w:rPr>
        <w:t xml:space="preserve">                                </w:t>
      </w:r>
      <w:r>
        <w:rPr>
          <w:szCs w:val="21"/>
        </w:rPr>
      </w:r>
      <w:r/>
    </w:p>
    <w:p>
      <w:pPr>
        <w:pStyle w:val="1088"/>
        <w:ind w:firstLine="420"/>
        <w:spacing w:line="400" w:lineRule="exact"/>
        <w:rPr>
          <w:szCs w:val="21"/>
        </w:rPr>
      </w:pPr>
      <w:r>
        <w:rPr>
          <w:szCs w:val="21"/>
        </w:rPr>
      </w:r>
      <w:r/>
    </w:p>
    <w:p>
      <w:pPr>
        <w:pStyle w:val="1088"/>
        <w:ind w:firstLine="420"/>
        <w:spacing w:line="400" w:lineRule="exact"/>
        <w:rPr>
          <w:szCs w:val="21"/>
        </w:rPr>
      </w:pPr>
      <w:r>
        <w:rPr>
          <w:rFonts w:hint="eastAsia" w:hAnsi="宋体"/>
          <w:szCs w:val="21"/>
        </w:rPr>
        <w:t xml:space="preserve">项目归口职能</w:t>
      </w:r>
      <w:r>
        <w:rPr>
          <w:rFonts w:hAnsi="宋体"/>
          <w:szCs w:val="21"/>
        </w:rPr>
        <w:t xml:space="preserve">科室：</w:t>
      </w:r>
      <w:bookmarkEnd w:id="834"/>
      <w:r>
        <w:rPr>
          <w:rFonts w:hAnsi="宋体"/>
          <w:szCs w:val="21"/>
        </w:rPr>
        <w:t xml:space="preserve">　　</w:t>
      </w:r>
      <w:bookmarkEnd w:id="832"/>
      <w:r>
        <w:rPr>
          <w:rFonts w:hAnsi="宋体"/>
          <w:szCs w:val="21"/>
        </w:rPr>
        <w:t xml:space="preserve">　　　　　　　　　　　</w:t>
      </w:r>
      <w:r>
        <w:rPr>
          <w:szCs w:val="21"/>
        </w:rPr>
        <w:t xml:space="preserve">  </w:t>
      </w:r>
      <w:bookmarkEnd w:id="833"/>
      <w:r>
        <w:rPr>
          <w:rFonts w:hint="eastAsia"/>
          <w:szCs w:val="21"/>
        </w:rPr>
        <w:t xml:space="preserve"> </w:t>
      </w:r>
      <w:r>
        <w:rPr>
          <w:szCs w:val="21"/>
        </w:rPr>
      </w:r>
      <w:r/>
    </w:p>
    <w:p>
      <w:pPr>
        <w:pStyle w:val="1088"/>
        <w:spacing w:line="400" w:lineRule="exact"/>
        <w:rPr>
          <w:b/>
          <w:szCs w:val="21"/>
        </w:rPr>
      </w:pPr>
      <w:r>
        <w:rPr>
          <w:b/>
          <w:szCs w:val="21"/>
        </w:rPr>
      </w:r>
      <w:r/>
    </w:p>
    <w:p>
      <w:pPr>
        <w:pStyle w:val="1088"/>
        <w:spacing w:line="400" w:lineRule="exact"/>
        <w:rPr>
          <w:b/>
          <w:szCs w:val="21"/>
        </w:rPr>
      </w:pPr>
      <w:r>
        <w:rPr>
          <w:b/>
          <w:szCs w:val="21"/>
        </w:rPr>
        <w:t xml:space="preserve">见证方：</w:t>
      </w:r>
      <w:r>
        <w:rPr>
          <w:szCs w:val="21"/>
        </w:rPr>
        <w:t xml:space="preserve">招标代理机构（章）： </w:t>
      </w:r>
      <w:r>
        <w:rPr>
          <w:b/>
          <w:szCs w:val="21"/>
        </w:rPr>
      </w:r>
      <w:r/>
    </w:p>
    <w:p>
      <w:pPr>
        <w:pStyle w:val="1088"/>
        <w:spacing w:line="400" w:lineRule="exact"/>
        <w:rPr>
          <w:color w:val="000000"/>
          <w:szCs w:val="21"/>
        </w:rPr>
      </w:pPr>
      <w:r>
        <w:rPr>
          <w:color w:val="000000"/>
          <w:szCs w:val="21"/>
        </w:rPr>
        <w:t xml:space="preserve">                 </w:t>
      </w:r>
      <w:r>
        <w:rPr>
          <w:color w:val="000000"/>
          <w:szCs w:val="21"/>
        </w:rPr>
      </w:r>
      <w:r/>
    </w:p>
    <w:p>
      <w:pPr>
        <w:pStyle w:val="1088"/>
        <w:ind w:firstLine="577"/>
        <w:spacing w:line="400" w:lineRule="exact"/>
        <w:rPr>
          <w:szCs w:val="21"/>
        </w:rPr>
      </w:pPr>
      <w:r>
        <w:rPr>
          <w:color w:val="000000"/>
          <w:szCs w:val="21"/>
        </w:rPr>
        <w:t xml:space="preserve">经办人：</w:t>
      </w:r>
      <w:r>
        <w:rPr>
          <w:szCs w:val="21"/>
        </w:rPr>
      </w:r>
      <w:r/>
    </w:p>
    <w:p>
      <w:pPr>
        <w:pStyle w:val="1088"/>
        <w:ind w:left="567"/>
        <w:spacing w:line="400" w:lineRule="exact"/>
        <w:rPr>
          <w:szCs w:val="21"/>
        </w:rPr>
      </w:pPr>
      <w:r>
        <w:rPr>
          <w:rFonts w:hAnsi="宋体"/>
          <w:szCs w:val="21"/>
        </w:rPr>
        <w:br w:type="page" w:clear="all"/>
      </w:r>
      <w:bookmarkEnd w:id="831"/>
      <w:r>
        <w:rPr>
          <w:rFonts w:hint="eastAsia"/>
          <w:sz w:val="24"/>
        </w:rPr>
        <w:t xml:space="preserve">附件：</w:t>
      </w:r>
      <w:r>
        <w:rPr>
          <w:sz w:val="24"/>
        </w:rPr>
        <w:t xml:space="preserve"> </w:t>
      </w:r>
      <w:r>
        <w:rPr>
          <w:rFonts w:hint="eastAsia"/>
          <w:sz w:val="24"/>
        </w:rPr>
        <w:t xml:space="preserve"> </w:t>
      </w:r>
      <w:r>
        <w:rPr>
          <w:sz w:val="24"/>
        </w:rPr>
        <w:t xml:space="preserve">                  </w:t>
      </w:r>
      <w:r>
        <w:rPr>
          <w:rFonts w:hint="eastAsia" w:ascii="微软雅黑" w:hAnsi="微软雅黑" w:eastAsia="微软雅黑"/>
          <w:b/>
          <w:sz w:val="40"/>
        </w:rPr>
        <w:t xml:space="preserve">分项报价清单</w:t>
      </w:r>
      <w:r>
        <w:rPr>
          <w:szCs w:val="21"/>
        </w:rPr>
      </w:r>
      <w:r/>
    </w:p>
    <w:p>
      <w:pPr>
        <w:pStyle w:val="1088"/>
        <w:ind w:left="567"/>
        <w:spacing w:line="400" w:lineRule="exact"/>
        <w:rPr>
          <w:b/>
          <w:szCs w:val="21"/>
        </w:rPr>
      </w:pPr>
      <w:r>
        <w:rPr>
          <w:b/>
          <w:szCs w:val="21"/>
        </w:rPr>
      </w:r>
      <w:r/>
    </w:p>
    <w:p>
      <w:pPr>
        <w:pStyle w:val="1088"/>
        <w:ind w:left="567"/>
        <w:spacing w:line="400" w:lineRule="exact"/>
        <w:rPr>
          <w:b/>
          <w:szCs w:val="21"/>
        </w:rPr>
      </w:pPr>
      <w:r>
        <w:rPr>
          <w:b/>
          <w:szCs w:val="21"/>
        </w:rPr>
        <w:t xml:space="preserve">设备名称、型号、数量和价格</w:t>
      </w:r>
      <w:r>
        <w:rPr>
          <w:b/>
          <w:szCs w:val="21"/>
        </w:rPr>
      </w:r>
      <w:r/>
    </w:p>
    <w:p>
      <w:pPr>
        <w:pStyle w:val="1088"/>
        <w:ind w:left="567"/>
        <w:spacing w:line="400" w:lineRule="exact"/>
        <w:rPr>
          <w:szCs w:val="21"/>
        </w:rPr>
      </w:pPr>
      <w:r>
        <w:rPr>
          <w:szCs w:val="21"/>
        </w:rPr>
        <w:t xml:space="preserve">  </w:t>
      </w:r>
      <w:r>
        <w:rPr>
          <w:szCs w:val="21"/>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8"/>
              <w:jc w:val="center"/>
              <w:spacing w:line="400" w:lineRule="exact"/>
              <w:rPr>
                <w:szCs w:val="21"/>
              </w:rPr>
            </w:pPr>
            <w:r>
              <w:rPr>
                <w:szCs w:val="21"/>
              </w:rPr>
              <w:t xml:space="preserve">设备名称</w:t>
            </w:r>
            <w:r>
              <w:rPr>
                <w:szCs w:val="21"/>
              </w:rPr>
            </w:r>
            <w:r/>
          </w:p>
        </w:tc>
        <w:tc>
          <w:tcPr>
            <w:tcW w:w="1024" w:type="dxa"/>
            <w:vAlign w:val="center"/>
            <w:textDirection w:val="lrTb"/>
            <w:noWrap w:val="false"/>
          </w:tcPr>
          <w:p>
            <w:pPr>
              <w:pStyle w:val="1088"/>
              <w:jc w:val="center"/>
              <w:spacing w:line="400" w:lineRule="exact"/>
              <w:rPr>
                <w:szCs w:val="21"/>
              </w:rPr>
            </w:pPr>
            <w:r>
              <w:rPr>
                <w:szCs w:val="21"/>
              </w:rPr>
              <w:t xml:space="preserve">品牌</w:t>
            </w:r>
            <w:r>
              <w:rPr>
                <w:szCs w:val="21"/>
              </w:rPr>
            </w:r>
            <w:r/>
          </w:p>
        </w:tc>
        <w:tc>
          <w:tcPr>
            <w:tcW w:w="1502" w:type="dxa"/>
            <w:vAlign w:val="center"/>
            <w:textDirection w:val="lrTb"/>
            <w:noWrap w:val="false"/>
          </w:tcPr>
          <w:p>
            <w:pPr>
              <w:pStyle w:val="1088"/>
              <w:jc w:val="center"/>
              <w:spacing w:line="400" w:lineRule="exact"/>
              <w:rPr>
                <w:szCs w:val="21"/>
              </w:rPr>
            </w:pPr>
            <w:r>
              <w:rPr>
                <w:szCs w:val="21"/>
              </w:rPr>
              <w:t xml:space="preserve">规格型号</w:t>
            </w:r>
            <w:r>
              <w:rPr>
                <w:szCs w:val="21"/>
              </w:rPr>
            </w:r>
            <w:r/>
          </w:p>
        </w:tc>
        <w:tc>
          <w:tcPr>
            <w:tcW w:w="1107" w:type="dxa"/>
            <w:vAlign w:val="center"/>
            <w:textDirection w:val="lrTb"/>
            <w:noWrap w:val="false"/>
          </w:tcPr>
          <w:p>
            <w:pPr>
              <w:pStyle w:val="1088"/>
              <w:jc w:val="center"/>
              <w:spacing w:line="400" w:lineRule="exact"/>
              <w:rPr>
                <w:szCs w:val="21"/>
              </w:rPr>
            </w:pPr>
            <w:r>
              <w:rPr>
                <w:szCs w:val="21"/>
              </w:rPr>
              <w:t xml:space="preserve">数  量</w:t>
            </w:r>
            <w:r>
              <w:rPr>
                <w:szCs w:val="21"/>
              </w:rPr>
            </w:r>
            <w:r/>
          </w:p>
        </w:tc>
        <w:tc>
          <w:tcPr>
            <w:tcW w:w="1319" w:type="dxa"/>
            <w:vAlign w:val="center"/>
            <w:textDirection w:val="lrTb"/>
            <w:noWrap w:val="false"/>
          </w:tcPr>
          <w:p>
            <w:pPr>
              <w:pStyle w:val="1088"/>
              <w:jc w:val="center"/>
              <w:spacing w:line="400" w:lineRule="exact"/>
              <w:rPr>
                <w:szCs w:val="21"/>
              </w:rPr>
            </w:pPr>
            <w:r>
              <w:rPr>
                <w:szCs w:val="21"/>
              </w:rPr>
              <w:t xml:space="preserve">单价（元）</w:t>
            </w:r>
            <w:r>
              <w:rPr>
                <w:szCs w:val="21"/>
              </w:rPr>
            </w:r>
            <w:r/>
          </w:p>
        </w:tc>
        <w:tc>
          <w:tcPr>
            <w:tcW w:w="1730" w:type="dxa"/>
            <w:vAlign w:val="center"/>
            <w:textDirection w:val="lrTb"/>
            <w:noWrap w:val="false"/>
          </w:tcPr>
          <w:p>
            <w:pPr>
              <w:pStyle w:val="1088"/>
              <w:jc w:val="center"/>
              <w:spacing w:line="400" w:lineRule="exact"/>
              <w:rPr>
                <w:szCs w:val="21"/>
              </w:rPr>
            </w:pPr>
            <w:r>
              <w:rPr>
                <w:szCs w:val="21"/>
              </w:rPr>
              <w:t xml:space="preserve">成交总价（元）</w:t>
            </w:r>
            <w:r>
              <w:rPr>
                <w:szCs w:val="21"/>
              </w:rPr>
            </w:r>
            <w:r/>
          </w:p>
        </w:tc>
      </w:tr>
      <w:tr>
        <w:trPr>
          <w:trHeight w:val="600"/>
        </w:trPr>
        <w:tc>
          <w:tcPr>
            <w:tcW w:w="1913" w:type="dxa"/>
            <w:vAlign w:val="center"/>
            <w:textDirection w:val="lrTb"/>
            <w:noWrap w:val="false"/>
          </w:tcPr>
          <w:p>
            <w:pPr>
              <w:pStyle w:val="1088"/>
              <w:jc w:val="center"/>
              <w:spacing w:line="400" w:lineRule="exact"/>
              <w:rPr>
                <w:b/>
                <w:szCs w:val="21"/>
              </w:rPr>
            </w:pPr>
            <w:r>
              <w:rPr>
                <w:b/>
                <w:szCs w:val="21"/>
              </w:rPr>
            </w:r>
            <w:r/>
          </w:p>
        </w:tc>
        <w:tc>
          <w:tcPr>
            <w:tcW w:w="1024" w:type="dxa"/>
            <w:vAlign w:val="center"/>
            <w:textDirection w:val="lrTb"/>
            <w:noWrap w:val="false"/>
          </w:tcPr>
          <w:p>
            <w:pPr>
              <w:pStyle w:val="1088"/>
              <w:jc w:val="center"/>
              <w:spacing w:line="400" w:lineRule="exact"/>
              <w:rPr>
                <w:b/>
                <w:szCs w:val="21"/>
              </w:rPr>
            </w:pPr>
            <w:r>
              <w:rPr>
                <w:b/>
                <w:szCs w:val="21"/>
              </w:rPr>
            </w:r>
            <w:r/>
          </w:p>
        </w:tc>
        <w:tc>
          <w:tcPr>
            <w:tcW w:w="1502" w:type="dxa"/>
            <w:vAlign w:val="center"/>
            <w:textDirection w:val="lrTb"/>
            <w:noWrap w:val="false"/>
          </w:tcPr>
          <w:p>
            <w:pPr>
              <w:pStyle w:val="1088"/>
              <w:jc w:val="center"/>
              <w:spacing w:line="400" w:lineRule="exact"/>
              <w:rPr>
                <w:b/>
                <w:szCs w:val="21"/>
              </w:rPr>
            </w:pPr>
            <w:r>
              <w:rPr>
                <w:b/>
                <w:szCs w:val="21"/>
              </w:rPr>
            </w:r>
            <w:r/>
          </w:p>
        </w:tc>
        <w:tc>
          <w:tcPr>
            <w:tcW w:w="1107" w:type="dxa"/>
            <w:vAlign w:val="center"/>
            <w:textDirection w:val="lrTb"/>
            <w:noWrap w:val="false"/>
          </w:tcPr>
          <w:p>
            <w:pPr>
              <w:pStyle w:val="1088"/>
              <w:jc w:val="center"/>
              <w:spacing w:line="400" w:lineRule="exact"/>
              <w:rPr>
                <w:b/>
                <w:szCs w:val="21"/>
              </w:rPr>
            </w:pPr>
            <w:r>
              <w:rPr>
                <w:b/>
                <w:szCs w:val="21"/>
              </w:rPr>
            </w:r>
            <w:r/>
          </w:p>
        </w:tc>
        <w:tc>
          <w:tcPr>
            <w:tcW w:w="1319" w:type="dxa"/>
            <w:vAlign w:val="center"/>
            <w:textDirection w:val="lrTb"/>
            <w:noWrap w:val="false"/>
          </w:tcPr>
          <w:p>
            <w:pPr>
              <w:pStyle w:val="1088"/>
              <w:jc w:val="center"/>
              <w:spacing w:line="400" w:lineRule="exact"/>
              <w:rPr>
                <w:b/>
                <w:szCs w:val="21"/>
              </w:rPr>
            </w:pPr>
            <w:r>
              <w:rPr>
                <w:b/>
                <w:szCs w:val="21"/>
              </w:rPr>
            </w:r>
            <w:r/>
          </w:p>
        </w:tc>
        <w:tc>
          <w:tcPr>
            <w:tcW w:w="1730" w:type="dxa"/>
            <w:vAlign w:val="center"/>
            <w:textDirection w:val="lrTb"/>
            <w:noWrap w:val="false"/>
          </w:tcPr>
          <w:p>
            <w:pPr>
              <w:pStyle w:val="1088"/>
              <w:jc w:val="center"/>
              <w:spacing w:line="400" w:lineRule="exact"/>
              <w:rPr>
                <w:b/>
                <w:szCs w:val="21"/>
              </w:rPr>
            </w:pPr>
            <w:r>
              <w:rPr>
                <w:b/>
                <w:szCs w:val="21"/>
              </w:rPr>
            </w:r>
            <w:r/>
          </w:p>
        </w:tc>
      </w:tr>
      <w:tr>
        <w:trPr>
          <w:trHeight w:val="600"/>
        </w:trPr>
        <w:tc>
          <w:tcPr>
            <w:tcW w:w="1913" w:type="dxa"/>
            <w:vAlign w:val="center"/>
            <w:textDirection w:val="lrTb"/>
            <w:noWrap w:val="false"/>
          </w:tcPr>
          <w:p>
            <w:pPr>
              <w:pStyle w:val="1088"/>
              <w:jc w:val="center"/>
              <w:spacing w:line="400" w:lineRule="exact"/>
              <w:rPr>
                <w:szCs w:val="21"/>
              </w:rPr>
            </w:pPr>
            <w:r>
              <w:rPr>
                <w:szCs w:val="21"/>
              </w:rPr>
            </w:r>
            <w:r/>
          </w:p>
        </w:tc>
        <w:tc>
          <w:tcPr>
            <w:tcW w:w="1024" w:type="dxa"/>
            <w:vAlign w:val="center"/>
            <w:textDirection w:val="lrTb"/>
            <w:noWrap w:val="false"/>
          </w:tcPr>
          <w:p>
            <w:pPr>
              <w:pStyle w:val="1088"/>
              <w:jc w:val="center"/>
              <w:spacing w:line="400" w:lineRule="exact"/>
              <w:rPr>
                <w:szCs w:val="21"/>
              </w:rPr>
            </w:pPr>
            <w:r>
              <w:rPr>
                <w:szCs w:val="21"/>
              </w:rPr>
            </w:r>
            <w:r/>
          </w:p>
        </w:tc>
        <w:tc>
          <w:tcPr>
            <w:tcW w:w="1502" w:type="dxa"/>
            <w:vAlign w:val="center"/>
            <w:textDirection w:val="lrTb"/>
            <w:noWrap w:val="false"/>
          </w:tcPr>
          <w:p>
            <w:pPr>
              <w:pStyle w:val="1088"/>
              <w:jc w:val="center"/>
              <w:spacing w:line="400" w:lineRule="exact"/>
              <w:rPr>
                <w:szCs w:val="21"/>
              </w:rPr>
            </w:pPr>
            <w:r>
              <w:rPr>
                <w:szCs w:val="21"/>
              </w:rPr>
            </w:r>
            <w:r/>
          </w:p>
        </w:tc>
        <w:tc>
          <w:tcPr>
            <w:tcW w:w="1107" w:type="dxa"/>
            <w:vAlign w:val="center"/>
            <w:textDirection w:val="lrTb"/>
            <w:noWrap w:val="false"/>
          </w:tcPr>
          <w:p>
            <w:pPr>
              <w:pStyle w:val="1088"/>
              <w:jc w:val="center"/>
              <w:spacing w:line="400" w:lineRule="exact"/>
              <w:rPr>
                <w:szCs w:val="21"/>
              </w:rPr>
            </w:pPr>
            <w:r>
              <w:rPr>
                <w:szCs w:val="21"/>
              </w:rPr>
            </w:r>
            <w:r/>
          </w:p>
        </w:tc>
        <w:tc>
          <w:tcPr>
            <w:tcW w:w="1319" w:type="dxa"/>
            <w:vAlign w:val="center"/>
            <w:textDirection w:val="lrTb"/>
            <w:noWrap w:val="false"/>
          </w:tcPr>
          <w:p>
            <w:pPr>
              <w:pStyle w:val="1088"/>
              <w:jc w:val="center"/>
              <w:spacing w:line="400" w:lineRule="exact"/>
              <w:rPr>
                <w:szCs w:val="21"/>
              </w:rPr>
            </w:pPr>
            <w:r>
              <w:rPr>
                <w:szCs w:val="21"/>
              </w:rPr>
            </w:r>
            <w:r/>
          </w:p>
        </w:tc>
        <w:tc>
          <w:tcPr>
            <w:tcW w:w="1730" w:type="dxa"/>
            <w:vAlign w:val="center"/>
            <w:textDirection w:val="lrTb"/>
            <w:noWrap w:val="false"/>
          </w:tcPr>
          <w:p>
            <w:pPr>
              <w:pStyle w:val="1088"/>
              <w:jc w:val="center"/>
              <w:spacing w:line="400" w:lineRule="exact"/>
              <w:rPr>
                <w:szCs w:val="21"/>
              </w:rPr>
            </w:pPr>
            <w:r>
              <w:rPr>
                <w:szCs w:val="21"/>
              </w:rPr>
            </w:r>
            <w:r/>
          </w:p>
        </w:tc>
      </w:tr>
      <w:tr>
        <w:trPr/>
        <w:tc>
          <w:tcPr>
            <w:gridSpan w:val="6"/>
            <w:tcW w:w="8595" w:type="dxa"/>
            <w:vAlign w:val="center"/>
            <w:textDirection w:val="lrTb"/>
            <w:noWrap w:val="false"/>
          </w:tcPr>
          <w:p>
            <w:pPr>
              <w:pStyle w:val="1088"/>
              <w:jc w:val="left"/>
              <w:spacing w:line="400" w:lineRule="exact"/>
              <w:widowControl/>
              <w:rPr>
                <w:szCs w:val="21"/>
              </w:rPr>
            </w:pPr>
            <w:r>
              <w:rPr>
                <w:szCs w:val="21"/>
              </w:rPr>
              <w:t xml:space="preserve">总价（大写）：</w:t>
            </w:r>
            <w:r>
              <w:rPr>
                <w:b/>
                <w:szCs w:val="21"/>
              </w:rPr>
              <w:t xml:space="preserve">人民币万仟佰圆整</w:t>
            </w:r>
            <w:r>
              <w:rPr>
                <w:rFonts w:hint="eastAsia"/>
                <w:b/>
                <w:szCs w:val="21"/>
              </w:rPr>
              <w:t xml:space="preserve"> </w:t>
            </w:r>
            <w:r>
              <w:rPr>
                <w:b/>
                <w:szCs w:val="21"/>
              </w:rPr>
              <w:t xml:space="preserve">                       </w:t>
            </w:r>
            <w:r>
              <w:rPr>
                <w:szCs w:val="21"/>
              </w:rPr>
              <w:t xml:space="preserve">总价（</w:t>
            </w:r>
            <w:r>
              <w:rPr>
                <w:rFonts w:hint="eastAsia"/>
                <w:szCs w:val="21"/>
              </w:rPr>
              <w:t xml:space="preserve">小</w:t>
            </w:r>
            <w:r>
              <w:rPr>
                <w:szCs w:val="21"/>
              </w:rPr>
              <w:t xml:space="preserve">写）：</w:t>
            </w:r>
            <w:r>
              <w:rPr>
                <w:szCs w:val="21"/>
              </w:rPr>
            </w:r>
            <w:r/>
          </w:p>
        </w:tc>
      </w:tr>
    </w:tbl>
    <w:p>
      <w:pPr>
        <w:pStyle w:val="1088"/>
        <w:ind w:left="567"/>
        <w:spacing w:line="400" w:lineRule="exact"/>
        <w:rPr>
          <w:b/>
          <w:szCs w:val="21"/>
        </w:rPr>
      </w:pPr>
      <w:r>
        <w:rPr>
          <w:b/>
          <w:szCs w:val="21"/>
        </w:rPr>
      </w:r>
      <w:r/>
    </w:p>
    <w:p>
      <w:pPr>
        <w:pStyle w:val="1088"/>
        <w:ind w:left="567"/>
        <w:spacing w:line="400" w:lineRule="exact"/>
        <w:rPr>
          <w:szCs w:val="21"/>
        </w:rPr>
      </w:pPr>
      <w:r>
        <w:rPr>
          <w:b/>
          <w:szCs w:val="21"/>
        </w:rPr>
        <w:t xml:space="preserve">备注</w:t>
      </w:r>
      <w:r>
        <w:rPr>
          <w:szCs w:val="21"/>
        </w:rPr>
        <w:t xml:space="preserve">：配置及耗材见附页。</w:t>
      </w:r>
      <w:r>
        <w:rPr>
          <w:szCs w:val="21"/>
        </w:rPr>
      </w:r>
      <w:r/>
    </w:p>
    <w:p>
      <w:pPr>
        <w:pStyle w:val="1182"/>
        <w:spacing w:line="360" w:lineRule="auto"/>
        <w:rPr>
          <w:rFonts w:hint="eastAsia" w:ascii="微软雅黑" w:hAnsi="微软雅黑" w:eastAsia="微软雅黑"/>
          <w:b/>
          <w:sz w:val="40"/>
        </w:rPr>
      </w:pPr>
      <w:r>
        <w:rPr>
          <w:rFonts w:hint="eastAsia"/>
          <w:sz w:val="24"/>
        </w:rPr>
        <w:t xml:space="preserve">                 </w:t>
      </w:r>
      <w:r>
        <w:rPr>
          <w:sz w:val="24"/>
        </w:rPr>
        <w:br w:type="page" w:clear="all"/>
      </w:r>
      <w:r>
        <w:rPr>
          <w:rFonts w:hint="eastAsia"/>
          <w:sz w:val="24"/>
        </w:rPr>
        <w:t xml:space="preserve">附件： </w:t>
      </w:r>
      <w:r>
        <w:rPr>
          <w:sz w:val="24"/>
        </w:rPr>
        <w:t xml:space="preserve">                       </w:t>
      </w:r>
      <w:r>
        <w:rPr>
          <w:rFonts w:hint="eastAsia"/>
          <w:sz w:val="24"/>
        </w:rPr>
        <w:t xml:space="preserve"> </w:t>
      </w:r>
      <w:r>
        <w:rPr>
          <w:rFonts w:hint="eastAsia" w:ascii="微软雅黑" w:hAnsi="微软雅黑" w:eastAsia="微软雅黑"/>
          <w:b/>
          <w:sz w:val="40"/>
        </w:rPr>
        <w:t xml:space="preserve">配置清单</w:t>
      </w:r>
      <w:r>
        <w:rPr>
          <w:rFonts w:hint="eastAsia" w:ascii="微软雅黑" w:hAnsi="微软雅黑" w:eastAsia="微软雅黑"/>
          <w:b/>
          <w:sz w:val="40"/>
        </w:rPr>
      </w:r>
      <w:r/>
    </w:p>
    <w:p>
      <w:pPr>
        <w:pStyle w:val="1088"/>
        <w:ind w:firstLine="577"/>
        <w:spacing w:line="400" w:lineRule="exact"/>
        <w:rPr>
          <w:szCs w:val="21"/>
        </w:rPr>
      </w:pPr>
      <w:r>
        <w:rPr>
          <w:szCs w:val="21"/>
        </w:rPr>
      </w:r>
      <w:r/>
    </w:p>
    <w:p>
      <w:pPr>
        <w:pStyle w:val="1182"/>
        <w:ind w:left="420" w:firstLine="0"/>
        <w:spacing w:line="360" w:lineRule="auto"/>
        <w:rPr>
          <w:rFonts w:hint="eastAsia"/>
          <w:sz w:val="24"/>
        </w:rPr>
      </w:pPr>
      <w:r>
        <w:rPr>
          <w:sz w:val="24"/>
        </w:rPr>
        <w:br w:type="page" w:clear="all"/>
      </w:r>
      <w:r>
        <w:rPr>
          <w:rFonts w:hint="eastAsia"/>
          <w:sz w:val="24"/>
        </w:rPr>
        <w:t xml:space="preserve">附件：</w:t>
      </w:r>
      <w:r>
        <w:rPr>
          <w:rFonts w:hint="eastAsia"/>
          <w:sz w:val="24"/>
        </w:rPr>
      </w:r>
      <w:r/>
    </w:p>
    <w:p>
      <w:pPr>
        <w:pStyle w:val="1089"/>
        <w:jc w:val="center"/>
        <w:spacing w:before="120" w:after="120"/>
        <w:rPr>
          <w:rFonts w:hint="eastAsia" w:ascii="微软雅黑" w:hAnsi="微软雅黑" w:eastAsia="微软雅黑"/>
        </w:rPr>
      </w:pPr>
      <w:r>
        <w:rPr>
          <w:rFonts w:hint="eastAsia" w:ascii="微软雅黑" w:hAnsi="微软雅黑" w:eastAsia="微软雅黑"/>
        </w:rPr>
        <w:t xml:space="preserve">设备主要配件更换参考价格</w:t>
      </w:r>
      <w:r>
        <w:rPr>
          <w:rFonts w:hint="eastAsia" w:ascii="微软雅黑" w:hAnsi="微软雅黑" w:eastAsia="微软雅黑"/>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序号</w:t>
            </w:r>
            <w:r>
              <w:rPr>
                <w:rFonts w:hint="eastAsia"/>
                <w:b/>
                <w:sz w:val="24"/>
              </w:rPr>
            </w:r>
            <w:r/>
          </w:p>
        </w:tc>
        <w:tc>
          <w:tcPr>
            <w:tcW w:w="2196"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配件名称</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规格</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单位</w:t>
            </w:r>
            <w:r>
              <w:rPr>
                <w:rFonts w:hint="eastAsia"/>
                <w:b/>
                <w:sz w:val="24"/>
              </w:rPr>
            </w:r>
            <w:r/>
          </w:p>
        </w:tc>
        <w:tc>
          <w:tcPr>
            <w:tcW w:w="1407"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数量</w:t>
            </w:r>
            <w:r>
              <w:rPr>
                <w:rFonts w:hint="eastAsia"/>
                <w:b/>
                <w:sz w:val="24"/>
              </w:rPr>
            </w:r>
            <w:r/>
          </w:p>
        </w:tc>
        <w:tc>
          <w:tcPr>
            <w:tcW w:w="1462"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价格（元）</w:t>
            </w:r>
            <w:r>
              <w:rPr>
                <w:rFonts w:hint="eastAsia"/>
                <w:b/>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bl>
    <w:p>
      <w:pPr>
        <w:pStyle w:val="1182"/>
        <w:ind w:left="420" w:firstLine="0"/>
        <w:spacing w:line="360" w:lineRule="auto"/>
        <w:rPr>
          <w:rFonts w:hint="eastAsia"/>
          <w:sz w:val="24"/>
        </w:rPr>
      </w:pPr>
      <w:r>
        <w:rPr>
          <w:rFonts w:hint="eastAsia"/>
          <w:sz w:val="24"/>
        </w:rPr>
      </w:r>
      <w:r/>
    </w:p>
    <w:p>
      <w:pPr>
        <w:pStyle w:val="1088"/>
        <w:ind w:firstLine="577"/>
        <w:spacing w:line="400" w:lineRule="exact"/>
        <w:rPr>
          <w:szCs w:val="21"/>
        </w:rPr>
      </w:pPr>
      <w:r>
        <w:rPr>
          <w:szCs w:val="21"/>
        </w:rPr>
      </w:r>
      <w:r/>
    </w:p>
    <w:p>
      <w:pPr>
        <w:pStyle w:val="1182"/>
        <w:ind w:left="420" w:firstLine="0"/>
        <w:spacing w:line="360" w:lineRule="auto"/>
        <w:rPr>
          <w:rFonts w:hint="eastAsia"/>
          <w:sz w:val="24"/>
        </w:rPr>
      </w:pPr>
      <w:r>
        <w:rPr>
          <w:rFonts w:hint="eastAsia"/>
          <w:sz w:val="24"/>
        </w:rPr>
      </w:r>
      <w:r/>
    </w:p>
    <w:p>
      <w:pPr>
        <w:pStyle w:val="1182"/>
        <w:ind w:left="420" w:firstLine="0"/>
        <w:spacing w:line="360" w:lineRule="auto"/>
        <w:rPr>
          <w:rFonts w:hint="eastAsia"/>
          <w:sz w:val="24"/>
        </w:rPr>
      </w:pPr>
      <w:r>
        <w:rPr>
          <w:rFonts w:hint="eastAsia"/>
          <w:sz w:val="24"/>
        </w:rPr>
        <w:t xml:space="preserve">附件：</w:t>
      </w:r>
      <w:r>
        <w:rPr>
          <w:rFonts w:hint="eastAsia"/>
          <w:sz w:val="24"/>
        </w:rPr>
      </w:r>
      <w:r/>
    </w:p>
    <w:p>
      <w:pPr>
        <w:pStyle w:val="1089"/>
        <w:jc w:val="center"/>
        <w:spacing w:before="120" w:after="120"/>
        <w:rPr>
          <w:rFonts w:hint="eastAsia" w:ascii="微软雅黑" w:hAnsi="微软雅黑" w:eastAsia="微软雅黑"/>
        </w:rPr>
      </w:pPr>
      <w:r>
        <w:rPr>
          <w:rFonts w:hint="eastAsia" w:ascii="微软雅黑" w:hAnsi="微软雅黑" w:eastAsia="微软雅黑"/>
        </w:rPr>
        <w:t xml:space="preserve">设备所用耗材目录及参考价格</w:t>
      </w:r>
      <w:r>
        <w:rPr>
          <w:rFonts w:hint="eastAsia" w:ascii="微软雅黑" w:hAnsi="微软雅黑" w:eastAsia="微软雅黑"/>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序号</w:t>
            </w:r>
            <w:r>
              <w:rPr>
                <w:rFonts w:hint="eastAsia"/>
                <w:b/>
                <w:sz w:val="24"/>
              </w:rPr>
            </w:r>
            <w:r/>
          </w:p>
        </w:tc>
        <w:tc>
          <w:tcPr>
            <w:tcW w:w="2196"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耗材名称</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规格</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单位</w:t>
            </w:r>
            <w:r>
              <w:rPr>
                <w:rFonts w:hint="eastAsia"/>
                <w:b/>
                <w:sz w:val="24"/>
              </w:rPr>
            </w:r>
            <w:r/>
          </w:p>
        </w:tc>
        <w:tc>
          <w:tcPr>
            <w:tcW w:w="1407"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数量</w:t>
            </w:r>
            <w:r>
              <w:rPr>
                <w:rFonts w:hint="eastAsia"/>
                <w:b/>
                <w:sz w:val="24"/>
              </w:rPr>
            </w:r>
            <w:r/>
          </w:p>
        </w:tc>
        <w:tc>
          <w:tcPr>
            <w:tcW w:w="1462"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价格（元）</w:t>
            </w:r>
            <w:r>
              <w:rPr>
                <w:rFonts w:hint="eastAsia"/>
                <w:b/>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bl>
    <w:p>
      <w:pPr>
        <w:pStyle w:val="1088"/>
        <w:ind w:firstLine="577"/>
        <w:spacing w:line="720" w:lineRule="auto"/>
        <w:rPr>
          <w:rFonts w:ascii="微软雅黑" w:hAnsi="微软雅黑" w:eastAsia="微软雅黑"/>
          <w:b/>
          <w:sz w:val="40"/>
        </w:rPr>
      </w:pPr>
      <w:r>
        <w:rPr>
          <w:szCs w:val="21"/>
        </w:rPr>
        <w:br w:type="page" w:clear="all"/>
      </w:r>
      <w:r>
        <w:rPr>
          <w:rFonts w:hint="eastAsia"/>
          <w:sz w:val="24"/>
        </w:rPr>
        <w:t xml:space="preserve">附件：                   </w:t>
      </w:r>
      <w:r>
        <w:rPr>
          <w:rFonts w:hint="eastAsia" w:ascii="微软雅黑" w:hAnsi="微软雅黑" w:eastAsia="微软雅黑"/>
          <w:b/>
          <w:sz w:val="40"/>
        </w:rPr>
        <w:t xml:space="preserve">售后服务承诺书</w:t>
      </w:r>
      <w:r>
        <w:rPr>
          <w:rFonts w:ascii="微软雅黑" w:hAnsi="微软雅黑" w:eastAsia="微软雅黑"/>
          <w:b/>
          <w:sz w:val="40"/>
        </w:rPr>
      </w:r>
      <w:r/>
    </w:p>
    <w:p>
      <w:pPr>
        <w:pStyle w:val="1088"/>
        <w:ind w:firstLine="420"/>
        <w:spacing w:line="360" w:lineRule="auto"/>
        <w:rPr>
          <w:szCs w:val="21"/>
        </w:rPr>
      </w:pPr>
      <w:r>
        <w:rPr>
          <w:szCs w:val="21"/>
        </w:rPr>
      </w:r>
      <w:r/>
    </w:p>
    <w:p>
      <w:pPr>
        <w:pStyle w:val="1088"/>
        <w:ind w:firstLine="420"/>
        <w:spacing w:line="360" w:lineRule="auto"/>
        <w:rPr>
          <w:szCs w:val="21"/>
        </w:rPr>
      </w:pPr>
      <w:r>
        <w:rPr>
          <w:szCs w:val="21"/>
        </w:rPr>
        <w:t xml:space="preserve">我公司就</w:t>
      </w:r>
      <w:r>
        <w:rPr>
          <w:b/>
          <w:szCs w:val="21"/>
        </w:rPr>
        <w:t xml:space="preserve">常州市第二人民医院</w:t>
      </w:r>
      <w:r>
        <w:rPr>
          <w:szCs w:val="21"/>
        </w:rPr>
        <w:t xml:space="preserve">采购</w:t>
      </w:r>
      <w:r>
        <w:rPr>
          <w:szCs w:val="21"/>
          <w:u w:val="single"/>
        </w:rPr>
        <w:t xml:space="preserve">                      </w:t>
      </w:r>
      <w:r>
        <w:rPr>
          <w:szCs w:val="21"/>
        </w:rPr>
        <w:t xml:space="preserve">项目的服务承诺如下：</w:t>
      </w:r>
      <w:r>
        <w:rPr>
          <w:szCs w:val="21"/>
        </w:rPr>
      </w:r>
      <w:r/>
    </w:p>
    <w:p>
      <w:pPr>
        <w:pStyle w:val="1088"/>
        <w:numPr>
          <w:ilvl w:val="0"/>
          <w:numId w:val="19"/>
        </w:numPr>
        <w:spacing w:line="360" w:lineRule="auto"/>
        <w:rPr>
          <w:szCs w:val="21"/>
        </w:rPr>
      </w:pPr>
      <w:r>
        <w:rPr>
          <w:szCs w:val="21"/>
        </w:rPr>
        <w:t xml:space="preserve">质保期内的售后服务</w:t>
      </w:r>
      <w:r>
        <w:rPr>
          <w:szCs w:val="21"/>
        </w:rPr>
      </w:r>
      <w:r/>
    </w:p>
    <w:p>
      <w:pPr>
        <w:pStyle w:val="1088"/>
        <w:numPr>
          <w:ilvl w:val="0"/>
          <w:numId w:val="20"/>
        </w:numPr>
        <w:spacing w:line="360" w:lineRule="auto"/>
        <w:rPr>
          <w:szCs w:val="21"/>
        </w:rPr>
      </w:pPr>
      <w:r>
        <w:rPr>
          <w:szCs w:val="21"/>
        </w:rPr>
        <w:t xml:space="preserve">设备免费原厂保修期为：</w:t>
      </w:r>
      <w:r>
        <w:rPr>
          <w:szCs w:val="21"/>
          <w:u w:val="single"/>
        </w:rPr>
        <w:t xml:space="preserve">       </w:t>
      </w:r>
      <w:r>
        <w:rPr>
          <w:szCs w:val="21"/>
        </w:rPr>
        <w:t xml:space="preserve">年</w:t>
      </w:r>
      <w:r>
        <w:rPr>
          <w:szCs w:val="21"/>
        </w:rPr>
      </w:r>
      <w:r/>
    </w:p>
    <w:p>
      <w:pPr>
        <w:pStyle w:val="1088"/>
        <w:numPr>
          <w:ilvl w:val="0"/>
          <w:numId w:val="20"/>
        </w:numPr>
        <w:spacing w:line="360" w:lineRule="auto"/>
        <w:rPr>
          <w:szCs w:val="21"/>
        </w:rPr>
      </w:pPr>
      <w:r>
        <w:rPr>
          <w:szCs w:val="21"/>
        </w:rPr>
        <w:t xml:space="preserve">质保期内：</w:t>
      </w:r>
      <w:r>
        <w:rPr>
          <w:szCs w:val="21"/>
        </w:rPr>
      </w:r>
      <w:r/>
    </w:p>
    <w:p>
      <w:pPr>
        <w:pStyle w:val="1088"/>
        <w:numPr>
          <w:ilvl w:val="0"/>
          <w:numId w:val="21"/>
        </w:numPr>
        <w:spacing w:line="360" w:lineRule="auto"/>
        <w:rPr>
          <w:szCs w:val="21"/>
        </w:rPr>
      </w:pPr>
      <w:r>
        <w:rPr>
          <w:szCs w:val="21"/>
        </w:rPr>
        <w:t xml:space="preserve">免费送货上门至采购人指定地点，进行安装调试并及时对具体使用人员进行操作培训；</w:t>
      </w:r>
      <w:r>
        <w:rPr>
          <w:szCs w:val="21"/>
        </w:rPr>
      </w:r>
      <w:r/>
    </w:p>
    <w:p>
      <w:pPr>
        <w:pStyle w:val="1088"/>
        <w:numPr>
          <w:ilvl w:val="0"/>
          <w:numId w:val="21"/>
        </w:numPr>
        <w:spacing w:line="360" w:lineRule="auto"/>
        <w:rPr>
          <w:szCs w:val="21"/>
        </w:rPr>
      </w:pPr>
      <w:r>
        <w:rPr>
          <w:szCs w:val="21"/>
        </w:rPr>
        <w:t xml:space="preserve">维保期内将按照本承诺提供优质的免费上门服务；</w:t>
      </w:r>
      <w:r>
        <w:rPr>
          <w:szCs w:val="21"/>
        </w:rPr>
      </w:r>
      <w:r/>
    </w:p>
    <w:p>
      <w:pPr>
        <w:pStyle w:val="1088"/>
        <w:numPr>
          <w:ilvl w:val="0"/>
          <w:numId w:val="21"/>
        </w:numPr>
        <w:spacing w:line="360" w:lineRule="auto"/>
        <w:rPr>
          <w:szCs w:val="21"/>
        </w:rPr>
      </w:pPr>
      <w:r>
        <w:rPr>
          <w:szCs w:val="21"/>
        </w:rPr>
        <w:t xml:space="preserve">如设备出现故障，承诺</w:t>
      </w:r>
      <w:r>
        <w:rPr>
          <w:szCs w:val="21"/>
          <w:u w:val="single"/>
        </w:rPr>
        <w:t xml:space="preserve">       </w:t>
      </w:r>
      <w:r>
        <w:rPr>
          <w:szCs w:val="21"/>
        </w:rPr>
        <w:t xml:space="preserve">小时响应，</w:t>
      </w:r>
      <w:r>
        <w:rPr>
          <w:szCs w:val="21"/>
          <w:u w:val="single"/>
        </w:rPr>
        <w:t xml:space="preserve">       </w:t>
      </w:r>
      <w:r>
        <w:rPr>
          <w:szCs w:val="21"/>
        </w:rPr>
        <w:t xml:space="preserve">小时内维修工程师到达现场。</w:t>
      </w:r>
      <w:r>
        <w:rPr>
          <w:szCs w:val="21"/>
        </w:rPr>
      </w:r>
      <w:r/>
    </w:p>
    <w:p>
      <w:pPr>
        <w:pStyle w:val="1088"/>
        <w:numPr>
          <w:ilvl w:val="0"/>
          <w:numId w:val="20"/>
        </w:numPr>
        <w:spacing w:line="360" w:lineRule="auto"/>
        <w:rPr>
          <w:szCs w:val="21"/>
        </w:rPr>
      </w:pPr>
      <w:r>
        <w:rPr>
          <w:rFonts w:hint="eastAsia"/>
          <w:szCs w:val="21"/>
        </w:rPr>
        <w:t xml:space="preserve">所有医疗设备必须提供符合国家标准的电源线，插头制式必须为中国标准制式，保证安全接地，不接受欧标、美标等制式电源线，</w:t>
      </w:r>
      <w:r>
        <w:rPr>
          <w:rFonts w:hint="eastAsia"/>
          <w:b/>
          <w:bCs/>
          <w:szCs w:val="21"/>
        </w:rPr>
        <w:t xml:space="preserve">设备出厂时间不能早于采购合同签约日期超过壹年</w:t>
      </w:r>
      <w:r>
        <w:rPr>
          <w:rFonts w:hint="eastAsia"/>
          <w:szCs w:val="21"/>
        </w:rPr>
        <w:t xml:space="preserve">。</w:t>
      </w:r>
      <w:r>
        <w:rPr>
          <w:szCs w:val="21"/>
        </w:rPr>
      </w:r>
      <w:r/>
    </w:p>
    <w:p>
      <w:pPr>
        <w:pStyle w:val="1088"/>
        <w:numPr>
          <w:ilvl w:val="0"/>
          <w:numId w:val="20"/>
        </w:numPr>
        <w:spacing w:line="360" w:lineRule="auto"/>
        <w:rPr>
          <w:szCs w:val="21"/>
        </w:rPr>
      </w:pPr>
      <w:r>
        <w:rPr>
          <w:szCs w:val="21"/>
        </w:rPr>
        <w:t xml:space="preserve">质保期外提供设备终身维</w:t>
      </w:r>
      <w:r>
        <w:rPr>
          <w:rFonts w:hint="eastAsia"/>
          <w:szCs w:val="21"/>
          <w:lang w:val="en-US" w:eastAsia="zh-CN"/>
        </w:rPr>
        <w:t xml:space="preserve">修</w:t>
      </w:r>
      <w:r>
        <w:rPr>
          <w:szCs w:val="21"/>
        </w:rPr>
        <w:t xml:space="preserve">服务，在设备设计的使用生命周期内，保证使用方能及时更换到原厂正宗的零配件，确保设备正常使用，维修只收取配件材料费。</w:t>
      </w:r>
      <w:r>
        <w:rPr>
          <w:szCs w:val="21"/>
        </w:rPr>
      </w:r>
      <w:r/>
    </w:p>
    <w:p>
      <w:pPr>
        <w:pStyle w:val="1088"/>
        <w:numPr>
          <w:ilvl w:val="0"/>
          <w:numId w:val="20"/>
        </w:numPr>
        <w:spacing w:line="360" w:lineRule="auto"/>
        <w:rPr>
          <w:szCs w:val="21"/>
        </w:rPr>
      </w:pPr>
      <w:r>
        <w:rPr>
          <w:szCs w:val="21"/>
        </w:rPr>
        <w:t xml:space="preserve">售后服务联系方式</w:t>
      </w:r>
      <w:r>
        <w:rPr>
          <w:szCs w:val="21"/>
        </w:rPr>
      </w:r>
      <w:r/>
    </w:p>
    <w:p>
      <w:pPr>
        <w:pStyle w:val="1088"/>
        <w:numPr>
          <w:ilvl w:val="0"/>
          <w:numId w:val="22"/>
        </w:numPr>
        <w:spacing w:line="360" w:lineRule="auto"/>
        <w:rPr>
          <w:szCs w:val="21"/>
        </w:rPr>
      </w:pPr>
      <w:r>
        <w:rPr>
          <w:szCs w:val="21"/>
        </w:rPr>
        <w:t xml:space="preserve">原厂售后服务电话：</w:t>
      </w:r>
      <w:r>
        <w:rPr>
          <w:szCs w:val="21"/>
          <w:u w:val="single"/>
        </w:rPr>
        <w:t xml:space="preserve">                 </w:t>
      </w:r>
      <w:r>
        <w:rPr>
          <w:szCs w:val="21"/>
        </w:rPr>
      </w:r>
      <w:r/>
    </w:p>
    <w:p>
      <w:pPr>
        <w:pStyle w:val="1088"/>
        <w:numPr>
          <w:ilvl w:val="0"/>
          <w:numId w:val="22"/>
        </w:numPr>
        <w:spacing w:line="360" w:lineRule="auto"/>
        <w:rPr>
          <w:szCs w:val="21"/>
        </w:rPr>
      </w:pPr>
      <w:r>
        <w:rPr>
          <w:szCs w:val="21"/>
        </w:rPr>
        <w:t xml:space="preserve">联系人：</w:t>
      </w:r>
      <w:r>
        <w:rPr>
          <w:szCs w:val="21"/>
          <w:u w:val="single"/>
        </w:rPr>
        <w:t xml:space="preserve">                           </w:t>
      </w:r>
      <w:r>
        <w:rPr>
          <w:szCs w:val="21"/>
        </w:rPr>
      </w:r>
      <w:r/>
    </w:p>
    <w:p>
      <w:pPr>
        <w:pStyle w:val="1088"/>
        <w:numPr>
          <w:ilvl w:val="0"/>
          <w:numId w:val="22"/>
        </w:numPr>
        <w:spacing w:line="360" w:lineRule="auto"/>
        <w:rPr>
          <w:szCs w:val="21"/>
        </w:rPr>
      </w:pPr>
      <w:r>
        <w:rPr>
          <w:szCs w:val="21"/>
        </w:rPr>
        <w:t xml:space="preserve">联系电话：</w:t>
      </w:r>
      <w:r>
        <w:rPr>
          <w:szCs w:val="21"/>
          <w:u w:val="single"/>
        </w:rPr>
        <w:t xml:space="preserve">                         </w:t>
      </w:r>
      <w:r>
        <w:rPr>
          <w:szCs w:val="21"/>
        </w:rPr>
      </w:r>
      <w:r/>
    </w:p>
    <w:p>
      <w:pPr>
        <w:pStyle w:val="1088"/>
        <w:numPr>
          <w:ilvl w:val="0"/>
          <w:numId w:val="22"/>
        </w:numPr>
        <w:spacing w:line="360" w:lineRule="auto"/>
        <w:rPr>
          <w:szCs w:val="21"/>
        </w:rPr>
      </w:pPr>
      <w:r>
        <w:rPr>
          <w:szCs w:val="21"/>
        </w:rPr>
        <w:t xml:space="preserve">手   机：</w:t>
      </w:r>
      <w:r>
        <w:rPr>
          <w:szCs w:val="21"/>
          <w:u w:val="single"/>
        </w:rPr>
        <w:t xml:space="preserve">                          </w:t>
      </w:r>
      <w:r>
        <w:rPr>
          <w:szCs w:val="21"/>
        </w:rPr>
      </w:r>
      <w:r/>
    </w:p>
    <w:p>
      <w:pPr>
        <w:pStyle w:val="1088"/>
        <w:numPr>
          <w:ilvl w:val="0"/>
          <w:numId w:val="19"/>
        </w:numPr>
        <w:spacing w:line="360" w:lineRule="auto"/>
        <w:rPr>
          <w:szCs w:val="21"/>
        </w:rPr>
      </w:pPr>
      <w:r>
        <w:rPr>
          <w:szCs w:val="21"/>
        </w:rPr>
        <w:t xml:space="preserve">如未能充分履行上述承诺，采购人可采取必要的补救措施，其费用和风险由本公司承担。</w:t>
      </w:r>
      <w:r>
        <w:rPr>
          <w:szCs w:val="21"/>
        </w:rPr>
      </w:r>
      <w:r/>
    </w:p>
    <w:p>
      <w:pPr>
        <w:pStyle w:val="1088"/>
        <w:spacing w:line="360" w:lineRule="auto"/>
        <w:rPr>
          <w:rFonts w:hint="eastAsia"/>
          <w:szCs w:val="21"/>
        </w:rPr>
      </w:pPr>
      <w:r>
        <w:rPr>
          <w:rFonts w:hint="eastAsia"/>
          <w:szCs w:val="21"/>
        </w:rPr>
      </w:r>
      <w:r/>
    </w:p>
    <w:p>
      <w:pPr>
        <w:pStyle w:val="1088"/>
        <w:ind w:right="94" w:firstLine="4095"/>
        <w:jc w:val="right"/>
        <w:spacing w:line="360" w:lineRule="auto"/>
        <w:rPr>
          <w:b/>
          <w:szCs w:val="21"/>
          <w:u w:val="single"/>
        </w:rPr>
      </w:pPr>
      <w:r>
        <w:rPr>
          <w:rFonts w:hint="eastAsia" w:hAnsi="宋体"/>
          <w:szCs w:val="21"/>
        </w:rPr>
        <w:t xml:space="preserve">承诺公司</w:t>
      </w:r>
      <w:r>
        <w:rPr>
          <w:rFonts w:hAnsi="宋体"/>
          <w:szCs w:val="21"/>
        </w:rPr>
        <w:t xml:space="preserve">（盖章）：</w:t>
      </w:r>
      <w:r>
        <w:rPr>
          <w:rFonts w:hint="eastAsia" w:hAnsi="宋体"/>
          <w:szCs w:val="21"/>
          <w:u w:val="single"/>
        </w:rPr>
        <w:t xml:space="preserve"> </w:t>
      </w:r>
      <w:r>
        <w:rPr>
          <w:rFonts w:hAnsi="宋体"/>
          <w:szCs w:val="21"/>
          <w:u w:val="single"/>
        </w:rPr>
        <w:t xml:space="preserve">            </w:t>
      </w:r>
      <w:r>
        <w:rPr>
          <w:b/>
          <w:szCs w:val="21"/>
          <w:u w:val="single"/>
        </w:rPr>
        <w:t xml:space="preserve">           </w:t>
      </w:r>
      <w:r>
        <w:rPr>
          <w:b/>
          <w:szCs w:val="21"/>
          <w:u w:val="single"/>
        </w:rPr>
      </w:r>
      <w:r/>
    </w:p>
    <w:p>
      <w:pPr>
        <w:pStyle w:val="1088"/>
        <w:ind w:right="94" w:firstLine="4111"/>
        <w:jc w:val="right"/>
        <w:spacing w:line="360" w:lineRule="auto"/>
        <w:rPr>
          <w:b/>
          <w:szCs w:val="21"/>
          <w:u w:val="single"/>
        </w:rPr>
      </w:pPr>
      <w:r>
        <w:rPr>
          <w:b/>
          <w:szCs w:val="21"/>
          <w:u w:val="single"/>
        </w:rPr>
      </w:r>
      <w:r/>
    </w:p>
    <w:p>
      <w:pPr>
        <w:pStyle w:val="1088"/>
        <w:ind w:right="94"/>
        <w:jc w:val="left"/>
        <w:spacing w:line="360" w:lineRule="auto"/>
        <w:rPr>
          <w:rFonts w:hint="eastAsia"/>
          <w:szCs w:val="21"/>
        </w:rPr>
      </w:pPr>
      <w:r>
        <w:rPr>
          <w:b/>
          <w:szCs w:val="21"/>
          <w:u w:val="single"/>
        </w:rPr>
        <w:br w:type="page" w:clear="all"/>
      </w:r>
      <w:r>
        <w:rPr>
          <w:rFonts w:hint="eastAsia"/>
          <w:sz w:val="24"/>
        </w:rPr>
        <w:t xml:space="preserve">附件：                   </w:t>
      </w:r>
      <w:r>
        <w:rPr>
          <w:rFonts w:hint="eastAsia" w:ascii="微软雅黑" w:hAnsi="微软雅黑" w:eastAsia="微软雅黑"/>
          <w:b/>
          <w:sz w:val="40"/>
        </w:rPr>
        <w:t xml:space="preserve">（中标通知书）</w:t>
      </w:r>
      <w:r>
        <w:rPr>
          <w:rFonts w:hint="eastAsia"/>
          <w:szCs w:val="21"/>
        </w:rPr>
      </w:r>
      <w:r/>
    </w:p>
    <w:p>
      <w:pPr>
        <w:pStyle w:val="1088"/>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pPr>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8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8"/>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8"/>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8"/>
        <w:rPr>
          <w:rFonts w:ascii="宋体" w:hAnsi="宋体"/>
          <w:b/>
          <w:color w:val="000000"/>
          <w:spacing w:val="20"/>
          <w:szCs w:val="21"/>
          <w:highlight w:val="none"/>
        </w:rPr>
      </w:pPr>
      <w:r>
        <w:rPr>
          <w:rFonts w:ascii="宋体" w:hAnsi="宋体"/>
          <w:b/>
          <w:color w:val="000000"/>
          <w:spacing w:val="20"/>
          <w:szCs w:val="21"/>
          <w:highlight w:val="none"/>
        </w:rPr>
      </w:r>
      <w:r/>
    </w:p>
    <w:p>
      <w:pPr>
        <w:pStyle w:val="108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8"/>
        <w:jc w:val="center"/>
        <w:rPr>
          <w:rFonts w:ascii="宋体" w:hAnsi="宋体"/>
          <w:color w:val="000000"/>
          <w:szCs w:val="21"/>
          <w:highlight w:val="none"/>
        </w:rPr>
      </w:pPr>
      <w:r>
        <w:rPr>
          <w:rFonts w:ascii="宋体" w:hAnsi="宋体"/>
          <w:color w:val="000000"/>
          <w:szCs w:val="21"/>
          <w:highlight w:val="none"/>
        </w:rPr>
      </w:r>
      <w:r/>
    </w:p>
    <w:p>
      <w:pPr>
        <w:pStyle w:val="108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8"/>
        <w:jc w:val="center"/>
        <w:rPr>
          <w:rFonts w:ascii="宋体" w:hAnsi="宋体"/>
          <w:b/>
          <w:color w:val="000000"/>
          <w:sz w:val="32"/>
          <w:szCs w:val="32"/>
          <w:highlight w:val="none"/>
        </w:rPr>
      </w:pPr>
      <w:r>
        <w:rPr>
          <w:rFonts w:ascii="宋体" w:hAnsi="宋体"/>
          <w:b/>
          <w:color w:val="000000"/>
          <w:sz w:val="32"/>
          <w:szCs w:val="32"/>
          <w:highlight w:val="none"/>
        </w:rPr>
      </w:r>
      <w:r/>
    </w:p>
    <w:p>
      <w:pPr>
        <w:pStyle w:val="108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8"/>
        <w:rPr>
          <w:rFonts w:ascii="宋体" w:hAnsi="宋体"/>
          <w:b/>
          <w:color w:val="000000"/>
          <w:highlight w:val="none"/>
        </w:rPr>
      </w:pPr>
      <w:r>
        <w:rPr>
          <w:rFonts w:ascii="宋体" w:hAnsi="宋体"/>
          <w:b/>
          <w:color w:val="000000"/>
          <w:highlight w:val="none"/>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9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2"/>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2"/>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8"/>
        <w:jc w:val="left"/>
        <w:widowControl/>
        <w:rPr>
          <w:rFonts w:ascii="宋体" w:hAnsi="宋体"/>
          <w:color w:val="000000"/>
          <w:sz w:val="24"/>
          <w:highlight w:val="none"/>
        </w:rPr>
      </w:pPr>
      <w:r>
        <w:rPr>
          <w:rFonts w:ascii="宋体" w:hAnsi="宋体"/>
          <w:color w:val="000000"/>
          <w:sz w:val="24"/>
          <w:highlight w:val="none"/>
        </w:rPr>
      </w:r>
      <w:r/>
    </w:p>
    <w:p>
      <w:pPr>
        <w:pStyle w:val="1088"/>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8"/>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150774761"/>
      <w:r/>
      <w:bookmarkStart w:id="836" w:name="_Toc520356217"/>
      <w:r/>
      <w:bookmarkStart w:id="837" w:name="_Toc195842921"/>
      <w:r/>
      <w:bookmarkStart w:id="838" w:name="_Ref467988698"/>
      <w:r/>
      <w:bookmarkStart w:id="839" w:name="_Toc150480794"/>
      <w:r/>
      <w:bookmarkStart w:id="840" w:name="_Toc226337252"/>
      <w:r/>
      <w:bookmarkStart w:id="841" w:name="_Toc480942349"/>
      <w:r/>
      <w:bookmarkStart w:id="842" w:name="_Toc226309800"/>
      <w:r/>
      <w:bookmarkStart w:id="843" w:name="_Toc226965746"/>
      <w:r/>
      <w:bookmarkStart w:id="844" w:name="_Toc226965829"/>
      <w:r/>
      <w:bookmarkStart w:id="845" w:name="_Toc127151556"/>
      <w:r/>
      <w:bookmarkStart w:id="846" w:name="_Toc142311058"/>
      <w:r>
        <w:rPr>
          <w:rFonts w:hint="eastAsia" w:ascii="宋体" w:hAnsi="宋体"/>
          <w:b/>
          <w:color w:val="000000"/>
          <w:sz w:val="32"/>
          <w:szCs w:val="32"/>
          <w:highlight w:val="none"/>
        </w:rPr>
      </w:r>
      <w:r/>
    </w:p>
    <w:p>
      <w:pPr>
        <w:pStyle w:val="108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8"/>
        <w:jc w:val="left"/>
        <w:widowControl/>
        <w:rPr>
          <w:rFonts w:hint="eastAsia" w:ascii="宋体" w:hAnsi="宋体"/>
          <w:b/>
          <w:color w:val="000000"/>
          <w:sz w:val="24"/>
          <w:highlight w:val="none"/>
        </w:rPr>
      </w:pPr>
      <w:r/>
      <w:bookmarkStart w:id="847" w:name="_Hlt520355938"/>
      <w:r/>
      <w:bookmarkEnd w:id="847"/>
      <w:r/>
      <w:bookmarkStart w:id="848" w:name="_Hlt520356243"/>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8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ascii="宋体" w:hAnsi="宋体"/>
          <w:color w:val="000000"/>
          <w:sz w:val="24"/>
          <w:highlight w:val="none"/>
        </w:rPr>
      </w:r>
      <w:r/>
    </w:p>
    <w:p>
      <w:pPr>
        <w:pStyle w:val="111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4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w:t>
      </w:r>
      <w:r>
        <w:rPr>
          <w:rFonts w:hint="eastAsia" w:ascii="宋体" w:hAnsi="宋体" w:cs="宋体"/>
          <w:color w:val="000000"/>
          <w:sz w:val="24"/>
          <w:highlight w:val="none"/>
        </w:rPr>
        <w:t xml:space="preserve">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6"/>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8"/>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9"/>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9"/>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40"/>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8"/>
        <w:ind w:firstLine="640"/>
        <w:rPr>
          <w:rFonts w:ascii="宋体" w:hAnsi="宋体"/>
          <w:color w:val="000000"/>
          <w:highlight w:val="none"/>
        </w:rPr>
      </w:pPr>
      <w:r>
        <w:rPr>
          <w:rFonts w:ascii="宋体" w:hAnsi="宋体"/>
          <w:color w:val="000000"/>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bookmarkStart w:id="849" w:name="_Hlt520271212"/>
      <w:r/>
      <w:bookmarkEnd w:id="849"/>
      <w:r/>
      <w:bookmarkStart w:id="850" w:name="_Hlt520355504"/>
      <w:r/>
      <w:bookmarkEnd w:id="850"/>
      <w:r/>
      <w:bookmarkStart w:id="851" w:name="_Hlt520343000"/>
      <w:r/>
      <w:bookmarkEnd w:id="851"/>
      <w:r/>
      <w:bookmarkStart w:id="852" w:name="_Hlt520273711"/>
      <w:r/>
      <w:bookmarkEnd w:id="852"/>
      <w:r/>
      <w:bookmarkStart w:id="853" w:name="_Hlt520350918"/>
      <w:r/>
      <w:bookmarkEnd w:id="853"/>
      <w:r/>
      <w:bookmarkStart w:id="854" w:name="_Hlt520274121"/>
      <w:r/>
      <w:bookmarkEnd w:id="854"/>
      <w:r/>
      <w:bookmarkStart w:id="855" w:name="_Hlt520274393"/>
      <w:r/>
      <w:bookmarkEnd w:id="855"/>
      <w:r/>
      <w:bookmarkStart w:id="856" w:name="_Hlt520343392"/>
      <w:r/>
      <w:bookmarkEnd w:id="856"/>
      <w:r/>
      <w:bookmarkStart w:id="857" w:name="_Hlt520274065"/>
      <w:r/>
      <w:bookmarkEnd w:id="857"/>
      <w:r/>
      <w:bookmarkStart w:id="858" w:name="_Hlt520274407"/>
      <w:r/>
      <w:bookmarkEnd w:id="858"/>
      <w:r/>
      <w:bookmarkStart w:id="859" w:name="_Toc305158899"/>
      <w:r/>
      <w:bookmarkStart w:id="860" w:name="_Toc150480795"/>
      <w:r/>
      <w:bookmarkStart w:id="861" w:name="_Ref467988705"/>
      <w:r/>
      <w:bookmarkStart w:id="862" w:name="_Toc265228395"/>
      <w:r/>
      <w:bookmarkStart w:id="863" w:name="_Toc264969247"/>
      <w:r/>
      <w:bookmarkStart w:id="864" w:name="_Toc226965747"/>
      <w:r/>
      <w:bookmarkStart w:id="865" w:name="_Toc520356218"/>
      <w:r/>
      <w:bookmarkStart w:id="866" w:name="_Toc480942350"/>
      <w:r/>
      <w:bookmarkStart w:id="867" w:name="_Toc127151557"/>
      <w:r/>
      <w:bookmarkStart w:id="868" w:name="_Toc195842922"/>
      <w:r/>
      <w:bookmarkStart w:id="869" w:name="_Toc305158825"/>
      <w:r/>
      <w:bookmarkStart w:id="870" w:name="_Toc226309801"/>
      <w:r/>
      <w:bookmarkStart w:id="871" w:name="_Toc226965830"/>
      <w:r/>
      <w:bookmarkStart w:id="872" w:name="_Toc142311059"/>
      <w:r/>
      <w:bookmarkStart w:id="873" w:name="_Toc226337253"/>
      <w:r/>
      <w:bookmarkStart w:id="874"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jc w:val="center"/>
        <w:spacing w:line="360" w:lineRule="exact"/>
        <w:rPr>
          <w:rFonts w:ascii="宋体" w:hAnsi="宋体"/>
          <w:b/>
          <w:color w:val="000000"/>
          <w:sz w:val="36"/>
          <w:szCs w:val="36"/>
          <w:highlight w:val="none"/>
        </w:rPr>
      </w:pPr>
      <w:r/>
      <w:bookmarkStart w:id="875" w:name="_Toc305158826"/>
      <w:r/>
      <w:bookmarkStart w:id="876" w:name="_Toc305158900"/>
      <w:r/>
      <w:bookmarkStart w:id="877" w:name="_Toc164608672"/>
      <w:r/>
      <w:bookmarkStart w:id="878" w:name="_Toc226965831"/>
      <w:r/>
      <w:bookmarkStart w:id="879" w:name="_Toc265228396"/>
      <w:r/>
      <w:bookmarkStart w:id="880" w:name="_Toc226337254"/>
      <w:r/>
      <w:bookmarkStart w:id="881" w:name="_Toc226309802"/>
      <w:r/>
      <w:bookmarkStart w:id="882" w:name="_Toc195842923"/>
      <w:r/>
      <w:bookmarkStart w:id="883" w:name="_Toc226965748"/>
      <w:r/>
      <w:bookmarkStart w:id="884" w:name="_Toc264969248"/>
      <w:r/>
      <w:bookmarkStart w:id="885" w:name="_Toc164608827"/>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8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8"/>
        <w:jc w:val="left"/>
        <w:rPr>
          <w:rFonts w:ascii="宋体" w:hAnsi="宋体"/>
          <w:color w:val="000000"/>
          <w:sz w:val="24"/>
          <w:highlight w:val="none"/>
        </w:rPr>
      </w:pPr>
      <w:r>
        <w:rPr>
          <w:rFonts w:ascii="宋体" w:hAnsi="宋体"/>
          <w:color w:val="000000"/>
          <w:sz w:val="24"/>
          <w:highlight w:val="none"/>
        </w:rPr>
      </w:r>
      <w:r/>
    </w:p>
    <w:p>
      <w:pPr>
        <w:pStyle w:val="108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bookmarkStart w:id="886" w:name="_Toc265228397"/>
      <w:r/>
      <w:bookmarkStart w:id="887" w:name="_Toc142311060"/>
      <w:r/>
      <w:bookmarkStart w:id="888" w:name="_Toc226337255"/>
      <w:r/>
      <w:bookmarkStart w:id="889" w:name="_Toc195842924"/>
      <w:r/>
      <w:bookmarkStart w:id="890" w:name="_Toc226965832"/>
      <w:r/>
      <w:bookmarkStart w:id="891" w:name="_Toc305158827"/>
      <w:r/>
      <w:bookmarkStart w:id="892" w:name="_Toc305158901"/>
      <w:r/>
      <w:bookmarkStart w:id="893" w:name="_Toc150480796"/>
      <w:r/>
      <w:bookmarkStart w:id="894" w:name="_Toc127151558"/>
      <w:r/>
      <w:bookmarkStart w:id="895" w:name="_Toc150774763"/>
      <w:r/>
      <w:bookmarkStart w:id="896" w:name="_Toc226309803"/>
      <w:r/>
      <w:bookmarkStart w:id="897" w:name="_Toc264969249"/>
      <w:r/>
      <w:bookmarkStart w:id="898" w:name="_Toc2269657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8"/>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8"/>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8"/>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8"/>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8"/>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8"/>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spacing w:line="360" w:lineRule="auto"/>
        <w:rPr>
          <w:rFonts w:ascii="宋体" w:hAnsi="宋体"/>
          <w:b/>
          <w:color w:val="000000"/>
          <w:sz w:val="24"/>
          <w:szCs w:val="20"/>
          <w:highlight w:val="none"/>
        </w:rPr>
        <w:outlineLvl w:val="2"/>
      </w:pPr>
      <w:r/>
      <w:bookmarkStart w:id="899" w:name="_Toc226337258"/>
      <w:r/>
      <w:bookmarkStart w:id="900" w:name="_Toc265228400"/>
      <w:r/>
      <w:bookmarkStart w:id="901" w:name="_Toc127151562"/>
      <w:r/>
      <w:bookmarkStart w:id="902" w:name="_Toc264969252"/>
      <w:r/>
      <w:bookmarkStart w:id="903" w:name="_Toc226309806"/>
      <w:r/>
      <w:bookmarkStart w:id="904" w:name="_Toc305158830"/>
      <w:r/>
      <w:bookmarkStart w:id="905" w:name="_Toc226965835"/>
      <w:r/>
      <w:bookmarkStart w:id="906" w:name="_Toc226965752"/>
      <w:r/>
      <w:bookmarkStart w:id="907" w:name="_Toc305158904"/>
      <w:r/>
      <w:bookmarkStart w:id="908" w:name="_Toc150480798"/>
      <w:r/>
      <w:bookmarkStart w:id="909" w:name="_Toc195842927"/>
      <w:r/>
      <w:bookmarkStart w:id="910" w:name="_Toc142311062"/>
      <w:r/>
      <w:bookmarkStart w:id="911" w:name="_Toc150774765"/>
      <w:r/>
      <w:bookmarkStart w:id="912" w:name="_Toc150774764"/>
      <w:r/>
      <w:bookmarkStart w:id="913" w:name="_Toc226965834"/>
      <w:r/>
      <w:bookmarkStart w:id="914" w:name="_Toc305158829"/>
      <w:r/>
      <w:bookmarkStart w:id="915" w:name="_Toc265228399"/>
      <w:r/>
      <w:bookmarkStart w:id="916" w:name="_Toc226309805"/>
      <w:r/>
      <w:bookmarkStart w:id="917" w:name="_Toc150480797"/>
      <w:r/>
      <w:bookmarkStart w:id="918" w:name="_Toc195842926"/>
      <w:r/>
      <w:bookmarkStart w:id="919" w:name="_Toc264969251"/>
      <w:r/>
      <w:bookmarkStart w:id="920" w:name="_Toc142311061"/>
      <w:r/>
      <w:bookmarkStart w:id="921" w:name="_Toc226965751"/>
      <w:r/>
      <w:bookmarkStart w:id="922" w:name="_Toc305158903"/>
      <w:r/>
      <w:bookmarkStart w:id="923" w:name="_Toc226337257"/>
      <w:r/>
      <w:bookmarkStart w:id="924" w:name="_Toc12715156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bl>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bl>
    <w:p>
      <w:pPr>
        <w:pStyle w:val="108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rPr>
          <w:rFonts w:ascii="宋体" w:hAnsi="宋体"/>
          <w:color w:val="000000"/>
          <w:sz w:val="24"/>
          <w:szCs w:val="20"/>
          <w:highlight w:val="none"/>
        </w:rPr>
      </w:pP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3"/>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8"/>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8"/>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8"/>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8"/>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8"/>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8"/>
        <w:numPr>
          <w:ilvl w:val="0"/>
          <w:numId w:val="23"/>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8"/>
        <w:numPr>
          <w:ilvl w:val="0"/>
          <w:numId w:val="23"/>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8"/>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8"/>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8"/>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8"/>
        <w:ind w:firstLine="420"/>
        <w:jc w:val="left"/>
        <w:rPr>
          <w:rFonts w:ascii="宋体" w:hAnsi="宋体"/>
          <w:color w:val="000000"/>
          <w:sz w:val="24"/>
          <w:highlight w:val="none"/>
        </w:rPr>
      </w:pPr>
      <w:r>
        <w:rPr>
          <w:rFonts w:ascii="宋体" w:hAnsi="宋体"/>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r>
      <w:r/>
    </w:p>
    <w:p>
      <w:pPr>
        <w:pStyle w:val="1088"/>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8"/>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8"/>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8"/>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8"/>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w:t>
      </w:r>
      <w:r>
        <w:rPr>
          <w:rFonts w:hint="eastAsia" w:ascii="宋体" w:hAnsi="宋体"/>
          <w:b/>
          <w:color w:val="000000"/>
          <w:sz w:val="24"/>
          <w:szCs w:val="20"/>
          <w:highlight w:val="none"/>
        </w:rPr>
        <w:t xml:space="preserve">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Style w:val="1162"/>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2"/>
          <w:rFonts w:hint="eastAsia" w:ascii="方正魏碑_GBK" w:hAnsi="方正魏碑_GBK" w:eastAsia="方正魏碑_GBK" w:cs="方正魏碑_GBK"/>
          <w:color w:val="000000"/>
          <w:highlight w:val="none"/>
          <w:u w:val="single"/>
          <w:shd w:val="clear" w:color="auto" w:fill="ffffff"/>
        </w:rPr>
        <w:t xml:space="preserve">（厂名）</w:t>
      </w:r>
      <w:r>
        <w:rPr>
          <w:rStyle w:val="1162"/>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2"/>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highlight w:val="none"/>
          <w:u w:val="single"/>
          <w:shd w:val="clear" w:color="auto" w:fill="ffffff"/>
        </w:rPr>
        <w:t xml:space="preserve">（规定</w:t>
      </w:r>
      <w:r>
        <w:rPr>
          <w:rStyle w:val="1162"/>
          <w:rFonts w:ascii="方正魏碑_GBK" w:hAnsi="方正魏碑_GBK" w:eastAsia="方正魏碑_GBK" w:cs="方正魏碑_GBK"/>
          <w:color w:val="000000"/>
          <w:highlight w:val="none"/>
          <w:u w:val="single"/>
          <w:shd w:val="clear" w:color="auto" w:fill="ffffff"/>
        </w:rPr>
        <w:t xml:space="preserve">比例</w:t>
      </w:r>
      <w:r>
        <w:rPr>
          <w:rStyle w:val="1162"/>
          <w:rFonts w:hint="eastAsia" w:ascii="方正魏碑_GBK" w:hAnsi="方正魏碑_GBK" w:eastAsia="方正魏碑_GBK" w:cs="方正魏碑_GBK"/>
          <w:color w:val="000000"/>
          <w:highlight w:val="none"/>
          <w:u w:val="single"/>
          <w:shd w:val="clear" w:color="auto" w:fill="ffffff"/>
        </w:rPr>
        <w:t xml:space="preserve">）</w:t>
      </w:r>
      <w:r>
        <w:rPr>
          <w:rStyle w:val="1162"/>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w:t>
      </w:r>
      <w:r>
        <w:rPr>
          <w:rStyle w:val="1162"/>
          <w:rFonts w:ascii="方正魏碑_GBK" w:hAnsi="方正魏碑_GBK" w:eastAsia="方正魏碑_GBK" w:cs="方正魏碑_GBK"/>
          <w:color w:val="000000"/>
          <w:highlight w:val="none"/>
          <w:u w:val="single"/>
          <w:shd w:val="clear" w:color="auto" w:fill="ffffff"/>
        </w:rPr>
        <w:t xml:space="preserve">组件</w:t>
      </w:r>
      <w:r>
        <w:rPr>
          <w:rStyle w:val="1162"/>
          <w:rFonts w:hint="eastAsia" w:ascii="方正魏碑_GBK" w:hAnsi="方正魏碑_GBK" w:eastAsia="方正魏碑_GBK" w:cs="方正魏碑_GBK"/>
          <w:color w:val="000000"/>
          <w:highlight w:val="none"/>
          <w:u w:val="single"/>
          <w:shd w:val="clear" w:color="auto" w:fill="ffffff"/>
        </w:rPr>
        <w:t xml:space="preserve">）</w:t>
      </w:r>
      <w:r>
        <w:rPr>
          <w:rStyle w:val="1162"/>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（关键工序）</w:t>
      </w:r>
      <w:r>
        <w:rPr>
          <w:rStyle w:val="1162"/>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2"/>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highlight w:val="none"/>
          <w:u w:val="single"/>
          <w:shd w:val="clear" w:color="auto" w:fill="ffffff"/>
        </w:rPr>
        <w:t xml:space="preserve">（规定</w:t>
      </w:r>
      <w:r>
        <w:rPr>
          <w:rStyle w:val="1162"/>
          <w:rFonts w:ascii="方正魏碑_GBK" w:hAnsi="方正魏碑_GBK" w:eastAsia="方正魏碑_GBK" w:cs="方正魏碑_GBK"/>
          <w:color w:val="000000"/>
          <w:highlight w:val="none"/>
          <w:u w:val="single"/>
          <w:shd w:val="clear" w:color="auto" w:fill="ffffff"/>
        </w:rPr>
        <w:t xml:space="preserve">比例</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w:t>
      </w:r>
      <w:r>
        <w:rPr>
          <w:rStyle w:val="1162"/>
          <w:rFonts w:ascii="方正魏碑_GBK" w:hAnsi="方正魏碑_GBK" w:eastAsia="方正魏碑_GBK" w:cs="方正魏碑_GBK"/>
          <w:color w:val="000000"/>
          <w:highlight w:val="none"/>
          <w:u w:val="single"/>
          <w:shd w:val="clear" w:color="auto" w:fill="ffffff"/>
        </w:rPr>
        <w:t xml:space="preserve">组件</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2"/>
          <w:rFonts w:hint="eastAsia" w:ascii="方正魏碑_GBK" w:hAnsi="方正魏碑_GBK" w:eastAsia="方正魏碑_GBK" w:cs="方正魏碑_GBK"/>
          <w:color w:val="000000"/>
          <w:highlight w:val="none"/>
          <w:u w:val="single"/>
          <w:shd w:val="clear" w:color="auto" w:fill="ffffff"/>
        </w:rPr>
        <w:t xml:space="preserve">（产品名称</w:t>
      </w:r>
      <w:r>
        <w:rPr>
          <w:rStyle w:val="1162"/>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9"/>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9"/>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8"/>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8"/>
        <w:spacing w:line="360" w:lineRule="auto"/>
        <w:rPr>
          <w:rFonts w:ascii="宋体" w:hAnsi="宋体"/>
          <w:color w:val="000000"/>
          <w:sz w:val="22"/>
          <w:highlight w:val="none"/>
        </w:rPr>
      </w:pPr>
      <w:r>
        <w:rPr>
          <w:rFonts w:ascii="宋体" w:hAnsi="宋体"/>
          <w:color w:val="000000"/>
          <w:sz w:val="22"/>
          <w:highlight w:val="none"/>
        </w:rPr>
      </w:r>
      <w:r/>
    </w:p>
    <w:p>
      <w:pPr>
        <w:pStyle w:val="108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839"/>
      <w:r/>
      <w:bookmarkStart w:id="926"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8"/>
        <w:rPr>
          <w:rFonts w:ascii="宋体" w:hAnsi="宋体"/>
          <w:color w:val="000000"/>
          <w:sz w:val="24"/>
          <w:szCs w:val="20"/>
          <w:highlight w:val="none"/>
        </w:rPr>
      </w:pPr>
      <w:r>
        <w:rPr>
          <w:rFonts w:ascii="宋体" w:hAnsi="宋体"/>
          <w:color w:val="000000"/>
          <w:sz w:val="24"/>
          <w:szCs w:val="20"/>
          <w:highlight w:val="none"/>
        </w:rPr>
      </w:r>
      <w:r/>
    </w:p>
    <w:p>
      <w:pPr>
        <w:pStyle w:val="108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8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8"/>
        <w:spacing w:line="360" w:lineRule="auto"/>
        <w:rPr>
          <w:rFonts w:ascii="宋体" w:hAnsi="宋体" w:cs="宋体"/>
          <w:color w:val="000000"/>
          <w:sz w:val="24"/>
          <w:highlight w:val="none"/>
        </w:rPr>
      </w:pPr>
      <w:r>
        <w:rPr>
          <w:rFonts w:ascii="宋体" w:hAnsi="宋体" w:cs="宋体"/>
          <w:color w:val="000000"/>
          <w:sz w:val="24"/>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8"/>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tabs>
        <w:tab w:val="center" w:pos="4153" w:leader="none"/>
        <w:tab w:val="right" w:pos="8306" w:leader="none"/>
      </w:tabs>
      <w:rPr>
        <w:rStyle w:val="1160"/>
      </w:rPr>
      <w:framePr w:wrap="around" w:vAnchor="text" w:hAnchor="margin" w:y="1"/>
    </w:pPr>
    <w:r>
      <w:rPr>
        <w:rStyle w:val="1160"/>
      </w:rPr>
    </w:r>
    <w:r/>
  </w:p>
  <w:p>
    <w:pPr>
      <w:pStyle w:val="113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center" w:y="1"/>
    </w:pPr>
    <w:r>
      <w:fldChar w:fldCharType="begin"/>
    </w:r>
    <w:r>
      <w:rPr>
        <w:rStyle w:val="1160"/>
      </w:rPr>
      <w:instrText xml:space="preserve">PAGE  </w:instrText>
    </w:r>
    <w:r>
      <w:fldChar w:fldCharType="end"/>
    </w:r>
    <w:r>
      <w:rPr>
        <w:rStyle w:val="1160"/>
      </w:rPr>
    </w:r>
    <w:r/>
  </w:p>
  <w:p>
    <w:pPr>
      <w:pStyle w:val="113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r>
    <w:r/>
  </w:p>
  <w:p>
    <w:pPr>
      <w:pStyle w:val="113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p>
    <w:pPr>
      <w:pStyle w:val="10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p>
    <w:pPr>
      <w:pStyle w:val="108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88"/>
        <w:ind w:left="4941" w:hanging="1140"/>
        <w:tabs>
          <w:tab w:val="num" w:pos="4941" w:leader="none"/>
        </w:tabs>
      </w:pPr>
      <w:rPr>
        <w:rFonts w:hint="eastAsia"/>
      </w:rPr>
    </w:lvl>
    <w:lvl w:ilvl="1">
      <w:start w:val="1"/>
      <w:numFmt w:val="lowerLetter"/>
      <w:isLgl w:val="false"/>
      <w:suff w:val="tab"/>
      <w:lvlText w:val="%2)"/>
      <w:lvlJc w:val="left"/>
      <w:pPr>
        <w:pStyle w:val="1088"/>
        <w:ind w:left="4641" w:hanging="420"/>
        <w:tabs>
          <w:tab w:val="num" w:pos="4641" w:leader="none"/>
        </w:tabs>
      </w:pPr>
    </w:lvl>
    <w:lvl w:ilvl="2">
      <w:start w:val="1"/>
      <w:numFmt w:val="lowerRoman"/>
      <w:isLgl w:val="false"/>
      <w:suff w:val="tab"/>
      <w:lvlText w:val="%3."/>
      <w:lvlJc w:val="right"/>
      <w:pPr>
        <w:pStyle w:val="1088"/>
        <w:ind w:left="5061" w:hanging="420"/>
        <w:tabs>
          <w:tab w:val="num" w:pos="5061" w:leader="none"/>
        </w:tabs>
      </w:pPr>
    </w:lvl>
    <w:lvl w:ilvl="3">
      <w:start w:val="1"/>
      <w:numFmt w:val="decimal"/>
      <w:isLgl w:val="false"/>
      <w:suff w:val="tab"/>
      <w:lvlText w:val="%4."/>
      <w:lvlJc w:val="left"/>
      <w:pPr>
        <w:pStyle w:val="1088"/>
        <w:ind w:left="5481" w:hanging="420"/>
        <w:tabs>
          <w:tab w:val="num" w:pos="5481" w:leader="none"/>
        </w:tabs>
      </w:pPr>
    </w:lvl>
    <w:lvl w:ilvl="4">
      <w:start w:val="1"/>
      <w:numFmt w:val="lowerLetter"/>
      <w:isLgl w:val="false"/>
      <w:suff w:val="tab"/>
      <w:lvlText w:val="%5)"/>
      <w:lvlJc w:val="left"/>
      <w:pPr>
        <w:pStyle w:val="1088"/>
        <w:ind w:left="5901" w:hanging="420"/>
        <w:tabs>
          <w:tab w:val="num" w:pos="5901" w:leader="none"/>
        </w:tabs>
      </w:pPr>
    </w:lvl>
    <w:lvl w:ilvl="5">
      <w:start w:val="1"/>
      <w:numFmt w:val="lowerRoman"/>
      <w:isLgl w:val="false"/>
      <w:suff w:val="tab"/>
      <w:lvlText w:val="%6."/>
      <w:lvlJc w:val="right"/>
      <w:pPr>
        <w:pStyle w:val="1088"/>
        <w:ind w:left="6321" w:hanging="420"/>
        <w:tabs>
          <w:tab w:val="num" w:pos="6321" w:leader="none"/>
        </w:tabs>
      </w:pPr>
    </w:lvl>
    <w:lvl w:ilvl="6">
      <w:start w:val="1"/>
      <w:numFmt w:val="decimal"/>
      <w:isLgl w:val="false"/>
      <w:suff w:val="tab"/>
      <w:lvlText w:val="%7."/>
      <w:lvlJc w:val="left"/>
      <w:pPr>
        <w:pStyle w:val="1088"/>
        <w:ind w:left="6741" w:hanging="420"/>
        <w:tabs>
          <w:tab w:val="num" w:pos="6741" w:leader="none"/>
        </w:tabs>
      </w:pPr>
    </w:lvl>
    <w:lvl w:ilvl="7">
      <w:start w:val="1"/>
      <w:numFmt w:val="lowerLetter"/>
      <w:isLgl w:val="false"/>
      <w:suff w:val="tab"/>
      <w:lvlText w:val="%8)"/>
      <w:lvlJc w:val="left"/>
      <w:pPr>
        <w:pStyle w:val="1088"/>
        <w:ind w:left="7161" w:hanging="420"/>
        <w:tabs>
          <w:tab w:val="num" w:pos="7161" w:leader="none"/>
        </w:tabs>
      </w:pPr>
    </w:lvl>
    <w:lvl w:ilvl="8">
      <w:start w:val="1"/>
      <w:numFmt w:val="lowerRoman"/>
      <w:isLgl w:val="false"/>
      <w:suff w:val="tab"/>
      <w:lvlText w:val="%9."/>
      <w:lvlJc w:val="right"/>
      <w:pPr>
        <w:pStyle w:val="1088"/>
        <w:ind w:left="7581" w:hanging="420"/>
        <w:tabs>
          <w:tab w:val="num" w:pos="7581" w:leader="none"/>
        </w:tabs>
      </w:pPr>
    </w:lvl>
  </w:abstractNum>
  <w:abstractNum w:abstractNumId="2">
    <w:multiLevelType w:val="hybridMultilevel"/>
    <w:lvl w:ilvl="0">
      <w:start w:val="1"/>
      <w:numFmt w:val="decimal"/>
      <w:pStyle w:val="1196"/>
      <w:isLgl w:val="false"/>
      <w:suff w:val="tab"/>
      <w:lvlText w:val="%1."/>
      <w:lvlJc w:val="left"/>
      <w:pPr>
        <w:pStyle w:val="1088"/>
        <w:ind w:left="420" w:hanging="420"/>
      </w:pPr>
    </w:lvl>
    <w:lvl w:ilvl="1">
      <w:start w:val="1"/>
      <w:numFmt w:val="decimal"/>
      <w:isLgl w:val="false"/>
      <w:suff w:val="tab"/>
      <w:lvlText w:val="（%2）"/>
      <w:lvlJc w:val="left"/>
      <w:pPr>
        <w:pStyle w:val="1088"/>
        <w:ind w:left="1140" w:hanging="720"/>
        <w:tabs>
          <w:tab w:val="num" w:pos="1140" w:leader="none"/>
        </w:tabs>
      </w:pPr>
      <w:rPr>
        <w:rFonts w:hint="eastAsia"/>
      </w:r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3">
    <w:multiLevelType w:val="hybridMultilevel"/>
    <w:lvl w:ilvl="0">
      <w:start w:val="1"/>
      <w:numFmt w:val="lowerLetter"/>
      <w:pStyle w:val="1271"/>
      <w:isLgl w:val="false"/>
      <w:suff w:val="tab"/>
      <w:lvlText w:val="%1)"/>
      <w:lvlJc w:val="left"/>
      <w:pPr>
        <w:pStyle w:val="1088"/>
        <w:ind w:left="902" w:hanging="420"/>
      </w:pPr>
      <w:rPr>
        <w:color w:val="000000"/>
      </w:rPr>
    </w:lvl>
    <w:lvl w:ilvl="1">
      <w:start w:val="1"/>
      <w:numFmt w:val="lowerLetter"/>
      <w:isLgl w:val="false"/>
      <w:suff w:val="tab"/>
      <w:lvlText w:val="%2)"/>
      <w:lvlJc w:val="left"/>
      <w:pPr>
        <w:pStyle w:val="1088"/>
        <w:ind w:left="1322" w:hanging="420"/>
      </w:pPr>
    </w:lvl>
    <w:lvl w:ilvl="2">
      <w:start w:val="1"/>
      <w:numFmt w:val="lowerRoman"/>
      <w:isLgl w:val="false"/>
      <w:suff w:val="tab"/>
      <w:lvlText w:val="%3."/>
      <w:lvlJc w:val="right"/>
      <w:pPr>
        <w:pStyle w:val="1088"/>
        <w:ind w:left="1742" w:hanging="420"/>
      </w:pPr>
    </w:lvl>
    <w:lvl w:ilvl="3">
      <w:start w:val="1"/>
      <w:numFmt w:val="decimal"/>
      <w:isLgl w:val="false"/>
      <w:suff w:val="tab"/>
      <w:lvlText w:val="%4."/>
      <w:lvlJc w:val="left"/>
      <w:pPr>
        <w:pStyle w:val="1088"/>
        <w:ind w:left="2162" w:hanging="420"/>
      </w:pPr>
    </w:lvl>
    <w:lvl w:ilvl="4">
      <w:start w:val="1"/>
      <w:numFmt w:val="lowerLetter"/>
      <w:isLgl w:val="false"/>
      <w:suff w:val="tab"/>
      <w:lvlText w:val="%5)"/>
      <w:lvlJc w:val="left"/>
      <w:pPr>
        <w:pStyle w:val="1088"/>
        <w:ind w:left="2582" w:hanging="420"/>
      </w:pPr>
    </w:lvl>
    <w:lvl w:ilvl="5">
      <w:start w:val="1"/>
      <w:numFmt w:val="lowerRoman"/>
      <w:isLgl w:val="false"/>
      <w:suff w:val="tab"/>
      <w:lvlText w:val="%6."/>
      <w:lvlJc w:val="right"/>
      <w:pPr>
        <w:pStyle w:val="1088"/>
        <w:ind w:left="3002" w:hanging="420"/>
      </w:pPr>
    </w:lvl>
    <w:lvl w:ilvl="6">
      <w:start w:val="1"/>
      <w:numFmt w:val="decimal"/>
      <w:isLgl w:val="false"/>
      <w:suff w:val="tab"/>
      <w:lvlText w:val="%7."/>
      <w:lvlJc w:val="left"/>
      <w:pPr>
        <w:pStyle w:val="1088"/>
        <w:ind w:left="3422" w:hanging="420"/>
      </w:pPr>
    </w:lvl>
    <w:lvl w:ilvl="7">
      <w:start w:val="1"/>
      <w:numFmt w:val="lowerLetter"/>
      <w:isLgl w:val="false"/>
      <w:suff w:val="tab"/>
      <w:lvlText w:val="%8)"/>
      <w:lvlJc w:val="left"/>
      <w:pPr>
        <w:pStyle w:val="1088"/>
        <w:ind w:left="3842" w:hanging="420"/>
      </w:pPr>
    </w:lvl>
    <w:lvl w:ilvl="8">
      <w:start w:val="1"/>
      <w:numFmt w:val="lowerRoman"/>
      <w:isLgl w:val="false"/>
      <w:suff w:val="tab"/>
      <w:lvlText w:val="%9."/>
      <w:lvlJc w:val="right"/>
      <w:pPr>
        <w:pStyle w:val="1088"/>
        <w:ind w:left="4262" w:hanging="420"/>
      </w:pPr>
    </w:lvl>
  </w:abstractNum>
  <w:abstractNum w:abstractNumId="4">
    <w:multiLevelType w:val="hybridMultilevel"/>
    <w:lvl w:ilvl="0">
      <w:start w:val="1"/>
      <w:numFmt w:val="decimal"/>
      <w:pStyle w:val="1241"/>
      <w:isLgl w:val="false"/>
      <w:suff w:val="tab"/>
      <w:lvlText w:val="%1."/>
      <w:lvlJc w:val="left"/>
      <w:pPr>
        <w:pStyle w:val="10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90"/>
      <w:isLgl w:val="false"/>
      <w:suff w:val="nothing"/>
      <w:lvlText w:val="%1　"/>
      <w:lvlJc w:val="left"/>
      <w:pPr>
        <w:pStyle w:val="10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8"/>
        <w:ind w:left="-25" w:firstLine="0"/>
      </w:pPr>
      <w:rPr>
        <w:rFonts w:ascii="Times New Roman" w:hAnsi="Times New Roman" w:eastAsia="黑体"/>
        <w:b/>
        <w:i w:val="0"/>
        <w:sz w:val="28"/>
      </w:rPr>
    </w:lvl>
    <w:lvl w:ilvl="3">
      <w:start w:val="1"/>
      <w:numFmt w:val="decimal"/>
      <w:pStyle w:val="1226"/>
      <w:isLgl w:val="false"/>
      <w:suff w:val="nothing"/>
      <w:lvlText w:val="%1.%2.%3.%4　"/>
      <w:lvlJc w:val="left"/>
      <w:pPr>
        <w:pStyle w:val="10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8"/>
        <w:ind w:left="-25" w:firstLine="0"/>
      </w:pPr>
      <w:rPr>
        <w:rFonts w:ascii="Times New Roman" w:hAnsi="Times New Roman" w:eastAsia="宋体"/>
        <w:b/>
        <w:i w:val="0"/>
        <w:sz w:val="28"/>
      </w:rPr>
    </w:lvl>
    <w:lvl w:ilvl="6">
      <w:start w:val="1"/>
      <w:numFmt w:val="lowerLetter"/>
      <w:pStyle w:val="1247"/>
      <w:isLgl w:val="false"/>
      <w:suff w:val="tab"/>
      <w:lvlText w:val="%7) "/>
      <w:lvlJc w:val="left"/>
      <w:pPr>
        <w:pStyle w:val="1088"/>
        <w:ind w:left="-125" w:firstLine="400"/>
        <w:tabs>
          <w:tab w:val="num" w:pos="635" w:leader="none"/>
        </w:tabs>
      </w:pPr>
      <w:rPr>
        <w:rFonts w:ascii="Times New Roman" w:hAnsi="Times New Roman" w:eastAsia="宋体"/>
        <w:b/>
        <w:i w:val="0"/>
        <w:color w:val="000000"/>
        <w:sz w:val="28"/>
        <w:u w:val="none"/>
      </w:rPr>
    </w:lvl>
    <w:lvl w:ilvl="7">
      <w:start w:val="1"/>
      <w:numFmt w:val="decimal"/>
      <w:pStyle w:val="1210"/>
      <w:isLgl w:val="false"/>
      <w:suff w:val="tab"/>
      <w:lvlText w:val="%8) "/>
      <w:lvlJc w:val="left"/>
      <w:pPr>
        <w:pStyle w:val="10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88"/>
        <w:ind w:left="768" w:hanging="360"/>
        <w:tabs>
          <w:tab w:val="num" w:pos="768" w:leader="none"/>
        </w:tabs>
      </w:pPr>
      <w:rPr>
        <w:rFonts w:hint="eastAsia"/>
      </w:rPr>
    </w:lvl>
    <w:lvl w:ilvl="1">
      <w:start w:val="1"/>
      <w:numFmt w:val="decimal"/>
      <w:pStyle w:val="1228"/>
      <w:isLgl w:val="false"/>
      <w:suff w:val="tab"/>
      <w:lvlText w:val="%2、"/>
      <w:lvlJc w:val="left"/>
      <w:pPr>
        <w:pStyle w:val="1088"/>
        <w:ind w:left="1188" w:hanging="360"/>
        <w:tabs>
          <w:tab w:val="num" w:pos="1188" w:leader="none"/>
        </w:tabs>
      </w:pPr>
      <w:rPr>
        <w:rFonts w:hint="eastAsia"/>
      </w:rPr>
    </w:lvl>
    <w:lvl w:ilvl="2">
      <w:start w:val="1"/>
      <w:numFmt w:val="decimal"/>
      <w:isLgl w:val="false"/>
      <w:suff w:val="tab"/>
      <w:lvlText w:val="（%3）"/>
      <w:lvlJc w:val="left"/>
      <w:pPr>
        <w:pStyle w:val="1088"/>
        <w:ind w:left="1968" w:hanging="720"/>
        <w:tabs>
          <w:tab w:val="num" w:pos="1968" w:leader="none"/>
        </w:tabs>
      </w:pPr>
      <w:rPr>
        <w:rFonts w:hint="eastAsia"/>
        <w:u w:val="none"/>
      </w:rPr>
    </w:lvl>
    <w:lvl w:ilvl="3">
      <w:start w:val="1"/>
      <w:numFmt w:val="decimal"/>
      <w:isLgl w:val="false"/>
      <w:suff w:val="tab"/>
      <w:lvlText w:val="%4."/>
      <w:lvlJc w:val="left"/>
      <w:pPr>
        <w:pStyle w:val="1088"/>
        <w:ind w:left="2088" w:hanging="420"/>
        <w:tabs>
          <w:tab w:val="num" w:pos="2088" w:leader="none"/>
        </w:tabs>
      </w:pPr>
    </w:lvl>
    <w:lvl w:ilvl="4">
      <w:start w:val="1"/>
      <w:numFmt w:val="lowerLetter"/>
      <w:isLgl w:val="false"/>
      <w:suff w:val="tab"/>
      <w:lvlText w:val="%5)"/>
      <w:lvlJc w:val="left"/>
      <w:pPr>
        <w:pStyle w:val="1088"/>
        <w:ind w:left="2508" w:hanging="420"/>
        <w:tabs>
          <w:tab w:val="num" w:pos="2508" w:leader="none"/>
        </w:tabs>
      </w:pPr>
    </w:lvl>
    <w:lvl w:ilvl="5">
      <w:start w:val="1"/>
      <w:numFmt w:val="lowerRoman"/>
      <w:isLgl w:val="false"/>
      <w:suff w:val="tab"/>
      <w:lvlText w:val="%6."/>
      <w:lvlJc w:val="right"/>
      <w:pPr>
        <w:pStyle w:val="1088"/>
        <w:ind w:left="2928" w:hanging="420"/>
        <w:tabs>
          <w:tab w:val="num" w:pos="2928" w:leader="none"/>
        </w:tabs>
      </w:pPr>
    </w:lvl>
    <w:lvl w:ilvl="6">
      <w:start w:val="1"/>
      <w:numFmt w:val="decimal"/>
      <w:isLgl w:val="false"/>
      <w:suff w:val="tab"/>
      <w:lvlText w:val="%7."/>
      <w:lvlJc w:val="left"/>
      <w:pPr>
        <w:pStyle w:val="1088"/>
        <w:ind w:left="3348" w:hanging="420"/>
        <w:tabs>
          <w:tab w:val="num" w:pos="3348" w:leader="none"/>
        </w:tabs>
      </w:pPr>
    </w:lvl>
    <w:lvl w:ilvl="7">
      <w:start w:val="1"/>
      <w:numFmt w:val="lowerLetter"/>
      <w:isLgl w:val="false"/>
      <w:suff w:val="tab"/>
      <w:lvlText w:val="%8)"/>
      <w:lvlJc w:val="left"/>
      <w:pPr>
        <w:pStyle w:val="1088"/>
        <w:ind w:left="3768" w:hanging="420"/>
        <w:tabs>
          <w:tab w:val="num" w:pos="3768" w:leader="none"/>
        </w:tabs>
      </w:pPr>
    </w:lvl>
    <w:lvl w:ilvl="8">
      <w:start w:val="1"/>
      <w:numFmt w:val="lowerRoman"/>
      <w:isLgl w:val="false"/>
      <w:suff w:val="tab"/>
      <w:lvlText w:val="%9."/>
      <w:lvlJc w:val="right"/>
      <w:pPr>
        <w:pStyle w:val="108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88"/>
        <w:ind w:left="900" w:hanging="900"/>
        <w:tabs>
          <w:tab w:val="num" w:pos="900" w:leader="none"/>
        </w:tabs>
      </w:pPr>
      <w:rPr>
        <w:rFonts w:hint="eastAsia"/>
        <w:b/>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8">
    <w:multiLevelType w:val="hybridMultilevel"/>
    <w:lvl w:ilvl="0">
      <w:start w:val="1"/>
      <w:numFmt w:val="decimal"/>
      <w:pStyle w:val="1195"/>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9">
    <w:multiLevelType w:val="hybridMultilevel"/>
    <w:lvl w:ilvl="0">
      <w:start w:val="1"/>
      <w:numFmt w:val="decimal"/>
      <w:pStyle w:val="1296"/>
      <w:isLgl w:val="false"/>
      <w:suff w:val="tab"/>
      <w:lvlText w:val="%1"/>
      <w:lvlJc w:val="left"/>
      <w:pPr>
        <w:pStyle w:val="1088"/>
        <w:ind w:left="680" w:hanging="680"/>
      </w:pPr>
      <w:rPr>
        <w:rFonts w:hint="eastAsia" w:ascii="宋体" w:hAnsi="宋体" w:eastAsia="宋体"/>
      </w:rPr>
    </w:lvl>
    <w:lvl w:ilvl="1">
      <w:start w:val="1"/>
      <w:numFmt w:val="decimal"/>
      <w:pStyle w:val="1297"/>
      <w:isLgl w:val="false"/>
      <w:suff w:val="tab"/>
      <w:lvlText w:val="%1.%2"/>
      <w:lvlJc w:val="left"/>
      <w:pPr>
        <w:pStyle w:val="1088"/>
        <w:ind w:left="851" w:hanging="851"/>
      </w:pPr>
      <w:rPr>
        <w:rFonts w:hint="eastAsia" w:ascii="宋体" w:hAnsi="宋体" w:eastAsia="宋体"/>
        <w:color w:val="000000"/>
      </w:rPr>
    </w:lvl>
    <w:lvl w:ilvl="2">
      <w:start w:val="1"/>
      <w:numFmt w:val="decimal"/>
      <w:pStyle w:val="1298"/>
      <w:isLgl w:val="false"/>
      <w:suff w:val="tab"/>
      <w:lvlText w:val="%1.%2.%3"/>
      <w:lvlJc w:val="left"/>
      <w:pPr>
        <w:pStyle w:val="1088"/>
        <w:ind w:left="851" w:hanging="851"/>
      </w:pPr>
      <w:rPr>
        <w:rFonts w:hint="eastAsia"/>
      </w:rPr>
    </w:lvl>
    <w:lvl w:ilvl="3">
      <w:start w:val="1"/>
      <w:numFmt w:val="decimal"/>
      <w:isLgl w:val="false"/>
      <w:suff w:val="tab"/>
      <w:lvlText w:val="%1.%2.%3.%4"/>
      <w:lvlJc w:val="left"/>
      <w:pPr>
        <w:pStyle w:val="1088"/>
        <w:ind w:left="680" w:hanging="680"/>
      </w:pPr>
      <w:rPr>
        <w:rFonts w:hint="eastAsia"/>
      </w:rPr>
    </w:lvl>
    <w:lvl w:ilvl="4">
      <w:start w:val="1"/>
      <w:numFmt w:val="decimal"/>
      <w:isLgl w:val="false"/>
      <w:suff w:val="tab"/>
      <w:lvlText w:val="%1.%2.%3.%4.%5"/>
      <w:lvlJc w:val="left"/>
      <w:pPr>
        <w:pStyle w:val="1088"/>
        <w:ind w:left="680" w:hanging="680"/>
      </w:pPr>
      <w:rPr>
        <w:rFonts w:hint="eastAsia"/>
      </w:rPr>
    </w:lvl>
    <w:lvl w:ilvl="5">
      <w:start w:val="1"/>
      <w:numFmt w:val="decimal"/>
      <w:isLgl w:val="false"/>
      <w:suff w:val="tab"/>
      <w:lvlText w:val="%1.%2.%3.%4.%5.%6"/>
      <w:lvlJc w:val="left"/>
      <w:pPr>
        <w:pStyle w:val="1088"/>
        <w:ind w:left="680" w:hanging="680"/>
      </w:pPr>
      <w:rPr>
        <w:rFonts w:hint="eastAsia"/>
      </w:rPr>
    </w:lvl>
    <w:lvl w:ilvl="6">
      <w:start w:val="1"/>
      <w:numFmt w:val="decimal"/>
      <w:isLgl w:val="false"/>
      <w:suff w:val="tab"/>
      <w:lvlText w:val="%1.%2.%3.%4.%5.%6.%7"/>
      <w:lvlJc w:val="left"/>
      <w:pPr>
        <w:pStyle w:val="1088"/>
        <w:ind w:left="680" w:hanging="680"/>
      </w:pPr>
      <w:rPr>
        <w:rFonts w:hint="eastAsia"/>
      </w:rPr>
    </w:lvl>
    <w:lvl w:ilvl="7">
      <w:start w:val="1"/>
      <w:numFmt w:val="decimal"/>
      <w:isLgl w:val="false"/>
      <w:suff w:val="tab"/>
      <w:lvlText w:val="%1.%2.%3.%4.%5.%6.%7.%8"/>
      <w:lvlJc w:val="left"/>
      <w:pPr>
        <w:pStyle w:val="1088"/>
        <w:ind w:left="680" w:hanging="680"/>
      </w:pPr>
      <w:rPr>
        <w:rFonts w:hint="eastAsia"/>
      </w:rPr>
    </w:lvl>
    <w:lvl w:ilvl="8">
      <w:start w:val="1"/>
      <w:numFmt w:val="decimal"/>
      <w:isLgl w:val="false"/>
      <w:suff w:val="tab"/>
      <w:lvlText w:val="%1.%2.%3.%4.%5.%6.%7.%8.%9"/>
      <w:lvlJc w:val="left"/>
      <w:pPr>
        <w:pStyle w:val="1088"/>
        <w:ind w:left="680" w:hanging="680"/>
      </w:pPr>
      <w:rPr>
        <w:rFonts w:hint="eastAsia"/>
      </w:rPr>
    </w:lvl>
  </w:abstractNum>
  <w:abstractNum w:abstractNumId="10">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1">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88"/>
        <w:ind w:left="1260" w:hanging="420"/>
      </w:p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4">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5">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6">
    <w:multiLevelType w:val="hybridMultilevel"/>
    <w:lvl w:ilvl="0">
      <w:start w:val="1"/>
      <w:numFmt w:val="chineseCountingThousand"/>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7">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1088"/>
        <w:ind w:left="205" w:hanging="322"/>
      </w:pPr>
      <w:rPr>
        <w:rFonts w:ascii="仿宋" w:hAnsi="仿宋" w:eastAsia="仿宋" w:cs="仿宋"/>
        <w:spacing w:val="-46"/>
        <w:sz w:val="30"/>
        <w:szCs w:val="30"/>
      </w:r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9">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1088"/>
        <w:ind w:left="840" w:hanging="420"/>
      </w:pPr>
    </w:lvl>
    <w:lvl w:ilvl="1">
      <w:start w:val="1"/>
      <w:numFmt w:val="lowerLetter"/>
      <w:isLgl w:val="false"/>
      <w:suff w:val="tab"/>
      <w:lvlText w:val="%2)"/>
      <w:lvlJc w:val="left"/>
      <w:pPr>
        <w:pStyle w:val="1088"/>
        <w:ind w:left="1260" w:hanging="420"/>
      </w:pPr>
    </w:lvl>
    <w:lvl w:ilvl="2">
      <w:start w:val="1"/>
      <w:numFmt w:val="lowerRoman"/>
      <w:isLgl w:val="false"/>
      <w:suff w:val="tab"/>
      <w:lvlText w:val="%3."/>
      <w:lvlJc w:val="right"/>
      <w:pPr>
        <w:pStyle w:val="1088"/>
        <w:ind w:left="1680" w:hanging="420"/>
      </w:pPr>
    </w:lvl>
    <w:lvl w:ilvl="3">
      <w:start w:val="1"/>
      <w:numFmt w:val="decimal"/>
      <w:isLgl w:val="false"/>
      <w:suff w:val="tab"/>
      <w:lvlText w:val="%4."/>
      <w:lvlJc w:val="left"/>
      <w:pPr>
        <w:pStyle w:val="1088"/>
        <w:ind w:left="2100" w:hanging="420"/>
      </w:pPr>
    </w:lvl>
    <w:lvl w:ilvl="4">
      <w:start w:val="1"/>
      <w:numFmt w:val="lowerLetter"/>
      <w:isLgl w:val="false"/>
      <w:suff w:val="tab"/>
      <w:lvlText w:val="%5)"/>
      <w:lvlJc w:val="left"/>
      <w:pPr>
        <w:pStyle w:val="1088"/>
        <w:ind w:left="2520" w:hanging="420"/>
      </w:pPr>
    </w:lvl>
    <w:lvl w:ilvl="5">
      <w:start w:val="1"/>
      <w:numFmt w:val="lowerRoman"/>
      <w:isLgl w:val="false"/>
      <w:suff w:val="tab"/>
      <w:lvlText w:val="%6."/>
      <w:lvlJc w:val="right"/>
      <w:pPr>
        <w:pStyle w:val="1088"/>
        <w:ind w:left="2940" w:hanging="420"/>
      </w:pPr>
    </w:lvl>
    <w:lvl w:ilvl="6">
      <w:start w:val="1"/>
      <w:numFmt w:val="decimal"/>
      <w:isLgl w:val="false"/>
      <w:suff w:val="tab"/>
      <w:lvlText w:val="%7."/>
      <w:lvlJc w:val="left"/>
      <w:pPr>
        <w:pStyle w:val="1088"/>
        <w:ind w:left="3360" w:hanging="420"/>
      </w:pPr>
    </w:lvl>
    <w:lvl w:ilvl="7">
      <w:start w:val="1"/>
      <w:numFmt w:val="lowerLetter"/>
      <w:isLgl w:val="false"/>
      <w:suff w:val="tab"/>
      <w:lvlText w:val="%8)"/>
      <w:lvlJc w:val="left"/>
      <w:pPr>
        <w:pStyle w:val="1088"/>
        <w:ind w:left="3780" w:hanging="420"/>
      </w:pPr>
    </w:lvl>
    <w:lvl w:ilvl="8">
      <w:start w:val="1"/>
      <w:numFmt w:val="lowerRoman"/>
      <w:isLgl w:val="false"/>
      <w:suff w:val="tab"/>
      <w:lvlText w:val="%9."/>
      <w:lvlJc w:val="right"/>
      <w:pPr>
        <w:pStyle w:val="1088"/>
        <w:ind w:left="4200" w:hanging="420"/>
      </w:pPr>
    </w:lvl>
  </w:abstractNum>
  <w:abstractNum w:abstractNumId="21">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22">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2"/>
  </w:num>
  <w:num w:numId="11">
    <w:abstractNumId w:val="1"/>
  </w:num>
  <w:num w:numId="12">
    <w:abstractNumId w:val="17"/>
  </w:num>
  <w:num w:numId="13">
    <w:abstractNumId w:val="11"/>
  </w:num>
  <w:num w:numId="14">
    <w:abstractNumId w:val="19"/>
  </w:num>
  <w:num w:numId="15">
    <w:abstractNumId w:val="16"/>
  </w:num>
  <w:num w:numId="16">
    <w:abstractNumId w:val="15"/>
  </w:num>
  <w:num w:numId="17">
    <w:abstractNumId w:val="10"/>
  </w:num>
  <w:num w:numId="18">
    <w:abstractNumId w:val="22"/>
  </w:num>
  <w:num w:numId="19">
    <w:abstractNumId w:val="20"/>
  </w:num>
  <w:num w:numId="20">
    <w:abstractNumId w:val="13"/>
  </w:num>
  <w:num w:numId="21">
    <w:abstractNumId w:val="21"/>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8"/>
    <w:next w:val="1088"/>
    <w:link w:val="911"/>
    <w:uiPriority w:val="9"/>
    <w:qFormat/>
    <w:pPr>
      <w:keepLines/>
      <w:keepNext/>
      <w:spacing w:before="480" w:after="200"/>
      <w:outlineLvl w:val="0"/>
    </w:pPr>
    <w:rPr>
      <w:rFonts w:ascii="Arial" w:hAnsi="Arial" w:eastAsia="Arial" w:cs="Arial"/>
      <w:sz w:val="40"/>
      <w:szCs w:val="40"/>
    </w:rPr>
  </w:style>
  <w:style w:type="character" w:styleId="911">
    <w:name w:val="Heading 1 Char"/>
    <w:link w:val="910"/>
    <w:uiPriority w:val="9"/>
    <w:rPr>
      <w:rFonts w:ascii="Arial" w:hAnsi="Arial" w:eastAsia="Arial" w:cs="Arial"/>
      <w:sz w:val="40"/>
      <w:szCs w:val="40"/>
    </w:rPr>
  </w:style>
  <w:style w:type="paragraph" w:styleId="912">
    <w:name w:val="Heading 2"/>
    <w:basedOn w:val="1088"/>
    <w:next w:val="1088"/>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link w:val="912"/>
    <w:uiPriority w:val="9"/>
    <w:rPr>
      <w:rFonts w:ascii="Arial" w:hAnsi="Arial" w:eastAsia="Arial" w:cs="Arial"/>
      <w:sz w:val="34"/>
    </w:rPr>
  </w:style>
  <w:style w:type="paragraph" w:styleId="914">
    <w:name w:val="Heading 3"/>
    <w:basedOn w:val="1088"/>
    <w:next w:val="1088"/>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link w:val="914"/>
    <w:uiPriority w:val="9"/>
    <w:rPr>
      <w:rFonts w:ascii="Arial" w:hAnsi="Arial" w:eastAsia="Arial" w:cs="Arial"/>
      <w:sz w:val="30"/>
      <w:szCs w:val="30"/>
    </w:rPr>
  </w:style>
  <w:style w:type="paragraph" w:styleId="916">
    <w:name w:val="Heading 4"/>
    <w:basedOn w:val="1088"/>
    <w:next w:val="1088"/>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link w:val="916"/>
    <w:uiPriority w:val="9"/>
    <w:rPr>
      <w:rFonts w:ascii="Arial" w:hAnsi="Arial" w:eastAsia="Arial" w:cs="Arial"/>
      <w:b/>
      <w:bCs/>
      <w:sz w:val="26"/>
      <w:szCs w:val="26"/>
    </w:rPr>
  </w:style>
  <w:style w:type="paragraph" w:styleId="918">
    <w:name w:val="Heading 5"/>
    <w:basedOn w:val="1088"/>
    <w:next w:val="1088"/>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link w:val="918"/>
    <w:uiPriority w:val="9"/>
    <w:rPr>
      <w:rFonts w:ascii="Arial" w:hAnsi="Arial" w:eastAsia="Arial" w:cs="Arial"/>
      <w:b/>
      <w:bCs/>
      <w:sz w:val="24"/>
      <w:szCs w:val="24"/>
    </w:rPr>
  </w:style>
  <w:style w:type="paragraph" w:styleId="920">
    <w:name w:val="Heading 6"/>
    <w:basedOn w:val="1088"/>
    <w:next w:val="1088"/>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link w:val="920"/>
    <w:uiPriority w:val="9"/>
    <w:rPr>
      <w:rFonts w:ascii="Arial" w:hAnsi="Arial" w:eastAsia="Arial" w:cs="Arial"/>
      <w:b/>
      <w:bCs/>
      <w:sz w:val="22"/>
      <w:szCs w:val="22"/>
    </w:rPr>
  </w:style>
  <w:style w:type="paragraph" w:styleId="922">
    <w:name w:val="Heading 7"/>
    <w:basedOn w:val="1088"/>
    <w:next w:val="1088"/>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link w:val="922"/>
    <w:uiPriority w:val="9"/>
    <w:rPr>
      <w:rFonts w:ascii="Arial" w:hAnsi="Arial" w:eastAsia="Arial" w:cs="Arial"/>
      <w:b/>
      <w:bCs/>
      <w:i/>
      <w:iCs/>
      <w:sz w:val="22"/>
      <w:szCs w:val="22"/>
    </w:rPr>
  </w:style>
  <w:style w:type="paragraph" w:styleId="924">
    <w:name w:val="Heading 8"/>
    <w:basedOn w:val="1088"/>
    <w:next w:val="1088"/>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link w:val="924"/>
    <w:uiPriority w:val="9"/>
    <w:rPr>
      <w:rFonts w:ascii="Arial" w:hAnsi="Arial" w:eastAsia="Arial" w:cs="Arial"/>
      <w:i/>
      <w:iCs/>
      <w:sz w:val="22"/>
      <w:szCs w:val="22"/>
    </w:rPr>
  </w:style>
  <w:style w:type="paragraph" w:styleId="926">
    <w:name w:val="Heading 9"/>
    <w:basedOn w:val="1088"/>
    <w:next w:val="1088"/>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link w:val="926"/>
    <w:uiPriority w:val="9"/>
    <w:rPr>
      <w:rFonts w:ascii="Arial" w:hAnsi="Arial" w:eastAsia="Arial" w:cs="Arial"/>
      <w:i/>
      <w:iCs/>
      <w:sz w:val="21"/>
      <w:szCs w:val="21"/>
    </w:rPr>
  </w:style>
  <w:style w:type="paragraph" w:styleId="928">
    <w:name w:val="List Paragraph"/>
    <w:basedOn w:val="1088"/>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88"/>
    <w:link w:val="1088"/>
    <w:qFormat/>
    <w:pPr>
      <w:jc w:val="both"/>
      <w:widowControl w:val="off"/>
    </w:pPr>
    <w:rPr>
      <w:sz w:val="21"/>
      <w:szCs w:val="24"/>
      <w:lang w:val="en-US" w:eastAsia="zh-CN" w:bidi="ar-SA"/>
    </w:rPr>
  </w:style>
  <w:style w:type="paragraph" w:styleId="1089">
    <w:name w:val="标题 1"/>
    <w:basedOn w:val="1088"/>
    <w:next w:val="1088"/>
    <w:link w:val="1100"/>
    <w:qFormat/>
    <w:pPr>
      <w:jc w:val="center"/>
      <w:keepLines/>
      <w:keepNext/>
      <w:spacing w:before="240" w:after="120" w:line="300" w:lineRule="auto"/>
      <w:outlineLvl w:val="0"/>
    </w:pPr>
    <w:rPr>
      <w:rFonts w:ascii="宋体"/>
      <w:b/>
      <w:sz w:val="32"/>
      <w:szCs w:val="20"/>
    </w:rPr>
  </w:style>
  <w:style w:type="paragraph" w:styleId="1090">
    <w:name w:val="标题 2"/>
    <w:basedOn w:val="1088"/>
    <w:next w:val="1102"/>
    <w:link w:val="1101"/>
    <w:qFormat/>
    <w:pPr>
      <w:jc w:val="center"/>
      <w:keepLines/>
      <w:keepNext/>
      <w:spacing w:before="120" w:line="300" w:lineRule="auto"/>
      <w:outlineLvl w:val="1"/>
    </w:pPr>
    <w:rPr>
      <w:rFonts w:ascii="Arial" w:hAnsi="Arial" w:eastAsia="黑体"/>
      <w:b/>
      <w:sz w:val="30"/>
      <w:szCs w:val="20"/>
    </w:rPr>
  </w:style>
  <w:style w:type="paragraph" w:styleId="1091">
    <w:name w:val="标题 3"/>
    <w:basedOn w:val="1088"/>
    <w:next w:val="1102"/>
    <w:link w:val="1104"/>
    <w:qFormat/>
    <w:pPr>
      <w:jc w:val="left"/>
      <w:keepLines/>
      <w:keepNext/>
      <w:spacing w:before="360" w:after="120"/>
      <w:outlineLvl w:val="2"/>
    </w:pPr>
    <w:rPr>
      <w:rFonts w:ascii="宋体"/>
      <w:b/>
      <w:sz w:val="24"/>
      <w:szCs w:val="20"/>
      <w:u w:val="single"/>
    </w:rPr>
  </w:style>
  <w:style w:type="paragraph" w:styleId="1092">
    <w:name w:val="标题 4"/>
    <w:basedOn w:val="1088"/>
    <w:next w:val="1088"/>
    <w:link w:val="1105"/>
    <w:qFormat/>
    <w:pPr>
      <w:keepLines/>
      <w:keepNext/>
      <w:spacing w:before="280" w:after="290" w:line="376" w:lineRule="atLeast"/>
      <w:outlineLvl w:val="3"/>
    </w:pPr>
    <w:rPr>
      <w:rFonts w:ascii="Arial" w:hAnsi="Arial" w:eastAsia="黑体"/>
      <w:b/>
      <w:sz w:val="28"/>
      <w:szCs w:val="20"/>
    </w:rPr>
  </w:style>
  <w:style w:type="paragraph" w:styleId="1093">
    <w:name w:val="标题 5"/>
    <w:basedOn w:val="1088"/>
    <w:next w:val="1088"/>
    <w:link w:val="1106"/>
    <w:qFormat/>
    <w:pPr>
      <w:keepLines/>
      <w:keepNext/>
      <w:spacing w:before="280" w:after="290" w:line="376" w:lineRule="atLeast"/>
      <w:outlineLvl w:val="4"/>
    </w:pPr>
    <w:rPr>
      <w:b/>
      <w:sz w:val="28"/>
      <w:szCs w:val="20"/>
    </w:rPr>
  </w:style>
  <w:style w:type="paragraph" w:styleId="1094">
    <w:name w:val="标题 6"/>
    <w:basedOn w:val="1088"/>
    <w:next w:val="1088"/>
    <w:link w:val="1107"/>
    <w:qFormat/>
    <w:pPr>
      <w:keepLines/>
      <w:keepNext/>
      <w:spacing w:before="240" w:after="64" w:line="320" w:lineRule="atLeast"/>
      <w:outlineLvl w:val="5"/>
    </w:pPr>
    <w:rPr>
      <w:rFonts w:ascii="Arial" w:hAnsi="Arial" w:eastAsia="黑体"/>
      <w:b/>
      <w:sz w:val="24"/>
      <w:szCs w:val="20"/>
    </w:rPr>
  </w:style>
  <w:style w:type="paragraph" w:styleId="1095">
    <w:name w:val="标题 7"/>
    <w:basedOn w:val="1088"/>
    <w:next w:val="1088"/>
    <w:link w:val="1108"/>
    <w:qFormat/>
    <w:pPr>
      <w:keepLines/>
      <w:keepNext/>
      <w:spacing w:before="240" w:after="64" w:line="320" w:lineRule="atLeast"/>
      <w:outlineLvl w:val="6"/>
    </w:pPr>
    <w:rPr>
      <w:b/>
      <w:sz w:val="24"/>
      <w:szCs w:val="20"/>
    </w:rPr>
  </w:style>
  <w:style w:type="paragraph" w:styleId="1096">
    <w:name w:val="标题 8"/>
    <w:basedOn w:val="1088"/>
    <w:next w:val="1088"/>
    <w:link w:val="1109"/>
    <w:qFormat/>
    <w:pPr>
      <w:keepLines/>
      <w:keepNext/>
      <w:spacing w:before="240" w:after="64" w:line="320" w:lineRule="atLeast"/>
      <w:outlineLvl w:val="7"/>
    </w:pPr>
    <w:rPr>
      <w:rFonts w:ascii="Arial" w:hAnsi="Arial" w:eastAsia="黑体"/>
      <w:sz w:val="24"/>
      <w:szCs w:val="20"/>
    </w:rPr>
  </w:style>
  <w:style w:type="paragraph" w:styleId="1097">
    <w:name w:val="标题 9"/>
    <w:basedOn w:val="1088"/>
    <w:next w:val="1088"/>
    <w:link w:val="1110"/>
    <w:qFormat/>
    <w:pPr>
      <w:keepLines/>
      <w:keepNext/>
      <w:spacing w:before="240" w:after="64" w:line="320" w:lineRule="atLeast"/>
      <w:outlineLvl w:val="8"/>
    </w:pPr>
    <w:rPr>
      <w:rFonts w:ascii="Arial" w:hAnsi="Arial" w:eastAsia="黑体"/>
      <w:szCs w:val="20"/>
    </w:rPr>
  </w:style>
  <w:style w:type="character" w:styleId="1098">
    <w:name w:val="默认段落字体"/>
    <w:next w:val="1098"/>
    <w:link w:val="1088"/>
    <w:uiPriority w:val="1"/>
    <w:unhideWhenUsed/>
    <w:qFormat/>
  </w:style>
  <w:style w:type="table" w:styleId="1099">
    <w:name w:val="普通表格"/>
    <w:next w:val="1099"/>
    <w:link w:val="1088"/>
    <w:uiPriority w:val="99"/>
    <w:unhideWhenUsed/>
    <w:qFormat/>
    <w:tblPr/>
  </w:style>
  <w:style w:type="character" w:styleId="1100">
    <w:name w:val="标题 1 字符"/>
    <w:next w:val="1100"/>
    <w:link w:val="1089"/>
    <w:qFormat/>
    <w:rPr>
      <w:rFonts w:ascii="宋体"/>
      <w:b/>
      <w:sz w:val="32"/>
    </w:rPr>
  </w:style>
  <w:style w:type="character" w:styleId="1101">
    <w:name w:val="标题 2 字符"/>
    <w:next w:val="1101"/>
    <w:link w:val="1090"/>
    <w:qFormat/>
    <w:rPr>
      <w:rFonts w:ascii="Arial" w:hAnsi="Arial" w:eastAsia="黑体"/>
      <w:b/>
      <w:sz w:val="30"/>
      <w:lang w:val="en-US" w:eastAsia="zh-CN" w:bidi="ar-SA"/>
    </w:rPr>
  </w:style>
  <w:style w:type="paragraph" w:styleId="1102">
    <w:name w:val="正文缩进"/>
    <w:basedOn w:val="1088"/>
    <w:next w:val="1102"/>
    <w:link w:val="1103"/>
    <w:uiPriority w:val="99"/>
    <w:qFormat/>
    <w:pPr>
      <w:ind w:firstLine="420"/>
      <w:jc w:val="left"/>
    </w:pPr>
    <w:rPr>
      <w:rFonts w:ascii="宋体"/>
      <w:sz w:val="24"/>
    </w:rPr>
  </w:style>
  <w:style w:type="character" w:styleId="1103">
    <w:name w:val="正文缩进 字符1"/>
    <w:next w:val="1103"/>
    <w:link w:val="1102"/>
    <w:qFormat/>
    <w:rPr>
      <w:rFonts w:ascii="宋体" w:eastAsia="宋体"/>
      <w:sz w:val="24"/>
      <w:szCs w:val="24"/>
      <w:lang w:val="en-US" w:eastAsia="zh-CN" w:bidi="ar-SA"/>
    </w:rPr>
  </w:style>
  <w:style w:type="character" w:styleId="1104">
    <w:name w:val="标题 3 字符"/>
    <w:next w:val="1104"/>
    <w:link w:val="1091"/>
    <w:qFormat/>
    <w:rPr>
      <w:rFonts w:ascii="宋体" w:eastAsia="宋体"/>
      <w:b/>
      <w:sz w:val="24"/>
      <w:u w:val="single"/>
      <w:lang w:val="en-US" w:eastAsia="zh-CN" w:bidi="ar-SA"/>
    </w:rPr>
  </w:style>
  <w:style w:type="character" w:styleId="1105">
    <w:name w:val="标题 4 字符"/>
    <w:next w:val="1105"/>
    <w:link w:val="1092"/>
    <w:qFormat/>
    <w:rPr>
      <w:rFonts w:ascii="Arial" w:hAnsi="Arial" w:eastAsia="黑体"/>
      <w:b/>
      <w:sz w:val="28"/>
    </w:rPr>
  </w:style>
  <w:style w:type="character" w:styleId="1106">
    <w:name w:val="标题 5 字符"/>
    <w:next w:val="1106"/>
    <w:link w:val="1093"/>
    <w:qFormat/>
    <w:rPr>
      <w:b/>
      <w:sz w:val="28"/>
    </w:rPr>
  </w:style>
  <w:style w:type="character" w:styleId="1107">
    <w:name w:val="标题 6 字符"/>
    <w:next w:val="1107"/>
    <w:link w:val="1094"/>
    <w:qFormat/>
    <w:rPr>
      <w:rFonts w:ascii="Arial" w:hAnsi="Arial" w:eastAsia="黑体"/>
      <w:b/>
      <w:sz w:val="24"/>
    </w:rPr>
  </w:style>
  <w:style w:type="character" w:styleId="1108">
    <w:name w:val="标题 7 字符"/>
    <w:next w:val="1108"/>
    <w:link w:val="1095"/>
    <w:qFormat/>
    <w:rPr>
      <w:b/>
      <w:sz w:val="24"/>
    </w:rPr>
  </w:style>
  <w:style w:type="character" w:styleId="1109">
    <w:name w:val="标题 8 字符"/>
    <w:next w:val="1109"/>
    <w:link w:val="1096"/>
    <w:qFormat/>
    <w:rPr>
      <w:rFonts w:ascii="Arial" w:hAnsi="Arial" w:eastAsia="黑体"/>
      <w:sz w:val="24"/>
    </w:rPr>
  </w:style>
  <w:style w:type="character" w:styleId="1110">
    <w:name w:val="标题 9 字符"/>
    <w:next w:val="1110"/>
    <w:link w:val="1097"/>
    <w:qFormat/>
    <w:rPr>
      <w:rFonts w:ascii="Arial" w:hAnsi="Arial" w:eastAsia="黑体"/>
      <w:sz w:val="21"/>
    </w:rPr>
  </w:style>
  <w:style w:type="paragraph" w:styleId="1111">
    <w:name w:val="目录 7"/>
    <w:basedOn w:val="1088"/>
    <w:next w:val="1088"/>
    <w:link w:val="1088"/>
    <w:qFormat/>
    <w:pPr>
      <w:ind w:left="2520"/>
    </w:pPr>
  </w:style>
  <w:style w:type="paragraph" w:styleId="1112">
    <w:name w:val="题注"/>
    <w:basedOn w:val="1088"/>
    <w:next w:val="1088"/>
    <w:link w:val="1088"/>
    <w:qFormat/>
    <w:pPr>
      <w:spacing w:line="480" w:lineRule="auto"/>
    </w:pPr>
    <w:rPr>
      <w:rFonts w:ascii="华文中宋" w:hAnsi="华文中宋" w:eastAsia="华文中宋"/>
      <w:sz w:val="36"/>
      <w:szCs w:val="20"/>
    </w:rPr>
  </w:style>
  <w:style w:type="paragraph" w:styleId="1113">
    <w:name w:val="文档结构图"/>
    <w:basedOn w:val="1088"/>
    <w:next w:val="1113"/>
    <w:link w:val="1114"/>
    <w:qFormat/>
    <w:pPr>
      <w:shd w:val="clear" w:color="auto" w:fill="000080"/>
    </w:pPr>
  </w:style>
  <w:style w:type="character" w:styleId="1114">
    <w:name w:val="文档结构图 字符"/>
    <w:next w:val="1114"/>
    <w:link w:val="1113"/>
    <w:qFormat/>
    <w:rPr>
      <w:sz w:val="21"/>
      <w:szCs w:val="24"/>
      <w:shd w:val="clear" w:color="auto" w:fill="000080"/>
    </w:rPr>
  </w:style>
  <w:style w:type="paragraph" w:styleId="1115">
    <w:name w:val="批注文字"/>
    <w:basedOn w:val="1088"/>
    <w:next w:val="1115"/>
    <w:link w:val="1116"/>
    <w:uiPriority w:val="99"/>
    <w:qFormat/>
    <w:pPr>
      <w:jc w:val="left"/>
    </w:pPr>
  </w:style>
  <w:style w:type="character" w:styleId="1116">
    <w:name w:val="批注文字 字符1"/>
    <w:next w:val="1116"/>
    <w:link w:val="1115"/>
    <w:uiPriority w:val="99"/>
    <w:qFormat/>
    <w:rPr>
      <w:sz w:val="21"/>
      <w:szCs w:val="24"/>
    </w:rPr>
  </w:style>
  <w:style w:type="paragraph" w:styleId="1117">
    <w:name w:val="正文文本 3"/>
    <w:basedOn w:val="1088"/>
    <w:next w:val="1117"/>
    <w:link w:val="1118"/>
    <w:qFormat/>
    <w:pPr>
      <w:spacing w:after="120"/>
    </w:pPr>
    <w:rPr>
      <w:sz w:val="16"/>
      <w:szCs w:val="16"/>
    </w:rPr>
  </w:style>
  <w:style w:type="character" w:styleId="1118">
    <w:name w:val="正文文本 3 字符"/>
    <w:next w:val="1118"/>
    <w:link w:val="1117"/>
    <w:qFormat/>
    <w:rPr>
      <w:sz w:val="16"/>
      <w:szCs w:val="16"/>
    </w:rPr>
  </w:style>
  <w:style w:type="paragraph" w:styleId="1119">
    <w:name w:val="正文文本"/>
    <w:basedOn w:val="1088"/>
    <w:next w:val="1119"/>
    <w:link w:val="1120"/>
    <w:qFormat/>
    <w:pPr>
      <w:spacing w:before="120" w:line="22" w:lineRule="atLeast"/>
      <w:tabs>
        <w:tab w:val="left" w:pos="567" w:leader="none"/>
      </w:tabs>
    </w:pPr>
    <w:rPr>
      <w:rFonts w:ascii="宋体" w:hAnsi="宋体"/>
      <w:sz w:val="24"/>
    </w:rPr>
  </w:style>
  <w:style w:type="character" w:styleId="1120">
    <w:name w:val="正文文本 字符1"/>
    <w:next w:val="1120"/>
    <w:link w:val="1119"/>
    <w:qFormat/>
    <w:rPr>
      <w:rFonts w:ascii="宋体" w:hAnsi="宋体"/>
      <w:sz w:val="24"/>
      <w:szCs w:val="24"/>
    </w:rPr>
  </w:style>
  <w:style w:type="paragraph" w:styleId="1121">
    <w:name w:val="正文文本缩进"/>
    <w:basedOn w:val="1088"/>
    <w:next w:val="1121"/>
    <w:link w:val="1122"/>
    <w:qFormat/>
    <w:pPr>
      <w:ind w:firstLine="570"/>
      <w:spacing w:line="360" w:lineRule="auto"/>
    </w:pPr>
    <w:rPr>
      <w:sz w:val="24"/>
    </w:rPr>
  </w:style>
  <w:style w:type="character" w:styleId="1122">
    <w:name w:val="正文文本缩进 字符"/>
    <w:next w:val="1122"/>
    <w:link w:val="1121"/>
    <w:qFormat/>
    <w:rPr>
      <w:rFonts w:eastAsia="宋体"/>
      <w:sz w:val="24"/>
      <w:szCs w:val="24"/>
      <w:lang w:val="en-US" w:eastAsia="zh-CN" w:bidi="ar-SA"/>
    </w:rPr>
  </w:style>
  <w:style w:type="paragraph" w:styleId="1123">
    <w:name w:val="列表 2"/>
    <w:basedOn w:val="1088"/>
    <w:next w:val="1123"/>
    <w:link w:val="1088"/>
    <w:qFormat/>
    <w:pPr>
      <w:ind w:left="100" w:hanging="200"/>
    </w:pPr>
  </w:style>
  <w:style w:type="paragraph" w:styleId="1124">
    <w:name w:val="文本块"/>
    <w:basedOn w:val="1088"/>
    <w:next w:val="1124"/>
    <w:link w:val="1088"/>
    <w:qFormat/>
    <w:pPr>
      <w:ind w:left="480" w:right="-341" w:firstLine="513"/>
      <w:widowControl/>
    </w:pPr>
    <w:rPr>
      <w:sz w:val="24"/>
      <w:szCs w:val="20"/>
    </w:rPr>
  </w:style>
  <w:style w:type="paragraph" w:styleId="1125">
    <w:name w:val="目录 5"/>
    <w:basedOn w:val="1088"/>
    <w:next w:val="1088"/>
    <w:link w:val="1088"/>
    <w:qFormat/>
    <w:pPr>
      <w:ind w:left="1680"/>
    </w:pPr>
  </w:style>
  <w:style w:type="paragraph" w:styleId="1126">
    <w:name w:val="目录 3"/>
    <w:basedOn w:val="1088"/>
    <w:next w:val="1088"/>
    <w:link w:val="1088"/>
    <w:uiPriority w:val="39"/>
    <w:qFormat/>
    <w:pPr>
      <w:ind w:left="840"/>
    </w:pPr>
  </w:style>
  <w:style w:type="paragraph" w:styleId="1127">
    <w:name w:val="纯文本"/>
    <w:basedOn w:val="1088"/>
    <w:next w:val="1127"/>
    <w:link w:val="1128"/>
    <w:uiPriority w:val="99"/>
    <w:qFormat/>
    <w:rPr>
      <w:rFonts w:hint="eastAsia" w:ascii="宋体" w:hAnsi="Courier New"/>
      <w:szCs w:val="20"/>
    </w:rPr>
  </w:style>
  <w:style w:type="character" w:styleId="1128">
    <w:name w:val="纯文本 字符2"/>
    <w:next w:val="1128"/>
    <w:link w:val="1127"/>
    <w:qFormat/>
    <w:rPr>
      <w:rFonts w:hint="eastAsia" w:ascii="宋体" w:hAnsi="Courier New" w:eastAsia="宋体" w:cs="宋体"/>
      <w:sz w:val="21"/>
    </w:rPr>
  </w:style>
  <w:style w:type="paragraph" w:styleId="1129">
    <w:name w:val="目录 8"/>
    <w:basedOn w:val="1088"/>
    <w:next w:val="1088"/>
    <w:link w:val="1088"/>
    <w:qFormat/>
    <w:pPr>
      <w:ind w:left="2940"/>
    </w:pPr>
  </w:style>
  <w:style w:type="paragraph" w:styleId="1130">
    <w:name w:val="日期"/>
    <w:basedOn w:val="1088"/>
    <w:next w:val="1088"/>
    <w:link w:val="1131"/>
    <w:qFormat/>
    <w:pPr>
      <w:ind w:left="100"/>
    </w:pPr>
    <w:rPr>
      <w:rFonts w:ascii="仿宋_GB2312" w:hAnsi="宋体" w:eastAsia="仿宋_GB2312"/>
      <w:color w:val="000000"/>
      <w:sz w:val="24"/>
    </w:rPr>
  </w:style>
  <w:style w:type="character" w:styleId="1131">
    <w:name w:val="日期 字符"/>
    <w:next w:val="1131"/>
    <w:link w:val="1130"/>
    <w:qFormat/>
    <w:rPr>
      <w:rFonts w:ascii="仿宋_GB2312" w:hAnsi="宋体" w:eastAsia="仿宋_GB2312"/>
      <w:color w:val="000000"/>
      <w:sz w:val="24"/>
      <w:szCs w:val="24"/>
    </w:rPr>
  </w:style>
  <w:style w:type="paragraph" w:styleId="1132">
    <w:name w:val="正文文本缩进 2"/>
    <w:basedOn w:val="1088"/>
    <w:next w:val="1132"/>
    <w:link w:val="1133"/>
    <w:qFormat/>
    <w:pPr>
      <w:ind w:firstLine="480"/>
    </w:pPr>
    <w:rPr>
      <w:rFonts w:ascii="仿宋_GB2312" w:eastAsia="仿宋_GB2312"/>
      <w:sz w:val="24"/>
    </w:rPr>
  </w:style>
  <w:style w:type="character" w:styleId="1133">
    <w:name w:val="正文文本缩进 2 字符"/>
    <w:next w:val="1133"/>
    <w:link w:val="1132"/>
    <w:qFormat/>
    <w:rPr>
      <w:rFonts w:ascii="仿宋_GB2312" w:eastAsia="仿宋_GB2312"/>
      <w:sz w:val="24"/>
      <w:szCs w:val="24"/>
    </w:rPr>
  </w:style>
  <w:style w:type="paragraph" w:styleId="1134">
    <w:name w:val="批注框文本"/>
    <w:basedOn w:val="1088"/>
    <w:next w:val="1134"/>
    <w:link w:val="1135"/>
    <w:qFormat/>
    <w:rPr>
      <w:sz w:val="18"/>
      <w:szCs w:val="18"/>
    </w:rPr>
  </w:style>
  <w:style w:type="character" w:styleId="1135">
    <w:name w:val="批注框文本 字符"/>
    <w:next w:val="1135"/>
    <w:link w:val="1134"/>
    <w:qFormat/>
    <w:rPr>
      <w:sz w:val="18"/>
      <w:szCs w:val="18"/>
    </w:rPr>
  </w:style>
  <w:style w:type="paragraph" w:styleId="1136">
    <w:name w:val="页脚"/>
    <w:basedOn w:val="1088"/>
    <w:next w:val="1136"/>
    <w:link w:val="1137"/>
    <w:uiPriority w:val="99"/>
    <w:qFormat/>
    <w:pPr>
      <w:jc w:val="left"/>
      <w:tabs>
        <w:tab w:val="center" w:pos="4153" w:leader="none"/>
        <w:tab w:val="right" w:pos="8306" w:leader="none"/>
      </w:tabs>
    </w:pPr>
    <w:rPr>
      <w:rFonts w:ascii="宋体"/>
      <w:sz w:val="18"/>
      <w:szCs w:val="20"/>
    </w:rPr>
  </w:style>
  <w:style w:type="character" w:styleId="1137">
    <w:name w:val="页脚 字符"/>
    <w:next w:val="1137"/>
    <w:link w:val="1136"/>
    <w:uiPriority w:val="99"/>
    <w:qFormat/>
    <w:rPr>
      <w:rFonts w:ascii="宋体" w:eastAsia="宋体"/>
      <w:sz w:val="18"/>
      <w:lang w:val="en-US" w:eastAsia="zh-CN" w:bidi="ar-SA"/>
    </w:rPr>
  </w:style>
  <w:style w:type="paragraph" w:styleId="1138">
    <w:name w:val="页眉"/>
    <w:basedOn w:val="1088"/>
    <w:next w:val="1138"/>
    <w:link w:val="1139"/>
    <w:qFormat/>
    <w:pPr>
      <w:jc w:val="center"/>
      <w:tabs>
        <w:tab w:val="center" w:pos="4153" w:leader="none"/>
        <w:tab w:val="right" w:pos="8306" w:leader="none"/>
      </w:tabs>
      <w:pBdr>
        <w:bottom w:val="single" w:color="000000" w:sz="6" w:space="1"/>
      </w:pBdr>
    </w:pPr>
    <w:rPr>
      <w:sz w:val="18"/>
      <w:szCs w:val="18"/>
    </w:rPr>
  </w:style>
  <w:style w:type="character" w:styleId="1139">
    <w:name w:val="页眉 字符"/>
    <w:next w:val="1139"/>
    <w:link w:val="1138"/>
    <w:qFormat/>
    <w:rPr>
      <w:rFonts w:eastAsia="宋体"/>
      <w:sz w:val="18"/>
      <w:szCs w:val="18"/>
      <w:lang w:val="en-US" w:eastAsia="zh-CN" w:bidi="ar-SA"/>
    </w:rPr>
  </w:style>
  <w:style w:type="paragraph" w:styleId="1140">
    <w:name w:val="目录 1"/>
    <w:basedOn w:val="1088"/>
    <w:next w:val="1088"/>
    <w:link w:val="1088"/>
    <w:uiPriority w:val="39"/>
    <w:qFormat/>
    <w:pPr>
      <w:spacing w:line="300" w:lineRule="auto"/>
      <w:tabs>
        <w:tab w:val="left" w:pos="1050" w:leader="none"/>
        <w:tab w:val="right" w:pos="8937" w:leader="dot"/>
      </w:tabs>
    </w:pPr>
    <w:rPr>
      <w:rFonts w:ascii="宋体" w:hAnsi="宋体"/>
      <w:b/>
      <w:sz w:val="24"/>
    </w:rPr>
  </w:style>
  <w:style w:type="paragraph" w:styleId="1141">
    <w:name w:val="目录 4"/>
    <w:basedOn w:val="1088"/>
    <w:next w:val="1088"/>
    <w:link w:val="1088"/>
    <w:qFormat/>
    <w:pPr>
      <w:ind w:left="1260"/>
    </w:pPr>
  </w:style>
  <w:style w:type="paragraph" w:styleId="1142">
    <w:name w:val="目录 6"/>
    <w:basedOn w:val="1088"/>
    <w:next w:val="1088"/>
    <w:link w:val="1088"/>
    <w:qFormat/>
    <w:pPr>
      <w:ind w:left="2100"/>
    </w:pPr>
  </w:style>
  <w:style w:type="paragraph" w:styleId="1143">
    <w:name w:val="正文文本缩进 3"/>
    <w:basedOn w:val="1088"/>
    <w:next w:val="1143"/>
    <w:link w:val="1144"/>
    <w:qFormat/>
    <w:pPr>
      <w:ind w:left="720" w:firstLine="480"/>
      <w:jc w:val="left"/>
      <w:spacing w:before="120" w:line="22" w:lineRule="atLeast"/>
    </w:pPr>
    <w:rPr>
      <w:rFonts w:ascii="宋体"/>
      <w:sz w:val="24"/>
      <w:szCs w:val="20"/>
    </w:rPr>
  </w:style>
  <w:style w:type="character" w:styleId="1144">
    <w:name w:val="正文文本缩进 3 字符"/>
    <w:next w:val="1144"/>
    <w:link w:val="1143"/>
    <w:qFormat/>
    <w:rPr>
      <w:rFonts w:ascii="宋体"/>
      <w:sz w:val="24"/>
    </w:rPr>
  </w:style>
  <w:style w:type="paragraph" w:styleId="1145">
    <w:name w:val="目录 2"/>
    <w:basedOn w:val="1088"/>
    <w:next w:val="1088"/>
    <w:link w:val="1088"/>
    <w:uiPriority w:val="39"/>
    <w:qFormat/>
    <w:pPr>
      <w:ind w:left="420"/>
      <w:spacing w:line="312" w:lineRule="auto"/>
      <w:tabs>
        <w:tab w:val="right" w:pos="8937" w:leader="dot"/>
      </w:tabs>
    </w:pPr>
  </w:style>
  <w:style w:type="paragraph" w:styleId="1146">
    <w:name w:val="目录 9"/>
    <w:basedOn w:val="1088"/>
    <w:next w:val="1088"/>
    <w:link w:val="1088"/>
    <w:qFormat/>
    <w:pPr>
      <w:ind w:left="3360"/>
    </w:pPr>
  </w:style>
  <w:style w:type="paragraph" w:styleId="1147">
    <w:name w:val="HTML 预设格式"/>
    <w:basedOn w:val="1088"/>
    <w:next w:val="1147"/>
    <w:link w:val="11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8">
    <w:name w:val="HTML 预设格式 字符"/>
    <w:next w:val="1148"/>
    <w:link w:val="1147"/>
    <w:qFormat/>
    <w:rPr>
      <w:rFonts w:ascii="宋体" w:hAnsi="宋体" w:cs="宋体"/>
      <w:sz w:val="24"/>
      <w:szCs w:val="24"/>
    </w:rPr>
  </w:style>
  <w:style w:type="paragraph" w:styleId="1149">
    <w:name w:val="普通(网站)"/>
    <w:basedOn w:val="1088"/>
    <w:next w:val="1149"/>
    <w:link w:val="1088"/>
    <w:uiPriority w:val="99"/>
    <w:unhideWhenUsed/>
    <w:qFormat/>
    <w:pPr>
      <w:jc w:val="left"/>
      <w:spacing w:before="100" w:beforeAutospacing="1" w:after="100" w:afterAutospacing="1"/>
      <w:widowControl/>
    </w:pPr>
    <w:rPr>
      <w:rFonts w:ascii="宋体" w:hAnsi="宋体" w:cs="宋体"/>
      <w:sz w:val="24"/>
    </w:rPr>
  </w:style>
  <w:style w:type="paragraph" w:styleId="1150">
    <w:name w:val="索引 1"/>
    <w:basedOn w:val="1088"/>
    <w:next w:val="1088"/>
    <w:link w:val="1088"/>
    <w:qFormat/>
    <w:rPr>
      <w:szCs w:val="20"/>
    </w:rPr>
  </w:style>
  <w:style w:type="paragraph" w:styleId="1151">
    <w:name w:val="标题"/>
    <w:basedOn w:val="1088"/>
    <w:next w:val="1151"/>
    <w:link w:val="1152"/>
    <w:qFormat/>
    <w:pPr>
      <w:jc w:val="center"/>
      <w:outlineLvl w:val="0"/>
    </w:pPr>
    <w:rPr>
      <w:b/>
      <w:sz w:val="32"/>
      <w:szCs w:val="20"/>
    </w:rPr>
  </w:style>
  <w:style w:type="character" w:styleId="1152">
    <w:name w:val="标题 字符"/>
    <w:next w:val="1152"/>
    <w:link w:val="1151"/>
    <w:qFormat/>
    <w:rPr>
      <w:b/>
      <w:sz w:val="32"/>
    </w:rPr>
  </w:style>
  <w:style w:type="paragraph" w:styleId="1153">
    <w:name w:val="批注主题"/>
    <w:basedOn w:val="1115"/>
    <w:next w:val="1115"/>
    <w:link w:val="1154"/>
    <w:qFormat/>
    <w:rPr>
      <w:b/>
      <w:bCs/>
    </w:rPr>
  </w:style>
  <w:style w:type="character" w:styleId="1154">
    <w:name w:val="批注主题 字符"/>
    <w:next w:val="1154"/>
    <w:link w:val="1153"/>
    <w:qFormat/>
    <w:rPr>
      <w:rFonts w:ascii="Times New Roman" w:hAnsi="Times New Roman" w:eastAsia="宋体" w:cs="Times New Roman"/>
      <w:b/>
      <w:bCs/>
      <w:sz w:val="21"/>
      <w:szCs w:val="24"/>
      <w:lang w:val="en-US" w:eastAsia="zh-CN" w:bidi="ar-SA"/>
    </w:rPr>
  </w:style>
  <w:style w:type="paragraph" w:styleId="1155">
    <w:name w:val="正文首行缩进 2"/>
    <w:basedOn w:val="1121"/>
    <w:next w:val="1155"/>
    <w:link w:val="1156"/>
    <w:qFormat/>
    <w:pPr>
      <w:ind w:left="420" w:firstLine="420"/>
      <w:spacing w:after="120" w:line="480" w:lineRule="exact"/>
    </w:pPr>
    <w:rPr>
      <w:szCs w:val="20"/>
    </w:rPr>
  </w:style>
  <w:style w:type="character" w:styleId="1156">
    <w:name w:val="正文文本首行缩进 2 字符"/>
    <w:next w:val="1156"/>
    <w:link w:val="1155"/>
    <w:qFormat/>
    <w:rPr>
      <w:rFonts w:eastAsia="宋体"/>
      <w:sz w:val="24"/>
      <w:szCs w:val="24"/>
      <w:lang w:val="en-US" w:eastAsia="zh-CN" w:bidi="ar-SA"/>
    </w:rPr>
  </w:style>
  <w:style w:type="table" w:styleId="1157">
    <w:name w:val="网格型"/>
    <w:basedOn w:val="1099"/>
    <w:next w:val="1157"/>
    <w:link w:val="1088"/>
    <w:uiPriority w:val="39"/>
    <w:qFormat/>
    <w:tblPr/>
  </w:style>
  <w:style w:type="table" w:styleId="1158">
    <w:name w:val="中等深浅网格 1 - 强调文字颜色 2"/>
    <w:basedOn w:val="1099"/>
    <w:next w:val="1158"/>
    <w:link w:val="1088"/>
    <w:qFormat/>
    <w:rPr>
      <w:sz w:val="21"/>
      <w:szCs w:val="24"/>
    </w:rPr>
    <w:tblPr/>
  </w:style>
  <w:style w:type="character" w:styleId="1159">
    <w:name w:val="要点"/>
    <w:next w:val="1159"/>
    <w:link w:val="1088"/>
    <w:qFormat/>
    <w:rPr>
      <w:b/>
      <w:bCs/>
    </w:rPr>
  </w:style>
  <w:style w:type="character" w:styleId="1160">
    <w:name w:val="页码"/>
    <w:next w:val="1160"/>
    <w:link w:val="1088"/>
    <w:qFormat/>
  </w:style>
  <w:style w:type="character" w:styleId="1161">
    <w:name w:val="已访问的超链接"/>
    <w:next w:val="1161"/>
    <w:link w:val="1088"/>
    <w:qFormat/>
    <w:rPr>
      <w:color w:val="800080"/>
      <w:u w:val="single"/>
    </w:rPr>
  </w:style>
  <w:style w:type="character" w:styleId="1162">
    <w:name w:val="强调"/>
    <w:next w:val="1162"/>
    <w:link w:val="1088"/>
    <w:qFormat/>
    <w:rPr>
      <w:color w:val="cc0033"/>
    </w:rPr>
  </w:style>
  <w:style w:type="character" w:styleId="1163">
    <w:name w:val="超链接"/>
    <w:next w:val="1163"/>
    <w:link w:val="1088"/>
    <w:uiPriority w:val="99"/>
    <w:qFormat/>
    <w:rPr>
      <w:color w:val="0000ff"/>
      <w:u w:val="single"/>
    </w:rPr>
  </w:style>
  <w:style w:type="character" w:styleId="1164">
    <w:name w:val="批注引用"/>
    <w:next w:val="1164"/>
    <w:link w:val="1088"/>
    <w:uiPriority w:val="99"/>
    <w:qFormat/>
    <w:rPr>
      <w:sz w:val="21"/>
      <w:szCs w:val="21"/>
    </w:rPr>
  </w:style>
  <w:style w:type="character" w:styleId="1165">
    <w:name w:val="HTML 引文"/>
    <w:next w:val="1165"/>
    <w:link w:val="1088"/>
    <w:qFormat/>
    <w:rPr>
      <w:i/>
      <w:iCs/>
    </w:rPr>
  </w:style>
  <w:style w:type="character" w:styleId="1166">
    <w:name w:val="批注文字 字符"/>
    <w:next w:val="1166"/>
    <w:link w:val="1088"/>
    <w:uiPriority w:val="99"/>
    <w:qFormat/>
    <w:rPr>
      <w:rFonts w:ascii="Times New Roman" w:hAnsi="Times New Roman" w:eastAsia="宋体" w:cs="Times New Roman"/>
      <w:sz w:val="24"/>
      <w:lang w:val="en-US" w:eastAsia="zh-CN" w:bidi="ar-SA"/>
    </w:rPr>
  </w:style>
  <w:style w:type="character" w:styleId="1167">
    <w:name w:val="c21"/>
    <w:next w:val="1167"/>
    <w:link w:val="1088"/>
    <w:qFormat/>
    <w:rPr>
      <w:rFonts w:ascii="ˎ̥" w:hAnsi="ˎ̥"/>
      <w:color w:val="000000"/>
      <w:sz w:val="20"/>
      <w:szCs w:val="20"/>
      <w:u w:val="none"/>
    </w:rPr>
  </w:style>
  <w:style w:type="character" w:styleId="1168">
    <w:name w:val="title4"/>
    <w:next w:val="1168"/>
    <w:link w:val="1088"/>
    <w:qFormat/>
    <w:rPr>
      <w:b/>
      <w:bCs/>
      <w:color w:val="1d87b3"/>
      <w:sz w:val="15"/>
      <w:szCs w:val="15"/>
    </w:rPr>
  </w:style>
  <w:style w:type="character" w:styleId="1169">
    <w:name w:val="标题 2 Char Char"/>
    <w:next w:val="1169"/>
    <w:link w:val="1088"/>
    <w:qFormat/>
    <w:rPr>
      <w:rFonts w:ascii="Arial" w:hAnsi="Arial" w:eastAsia="黑体"/>
      <w:b/>
      <w:bCs/>
      <w:sz w:val="32"/>
      <w:szCs w:val="32"/>
      <w:lang w:val="en-US" w:eastAsia="zh-CN" w:bidi="ar-SA"/>
    </w:rPr>
  </w:style>
  <w:style w:type="character" w:styleId="1170">
    <w:name w:val="black1"/>
    <w:next w:val="1170"/>
    <w:link w:val="1088"/>
    <w:qFormat/>
    <w:rPr>
      <w:color w:val="000000"/>
    </w:rPr>
  </w:style>
  <w:style w:type="character" w:styleId="1171">
    <w:name w:val="street-address"/>
    <w:next w:val="1171"/>
    <w:link w:val="1088"/>
    <w:qFormat/>
  </w:style>
  <w:style w:type="character" w:styleId="1172">
    <w:name w:val="locality"/>
    <w:next w:val="1172"/>
    <w:link w:val="1088"/>
    <w:qFormat/>
  </w:style>
  <w:style w:type="character" w:styleId="1173">
    <w:name w:val="正文文本缩进 Char1"/>
    <w:next w:val="1173"/>
    <w:link w:val="1174"/>
    <w:qFormat/>
    <w:rPr>
      <w:rFonts w:ascii="宋体" w:hAnsi="宋体" w:eastAsia="宋体"/>
      <w:sz w:val="24"/>
      <w:szCs w:val="24"/>
      <w:lang w:bidi="ar-SA"/>
    </w:rPr>
  </w:style>
  <w:style w:type="paragraph" w:styleId="1174">
    <w:name w:val="正文文本缩进1"/>
    <w:basedOn w:val="1088"/>
    <w:next w:val="1174"/>
    <w:link w:val="1173"/>
    <w:qFormat/>
    <w:pPr>
      <w:ind w:firstLine="480"/>
      <w:spacing w:line="480" w:lineRule="exact"/>
    </w:pPr>
    <w:rPr>
      <w:rFonts w:ascii="宋体" w:hAnsi="宋体"/>
      <w:sz w:val="24"/>
    </w:rPr>
  </w:style>
  <w:style w:type="character" w:styleId="1175">
    <w:name w:val="Char Char11"/>
    <w:next w:val="1175"/>
    <w:link w:val="1088"/>
    <w:qFormat/>
    <w:rPr>
      <w:rFonts w:ascii="宋体" w:eastAsia="宋体"/>
      <w:b/>
      <w:sz w:val="24"/>
      <w:u w:val="single"/>
      <w:lang w:val="en-US" w:eastAsia="zh-CN" w:bidi="ar-SA"/>
    </w:rPr>
  </w:style>
  <w:style w:type="character" w:styleId="1176">
    <w:name w:val="txt"/>
    <w:next w:val="1176"/>
    <w:link w:val="1088"/>
    <w:qFormat/>
  </w:style>
  <w:style w:type="character" w:styleId="1177">
    <w:name w:val="正文缩进 Char Char"/>
    <w:next w:val="1177"/>
    <w:link w:val="1178"/>
    <w:qFormat/>
    <w:rPr>
      <w:rFonts w:ascii="宋体" w:eastAsia="宋体"/>
      <w:color w:val="000000"/>
      <w:sz w:val="28"/>
      <w:lang w:bidi="ar-SA"/>
    </w:rPr>
  </w:style>
  <w:style w:type="paragraph" w:styleId="1178">
    <w:name w:val="正文缩进1"/>
    <w:basedOn w:val="1088"/>
    <w:next w:val="1178"/>
    <w:link w:val="1177"/>
    <w:qFormat/>
    <w:pPr>
      <w:ind w:firstLine="567"/>
      <w:spacing w:line="480" w:lineRule="exact"/>
      <w:widowControl/>
    </w:pPr>
    <w:rPr>
      <w:rFonts w:ascii="宋体"/>
      <w:color w:val="000000"/>
      <w:sz w:val="28"/>
      <w:szCs w:val="20"/>
    </w:rPr>
  </w:style>
  <w:style w:type="character" w:styleId="1179">
    <w:name w:val="普通文字1 Char1"/>
    <w:next w:val="1179"/>
    <w:link w:val="1088"/>
    <w:qFormat/>
    <w:rPr>
      <w:rFonts w:ascii="宋体" w:hAnsi="Courier New" w:eastAsia="宋体"/>
      <w:sz w:val="21"/>
      <w:lang w:val="en-US" w:eastAsia="zh-CN" w:bidi="ar-SA"/>
    </w:rPr>
  </w:style>
  <w:style w:type="character" w:styleId="1180">
    <w:name w:val="chanpin1"/>
    <w:next w:val="1180"/>
    <w:link w:val="1088"/>
    <w:qFormat/>
    <w:rPr>
      <w:rFonts w:ascii="ˎ̥" w:hAnsi="ˎ̥"/>
      <w:color w:val="000000"/>
      <w:sz w:val="20"/>
      <w:szCs w:val="20"/>
      <w:u w:val="none"/>
    </w:rPr>
  </w:style>
  <w:style w:type="character" w:styleId="1181">
    <w:name w:val="列表段落 字符"/>
    <w:next w:val="1181"/>
    <w:link w:val="1182"/>
    <w:uiPriority w:val="34"/>
    <w:qFormat/>
    <w:rPr>
      <w:rFonts w:ascii="Calibri" w:hAnsi="Calibri" w:eastAsia="宋体"/>
      <w:sz w:val="21"/>
      <w:szCs w:val="22"/>
      <w:lang w:val="en-US" w:eastAsia="zh-CN" w:bidi="ar-SA"/>
    </w:rPr>
  </w:style>
  <w:style w:type="paragraph" w:styleId="1182">
    <w:name w:val="列表段落"/>
    <w:basedOn w:val="1088"/>
    <w:next w:val="1182"/>
    <w:link w:val="1181"/>
    <w:uiPriority w:val="34"/>
    <w:qFormat/>
    <w:pPr>
      <w:ind w:firstLine="420"/>
    </w:pPr>
    <w:rPr>
      <w:rFonts w:ascii="Calibri" w:hAnsi="Calibri"/>
      <w:szCs w:val="22"/>
    </w:rPr>
  </w:style>
  <w:style w:type="character" w:styleId="1183">
    <w:name w:val="标题 3 Char Char"/>
    <w:next w:val="1183"/>
    <w:link w:val="1088"/>
    <w:qFormat/>
    <w:rPr>
      <w:rFonts w:eastAsia="宋体"/>
      <w:b/>
      <w:bCs/>
      <w:sz w:val="32"/>
      <w:szCs w:val="32"/>
      <w:lang w:val="en-US" w:eastAsia="zh-CN" w:bidi="ar-SA"/>
    </w:rPr>
  </w:style>
  <w:style w:type="character" w:styleId="1184">
    <w:name w:val="段1 Char"/>
    <w:next w:val="1184"/>
    <w:link w:val="1088"/>
    <w:qFormat/>
    <w:rPr>
      <w:rFonts w:ascii="宋体" w:eastAsia="宋体"/>
      <w:sz w:val="24"/>
      <w:lang w:val="en-US" w:eastAsia="zh-CN" w:bidi="ar-SA"/>
    </w:rPr>
  </w:style>
  <w:style w:type="character" w:styleId="1185">
    <w:name w:val="chanpin拷贝"/>
    <w:next w:val="1185"/>
    <w:link w:val="1088"/>
    <w:qFormat/>
  </w:style>
  <w:style w:type="character" w:styleId="1186">
    <w:name w:val="纯文本 Char1"/>
    <w:next w:val="1186"/>
    <w:link w:val="1088"/>
    <w:uiPriority w:val="99"/>
    <w:qFormat/>
    <w:rPr>
      <w:rFonts w:ascii="宋体" w:hAnsi="Courier New" w:eastAsia="宋体"/>
      <w:sz w:val="21"/>
      <w:lang w:val="en-US" w:eastAsia="zh-CN" w:bidi="ar-SA"/>
    </w:rPr>
  </w:style>
  <w:style w:type="character" w:styleId="1187">
    <w:name w:val="apple-style-span"/>
    <w:next w:val="1187"/>
    <w:link w:val="1088"/>
    <w:qFormat/>
    <w:rPr>
      <w:rFonts w:cs="Times New Roman"/>
    </w:rPr>
  </w:style>
  <w:style w:type="paragraph" w:styleId="1188">
    <w:name w:val="二级条标题"/>
    <w:basedOn w:val="1189"/>
    <w:next w:val="1088"/>
    <w:link w:val="1088"/>
    <w:qFormat/>
    <w:pPr>
      <w:numPr>
        <w:ilvl w:val="0"/>
        <w:numId w:val="0"/>
      </w:numPr>
      <w:ind w:hanging="840"/>
      <w:tabs>
        <w:tab w:val="left" w:pos="360" w:leader="none"/>
        <w:tab w:val="left" w:pos="840" w:leader="none"/>
      </w:tabs>
      <w:outlineLvl w:val="2"/>
    </w:pPr>
    <w:rPr>
      <w:rFonts w:ascii="宋体" w:eastAsia="宋体"/>
      <w:b w:val="0"/>
    </w:rPr>
  </w:style>
  <w:style w:type="paragraph" w:styleId="1189">
    <w:name w:val="一级条标题"/>
    <w:basedOn w:val="1190"/>
    <w:next w:val="1088"/>
    <w:link w:val="1088"/>
    <w:qFormat/>
    <w:pPr>
      <w:numPr>
        <w:ilvl w:val="1"/>
      </w:numPr>
      <w:ind w:left="0" w:hanging="840"/>
      <w:tabs>
        <w:tab w:val="left" w:pos="360" w:leader="none"/>
        <w:tab w:val="left" w:pos="840" w:leader="none"/>
      </w:tabs>
      <w:outlineLvl w:val="1"/>
    </w:pPr>
  </w:style>
  <w:style w:type="paragraph" w:styleId="1190">
    <w:name w:val="章标题"/>
    <w:next w:val="1088"/>
    <w:link w:val="10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91">
    <w:name w:val="font7"/>
    <w:basedOn w:val="1088"/>
    <w:next w:val="1191"/>
    <w:link w:val="1088"/>
    <w:qFormat/>
    <w:pPr>
      <w:jc w:val="left"/>
      <w:spacing w:before="100" w:beforeAutospacing="1" w:after="100" w:afterAutospacing="1"/>
      <w:widowControl/>
    </w:pPr>
    <w:rPr>
      <w:rFonts w:eastAsia="Arial Unicode MS"/>
      <w:b/>
      <w:bCs/>
      <w:color w:val="000000"/>
      <w:sz w:val="20"/>
      <w:szCs w:val="20"/>
    </w:rPr>
  </w:style>
  <w:style w:type="paragraph" w:styleId="1192">
    <w:name w:val="字元 字元"/>
    <w:basedOn w:val="1088"/>
    <w:next w:val="1192"/>
    <w:link w:val="1088"/>
    <w:qFormat/>
    <w:rPr>
      <w:rFonts w:ascii="Tahoma" w:hAnsi="Tahoma"/>
      <w:sz w:val="24"/>
      <w:szCs w:val="20"/>
    </w:rPr>
  </w:style>
  <w:style w:type="paragraph" w:styleId="1193">
    <w:name w:val="Char3 Char Char Char"/>
    <w:basedOn w:val="1088"/>
    <w:next w:val="1193"/>
    <w:link w:val="1088"/>
    <w:qFormat/>
    <w:rPr>
      <w:rFonts w:ascii="Tahoma" w:hAnsi="Tahoma"/>
      <w:sz w:val="24"/>
      <w:szCs w:val="20"/>
    </w:rPr>
  </w:style>
  <w:style w:type="paragraph" w:styleId="1194">
    <w:name w:val="font6"/>
    <w:basedOn w:val="1088"/>
    <w:next w:val="1194"/>
    <w:link w:val="1088"/>
    <w:qFormat/>
    <w:pPr>
      <w:jc w:val="left"/>
      <w:spacing w:before="100" w:beforeAutospacing="1" w:after="100" w:afterAutospacing="1"/>
      <w:widowControl/>
    </w:pPr>
    <w:rPr>
      <w:rFonts w:ascii="宋体" w:hAnsi="宋体" w:cs="宋体"/>
      <w:sz w:val="20"/>
      <w:szCs w:val="20"/>
    </w:rPr>
  </w:style>
  <w:style w:type="paragraph" w:styleId="1195">
    <w:name w:val="项目编号2"/>
    <w:basedOn w:val="1196"/>
    <w:next w:val="1195"/>
    <w:link w:val="1088"/>
    <w:qFormat/>
    <w:pPr>
      <w:numPr>
        <w:numId w:val="3"/>
      </w:numPr>
    </w:pPr>
  </w:style>
  <w:style w:type="paragraph" w:styleId="1196">
    <w:name w:val="项目编号1"/>
    <w:basedOn w:val="1088"/>
    <w:next w:val="1196"/>
    <w:link w:val="1088"/>
    <w:qFormat/>
    <w:pPr>
      <w:numPr>
        <w:ilvl w:val="0"/>
        <w:numId w:val="2"/>
      </w:numPr>
      <w:spacing w:before="100" w:beforeAutospacing="1" w:after="100" w:afterAutospacing="1" w:line="360" w:lineRule="auto"/>
    </w:pPr>
    <w:rPr>
      <w:sz w:val="24"/>
    </w:rPr>
  </w:style>
  <w:style w:type="paragraph" w:styleId="1197">
    <w:name w:val="图中文字"/>
    <w:basedOn w:val="1088"/>
    <w:next w:val="1197"/>
    <w:link w:val="1088"/>
    <w:qFormat/>
    <w:pPr>
      <w:jc w:val="center"/>
      <w:spacing w:line="0" w:lineRule="atLeast"/>
    </w:pPr>
    <w:rPr>
      <w:sz w:val="24"/>
      <w:szCs w:val="20"/>
    </w:rPr>
  </w:style>
  <w:style w:type="paragraph" w:styleId="1198">
    <w:name w:val="xl46"/>
    <w:basedOn w:val="1088"/>
    <w:next w:val="1198"/>
    <w:link w:val="10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xl25"/>
    <w:basedOn w:val="1088"/>
    <w:next w:val="1199"/>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2"/>
    <w:basedOn w:val="1088"/>
    <w:next w:val="1200"/>
    <w:link w:val="1088"/>
    <w:qFormat/>
    <w:rPr>
      <w:rFonts w:ascii="Tahoma" w:hAnsi="Tahoma"/>
      <w:sz w:val="24"/>
      <w:szCs w:val="20"/>
    </w:rPr>
  </w:style>
  <w:style w:type="paragraph" w:styleId="1201">
    <w:name w:val="xl35"/>
    <w:basedOn w:val="1088"/>
    <w:next w:val="1201"/>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xl40"/>
    <w:basedOn w:val="1088"/>
    <w:next w:val="1202"/>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52"/>
    <w:basedOn w:val="1088"/>
    <w:next w:val="120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4">
    <w:name w:val="xl43"/>
    <w:basedOn w:val="1088"/>
    <w:next w:val="1204"/>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background1"/>
    <w:basedOn w:val="1088"/>
    <w:next w:val="1205"/>
    <w:link w:val="1088"/>
    <w:qFormat/>
    <w:pPr>
      <w:jc w:val="left"/>
      <w:spacing w:before="100" w:beforeAutospacing="1" w:after="100" w:afterAutospacing="1"/>
      <w:widowControl/>
    </w:pPr>
    <w:rPr>
      <w:rFonts w:ascii="宋体" w:hAnsi="宋体" w:cs="宋体"/>
      <w:sz w:val="24"/>
    </w:rPr>
  </w:style>
  <w:style w:type="paragraph" w:styleId="1206">
    <w:name w:val="Char Char Char Char Char Char Char"/>
    <w:basedOn w:val="1088"/>
    <w:next w:val="1206"/>
    <w:link w:val="1088"/>
    <w:qFormat/>
    <w:pPr>
      <w:ind w:firstLine="200"/>
      <w:spacing w:line="360" w:lineRule="auto"/>
    </w:pPr>
    <w:rPr>
      <w:rFonts w:eastAsia="仿宋_GB2312"/>
      <w:sz w:val="24"/>
    </w:rPr>
  </w:style>
  <w:style w:type="paragraph" w:styleId="1207">
    <w:name w:val="xl38"/>
    <w:basedOn w:val="1088"/>
    <w:next w:val="120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8">
    <w:name w:val="xl36"/>
    <w:basedOn w:val="1088"/>
    <w:next w:val="1208"/>
    <w:link w:val="10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9">
    <w:name w:val="正文 + 宋体"/>
    <w:basedOn w:val="1088"/>
    <w:next w:val="1209"/>
    <w:link w:val="1088"/>
    <w:qFormat/>
    <w:pPr>
      <w:ind w:left="360" w:hanging="360"/>
      <w:jc w:val="left"/>
      <w:widowControl/>
    </w:pPr>
    <w:rPr>
      <w:rFonts w:ascii="宋体" w:hAnsi="宋体" w:cs="宋体"/>
      <w:b/>
      <w:bCs/>
      <w:color w:val="000000"/>
      <w:sz w:val="18"/>
      <w:szCs w:val="18"/>
    </w:rPr>
  </w:style>
  <w:style w:type="paragraph" w:styleId="1210">
    <w:name w:val="正文列项_数字"/>
    <w:basedOn w:val="1088"/>
    <w:next w:val="1210"/>
    <w:link w:val="1088"/>
    <w:qFormat/>
    <w:pPr>
      <w:numPr>
        <w:ilvl w:val="7"/>
        <w:numId w:val="1"/>
      </w:numPr>
      <w:ind w:left="680" w:hanging="150"/>
      <w:spacing w:line="460" w:lineRule="exact"/>
      <w:tabs>
        <w:tab w:val="clear" w:pos="860" w:leader="none"/>
      </w:tabs>
      <w:outlineLvl w:val="7"/>
    </w:pPr>
    <w:rPr>
      <w:rFonts w:ascii="宋体"/>
      <w:sz w:val="28"/>
      <w:szCs w:val="20"/>
    </w:rPr>
  </w:style>
  <w:style w:type="paragraph" w:styleId="1211">
    <w:name w:val="xl39"/>
    <w:basedOn w:val="1088"/>
    <w:next w:val="121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xl37"/>
    <w:basedOn w:val="1088"/>
    <w:next w:val="1212"/>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xl32"/>
    <w:basedOn w:val="1088"/>
    <w:next w:val="121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font8"/>
    <w:basedOn w:val="1088"/>
    <w:next w:val="1214"/>
    <w:link w:val="1088"/>
    <w:qFormat/>
    <w:pPr>
      <w:jc w:val="left"/>
      <w:spacing w:before="100" w:beforeAutospacing="1" w:after="100" w:afterAutospacing="1"/>
      <w:widowControl/>
    </w:pPr>
    <w:rPr>
      <w:sz w:val="36"/>
      <w:szCs w:val="36"/>
    </w:rPr>
  </w:style>
  <w:style w:type="paragraph" w:styleId="1215">
    <w:name w:val="Char"/>
    <w:basedOn w:val="1088"/>
    <w:next w:val="1215"/>
    <w:link w:val="1088"/>
    <w:qFormat/>
    <w:pPr>
      <w:tabs>
        <w:tab w:val="left" w:pos="360" w:leader="none"/>
      </w:tabs>
    </w:pPr>
    <w:rPr>
      <w:sz w:val="24"/>
    </w:rPr>
  </w:style>
  <w:style w:type="paragraph" w:styleId="1216">
    <w:name w:val="Char Char Char Char Char Char Char Char Char Char Char Char Char Char Char Char"/>
    <w:basedOn w:val="1088"/>
    <w:next w:val="1216"/>
    <w:link w:val="1088"/>
    <w:qFormat/>
    <w:pPr>
      <w:jc w:val="center"/>
      <w:spacing w:after="160" w:line="240" w:lineRule="exact"/>
      <w:widowControl/>
    </w:pPr>
    <w:rPr>
      <w:rFonts w:ascii="宋体" w:hAnsi="宋体"/>
      <w:b/>
      <w:sz w:val="30"/>
      <w:szCs w:val="30"/>
      <w:lang w:eastAsia="en-US"/>
    </w:rPr>
  </w:style>
  <w:style w:type="paragraph" w:styleId="1217">
    <w:name w:val="xl45"/>
    <w:basedOn w:val="1088"/>
    <w:next w:val="1217"/>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name w:val="Char Char1 Char Char Char Char Char Char"/>
    <w:basedOn w:val="1088"/>
    <w:next w:val="1218"/>
    <w:link w:val="1088"/>
    <w:qFormat/>
    <w:pPr>
      <w:jc w:val="left"/>
      <w:spacing w:after="160" w:line="240" w:lineRule="exact"/>
      <w:widowControl/>
    </w:pPr>
    <w:rPr>
      <w:rFonts w:ascii="Verdana" w:hAnsi="Verdana" w:eastAsia="仿宋_GB2312"/>
      <w:sz w:val="24"/>
      <w:szCs w:val="20"/>
      <w:lang w:eastAsia="en-US"/>
    </w:rPr>
  </w:style>
  <w:style w:type="paragraph" w:styleId="1219">
    <w:name w:val="Char Char1"/>
    <w:basedOn w:val="1113"/>
    <w:next w:val="1219"/>
    <w:link w:val="1088"/>
    <w:qFormat/>
    <w:rPr>
      <w:rFonts w:ascii="Tahoma" w:hAnsi="Tahoma"/>
      <w:sz w:val="24"/>
    </w:rPr>
  </w:style>
  <w:style w:type="paragraph" w:styleId="1220">
    <w:name w:val="xl26"/>
    <w:basedOn w:val="1088"/>
    <w:next w:val="1220"/>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1">
    <w:name w:val="xl30"/>
    <w:basedOn w:val="1088"/>
    <w:next w:val="122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name w:val="xl41"/>
    <w:basedOn w:val="1088"/>
    <w:next w:val="1222"/>
    <w:link w:val="10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3">
    <w:name w:val="样式 宋体 五号 行距: 单倍行距"/>
    <w:basedOn w:val="1088"/>
    <w:next w:val="1223"/>
    <w:link w:val="1088"/>
    <w:qFormat/>
    <w:pPr>
      <w:jc w:val="left"/>
    </w:pPr>
    <w:rPr>
      <w:rFonts w:ascii="宋体" w:hAnsi="宋体"/>
      <w:szCs w:val="20"/>
    </w:rPr>
  </w:style>
  <w:style w:type="paragraph" w:styleId="1224">
    <w:name w:val="Char1 Char Char Char1"/>
    <w:basedOn w:val="1088"/>
    <w:next w:val="1224"/>
    <w:link w:val="1088"/>
    <w:qFormat/>
    <w:rPr>
      <w:rFonts w:ascii="Tahoma" w:hAnsi="Tahoma" w:cs="仿宋_GB2312"/>
      <w:sz w:val="24"/>
      <w:szCs w:val="28"/>
    </w:rPr>
  </w:style>
  <w:style w:type="paragraph" w:styleId="1225">
    <w:name w:val="四级条标题"/>
    <w:basedOn w:val="1226"/>
    <w:next w:val="1088"/>
    <w:link w:val="1088"/>
    <w:qFormat/>
    <w:pPr>
      <w:numPr>
        <w:ilvl w:val="4"/>
      </w:numPr>
      <w:ind w:left="0" w:hanging="840"/>
      <w:tabs>
        <w:tab w:val="left" w:pos="360" w:leader="none"/>
        <w:tab w:val="left" w:pos="840" w:leader="none"/>
      </w:tabs>
      <w:outlineLvl w:val="4"/>
    </w:pPr>
  </w:style>
  <w:style w:type="paragraph" w:styleId="1226">
    <w:name w:val="三级条标题"/>
    <w:basedOn w:val="1188"/>
    <w:next w:val="1088"/>
    <w:link w:val="1088"/>
    <w:qFormat/>
    <w:pPr>
      <w:numPr>
        <w:ilvl w:val="3"/>
        <w:numId w:val="1"/>
      </w:numPr>
      <w:ind w:left="0" w:hanging="840"/>
      <w:tabs>
        <w:tab w:val="left" w:pos="360" w:leader="none"/>
        <w:tab w:val="left" w:pos="840" w:leader="none"/>
      </w:tabs>
      <w:outlineLvl w:val="3"/>
    </w:pPr>
  </w:style>
  <w:style w:type="paragraph" w:styleId="1227">
    <w:name w:val="??"/>
    <w:next w:val="1227"/>
    <w:link w:val="1088"/>
    <w:qFormat/>
    <w:pPr>
      <w:jc w:val="both"/>
      <w:widowControl w:val="off"/>
    </w:pPr>
    <w:rPr>
      <w:sz w:val="21"/>
      <w:lang w:val="en-US" w:eastAsia="en-US" w:bidi="ar-SA"/>
    </w:rPr>
  </w:style>
  <w:style w:type="paragraph" w:styleId="1228">
    <w:name w:val="样式 标题 2 + 宋体 五号 行距: 单倍行距"/>
    <w:basedOn w:val="1090"/>
    <w:next w:val="1228"/>
    <w:link w:val="10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9">
    <w:name w:val="List Paragraph1"/>
    <w:basedOn w:val="1088"/>
    <w:next w:val="1229"/>
    <w:link w:val="1088"/>
    <w:qFormat/>
    <w:pPr>
      <w:ind w:firstLine="420"/>
    </w:pPr>
    <w:rPr>
      <w:rFonts w:ascii="Calibri" w:hAnsi="Calibri"/>
      <w:szCs w:val="22"/>
    </w:rPr>
  </w:style>
  <w:style w:type="paragraph" w:styleId="1230">
    <w:name w:val="项目符号1"/>
    <w:basedOn w:val="1231"/>
    <w:next w:val="1230"/>
    <w:link w:val="1088"/>
    <w:qFormat/>
    <w:pPr>
      <w:ind w:left="-25" w:firstLine="0"/>
    </w:pPr>
  </w:style>
  <w:style w:type="paragraph" w:styleId="1231">
    <w:name w:val="正文文本样式"/>
    <w:basedOn w:val="1088"/>
    <w:next w:val="1231"/>
    <w:link w:val="1088"/>
    <w:qFormat/>
    <w:pPr>
      <w:ind w:firstLine="482"/>
      <w:spacing w:line="360" w:lineRule="auto"/>
    </w:pPr>
    <w:rPr>
      <w:rFonts w:cs="宋体"/>
      <w:sz w:val="24"/>
      <w:szCs w:val="20"/>
    </w:rPr>
  </w:style>
  <w:style w:type="paragraph" w:styleId="1232">
    <w:name w:val="xl27"/>
    <w:basedOn w:val="1088"/>
    <w:next w:val="123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font5"/>
    <w:basedOn w:val="1088"/>
    <w:next w:val="1233"/>
    <w:link w:val="1088"/>
    <w:qFormat/>
    <w:pPr>
      <w:jc w:val="left"/>
      <w:spacing w:before="100" w:beforeAutospacing="1" w:after="100" w:afterAutospacing="1"/>
      <w:widowControl/>
    </w:pPr>
    <w:rPr>
      <w:rFonts w:ascii="宋体" w:hAnsi="宋体" w:cs="宋体"/>
      <w:sz w:val="18"/>
      <w:szCs w:val="18"/>
    </w:rPr>
  </w:style>
  <w:style w:type="paragraph" w:styleId="1234">
    <w:name w:val="五级条标题"/>
    <w:basedOn w:val="1225"/>
    <w:next w:val="1088"/>
    <w:link w:val="1088"/>
    <w:qFormat/>
    <w:pPr>
      <w:numPr>
        <w:ilvl w:val="5"/>
      </w:numPr>
      <w:ind w:left="0" w:hanging="840"/>
      <w:tabs>
        <w:tab w:val="left" w:pos="360" w:leader="none"/>
        <w:tab w:val="left" w:pos="840" w:leader="none"/>
      </w:tabs>
      <w:outlineLvl w:val="5"/>
    </w:pPr>
  </w:style>
  <w:style w:type="paragraph" w:styleId="1235">
    <w:name w:val="xl49"/>
    <w:basedOn w:val="1088"/>
    <w:next w:val="1235"/>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6">
    <w:name w:val="文档正文"/>
    <w:basedOn w:val="1088"/>
    <w:next w:val="1236"/>
    <w:link w:val="1088"/>
    <w:qFormat/>
    <w:pPr>
      <w:spacing w:before="120" w:after="120" w:line="180" w:lineRule="auto"/>
    </w:pPr>
    <w:rPr>
      <w:rFonts w:ascii="Arial" w:hAnsi="Arial"/>
      <w:szCs w:val="20"/>
    </w:rPr>
  </w:style>
  <w:style w:type="paragraph" w:styleId="1237">
    <w:name w:val="xl33"/>
    <w:basedOn w:val="1088"/>
    <w:next w:val="123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42"/>
    <w:basedOn w:val="1088"/>
    <w:next w:val="123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9">
    <w:name w:val="Char Char Char1 Char"/>
    <w:basedOn w:val="1088"/>
    <w:next w:val="1239"/>
    <w:link w:val="1088"/>
    <w:qFormat/>
    <w:rPr>
      <w:rFonts w:ascii="Tahoma" w:hAnsi="Tahoma"/>
      <w:sz w:val="24"/>
      <w:szCs w:val="20"/>
    </w:rPr>
  </w:style>
  <w:style w:type="paragraph" w:styleId="1240">
    <w:name w:val="xl44"/>
    <w:basedOn w:val="1088"/>
    <w:next w:val="1240"/>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1">
    <w:name w:val="1名"/>
    <w:basedOn w:val="1088"/>
    <w:next w:val="1241"/>
    <w:link w:val="1088"/>
    <w:qFormat/>
    <w:pPr>
      <w:numPr>
        <w:ilvl w:val="0"/>
        <w:numId w:val="5"/>
      </w:numPr>
      <w:spacing w:before="120"/>
      <w:tabs>
        <w:tab w:val="left" w:pos="360" w:leader="none"/>
      </w:tabs>
    </w:pPr>
    <w:rPr>
      <w:rFonts w:ascii="宋体"/>
      <w:sz w:val="28"/>
      <w:szCs w:val="20"/>
    </w:rPr>
  </w:style>
  <w:style w:type="paragraph" w:styleId="1242">
    <w:name w:val="font9"/>
    <w:basedOn w:val="1088"/>
    <w:next w:val="1242"/>
    <w:link w:val="1088"/>
    <w:qFormat/>
    <w:pPr>
      <w:jc w:val="left"/>
      <w:spacing w:before="100" w:beforeAutospacing="1" w:after="100" w:afterAutospacing="1"/>
      <w:widowControl/>
    </w:pPr>
    <w:rPr>
      <w:rFonts w:hint="eastAsia" w:ascii="宋体" w:hAnsi="宋体" w:cs="Arial Unicode MS"/>
      <w:color w:val="000000"/>
      <w:sz w:val="20"/>
      <w:szCs w:val="20"/>
    </w:rPr>
  </w:style>
  <w:style w:type="paragraph" w:styleId="1243">
    <w:name w:val="Char Char Char1 Char1"/>
    <w:basedOn w:val="1088"/>
    <w:next w:val="1243"/>
    <w:link w:val="1088"/>
    <w:qFormat/>
    <w:rPr>
      <w:rFonts w:ascii="Tahoma" w:hAnsi="Tahoma"/>
      <w:sz w:val="24"/>
      <w:szCs w:val="20"/>
    </w:rPr>
  </w:style>
  <w:style w:type="paragraph" w:styleId="1244">
    <w:name w:val="Char Char Char Char Char Char Char Char Char Char"/>
    <w:basedOn w:val="1088"/>
    <w:next w:val="1244"/>
    <w:link w:val="1088"/>
    <w:qFormat/>
  </w:style>
  <w:style w:type="paragraph" w:styleId="1245">
    <w:name w:val="Char Char1 Char Char Char Char Char Char Char Char"/>
    <w:basedOn w:val="1088"/>
    <w:next w:val="1245"/>
    <w:link w:val="1088"/>
    <w:qFormat/>
    <w:pPr>
      <w:jc w:val="left"/>
      <w:spacing w:after="160" w:line="240" w:lineRule="exact"/>
      <w:widowControl/>
    </w:pPr>
    <w:rPr>
      <w:rFonts w:ascii="Verdana" w:hAnsi="Verdana"/>
      <w:sz w:val="20"/>
      <w:szCs w:val="20"/>
      <w:lang w:eastAsia="en-US"/>
    </w:rPr>
  </w:style>
  <w:style w:type="paragraph" w:styleId="1246">
    <w:name w:val="Char1"/>
    <w:basedOn w:val="1088"/>
    <w:next w:val="1246"/>
    <w:link w:val="1088"/>
    <w:qFormat/>
    <w:pPr>
      <w:tabs>
        <w:tab w:val="left" w:pos="360" w:leader="none"/>
      </w:tabs>
    </w:pPr>
    <w:rPr>
      <w:sz w:val="24"/>
    </w:rPr>
  </w:style>
  <w:style w:type="paragraph" w:styleId="1247">
    <w:name w:val="正文列项_字母"/>
    <w:basedOn w:val="1088"/>
    <w:next w:val="1247"/>
    <w:link w:val="1088"/>
    <w:qFormat/>
    <w:pPr>
      <w:numPr>
        <w:ilvl w:val="6"/>
        <w:numId w:val="1"/>
      </w:numPr>
      <w:ind w:left="480" w:hanging="180"/>
      <w:spacing w:line="460" w:lineRule="exact"/>
      <w:tabs>
        <w:tab w:val="clear" w:pos="635" w:leader="none"/>
      </w:tabs>
      <w:outlineLvl w:val="6"/>
    </w:pPr>
    <w:rPr>
      <w:rFonts w:ascii="宋体"/>
      <w:sz w:val="28"/>
      <w:szCs w:val="20"/>
    </w:rPr>
  </w:style>
  <w:style w:type="paragraph" w:styleId="1248">
    <w:name w:val="xl28"/>
    <w:basedOn w:val="1088"/>
    <w:next w:val="124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name w:val="xl47"/>
    <w:basedOn w:val="1088"/>
    <w:next w:val="1249"/>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默认段落字体 Para Char Char Char Char"/>
    <w:basedOn w:val="1088"/>
    <w:next w:val="1250"/>
    <w:link w:val="1088"/>
    <w:qFormat/>
    <w:rPr>
      <w:rFonts w:ascii="Arial" w:hAnsi="Arial" w:cs="Arial"/>
      <w:szCs w:val="21"/>
    </w:rPr>
  </w:style>
  <w:style w:type="paragraph" w:styleId="1251">
    <w:name w:val="xl48"/>
    <w:basedOn w:val="1088"/>
    <w:next w:val="125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xl31"/>
    <w:basedOn w:val="1088"/>
    <w:next w:val="1252"/>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3">
    <w:name w:val="xl53"/>
    <w:basedOn w:val="1088"/>
    <w:next w:val="125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Char Char Char"/>
    <w:basedOn w:val="1088"/>
    <w:next w:val="1254"/>
    <w:link w:val="1088"/>
    <w:qFormat/>
    <w:rPr>
      <w:rFonts w:ascii="Tahoma" w:hAnsi="Tahoma"/>
      <w:sz w:val="24"/>
      <w:szCs w:val="20"/>
    </w:rPr>
  </w:style>
  <w:style w:type="paragraph" w:styleId="1255">
    <w:name w:val="xl50"/>
    <w:basedOn w:val="1088"/>
    <w:next w:val="125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6">
    <w:name w:val="缺省文本"/>
    <w:basedOn w:val="1088"/>
    <w:next w:val="1256"/>
    <w:link w:val="1088"/>
    <w:qFormat/>
    <w:pPr>
      <w:jc w:val="left"/>
    </w:pPr>
    <w:rPr>
      <w:sz w:val="24"/>
    </w:rPr>
  </w:style>
  <w:style w:type="paragraph" w:styleId="1257">
    <w:name w:val="Char Char Char1"/>
    <w:basedOn w:val="1088"/>
    <w:next w:val="1257"/>
    <w:link w:val="1088"/>
    <w:qFormat/>
    <w:rPr>
      <w:rFonts w:ascii="Tahoma" w:hAnsi="Tahoma"/>
      <w:sz w:val="24"/>
      <w:szCs w:val="20"/>
    </w:rPr>
  </w:style>
  <w:style w:type="paragraph" w:styleId="1258">
    <w:name w:val="Char Char Char Char Char Char Char1"/>
    <w:basedOn w:val="1088"/>
    <w:next w:val="1258"/>
    <w:link w:val="1088"/>
    <w:qFormat/>
    <w:pPr>
      <w:ind w:firstLine="200"/>
      <w:spacing w:line="360" w:lineRule="auto"/>
    </w:pPr>
    <w:rPr>
      <w:rFonts w:eastAsia="仿宋_GB2312"/>
      <w:sz w:val="24"/>
    </w:rPr>
  </w:style>
  <w:style w:type="paragraph" w:styleId="1259">
    <w:name w:val="xl51"/>
    <w:basedOn w:val="1088"/>
    <w:next w:val="1259"/>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样式2"/>
    <w:basedOn w:val="1150"/>
    <w:next w:val="1260"/>
    <w:link w:val="1088"/>
    <w:qFormat/>
    <w:pPr>
      <w:jc w:val="center"/>
      <w:spacing w:line="360" w:lineRule="auto"/>
    </w:pPr>
    <w:rPr>
      <w:sz w:val="24"/>
    </w:rPr>
  </w:style>
  <w:style w:type="paragraph" w:styleId="1261">
    <w:name w:val="xl24"/>
    <w:basedOn w:val="1088"/>
    <w:next w:val="126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xl29"/>
    <w:basedOn w:val="1088"/>
    <w:next w:val="126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name w:val="正文 + 楷体_GB2312"/>
    <w:basedOn w:val="1088"/>
    <w:next w:val="1263"/>
    <w:link w:val="1088"/>
    <w:qFormat/>
    <w:pPr>
      <w:jc w:val="left"/>
      <w:widowControl/>
    </w:pPr>
    <w:rPr>
      <w:rFonts w:ascii="楷体_GB2312" w:eastAsia="楷体_GB2312" w:cs="Arial"/>
      <w:sz w:val="24"/>
    </w:rPr>
  </w:style>
  <w:style w:type="paragraph" w:styleId="1264">
    <w:name w:val="xl34"/>
    <w:basedOn w:val="1088"/>
    <w:next w:val="126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5">
    <w:name w:val="1 Char Char Char Char"/>
    <w:basedOn w:val="1088"/>
    <w:next w:val="1265"/>
    <w:link w:val="1088"/>
    <w:qFormat/>
    <w:rPr>
      <w:rFonts w:ascii="Tahoma" w:hAnsi="Tahoma"/>
      <w:sz w:val="24"/>
      <w:szCs w:val="20"/>
    </w:rPr>
  </w:style>
  <w:style w:type="paragraph" w:styleId="1266">
    <w:name w:val="Default"/>
    <w:next w:val="1266"/>
    <w:link w:val="1088"/>
    <w:qFormat/>
    <w:pPr>
      <w:widowControl w:val="off"/>
    </w:pPr>
    <w:rPr>
      <w:rFonts w:ascii="Symbol" w:hAnsi="Symbol" w:cs="Symbol"/>
      <w:color w:val="000000"/>
      <w:sz w:val="24"/>
      <w:szCs w:val="24"/>
      <w:lang w:val="en-US" w:eastAsia="zh-CN" w:bidi="ar-SA"/>
    </w:rPr>
  </w:style>
  <w:style w:type="paragraph" w:styleId="1267">
    <w:name w:val="列出段落1"/>
    <w:basedOn w:val="1088"/>
    <w:next w:val="1267"/>
    <w:link w:val="1088"/>
    <w:qFormat/>
    <w:pPr>
      <w:ind w:firstLine="420"/>
    </w:pPr>
    <w:rPr>
      <w:rFonts w:ascii="Calibri" w:hAnsi="Calibri"/>
      <w:szCs w:val="22"/>
    </w:rPr>
  </w:style>
  <w:style w:type="paragraph" w:styleId="1268">
    <w:name w:val="default"/>
    <w:basedOn w:val="1088"/>
    <w:next w:val="1268"/>
    <w:link w:val="1088"/>
    <w:qFormat/>
    <w:pPr>
      <w:jc w:val="left"/>
      <w:spacing w:before="100" w:beforeAutospacing="1" w:after="100" w:afterAutospacing="1"/>
      <w:widowControl/>
    </w:pPr>
    <w:rPr>
      <w:rFonts w:ascii="宋体" w:hAnsi="宋体" w:cs="宋体"/>
      <w:sz w:val="24"/>
    </w:rPr>
  </w:style>
  <w:style w:type="paragraph" w:styleId="1269">
    <w:name w:val="字元 字元1"/>
    <w:basedOn w:val="1088"/>
    <w:next w:val="1269"/>
    <w:link w:val="1088"/>
    <w:qFormat/>
    <w:rPr>
      <w:rFonts w:ascii="Tahoma" w:hAnsi="Tahoma"/>
      <w:sz w:val="24"/>
      <w:szCs w:val="20"/>
    </w:rPr>
  </w:style>
  <w:style w:type="paragraph" w:styleId="1270">
    <w:name w:val="_Style 160"/>
    <w:next w:val="1270"/>
    <w:link w:val="1088"/>
    <w:qFormat/>
    <w:rPr>
      <w:sz w:val="21"/>
      <w:szCs w:val="24"/>
      <w:lang w:val="en-US" w:eastAsia="zh-CN" w:bidi="ar-SA"/>
    </w:rPr>
  </w:style>
  <w:style w:type="paragraph" w:styleId="1271">
    <w:name w:val="项目编号3"/>
    <w:basedOn w:val="1231"/>
    <w:next w:val="1271"/>
    <w:link w:val="1088"/>
    <w:qFormat/>
    <w:pPr>
      <w:numPr>
        <w:ilvl w:val="0"/>
        <w:numId w:val="6"/>
      </w:numPr>
    </w:pPr>
  </w:style>
  <w:style w:type="paragraph" w:styleId="1272">
    <w:name w:val="Char21"/>
    <w:basedOn w:val="1088"/>
    <w:next w:val="1272"/>
    <w:link w:val="1088"/>
    <w:qFormat/>
    <w:rPr>
      <w:rFonts w:ascii="Tahoma" w:hAnsi="Tahoma"/>
      <w:sz w:val="24"/>
      <w:szCs w:val="20"/>
    </w:rPr>
  </w:style>
  <w:style w:type="paragraph" w:styleId="1273">
    <w:name w:val="表格文字"/>
    <w:basedOn w:val="1121"/>
    <w:next w:val="1273"/>
    <w:link w:val="1088"/>
    <w:qFormat/>
    <w:pPr>
      <w:ind w:firstLine="0"/>
      <w:spacing w:before="20" w:after="20" w:line="240" w:lineRule="auto"/>
    </w:pPr>
    <w:rPr>
      <w:rFonts w:ascii="Century Gothic" w:hAnsi="Century Gothic"/>
      <w:sz w:val="20"/>
      <w:szCs w:val="20"/>
    </w:rPr>
  </w:style>
  <w:style w:type="paragraph" w:styleId="1274">
    <w:name w:val="Char Char Char Char Char Char Char Char Char Char1"/>
    <w:basedOn w:val="1088"/>
    <w:next w:val="1274"/>
    <w:link w:val="1088"/>
    <w:qFormat/>
    <w:rPr>
      <w:rFonts w:ascii="宋体" w:hAnsi="宋体" w:cs="Courier New"/>
      <w:sz w:val="32"/>
      <w:szCs w:val="32"/>
    </w:rPr>
  </w:style>
  <w:style w:type="paragraph" w:styleId="1275">
    <w:name w:val="正文文本样式 加粗"/>
    <w:basedOn w:val="1231"/>
    <w:next w:val="1275"/>
    <w:link w:val="1088"/>
    <w:qFormat/>
    <w:rPr>
      <w:b/>
    </w:rPr>
  </w:style>
  <w:style w:type="paragraph" w:styleId="1276">
    <w:name w:val="Char2 Char Char Char Char Char Char"/>
    <w:basedOn w:val="1088"/>
    <w:next w:val="1276"/>
    <w:link w:val="1088"/>
    <w:qFormat/>
    <w:pPr>
      <w:jc w:val="center"/>
      <w:spacing w:line="400" w:lineRule="exact"/>
      <w:widowControl/>
    </w:pPr>
  </w:style>
  <w:style w:type="paragraph" w:styleId="1277">
    <w:name w:val="Char Char4"/>
    <w:basedOn w:val="1088"/>
    <w:next w:val="1277"/>
    <w:link w:val="1088"/>
    <w:qFormat/>
    <w:pPr>
      <w:jc w:val="center"/>
      <w:spacing w:line="400" w:lineRule="exact"/>
      <w:widowControl/>
    </w:pPr>
  </w:style>
  <w:style w:type="paragraph" w:styleId="1278">
    <w:name w:val="Char3 Char Char Char1"/>
    <w:basedOn w:val="1088"/>
    <w:next w:val="1278"/>
    <w:link w:val="1088"/>
    <w:qFormat/>
    <w:rPr>
      <w:rFonts w:ascii="Tahoma" w:hAnsi="Tahoma"/>
      <w:sz w:val="24"/>
      <w:szCs w:val="20"/>
    </w:rPr>
  </w:style>
  <w:style w:type="paragraph" w:styleId="1279">
    <w:name w:val="无间隔"/>
    <w:next w:val="1279"/>
    <w:link w:val="1088"/>
    <w:qFormat/>
    <w:pPr>
      <w:jc w:val="both"/>
      <w:widowControl w:val="off"/>
    </w:pPr>
    <w:rPr>
      <w:sz w:val="21"/>
      <w:szCs w:val="24"/>
      <w:lang w:val="en-US" w:eastAsia="zh-CN" w:bidi="ar-SA"/>
    </w:rPr>
  </w:style>
  <w:style w:type="paragraph" w:styleId="1280">
    <w:name w:val="22222222222222"/>
    <w:basedOn w:val="1088"/>
    <w:next w:val="1280"/>
    <w:link w:val="1088"/>
    <w:qFormat/>
    <w:pPr>
      <w:ind w:firstLine="480"/>
      <w:jc w:val="left"/>
      <w:spacing w:line="360" w:lineRule="auto"/>
      <w:widowControl/>
    </w:pPr>
    <w:rPr>
      <w:color w:val="ff0000"/>
      <w:sz w:val="24"/>
      <w:szCs w:val="20"/>
    </w:rPr>
  </w:style>
  <w:style w:type="character" w:styleId="1281">
    <w:name w:val="中等深浅网格 1 - 强调文字颜色 2 Char"/>
    <w:next w:val="1281"/>
    <w:link w:val="1282"/>
    <w:qFormat/>
    <w:rPr>
      <w:sz w:val="21"/>
      <w:szCs w:val="24"/>
      <w:lang w:val="zh-CN" w:eastAsia="zh-CN" w:bidi="ar-SA"/>
    </w:rPr>
  </w:style>
  <w:style w:type="paragraph" w:styleId="1282">
    <w:name w:val="1"/>
    <w:next w:val="1282"/>
    <w:link w:val="1281"/>
    <w:qFormat/>
    <w:rPr>
      <w:sz w:val="21"/>
      <w:szCs w:val="24"/>
      <w:lang w:val="zh-CN" w:eastAsia="zh-CN" w:bidi="ar-SA"/>
    </w:rPr>
  </w:style>
  <w:style w:type="paragraph" w:styleId="1283">
    <w:name w:val="图文"/>
    <w:basedOn w:val="1088"/>
    <w:next w:val="1283"/>
    <w:link w:val="1088"/>
    <w:qFormat/>
    <w:pPr>
      <w:spacing w:after="50" w:line="360" w:lineRule="auto"/>
    </w:pPr>
    <w:rPr>
      <w:sz w:val="24"/>
    </w:rPr>
  </w:style>
  <w:style w:type="paragraph" w:styleId="1284">
    <w:name w:val="xl23"/>
    <w:basedOn w:val="1088"/>
    <w:next w:val="1284"/>
    <w:link w:val="1088"/>
    <w:qFormat/>
    <w:pPr>
      <w:spacing w:before="100" w:beforeAutospacing="1" w:after="100" w:afterAutospacing="1" w:line="360" w:lineRule="auto"/>
      <w:widowControl/>
    </w:pPr>
    <w:rPr>
      <w:sz w:val="24"/>
      <w:szCs w:val="20"/>
    </w:rPr>
  </w:style>
  <w:style w:type="paragraph" w:styleId="1285">
    <w:name w:val="正文表格"/>
    <w:basedOn w:val="1088"/>
    <w:next w:val="1285"/>
    <w:link w:val="1286"/>
    <w:qFormat/>
    <w:pPr>
      <w:jc w:val="left"/>
    </w:pPr>
    <w:rPr>
      <w:rFonts w:ascii="宋体" w:hAnsi="宋体"/>
      <w:color w:val="000000"/>
      <w:szCs w:val="21"/>
    </w:rPr>
  </w:style>
  <w:style w:type="character" w:styleId="1286">
    <w:name w:val="正文表格 Char"/>
    <w:next w:val="1286"/>
    <w:link w:val="1285"/>
    <w:qFormat/>
    <w:rPr>
      <w:rFonts w:ascii="宋体" w:hAnsi="宋体"/>
      <w:color w:val="000000"/>
      <w:sz w:val="21"/>
      <w:szCs w:val="21"/>
    </w:rPr>
  </w:style>
  <w:style w:type="paragraph" w:styleId="1287">
    <w:name w:val="正文重点"/>
    <w:basedOn w:val="1088"/>
    <w:next w:val="1287"/>
    <w:link w:val="1288"/>
    <w:qFormat/>
    <w:pPr>
      <w:ind w:firstLine="482"/>
      <w:jc w:val="left"/>
      <w:spacing w:line="360" w:lineRule="auto"/>
    </w:pPr>
    <w:rPr>
      <w:b/>
      <w:sz w:val="24"/>
      <w:szCs w:val="20"/>
    </w:rPr>
  </w:style>
  <w:style w:type="character" w:styleId="1288">
    <w:name w:val="正文重点 Char"/>
    <w:next w:val="1288"/>
    <w:link w:val="1287"/>
    <w:qFormat/>
    <w:rPr>
      <w:b/>
      <w:sz w:val="24"/>
    </w:rPr>
  </w:style>
  <w:style w:type="paragraph" w:styleId="1289">
    <w:name w:val="标题1-附件"/>
    <w:basedOn w:val="1089"/>
    <w:next w:val="1289"/>
    <w:link w:val="1088"/>
    <w:qFormat/>
    <w:pPr>
      <w:jc w:val="left"/>
    </w:pPr>
    <w:rPr>
      <w:sz w:val="24"/>
      <w:szCs w:val="24"/>
    </w:rPr>
  </w:style>
  <w:style w:type="paragraph" w:styleId="1290">
    <w:name w:val="正文小标题"/>
    <w:basedOn w:val="1088"/>
    <w:next w:val="1102"/>
    <w:link w:val="1291"/>
    <w:qFormat/>
    <w:pPr>
      <w:ind w:firstLine="482"/>
      <w:jc w:val="left"/>
      <w:spacing w:before="312" w:after="312"/>
    </w:pPr>
    <w:rPr>
      <w:rFonts w:ascii="宋体" w:hAnsi="宋体"/>
      <w:b/>
      <w:i/>
      <w:color w:val="ff0000"/>
      <w:sz w:val="24"/>
      <w:szCs w:val="20"/>
    </w:rPr>
  </w:style>
  <w:style w:type="character" w:styleId="1291">
    <w:name w:val="正文小标题 Char"/>
    <w:next w:val="1291"/>
    <w:link w:val="1290"/>
    <w:qFormat/>
    <w:rPr>
      <w:rFonts w:ascii="宋体" w:hAnsi="宋体"/>
      <w:b/>
      <w:i/>
      <w:color w:val="ff0000"/>
      <w:sz w:val="24"/>
    </w:rPr>
  </w:style>
  <w:style w:type="paragraph" w:styleId="1292">
    <w:name w:val="正文大标题"/>
    <w:basedOn w:val="1290"/>
    <w:next w:val="1102"/>
    <w:link w:val="1293"/>
    <w:qFormat/>
    <w:pPr>
      <w:jc w:val="center"/>
    </w:pPr>
    <w:rPr>
      <w:i w:val="0"/>
      <w:color w:val="000000"/>
      <w:sz w:val="28"/>
      <w:szCs w:val="21"/>
    </w:rPr>
  </w:style>
  <w:style w:type="character" w:styleId="1293">
    <w:name w:val="正文大标题 Char"/>
    <w:next w:val="1293"/>
    <w:link w:val="1292"/>
    <w:qFormat/>
    <w:rPr>
      <w:rFonts w:ascii="宋体" w:hAnsi="宋体"/>
      <w:b/>
      <w:color w:val="000000"/>
      <w:sz w:val="28"/>
      <w:szCs w:val="21"/>
    </w:rPr>
  </w:style>
  <w:style w:type="paragraph" w:styleId="1294">
    <w:name w:val="注释"/>
    <w:basedOn w:val="1088"/>
    <w:next w:val="1294"/>
    <w:link w:val="1295"/>
    <w:qFormat/>
    <w:pPr>
      <w:ind w:left="420" w:hanging="420"/>
      <w:jc w:val="left"/>
    </w:pPr>
    <w:rPr>
      <w:rFonts w:ascii="宋体" w:hAnsi="宋体"/>
      <w:szCs w:val="21"/>
    </w:rPr>
  </w:style>
  <w:style w:type="character" w:styleId="1295">
    <w:name w:val="注释 Char"/>
    <w:next w:val="1295"/>
    <w:link w:val="1294"/>
    <w:qFormat/>
    <w:rPr>
      <w:rFonts w:ascii="宋体" w:hAnsi="宋体"/>
      <w:sz w:val="21"/>
      <w:szCs w:val="21"/>
    </w:rPr>
  </w:style>
  <w:style w:type="paragraph" w:styleId="1296">
    <w:name w:val="正文须知-1级"/>
    <w:basedOn w:val="1088"/>
    <w:next w:val="1088"/>
    <w:link w:val="1088"/>
    <w:qFormat/>
    <w:pPr>
      <w:numPr>
        <w:ilvl w:val="0"/>
        <w:numId w:val="7"/>
      </w:numPr>
      <w:spacing w:line="300" w:lineRule="auto"/>
    </w:pPr>
    <w:rPr>
      <w:rFonts w:ascii="宋体" w:hAnsi="Calibri"/>
      <w:sz w:val="24"/>
      <w:szCs w:val="21"/>
    </w:rPr>
  </w:style>
  <w:style w:type="paragraph" w:styleId="1297">
    <w:name w:val="正文须知-2级"/>
    <w:basedOn w:val="1088"/>
    <w:next w:val="1297"/>
    <w:link w:val="1088"/>
    <w:qFormat/>
    <w:pPr>
      <w:numPr>
        <w:ilvl w:val="1"/>
        <w:numId w:val="7"/>
      </w:numPr>
      <w:spacing w:line="300" w:lineRule="auto"/>
    </w:pPr>
    <w:rPr>
      <w:rFonts w:ascii="宋体" w:hAnsi="Calibri"/>
      <w:sz w:val="24"/>
      <w:szCs w:val="21"/>
    </w:rPr>
  </w:style>
  <w:style w:type="paragraph" w:styleId="1298">
    <w:name w:val="正文须知-3级"/>
    <w:basedOn w:val="1088"/>
    <w:next w:val="1298"/>
    <w:link w:val="1088"/>
    <w:qFormat/>
    <w:pPr>
      <w:numPr>
        <w:ilvl w:val="2"/>
        <w:numId w:val="7"/>
      </w:numPr>
      <w:ind w:hanging="355"/>
      <w:spacing w:line="300" w:lineRule="auto"/>
    </w:pPr>
    <w:rPr>
      <w:rFonts w:ascii="宋体" w:hAnsi="Calibri"/>
      <w:sz w:val="24"/>
      <w:szCs w:val="21"/>
    </w:rPr>
  </w:style>
  <w:style w:type="character" w:styleId="1299">
    <w:name w:val="纯文本 字符"/>
    <w:next w:val="1299"/>
    <w:link w:val="1088"/>
    <w:uiPriority w:val="99"/>
    <w:qFormat/>
    <w:rPr>
      <w:rFonts w:ascii="宋体" w:hAnsi="Courier New" w:eastAsia="宋体" w:cs="Times New Roman"/>
      <w:sz w:val="21"/>
      <w:szCs w:val="21"/>
      <w:lang w:val="en-US" w:eastAsia="zh-CN" w:bidi="ar-SA"/>
    </w:rPr>
  </w:style>
  <w:style w:type="paragraph" w:styleId="1300">
    <w:name w:val="表格1"/>
    <w:basedOn w:val="1088"/>
    <w:next w:val="1300"/>
    <w:link w:val="1088"/>
    <w:qFormat/>
    <w:pPr>
      <w:ind w:firstLine="480"/>
      <w:jc w:val="center"/>
    </w:pPr>
    <w:rPr>
      <w:sz w:val="24"/>
      <w:szCs w:val="20"/>
    </w:rPr>
  </w:style>
  <w:style w:type="character" w:styleId="1301">
    <w:name w:val="纯文本 字符1"/>
    <w:next w:val="1301"/>
    <w:link w:val="1088"/>
    <w:qFormat/>
    <w:rPr>
      <w:rFonts w:ascii="宋体" w:hAnsi="Courier New"/>
    </w:rPr>
  </w:style>
  <w:style w:type="character" w:styleId="1302">
    <w:name w:val="bjh-p"/>
    <w:next w:val="1302"/>
    <w:link w:val="1088"/>
    <w:qFormat/>
  </w:style>
  <w:style w:type="paragraph" w:styleId="1303">
    <w:name w:val="无标题条"/>
    <w:next w:val="1088"/>
    <w:link w:val="1088"/>
    <w:qFormat/>
    <w:pPr>
      <w:jc w:val="both"/>
    </w:pPr>
    <w:rPr>
      <w:sz w:val="21"/>
      <w:lang w:val="en-US" w:eastAsia="zh-CN" w:bidi="ar-SA"/>
    </w:rPr>
  </w:style>
  <w:style w:type="character" w:styleId="1304">
    <w:name w:val="正文格式 Char"/>
    <w:next w:val="1304"/>
    <w:link w:val="1305"/>
    <w:qFormat/>
    <w:rPr>
      <w:rFonts w:ascii="宋体" w:hAnsi="宋体"/>
      <w:sz w:val="24"/>
      <w:szCs w:val="24"/>
      <w:lang w:val="en-GB"/>
    </w:rPr>
  </w:style>
  <w:style w:type="paragraph" w:styleId="1305">
    <w:name w:val="正文格式"/>
    <w:basedOn w:val="1088"/>
    <w:next w:val="1305"/>
    <w:link w:val="1304"/>
    <w:qFormat/>
    <w:pPr>
      <w:ind w:firstLine="480"/>
      <w:spacing w:line="360" w:lineRule="auto"/>
    </w:pPr>
    <w:rPr>
      <w:rFonts w:ascii="宋体" w:hAnsi="宋体"/>
      <w:sz w:val="24"/>
      <w:lang w:val="en-GB"/>
    </w:rPr>
  </w:style>
  <w:style w:type="character" w:styleId="1306">
    <w:name w:val="标题 3 Char"/>
    <w:next w:val="1306"/>
    <w:link w:val="1088"/>
    <w:qFormat/>
    <w:rPr>
      <w:rFonts w:ascii="宋体" w:eastAsia="宋体"/>
      <w:b/>
      <w:sz w:val="24"/>
      <w:u w:val="single"/>
      <w:lang w:val="en-US" w:eastAsia="zh-CN" w:bidi="ar-SA"/>
    </w:rPr>
  </w:style>
  <w:style w:type="character" w:styleId="1307">
    <w:name w:val="正文缩进 Char"/>
    <w:next w:val="1307"/>
    <w:link w:val="1088"/>
    <w:qFormat/>
    <w:rPr>
      <w:rFonts w:ascii="宋体" w:eastAsia="宋体"/>
      <w:sz w:val="24"/>
      <w:szCs w:val="24"/>
      <w:lang w:val="en-US" w:eastAsia="zh-CN" w:bidi="ar-SA"/>
    </w:rPr>
  </w:style>
  <w:style w:type="character" w:styleId="1308">
    <w:name w:val="Char Char111"/>
    <w:next w:val="1308"/>
    <w:link w:val="1088"/>
    <w:qFormat/>
    <w:rPr>
      <w:rFonts w:ascii="宋体" w:eastAsia="宋体"/>
      <w:b/>
      <w:sz w:val="24"/>
      <w:u w:val="single"/>
      <w:lang w:val="en-US" w:eastAsia="zh-CN" w:bidi="ar-SA"/>
    </w:rPr>
  </w:style>
  <w:style w:type="character" w:styleId="1309">
    <w:name w:val="正文文本缩进 Char"/>
    <w:next w:val="1309"/>
    <w:link w:val="1088"/>
    <w:qFormat/>
    <w:rPr>
      <w:rFonts w:eastAsia="宋体"/>
      <w:sz w:val="24"/>
      <w:szCs w:val="24"/>
      <w:lang w:val="en-US" w:eastAsia="zh-CN" w:bidi="ar-SA"/>
    </w:rPr>
  </w:style>
  <w:style w:type="character" w:styleId="1310">
    <w:name w:val="列出段落 Char"/>
    <w:next w:val="1310"/>
    <w:link w:val="1088"/>
    <w:qFormat/>
    <w:rPr>
      <w:rFonts w:ascii="Calibri" w:hAnsi="Calibri" w:eastAsia="宋体"/>
      <w:sz w:val="21"/>
      <w:szCs w:val="22"/>
      <w:lang w:val="en-US" w:eastAsia="zh-CN" w:bidi="ar-SA"/>
    </w:rPr>
  </w:style>
  <w:style w:type="character" w:styleId="1311">
    <w:name w:val="页眉 Char"/>
    <w:next w:val="1311"/>
    <w:link w:val="1088"/>
    <w:qFormat/>
    <w:rPr>
      <w:rFonts w:eastAsia="宋体"/>
      <w:sz w:val="18"/>
      <w:szCs w:val="18"/>
      <w:lang w:val="en-US" w:eastAsia="zh-CN" w:bidi="ar-SA"/>
    </w:rPr>
  </w:style>
  <w:style w:type="character" w:styleId="1312">
    <w:name w:val="标题 2 Char"/>
    <w:next w:val="1312"/>
    <w:link w:val="1088"/>
    <w:qFormat/>
    <w:rPr>
      <w:rFonts w:ascii="Arial" w:hAnsi="Arial" w:eastAsia="黑体"/>
      <w:b/>
      <w:sz w:val="30"/>
      <w:lang w:val="en-US" w:eastAsia="zh-CN" w:bidi="ar-SA"/>
    </w:rPr>
  </w:style>
  <w:style w:type="paragraph" w:styleId="1313">
    <w:name w:val="字元 字元2"/>
    <w:basedOn w:val="1088"/>
    <w:next w:val="1313"/>
    <w:link w:val="1088"/>
    <w:qFormat/>
    <w:rPr>
      <w:rFonts w:ascii="Tahoma" w:hAnsi="Tahoma"/>
      <w:sz w:val="24"/>
      <w:szCs w:val="20"/>
    </w:rPr>
  </w:style>
  <w:style w:type="paragraph" w:styleId="1314">
    <w:name w:val="Char3 Char Char Char2"/>
    <w:basedOn w:val="1088"/>
    <w:next w:val="1314"/>
    <w:link w:val="1088"/>
    <w:qFormat/>
    <w:rPr>
      <w:rFonts w:ascii="Tahoma" w:hAnsi="Tahoma"/>
      <w:sz w:val="24"/>
      <w:szCs w:val="20"/>
    </w:rPr>
  </w:style>
  <w:style w:type="paragraph" w:styleId="1315">
    <w:name w:val="正文文本缩进2"/>
    <w:basedOn w:val="1088"/>
    <w:next w:val="1315"/>
    <w:link w:val="1088"/>
    <w:qFormat/>
    <w:pPr>
      <w:ind w:firstLine="480"/>
      <w:spacing w:line="480" w:lineRule="exact"/>
    </w:pPr>
    <w:rPr>
      <w:rFonts w:ascii="宋体" w:hAnsi="宋体"/>
      <w:sz w:val="24"/>
      <w:lang w:val="zh-CN" w:eastAsia="zh-CN"/>
    </w:rPr>
  </w:style>
  <w:style w:type="paragraph" w:styleId="1316">
    <w:name w:val="Char3"/>
    <w:basedOn w:val="1088"/>
    <w:next w:val="1316"/>
    <w:link w:val="1088"/>
    <w:qFormat/>
    <w:pPr>
      <w:tabs>
        <w:tab w:val="left" w:pos="360" w:leader="none"/>
      </w:tabs>
    </w:pPr>
    <w:rPr>
      <w:sz w:val="24"/>
    </w:rPr>
  </w:style>
  <w:style w:type="paragraph" w:styleId="1317">
    <w:name w:val="Char Char Char Char Char Char Char Char Char Char Char Char Char Char Char Char1"/>
    <w:basedOn w:val="1088"/>
    <w:next w:val="1317"/>
    <w:link w:val="1088"/>
    <w:qFormat/>
    <w:pPr>
      <w:jc w:val="center"/>
      <w:spacing w:after="160" w:line="240" w:lineRule="exact"/>
      <w:widowControl/>
    </w:pPr>
    <w:rPr>
      <w:rFonts w:ascii="宋体" w:hAnsi="宋体"/>
      <w:b/>
      <w:sz w:val="30"/>
      <w:szCs w:val="30"/>
      <w:lang w:eastAsia="en-US"/>
    </w:rPr>
  </w:style>
  <w:style w:type="paragraph" w:styleId="1318">
    <w:name w:val="Char Char1 Char Char Char Char Char Char1"/>
    <w:basedOn w:val="1088"/>
    <w:next w:val="1318"/>
    <w:link w:val="1088"/>
    <w:qFormat/>
    <w:pPr>
      <w:jc w:val="left"/>
      <w:spacing w:after="160" w:line="240" w:lineRule="exact"/>
      <w:widowControl/>
    </w:pPr>
    <w:rPr>
      <w:rFonts w:ascii="Verdana" w:hAnsi="Verdana" w:eastAsia="仿宋_GB2312"/>
      <w:sz w:val="24"/>
      <w:szCs w:val="20"/>
      <w:lang w:eastAsia="en-US"/>
    </w:rPr>
  </w:style>
  <w:style w:type="paragraph" w:styleId="1319">
    <w:name w:val="列出段落2"/>
    <w:basedOn w:val="1088"/>
    <w:next w:val="1319"/>
    <w:link w:val="1088"/>
    <w:qFormat/>
    <w:pPr>
      <w:ind w:firstLine="420"/>
    </w:pPr>
    <w:rPr>
      <w:rFonts w:ascii="Calibri" w:hAnsi="Calibri"/>
      <w:szCs w:val="22"/>
    </w:rPr>
  </w:style>
  <w:style w:type="paragraph" w:styleId="1320">
    <w:name w:val="Char Char Char1 Char2"/>
    <w:basedOn w:val="1088"/>
    <w:next w:val="1320"/>
    <w:link w:val="1088"/>
    <w:qFormat/>
    <w:rPr>
      <w:rFonts w:ascii="Tahoma" w:hAnsi="Tahoma"/>
      <w:sz w:val="24"/>
      <w:szCs w:val="20"/>
    </w:rPr>
  </w:style>
  <w:style w:type="paragraph" w:styleId="1321">
    <w:name w:val="Char Char Char2"/>
    <w:basedOn w:val="1088"/>
    <w:next w:val="1321"/>
    <w:link w:val="1088"/>
    <w:qFormat/>
    <w:rPr>
      <w:rFonts w:ascii="Tahoma" w:hAnsi="Tahoma"/>
      <w:sz w:val="24"/>
      <w:szCs w:val="20"/>
    </w:rPr>
  </w:style>
  <w:style w:type="paragraph" w:styleId="1322">
    <w:name w:val="Char Char Char Char Char Char Char2"/>
    <w:basedOn w:val="1088"/>
    <w:next w:val="1322"/>
    <w:link w:val="1088"/>
    <w:qFormat/>
    <w:pPr>
      <w:ind w:firstLine="200"/>
      <w:spacing w:line="360" w:lineRule="auto"/>
    </w:pPr>
    <w:rPr>
      <w:rFonts w:eastAsia="仿宋_GB2312"/>
      <w:sz w:val="24"/>
    </w:rPr>
  </w:style>
  <w:style w:type="paragraph" w:styleId="1323">
    <w:name w:val="正文缩进2"/>
    <w:basedOn w:val="1088"/>
    <w:next w:val="1323"/>
    <w:link w:val="1088"/>
    <w:qFormat/>
    <w:pPr>
      <w:ind w:firstLine="567"/>
      <w:spacing w:line="480" w:lineRule="exact"/>
      <w:widowControl/>
    </w:pPr>
    <w:rPr>
      <w:rFonts w:ascii="宋体"/>
      <w:color w:val="000000"/>
      <w:sz w:val="28"/>
      <w:szCs w:val="20"/>
      <w:lang w:val="zh-CN" w:eastAsia="zh-CN"/>
    </w:rPr>
  </w:style>
  <w:style w:type="paragraph" w:styleId="1324">
    <w:name w:val="Revision"/>
    <w:next w:val="1324"/>
    <w:link w:val="1088"/>
    <w:qFormat/>
    <w:rPr>
      <w:sz w:val="21"/>
      <w:szCs w:val="24"/>
      <w:lang w:val="en-US" w:eastAsia="zh-CN" w:bidi="ar-SA"/>
    </w:rPr>
  </w:style>
  <w:style w:type="paragraph" w:styleId="1325">
    <w:name w:val="Char22"/>
    <w:basedOn w:val="1088"/>
    <w:next w:val="1325"/>
    <w:link w:val="1088"/>
    <w:qFormat/>
    <w:rPr>
      <w:rFonts w:ascii="Tahoma" w:hAnsi="Tahoma"/>
      <w:sz w:val="24"/>
      <w:szCs w:val="20"/>
    </w:rPr>
  </w:style>
  <w:style w:type="paragraph" w:styleId="1326">
    <w:name w:val="Char Char Char Char Char Char Char Char Char Char2"/>
    <w:basedOn w:val="1088"/>
    <w:next w:val="1326"/>
    <w:link w:val="1088"/>
    <w:qFormat/>
    <w:rPr>
      <w:rFonts w:ascii="宋体" w:hAnsi="宋体" w:cs="Courier New"/>
      <w:sz w:val="32"/>
      <w:szCs w:val="32"/>
    </w:rPr>
  </w:style>
  <w:style w:type="paragraph" w:styleId="1327">
    <w:name w:val="Char2 Char Char Char Char Char Char1"/>
    <w:basedOn w:val="1088"/>
    <w:next w:val="1327"/>
    <w:link w:val="1088"/>
    <w:qFormat/>
    <w:pPr>
      <w:jc w:val="center"/>
      <w:spacing w:line="400" w:lineRule="exact"/>
      <w:widowControl/>
    </w:pPr>
  </w:style>
  <w:style w:type="character" w:styleId="1328">
    <w:name w:val="页脚 Char"/>
    <w:next w:val="1328"/>
    <w:link w:val="1088"/>
    <w:qFormat/>
    <w:rPr>
      <w:rFonts w:ascii="宋体" w:eastAsia="宋体"/>
      <w:sz w:val="18"/>
      <w:lang w:val="en-US" w:eastAsia="zh-CN" w:bidi="ar-SA"/>
    </w:rPr>
  </w:style>
  <w:style w:type="paragraph" w:styleId="1329">
    <w:name w:val="Char Char41"/>
    <w:basedOn w:val="1088"/>
    <w:next w:val="1329"/>
    <w:link w:val="1088"/>
    <w:qFormat/>
    <w:pPr>
      <w:jc w:val="center"/>
      <w:spacing w:line="400" w:lineRule="exact"/>
      <w:widowControl/>
    </w:pPr>
  </w:style>
  <w:style w:type="character" w:styleId="1330">
    <w:name w:val="批注文字 Char"/>
    <w:next w:val="1330"/>
    <w:link w:val="1088"/>
    <w:uiPriority w:val="99"/>
    <w:qFormat/>
    <w:rPr>
      <w:sz w:val="21"/>
      <w:szCs w:val="24"/>
    </w:rPr>
  </w:style>
  <w:style w:type="character" w:styleId="1331">
    <w:name w:val="标题 Char"/>
    <w:next w:val="1331"/>
    <w:link w:val="1088"/>
    <w:qFormat/>
    <w:rPr>
      <w:b/>
      <w:sz w:val="32"/>
    </w:rPr>
  </w:style>
  <w:style w:type="paragraph" w:styleId="1332">
    <w:name w:val="图例"/>
    <w:basedOn w:val="1088"/>
    <w:next w:val="1332"/>
    <w:link w:val="1088"/>
    <w:qFormat/>
    <w:pPr>
      <w:jc w:val="center"/>
      <w:spacing w:before="120" w:after="120" w:line="360" w:lineRule="auto"/>
    </w:pPr>
    <w:rPr>
      <w:rFonts w:eastAsia="仿宋_GB2312"/>
      <w:b/>
      <w:sz w:val="24"/>
      <w:szCs w:val="20"/>
    </w:rPr>
  </w:style>
  <w:style w:type="table" w:styleId="1333">
    <w:name w:val="Table Normal"/>
    <w:next w:val="1333"/>
    <w:link w:val="1088"/>
    <w:uiPriority w:val="2"/>
    <w:unhideWhenUsed/>
    <w:qFormat/>
    <w:pPr>
      <w:widowControl w:val="off"/>
    </w:pPr>
    <w:rPr>
      <w:rFonts w:ascii="Calibri" w:hAnsi="Calibri"/>
      <w:sz w:val="22"/>
      <w:szCs w:val="22"/>
      <w:lang w:val="en-US" w:eastAsia="en-US" w:bidi="ar-SA"/>
    </w:rPr>
    <w:tblPr/>
  </w:style>
  <w:style w:type="paragraph" w:styleId="1334">
    <w:name w:val="Table Paragraph"/>
    <w:basedOn w:val="1088"/>
    <w:next w:val="1334"/>
    <w:link w:val="1088"/>
    <w:uiPriority w:val="1"/>
    <w:qFormat/>
    <w:pPr>
      <w:jc w:val="left"/>
    </w:pPr>
    <w:rPr>
      <w:rFonts w:ascii="宋体" w:hAnsi="宋体" w:cs="宋体"/>
      <w:sz w:val="22"/>
      <w:szCs w:val="22"/>
      <w:lang w:eastAsia="en-US"/>
    </w:rPr>
  </w:style>
  <w:style w:type="paragraph" w:styleId="1335">
    <w:name w:val="成文日期"/>
    <w:basedOn w:val="1088"/>
    <w:next w:val="1335"/>
    <w:link w:val="1336"/>
    <w:qFormat/>
    <w:pPr>
      <w:ind w:right="400" w:firstLine="200"/>
      <w:jc w:val="right"/>
      <w:spacing w:line="570" w:lineRule="exact"/>
    </w:pPr>
    <w:rPr>
      <w:rFonts w:ascii="仿宋_GB2312" w:eastAsia="仿宋_GB2312"/>
      <w:sz w:val="32"/>
      <w:szCs w:val="20"/>
    </w:rPr>
  </w:style>
  <w:style w:type="character" w:styleId="1336">
    <w:name w:val="成文日期 Char"/>
    <w:next w:val="1336"/>
    <w:link w:val="1335"/>
    <w:rPr>
      <w:rFonts w:ascii="仿宋_GB2312" w:eastAsia="仿宋_GB2312"/>
      <w:sz w:val="32"/>
    </w:rPr>
  </w:style>
  <w:style w:type="paragraph" w:styleId="1337">
    <w:name w:val="修订"/>
    <w:next w:val="1337"/>
    <w:link w:val="1088"/>
    <w:uiPriority w:val="99"/>
    <w:unhideWhenUsed/>
    <w:rPr>
      <w:sz w:val="21"/>
      <w:szCs w:val="24"/>
      <w:lang w:val="en-US" w:eastAsia="zh-CN" w:bidi="ar-SA"/>
    </w:rPr>
  </w:style>
  <w:style w:type="character" w:styleId="1338">
    <w:name w:val="正文缩进 字符"/>
    <w:next w:val="1338"/>
    <w:link w:val="1088"/>
    <w:uiPriority w:val="99"/>
    <w:qFormat/>
    <w:rPr>
      <w:rFonts w:ascii="宋体" w:hAnsi="Times New Roman" w:eastAsia="宋体" w:cs="Times New Roman"/>
      <w:sz w:val="24"/>
    </w:rPr>
  </w:style>
  <w:style w:type="character" w:styleId="1339">
    <w:name w:val="正文文本 字符"/>
    <w:next w:val="1339"/>
    <w:link w:val="1088"/>
    <w:qFormat/>
    <w:rPr>
      <w:rFonts w:ascii="宋体" w:hAnsi="宋体"/>
      <w:sz w:val="24"/>
      <w:szCs w:val="24"/>
    </w:rPr>
  </w:style>
  <w:style w:type="paragraph" w:styleId="1340">
    <w:name w:val="纯文本1"/>
    <w:next w:val="1141"/>
    <w:link w:val="1088"/>
    <w:qFormat/>
    <w:pPr>
      <w:jc w:val="both"/>
      <w:widowControl w:val="off"/>
    </w:pPr>
    <w:rPr>
      <w:rFonts w:ascii="宋体" w:hAnsi="宋体"/>
      <w:sz w:val="26"/>
      <w:szCs w:val="24"/>
      <w:lang w:val="en-US" w:eastAsia="zh-CN" w:bidi="ar-SA"/>
    </w:rPr>
  </w:style>
  <w:style w:type="paragraph" w:styleId="1341">
    <w:name w:val="AONormal"/>
    <w:next w:val="1341"/>
    <w:link w:val="1088"/>
    <w:qFormat/>
    <w:pPr>
      <w:ind w:firstLine="440"/>
      <w:spacing w:line="400" w:lineRule="exact"/>
    </w:pPr>
    <w:rPr>
      <w:rFonts w:ascii="华文楷体" w:hAnsi="华文楷体" w:eastAsia="华文楷体" w:cs="华文楷体"/>
      <w:sz w:val="22"/>
      <w:szCs w:val="21"/>
      <w:lang w:val="en-US" w:eastAsia="zh-CN" w:bidi="ar-SA"/>
    </w:rPr>
  </w:style>
  <w:style w:type="character" w:styleId="1342" w:default="1">
    <w:name w:val="Default Paragraph Font"/>
    <w:uiPriority w:val="1"/>
    <w:semiHidden/>
    <w:unhideWhenUsed/>
  </w:style>
  <w:style w:type="numbering" w:styleId="1343" w:default="1">
    <w:name w:val="No List"/>
    <w:uiPriority w:val="99"/>
    <w:semiHidden/>
    <w:unhideWhenUsed/>
  </w:style>
  <w:style w:type="table" w:styleId="13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2026-08-20T08:58:53Z</dcterms:modified>
</cp:coreProperties>
</file>