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ind w:firstLine="0"/>
        <w:rPr>
          <w:rFonts w:eastAsia="黑体"/>
          <w:b/>
          <w:bCs/>
          <w:sz w:val="84"/>
        </w:rPr>
      </w:pPr>
      <w:r>
        <w:rPr>
          <w:rFonts w:hint="eastAsia" w:eastAsia="黑体"/>
          <w:b/>
          <w:bCs/>
          <w:sz w:val="84"/>
        </w:rPr>
        <w:t xml:space="preserve"> </w:t>
      </w:r>
      <w:r/>
    </w:p>
    <w:p>
      <w:pPr>
        <w:pStyle w:val="1059"/>
        <w:ind w:firstLine="0"/>
        <w:jc w:val="center"/>
        <w:rPr>
          <w:rFonts w:eastAsia="黑体"/>
          <w:b/>
          <w:bCs/>
          <w:sz w:val="84"/>
        </w:rPr>
      </w:pPr>
      <w:r>
        <w:rPr>
          <w:rFonts w:hint="eastAsia" w:eastAsia="黑体"/>
          <w:b/>
          <w:bCs/>
          <w:sz w:val="84"/>
        </w:rPr>
        <w:t xml:space="preserve">公开招标采购文件</w:t>
      </w:r>
      <w:r/>
    </w:p>
    <w:p>
      <w:pPr>
        <w:pStyle w:val="1059"/>
        <w:ind w:firstLine="0"/>
        <w:rPr>
          <w:b/>
          <w:bCs/>
          <w:sz w:val="32"/>
        </w:rPr>
        <w:outlineLvl w:val="0"/>
      </w:pPr>
      <w:r/>
      <w:bookmarkStart w:id="0" w:name="_Toc20483"/>
      <w:r/>
      <w:r/>
    </w:p>
    <w:p>
      <w:pPr>
        <w:pStyle w:val="1059"/>
        <w:ind w:firstLine="0"/>
        <w:rPr>
          <w:b/>
          <w:bCs/>
          <w:sz w:val="32"/>
        </w:rPr>
        <w:outlineLvl w:val="0"/>
      </w:pPr>
      <w:r>
        <w:rPr>
          <w:b/>
          <w:bCs/>
          <w:sz w:val="32"/>
        </w:rPr>
      </w:r>
      <w:r/>
    </w:p>
    <w:p>
      <w:pPr>
        <w:pStyle w:val="1059"/>
        <w:ind w:firstLine="643"/>
        <w:rPr>
          <w:b/>
          <w:bCs/>
          <w:sz w:val="32"/>
        </w:rPr>
        <w:outlineLvl w:val="0"/>
      </w:pPr>
      <w:r>
        <w:rPr>
          <w:rFonts w:hint="eastAsia"/>
          <w:b/>
          <w:bCs/>
          <w:sz w:val="32"/>
        </w:rPr>
        <w:t xml:space="preserve">项目名称：</w:t>
      </w:r>
      <w:bookmarkStart w:id="1" w:name="OLE_LINK16"/>
      <w:r/>
      <w:bookmarkStart w:id="2" w:name="OLE_LINK17"/>
      <w:r/>
      <w:bookmarkEnd w:id="0"/>
      <w:r>
        <w:rPr>
          <w:rFonts w:hint="eastAsia"/>
          <w:b/>
          <w:bCs/>
          <w:sz w:val="32"/>
        </w:rPr>
        <w:t xml:space="preserve">常州市</w:t>
      </w:r>
      <w:r>
        <w:rPr>
          <w:rFonts w:hint="eastAsia"/>
          <w:b/>
          <w:bCs/>
          <w:sz w:val="32"/>
        </w:rPr>
        <w:t xml:space="preserve">龙城高</w:t>
      </w:r>
      <w:r>
        <w:rPr>
          <w:rFonts w:hint="eastAsia"/>
          <w:b/>
          <w:bCs/>
          <w:sz w:val="32"/>
        </w:rPr>
        <w:t xml:space="preserve">级</w:t>
      </w:r>
      <w:r>
        <w:rPr>
          <w:rFonts w:hint="eastAsia"/>
          <w:b/>
          <w:bCs/>
          <w:sz w:val="32"/>
        </w:rPr>
        <w:t xml:space="preserve">中</w:t>
      </w:r>
      <w:r>
        <w:rPr>
          <w:rFonts w:hint="eastAsia"/>
          <w:b/>
          <w:bCs/>
          <w:sz w:val="32"/>
        </w:rPr>
        <w:t xml:space="preserve">学</w:t>
      </w:r>
      <w:r>
        <w:rPr>
          <w:rFonts w:hint="eastAsia"/>
          <w:b/>
          <w:bCs/>
          <w:sz w:val="32"/>
        </w:rPr>
        <w:t xml:space="preserve">等</w:t>
      </w:r>
      <w:r>
        <w:rPr>
          <w:rFonts w:hint="eastAsia"/>
          <w:b/>
          <w:bCs/>
          <w:sz w:val="32"/>
        </w:rPr>
        <w:t xml:space="preserve">学校</w:t>
      </w:r>
      <w:r>
        <w:rPr>
          <w:rFonts w:hint="eastAsia"/>
          <w:b/>
          <w:bCs/>
          <w:sz w:val="32"/>
        </w:rPr>
        <w:t xml:space="preserve">实验室设备</w:t>
      </w:r>
      <w:bookmarkEnd w:id="1"/>
      <w:r/>
      <w:bookmarkEnd w:id="2"/>
      <w:r/>
      <w:r/>
    </w:p>
    <w:p>
      <w:pPr>
        <w:ind w:firstLine="643"/>
        <w:rPr>
          <w:b/>
          <w:bCs/>
          <w:color w:val="000000"/>
          <w:sz w:val="30"/>
          <w:szCs w:val="30"/>
        </w:rPr>
      </w:pPr>
      <w:r>
        <w:rPr>
          <w:rFonts w:hint="eastAsia"/>
          <w:b/>
          <w:bCs/>
          <w:color w:val="000000"/>
          <w:sz w:val="32"/>
        </w:rPr>
        <w:t xml:space="preserve">项目编</w:t>
      </w:r>
      <w:r>
        <w:rPr>
          <w:rFonts w:hint="eastAsia" w:ascii="Arial" w:hAnsi="Arial"/>
          <w:b/>
          <w:bCs/>
          <w:sz w:val="32"/>
          <w:szCs w:val="24"/>
        </w:rPr>
        <w:t xml:space="preserve">号：</w:t>
      </w:r>
      <w:r>
        <w:rPr>
          <w:rFonts w:hint="eastAsia" w:ascii="Arial" w:hAnsi="Arial"/>
          <w:b/>
          <w:bCs/>
          <w:sz w:val="32"/>
          <w:szCs w:val="24"/>
        </w:rPr>
        <w:t xml:space="preserve"> </w:t>
      </w:r>
      <w:r>
        <w:rPr>
          <w:rFonts w:hint="eastAsia"/>
          <w:b/>
          <w:bCs/>
          <w:color w:val="000000"/>
        </w:rPr>
        <w:t xml:space="preserve"> </w:t>
      </w:r>
      <w:r>
        <w:rPr>
          <w:rFonts w:ascii="Arial" w:hAnsi="Arial" w:cs="Arial"/>
          <w:color w:val="000000"/>
          <w:sz w:val="27"/>
          <w:szCs w:val="27"/>
        </w:rPr>
        <w:t xml:space="preserve">JSZC-320400-JZCG-G2026-0199</w:t>
      </w:r>
      <w:r>
        <w:rPr>
          <w:rFonts w:hint="eastAsia"/>
          <w:b/>
          <w:bCs/>
          <w:color w:val="000000"/>
        </w:rPr>
        <w:t xml:space="preserve">     </w:t>
      </w:r>
      <w:r>
        <w:rPr>
          <w:rFonts w:hint="eastAsia"/>
          <w:b/>
          <w:bCs/>
          <w:color w:val="000000"/>
          <w:sz w:val="30"/>
          <w:szCs w:val="30"/>
        </w:rPr>
        <w:t xml:space="preserve">   </w:t>
      </w:r>
      <w:r>
        <w:rPr>
          <w:b/>
          <w:bCs/>
          <w:color w:val="000000"/>
        </w:rPr>
        <w:t xml:space="preserve">  </w:t>
      </w:r>
      <w:r>
        <w:rPr>
          <w:b/>
          <w:bCs/>
          <w:color w:val="000000"/>
          <w:sz w:val="30"/>
          <w:szCs w:val="30"/>
        </w:rPr>
        <w:t xml:space="preserve"> </w:t>
      </w:r>
      <w:r/>
    </w:p>
    <w:p>
      <w:pPr>
        <w:pStyle w:val="1059"/>
        <w:ind w:firstLine="0"/>
        <w:spacing w:before="0" w:after="0"/>
        <w:rPr>
          <w:rFonts w:ascii="宋体" w:hAnsi="宋体"/>
        </w:rPr>
      </w:pPr>
      <w:r>
        <w:rPr>
          <w:rFonts w:ascii="宋体" w:hAnsi="宋体"/>
        </w:rPr>
      </w:r>
      <w:r/>
    </w:p>
    <w:p>
      <w:pPr>
        <w:pStyle w:val="1059"/>
        <w:ind w:firstLine="0"/>
        <w:spacing w:before="0" w:after="0"/>
        <w:rPr>
          <w:rFonts w:ascii="宋体" w:hAnsi="宋体"/>
        </w:rPr>
      </w:pPr>
      <w:r>
        <w:rPr>
          <w:rFonts w:ascii="宋体" w:hAnsi="宋体"/>
        </w:rPr>
      </w:r>
      <w:r/>
    </w:p>
    <w:p>
      <w:pPr>
        <w:pStyle w:val="1059"/>
        <w:ind w:firstLine="0"/>
        <w:spacing w:before="0" w:after="0"/>
        <w:rPr>
          <w:rFonts w:ascii="宋体" w:hAnsi="宋体"/>
        </w:rPr>
      </w:pPr>
      <w:r>
        <w:rPr>
          <w:rFonts w:ascii="宋体" w:hAnsi="宋体"/>
        </w:rPr>
      </w:r>
      <w:r/>
    </w:p>
    <w:p>
      <w:pPr>
        <w:pStyle w:val="1059"/>
        <w:ind w:firstLine="0"/>
        <w:spacing w:before="0" w:after="0"/>
        <w:rPr>
          <w:rFonts w:ascii="宋体" w:hAnsi="宋体"/>
        </w:rPr>
      </w:pPr>
      <w:r>
        <w:rPr>
          <w:rFonts w:ascii="宋体" w:hAnsi="宋体"/>
        </w:rPr>
      </w:r>
      <w:r/>
    </w:p>
    <w:p>
      <w:pPr>
        <w:pStyle w:val="1059"/>
        <w:ind w:firstLine="0"/>
        <w:spacing w:before="0" w:after="0"/>
        <w:rPr>
          <w:rFonts w:ascii="宋体" w:hAnsi="宋体"/>
        </w:rPr>
      </w:pPr>
      <w:r>
        <w:rPr>
          <w:rFonts w:ascii="宋体" w:hAnsi="宋体"/>
        </w:rPr>
      </w:r>
      <w:r/>
    </w:p>
    <w:p>
      <w:pPr>
        <w:pStyle w:val="1059"/>
        <w:ind w:firstLine="0"/>
        <w:spacing w:before="0" w:after="0"/>
        <w:rPr>
          <w:rFonts w:ascii="宋体" w:hAnsi="宋体"/>
        </w:rPr>
      </w:pPr>
      <w:r>
        <w:rPr>
          <w:rFonts w:ascii="宋体" w:hAnsi="宋体"/>
        </w:rPr>
      </w:r>
      <w:r/>
    </w:p>
    <w:p>
      <w:pPr>
        <w:pStyle w:val="1059"/>
        <w:ind w:firstLine="0"/>
        <w:spacing w:before="0" w:after="0"/>
        <w:rPr>
          <w:rFonts w:ascii="宋体" w:hAnsi="宋体"/>
        </w:rPr>
      </w:pPr>
      <w:r>
        <w:rPr>
          <w:rFonts w:ascii="宋体" w:hAnsi="宋体"/>
        </w:rPr>
      </w:r>
      <w:r/>
    </w:p>
    <w:p>
      <w:pPr>
        <w:pStyle w:val="1059"/>
        <w:ind w:firstLine="0"/>
        <w:spacing w:before="0" w:after="0"/>
        <w:rPr>
          <w:rFonts w:ascii="宋体" w:hAnsi="宋体"/>
        </w:rPr>
      </w:pPr>
      <w:r>
        <w:rPr>
          <w:rFonts w:ascii="宋体" w:hAnsi="宋体"/>
        </w:rPr>
      </w:r>
      <w:r/>
    </w:p>
    <w:p>
      <w:pPr>
        <w:pStyle w:val="1059"/>
        <w:ind w:firstLine="0"/>
        <w:jc w:val="center"/>
        <w:rPr>
          <w:b/>
          <w:bCs/>
          <w:sz w:val="32"/>
        </w:rPr>
      </w:pPr>
      <w:r>
        <w:rPr>
          <w:rFonts w:hint="eastAsia"/>
          <w:b/>
          <w:bCs/>
          <w:sz w:val="32"/>
        </w:rPr>
        <w:t xml:space="preserve">常州市教育基本建设与装备管理中心</w:t>
      </w:r>
      <w:r/>
    </w:p>
    <w:p>
      <w:pPr>
        <w:pStyle w:val="1059"/>
        <w:ind w:firstLine="0"/>
        <w:jc w:val="center"/>
        <w:rPr>
          <w:rFonts w:ascii="黑体" w:eastAsia="黑体"/>
          <w:b/>
          <w:sz w:val="44"/>
        </w:rPr>
      </w:pPr>
      <w:r>
        <w:rPr>
          <w:rFonts w:hint="eastAsia"/>
          <w:b/>
          <w:bCs/>
          <w:sz w:val="32"/>
        </w:rPr>
        <w:t xml:space="preserve">2026</w:t>
      </w:r>
      <w:r>
        <w:rPr>
          <w:rFonts w:hint="eastAsia"/>
          <w:b/>
          <w:bCs/>
          <w:sz w:val="32"/>
        </w:rPr>
        <w:t xml:space="preserve">年</w:t>
      </w:r>
      <w:r>
        <w:rPr>
          <w:rFonts w:hint="eastAsia"/>
          <w:b/>
          <w:bCs/>
          <w:sz w:val="32"/>
        </w:rPr>
        <w:t xml:space="preserve">7月</w:t>
      </w:r>
      <w:r>
        <w:rPr>
          <w:rFonts w:hint="eastAsia"/>
        </w:rPr>
        <w:t xml:space="preserve">                  </w:t>
      </w:r>
      <w:r>
        <w:br w:type="page" w:clear="all"/>
      </w:r>
      <w:bookmarkStart w:id="3" w:name="_Toc120614210"/>
      <w:r/>
      <w:bookmarkStart w:id="4" w:name="_Toc479757206"/>
      <w:r/>
      <w:bookmarkStart w:id="5" w:name="_Toc523127445"/>
      <w:r/>
      <w:bookmarkStart w:id="6" w:name="_Toc20823272"/>
      <w:r/>
      <w:bookmarkStart w:id="7" w:name="_Toc16938516"/>
      <w:r/>
      <w:bookmarkStart w:id="8" w:name="_Toc513029200"/>
      <w:r>
        <w:rPr>
          <w:rFonts w:hint="eastAsia"/>
        </w:rPr>
        <w:t xml:space="preserve"> </w:t>
      </w:r>
      <w:bookmarkStart w:id="9" w:name="_Toc6626"/>
      <w:r>
        <w:rPr>
          <w:rFonts w:hint="eastAsia" w:ascii="黑体" w:eastAsia="黑体"/>
          <w:b/>
          <w:sz w:val="44"/>
        </w:rPr>
        <w:t xml:space="preserve">总  目  录</w:t>
      </w:r>
      <w:bookmarkEnd w:id="9"/>
      <w:r/>
      <w:r/>
    </w:p>
    <w:p>
      <w:pPr>
        <w:pStyle w:val="1087"/>
        <w:spacing w:line="360" w:lineRule="auto"/>
        <w:tabs>
          <w:tab w:val="right" w:pos="8306" w:leader="dot"/>
        </w:tabs>
      </w:pPr>
      <w:r>
        <w:rPr>
          <w:rFonts w:hint="eastAsia"/>
        </w:rPr>
        <w:fldChar w:fldCharType="begin"/>
      </w:r>
      <w:r>
        <w:rPr>
          <w:rFonts w:hint="eastAsia"/>
        </w:rPr>
        <w:instrText xml:space="preserve">TOC \o "1-1" \h \u </w:instrText>
      </w:r>
      <w:r>
        <w:rPr>
          <w:rFonts w:hint="eastAsia"/>
        </w:rPr>
        <w:fldChar w:fldCharType="separate"/>
      </w:r>
      <w:r/>
    </w:p>
    <w:p>
      <w:pPr>
        <w:pStyle w:val="1087"/>
        <w:spacing w:line="360" w:lineRule="auto"/>
        <w:tabs>
          <w:tab w:val="right" w:pos="8306" w:leader="dot"/>
        </w:tabs>
      </w:pPr>
      <w:r/>
      <w:r/>
    </w:p>
    <w:p>
      <w:pPr>
        <w:pStyle w:val="1087"/>
        <w:spacing w:line="360" w:lineRule="auto"/>
        <w:tabs>
          <w:tab w:val="right" w:pos="8306" w:leader="dot"/>
        </w:tabs>
        <w:rPr>
          <w:sz w:val="36"/>
          <w:szCs w:val="36"/>
        </w:rPr>
      </w:pPr>
      <w:r/>
      <w:hyperlink w:tooltip="#_Toc12340" w:anchor="_Toc12340" w:history="1">
        <w:r>
          <w:rPr>
            <w:rFonts w:hint="eastAsia" w:ascii="黑体" w:eastAsia="黑体"/>
            <w:sz w:val="36"/>
            <w:szCs w:val="36"/>
          </w:rPr>
          <w:t xml:space="preserve">第一章  投标邀请</w:t>
        </w:r>
        <w:r>
          <w:rPr>
            <w:sz w:val="36"/>
            <w:szCs w:val="36"/>
          </w:rPr>
          <w:tab/>
        </w:r>
        <w:r>
          <w:rPr>
            <w:sz w:val="36"/>
            <w:szCs w:val="36"/>
          </w:rPr>
          <w:fldChar w:fldCharType="begin"/>
        </w:r>
        <w:r>
          <w:rPr>
            <w:sz w:val="36"/>
            <w:szCs w:val="36"/>
          </w:rPr>
          <w:instrText xml:space="preserve"> PAGEREF _Toc12340 \h </w:instrText>
        </w:r>
        <w:r>
          <w:rPr>
            <w:sz w:val="36"/>
            <w:szCs w:val="36"/>
          </w:rPr>
        </w:r>
        <w:r>
          <w:rPr>
            <w:sz w:val="36"/>
            <w:szCs w:val="36"/>
          </w:rPr>
          <w:fldChar w:fldCharType="separate"/>
        </w:r>
        <w:r>
          <w:rPr>
            <w:sz w:val="36"/>
            <w:szCs w:val="36"/>
          </w:rPr>
          <w:t xml:space="preserve">3</w:t>
        </w:r>
        <w:r>
          <w:rPr>
            <w:sz w:val="36"/>
            <w:szCs w:val="36"/>
          </w:rPr>
          <w:fldChar w:fldCharType="end"/>
        </w:r>
      </w:hyperlink>
      <w:r/>
      <w:r/>
    </w:p>
    <w:p>
      <w:pPr>
        <w:pStyle w:val="1087"/>
        <w:spacing w:line="360" w:lineRule="auto"/>
        <w:tabs>
          <w:tab w:val="right" w:pos="8306" w:leader="dot"/>
        </w:tabs>
        <w:rPr>
          <w:sz w:val="36"/>
          <w:szCs w:val="36"/>
        </w:rPr>
      </w:pPr>
      <w:r/>
      <w:hyperlink w:tooltip="#_Toc6429" w:anchor="_Toc6429" w:history="1">
        <w:r>
          <w:rPr>
            <w:rFonts w:hint="eastAsia" w:ascii="黑体" w:eastAsia="黑体"/>
            <w:sz w:val="36"/>
            <w:szCs w:val="36"/>
          </w:rPr>
          <w:t xml:space="preserve">第二章  投标人须知</w:t>
        </w:r>
        <w:r>
          <w:rPr>
            <w:sz w:val="36"/>
            <w:szCs w:val="36"/>
          </w:rPr>
          <w:tab/>
        </w:r>
        <w:r>
          <w:rPr>
            <w:sz w:val="36"/>
            <w:szCs w:val="36"/>
          </w:rPr>
          <w:fldChar w:fldCharType="begin"/>
        </w:r>
        <w:r>
          <w:rPr>
            <w:sz w:val="36"/>
            <w:szCs w:val="36"/>
          </w:rPr>
          <w:instrText xml:space="preserve"> PAGEREF _Toc6429 \h </w:instrText>
        </w:r>
        <w:r>
          <w:rPr>
            <w:sz w:val="36"/>
            <w:szCs w:val="36"/>
          </w:rPr>
        </w:r>
        <w:r>
          <w:rPr>
            <w:sz w:val="36"/>
            <w:szCs w:val="36"/>
          </w:rPr>
          <w:fldChar w:fldCharType="separate"/>
        </w:r>
        <w:r>
          <w:rPr>
            <w:sz w:val="36"/>
            <w:szCs w:val="36"/>
          </w:rPr>
          <w:t xml:space="preserve">6</w:t>
        </w:r>
        <w:r>
          <w:rPr>
            <w:sz w:val="36"/>
            <w:szCs w:val="36"/>
          </w:rPr>
          <w:fldChar w:fldCharType="end"/>
        </w:r>
      </w:hyperlink>
      <w:r/>
      <w:r/>
    </w:p>
    <w:p>
      <w:pPr>
        <w:pStyle w:val="1087"/>
        <w:spacing w:line="360" w:lineRule="auto"/>
        <w:tabs>
          <w:tab w:val="right" w:pos="8306" w:leader="dot"/>
        </w:tabs>
        <w:rPr>
          <w:sz w:val="36"/>
          <w:szCs w:val="36"/>
        </w:rPr>
      </w:pPr>
      <w:r/>
      <w:hyperlink w:tooltip="#_Toc6505" w:anchor="_Toc6505" w:history="1">
        <w:r>
          <w:rPr>
            <w:rFonts w:hint="eastAsia" w:ascii="黑体" w:eastAsia="黑体"/>
            <w:bCs/>
            <w:sz w:val="36"/>
            <w:szCs w:val="36"/>
          </w:rPr>
          <w:t xml:space="preserve">第三章  合同文本</w:t>
        </w:r>
        <w:r>
          <w:rPr>
            <w:sz w:val="36"/>
            <w:szCs w:val="36"/>
          </w:rPr>
          <w:tab/>
        </w:r>
      </w:hyperlink>
      <w:r>
        <w:rPr>
          <w:rFonts w:hint="eastAsia"/>
          <w:sz w:val="36"/>
          <w:szCs w:val="36"/>
        </w:rPr>
        <w:t xml:space="preserve">22</w:t>
      </w:r>
      <w:r/>
    </w:p>
    <w:p>
      <w:pPr>
        <w:pStyle w:val="1087"/>
        <w:spacing w:line="360" w:lineRule="auto"/>
        <w:tabs>
          <w:tab w:val="right" w:pos="8306" w:leader="dot"/>
        </w:tabs>
        <w:rPr>
          <w:sz w:val="36"/>
          <w:szCs w:val="36"/>
        </w:rPr>
      </w:pPr>
      <w:r/>
      <w:hyperlink w:tooltip="#_Toc17950" w:anchor="_Toc17950" w:history="1">
        <w:r>
          <w:rPr>
            <w:rFonts w:hint="eastAsia" w:ascii="黑体" w:eastAsia="黑体"/>
            <w:bCs/>
            <w:sz w:val="36"/>
            <w:szCs w:val="36"/>
          </w:rPr>
          <w:t xml:space="preserve">第四章  采购需求</w:t>
        </w:r>
        <w:r>
          <w:rPr>
            <w:sz w:val="36"/>
            <w:szCs w:val="36"/>
          </w:rPr>
          <w:tab/>
        </w:r>
      </w:hyperlink>
      <w:r>
        <w:rPr>
          <w:rFonts w:hint="eastAsia"/>
          <w:sz w:val="36"/>
          <w:szCs w:val="36"/>
        </w:rPr>
        <w:t xml:space="preserve">39</w:t>
      </w:r>
      <w:r/>
    </w:p>
    <w:p>
      <w:pPr>
        <w:pStyle w:val="1087"/>
        <w:spacing w:line="360" w:lineRule="auto"/>
        <w:tabs>
          <w:tab w:val="right" w:pos="8306" w:leader="dot"/>
        </w:tabs>
        <w:rPr>
          <w:sz w:val="36"/>
          <w:szCs w:val="36"/>
        </w:rPr>
      </w:pPr>
      <w:r/>
      <w:hyperlink w:tooltip="#_Toc7880" w:anchor="_Toc7880" w:history="1">
        <w:r>
          <w:rPr>
            <w:rFonts w:hint="eastAsia" w:ascii="黑体" w:eastAsia="黑体"/>
            <w:bCs/>
            <w:sz w:val="36"/>
            <w:szCs w:val="36"/>
          </w:rPr>
          <w:t xml:space="preserve">第五章  评标方法与评标标准</w:t>
        </w:r>
        <w:r>
          <w:rPr>
            <w:sz w:val="36"/>
            <w:szCs w:val="36"/>
          </w:rPr>
          <w:tab/>
        </w:r>
      </w:hyperlink>
      <w:r>
        <w:rPr>
          <w:rFonts w:hint="eastAsia"/>
          <w:sz w:val="36"/>
          <w:szCs w:val="36"/>
        </w:rPr>
        <w:t xml:space="preserve">49</w:t>
      </w:r>
      <w:r/>
    </w:p>
    <w:p>
      <w:pPr>
        <w:pStyle w:val="1087"/>
        <w:spacing w:line="360" w:lineRule="auto"/>
        <w:tabs>
          <w:tab w:val="right" w:pos="8306" w:leader="dot"/>
        </w:tabs>
      </w:pPr>
      <w:r/>
      <w:hyperlink w:tooltip="#_Toc3874" w:anchor="_Toc3874" w:history="1">
        <w:r>
          <w:rPr>
            <w:rFonts w:hint="eastAsia" w:ascii="黑体" w:eastAsia="黑体"/>
            <w:bCs/>
            <w:sz w:val="36"/>
            <w:szCs w:val="36"/>
          </w:rPr>
          <w:t xml:space="preserve">第六章  投标文件格式</w:t>
        </w:r>
        <w:r>
          <w:rPr>
            <w:sz w:val="36"/>
            <w:szCs w:val="36"/>
          </w:rPr>
          <w:tab/>
        </w:r>
      </w:hyperlink>
      <w:r>
        <w:rPr>
          <w:rFonts w:hint="eastAsia"/>
          <w:sz w:val="36"/>
          <w:szCs w:val="36"/>
        </w:rPr>
        <w:t xml:space="preserve">53</w:t>
      </w:r>
      <w:r/>
    </w:p>
    <w:p>
      <w:pPr>
        <w:spacing w:line="360" w:lineRule="auto"/>
      </w:pPr>
      <w:r>
        <w:rPr>
          <w:rFonts w:hint="eastAsia"/>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76"/>
        <w:spacing w:line="480" w:lineRule="exact"/>
        <w:rPr>
          <w:rFonts w:ascii="黑体" w:eastAsia="黑体"/>
          <w:bCs/>
          <w:sz w:val="44"/>
          <w:szCs w:val="44"/>
        </w:rPr>
      </w:pPr>
      <w:r/>
      <w:bookmarkStart w:id="10" w:name="_Toc12340"/>
      <w:r>
        <w:rPr>
          <w:rFonts w:hint="eastAsia" w:ascii="黑体" w:eastAsia="黑体"/>
          <w:sz w:val="44"/>
          <w:szCs w:val="44"/>
        </w:rPr>
        <w:t xml:space="preserve">第一章  </w:t>
      </w:r>
      <w:bookmarkEnd w:id="3"/>
      <w:r>
        <w:rPr>
          <w:rFonts w:hint="eastAsia" w:ascii="黑体" w:eastAsia="黑体"/>
          <w:sz w:val="44"/>
          <w:szCs w:val="44"/>
        </w:rPr>
        <w:t xml:space="preserve">投标邀请</w:t>
      </w:r>
      <w:bookmarkEnd w:id="10"/>
      <w:r/>
      <w:r/>
    </w:p>
    <w:p>
      <w:pPr>
        <w:ind w:firstLine="480"/>
        <w:spacing w:line="48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常州市龙城高级中学</w:t>
      </w:r>
      <w:r>
        <w:rPr>
          <w:rFonts w:hint="eastAsia" w:ascii="宋体" w:hAnsi="宋体"/>
          <w:sz w:val="24"/>
          <w:szCs w:val="24"/>
          <w:u w:val="single"/>
        </w:rPr>
        <w:t xml:space="preserve">等学校</w:t>
      </w:r>
      <w:r>
        <w:rPr>
          <w:rFonts w:hint="eastAsia" w:ascii="宋体" w:hAnsi="宋体"/>
          <w:sz w:val="24"/>
          <w:szCs w:val="24"/>
        </w:rPr>
        <w:t xml:space="preserve">的委托，常州市教育基本建设与装备管理中心（采购代理机构）就</w:t>
      </w:r>
      <w:r>
        <w:rPr>
          <w:rFonts w:hint="eastAsia" w:ascii="宋体" w:hAnsi="宋体" w:cs="宋体"/>
          <w:sz w:val="24"/>
          <w:szCs w:val="24"/>
        </w:rPr>
        <w:t xml:space="preserve">常州市</w:t>
      </w:r>
      <w:r>
        <w:rPr>
          <w:rFonts w:hint="eastAsia" w:ascii="宋体" w:hAnsi="宋体" w:cs="宋体"/>
          <w:sz w:val="24"/>
          <w:szCs w:val="24"/>
        </w:rPr>
        <w:t xml:space="preserve">龙城</w:t>
      </w:r>
      <w:r>
        <w:rPr>
          <w:rFonts w:hint="eastAsia" w:ascii="宋体" w:hAnsi="宋体" w:cs="宋体"/>
          <w:sz w:val="24"/>
          <w:szCs w:val="24"/>
        </w:rPr>
        <w:t xml:space="preserve">高级中学</w:t>
      </w:r>
      <w:r>
        <w:rPr>
          <w:rFonts w:hint="eastAsia" w:ascii="宋体" w:hAnsi="宋体"/>
          <w:sz w:val="24"/>
          <w:szCs w:val="24"/>
        </w:rPr>
        <w:t xml:space="preserve">等学校实验室</w:t>
      </w:r>
      <w:r>
        <w:rPr>
          <w:rFonts w:ascii="宋体" w:hAnsi="宋体"/>
          <w:sz w:val="24"/>
          <w:szCs w:val="24"/>
        </w:rPr>
        <w:t xml:space="preserve">设备</w:t>
      </w:r>
      <w:r>
        <w:rPr>
          <w:rFonts w:hint="eastAsia" w:ascii="宋体" w:hAnsi="宋体"/>
          <w:sz w:val="24"/>
          <w:szCs w:val="24"/>
        </w:rPr>
        <w:t xml:space="preserve">(项目编号：</w:t>
      </w:r>
      <w:bookmarkStart w:id="11" w:name="OLE_LINK3"/>
      <w:r>
        <w:rPr>
          <w:rFonts w:ascii="宋体" w:hAnsi="宋体"/>
          <w:sz w:val="24"/>
          <w:szCs w:val="24"/>
        </w:rPr>
        <w:t xml:space="preserve">JSZC-320400-JZCG-G2026-0199</w:t>
      </w:r>
      <w:r>
        <w:rPr>
          <w:rFonts w:hint="eastAsia" w:ascii="宋体" w:hAnsi="宋体"/>
          <w:sz w:val="24"/>
          <w:szCs w:val="24"/>
        </w:rPr>
        <w:t xml:space="preserve">)</w:t>
      </w:r>
      <w:bookmarkEnd w:id="11"/>
      <w:r>
        <w:rPr>
          <w:rFonts w:hint="eastAsia" w:ascii="宋体" w:hAnsi="宋体"/>
          <w:sz w:val="24"/>
          <w:szCs w:val="24"/>
        </w:rPr>
        <w:t xml:space="preserve">项目进行公开招标采购，欢迎符合条件的供应商投标。</w:t>
      </w:r>
      <w:r/>
    </w:p>
    <w:p>
      <w:pPr>
        <w:ind w:firstLine="480"/>
        <w:spacing w:line="48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8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常州市龙城高级中学</w:t>
      </w:r>
      <w:r>
        <w:rPr>
          <w:rFonts w:hint="eastAsia" w:ascii="宋体" w:hAnsi="宋体"/>
          <w:sz w:val="24"/>
          <w:szCs w:val="24"/>
          <w:u w:val="single"/>
        </w:rPr>
        <w:t xml:space="preserve">等学校实验室</w:t>
      </w:r>
      <w:r>
        <w:rPr>
          <w:rFonts w:hint="eastAsia" w:ascii="宋体" w:hAnsi="宋体"/>
          <w:sz w:val="24"/>
          <w:szCs w:val="24"/>
        </w:rPr>
        <w:t xml:space="preserve">设备招标项目的潜在供应商可在</w:t>
      </w:r>
      <w:r>
        <w:rPr>
          <w:rFonts w:hint="eastAsia" w:asciiTheme="minorEastAsia" w:hAnsiTheme="minorEastAsia" w:eastAsiaTheme="minorEastAsia" w:cstheme="minorEastAsia"/>
          <w:sz w:val="24"/>
          <w:szCs w:val="24"/>
          <w:u w:val="single"/>
        </w:rPr>
        <w:t xml:space="preserve">“江苏政府采购网、常州市政府采购网”</w:t>
      </w:r>
      <w:r>
        <w:rPr>
          <w:rFonts w:hint="eastAsia" w:ascii="宋体" w:hAnsi="宋体"/>
          <w:sz w:val="24"/>
          <w:szCs w:val="24"/>
          <w:u w:val="single"/>
        </w:rPr>
        <w:t xml:space="preserve">自行免费下载采购</w:t>
      </w:r>
      <w:r>
        <w:rPr>
          <w:rFonts w:hint="eastAsia" w:ascii="宋体" w:hAnsi="宋体"/>
          <w:sz w:val="24"/>
          <w:szCs w:val="24"/>
        </w:rPr>
        <w:t xml:space="preserve">文件，并于</w:t>
      </w:r>
      <w:r>
        <w:rPr>
          <w:rFonts w:ascii="宋体" w:hAnsi="宋体"/>
          <w:color w:val="ff0000"/>
          <w:sz w:val="24"/>
          <w:szCs w:val="24"/>
          <w:u w:val="single"/>
        </w:rPr>
        <w:t xml:space="preserve"> </w:t>
      </w:r>
      <w:r>
        <w:rPr>
          <w:rFonts w:hint="eastAsia" w:ascii="宋体" w:hAnsi="宋体"/>
          <w:color w:val="ff0000"/>
          <w:sz w:val="24"/>
          <w:szCs w:val="24"/>
          <w:u w:val="single"/>
        </w:rPr>
        <w:t xml:space="preserve">2026</w:t>
      </w:r>
      <w:r>
        <w:rPr>
          <w:rFonts w:hint="eastAsia" w:ascii="宋体" w:hAnsi="宋体"/>
          <w:bCs/>
          <w:color w:val="ff0000"/>
          <w:sz w:val="24"/>
          <w:szCs w:val="24"/>
          <w:u w:val="single"/>
        </w:rPr>
        <w:t xml:space="preserve">年8</w:t>
      </w:r>
      <w:r>
        <w:rPr>
          <w:rFonts w:hint="eastAsia" w:ascii="宋体" w:hAnsi="宋体"/>
          <w:bCs/>
          <w:color w:val="ff0000"/>
          <w:sz w:val="24"/>
          <w:szCs w:val="24"/>
          <w:u w:val="single"/>
        </w:rPr>
        <w:t xml:space="preserve">月</w:t>
      </w:r>
      <w:r>
        <w:rPr>
          <w:rFonts w:hint="eastAsia" w:ascii="宋体" w:hAnsi="宋体"/>
          <w:bCs/>
          <w:color w:val="ff0000"/>
          <w:sz w:val="24"/>
          <w:szCs w:val="24"/>
          <w:u w:val="single"/>
        </w:rPr>
        <w:t xml:space="preserve">21</w:t>
      </w:r>
      <w:r>
        <w:rPr>
          <w:rFonts w:hint="eastAsia" w:ascii="宋体" w:hAnsi="宋体"/>
          <w:bCs/>
          <w:color w:val="ff0000"/>
          <w:sz w:val="24"/>
          <w:szCs w:val="24"/>
          <w:u w:val="single"/>
        </w:rPr>
        <w:t xml:space="preserve">日 </w:t>
      </w:r>
      <w:r>
        <w:rPr>
          <w:rFonts w:hint="eastAsia" w:ascii="宋体" w:hAnsi="宋体"/>
          <w:bCs/>
          <w:color w:val="ff0000"/>
          <w:sz w:val="24"/>
          <w:szCs w:val="24"/>
          <w:u w:val="single"/>
        </w:rPr>
        <w:t xml:space="preserve">9</w:t>
      </w:r>
      <w:r>
        <w:rPr>
          <w:rFonts w:hint="eastAsia" w:ascii="宋体" w:hAnsi="宋体"/>
          <w:bCs/>
          <w:color w:val="ff0000"/>
          <w:sz w:val="24"/>
          <w:szCs w:val="24"/>
          <w:u w:val="single"/>
        </w:rPr>
        <w:t xml:space="preserve"> 点 </w:t>
      </w:r>
      <w:r>
        <w:rPr>
          <w:rFonts w:hint="eastAsia" w:ascii="宋体" w:hAnsi="宋体"/>
          <w:bCs/>
          <w:color w:val="ff0000"/>
          <w:sz w:val="24"/>
          <w:szCs w:val="24"/>
          <w:u w:val="single"/>
        </w:rPr>
        <w:t xml:space="preserve">3</w:t>
      </w:r>
      <w:r>
        <w:rPr>
          <w:rFonts w:ascii="宋体" w:hAnsi="宋体"/>
          <w:bCs/>
          <w:color w:val="ff0000"/>
          <w:sz w:val="24"/>
          <w:szCs w:val="24"/>
          <w:u w:val="single"/>
        </w:rPr>
        <w:t xml:space="preserve">0</w:t>
      </w:r>
      <w:r>
        <w:rPr>
          <w:rFonts w:hint="eastAsia" w:ascii="宋体" w:hAnsi="宋体"/>
          <w:bCs/>
          <w:color w:val="ff0000"/>
          <w:sz w:val="24"/>
          <w:szCs w:val="24"/>
          <w:u w:val="single"/>
        </w:rPr>
        <w:t xml:space="preserve"> 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pStyle w:val="982"/>
        <w:ind w:firstLine="498"/>
        <w:spacing w:before="156" w:after="156" w:line="480" w:lineRule="exact"/>
      </w:pPr>
      <w:r/>
      <w:bookmarkStart w:id="12" w:name="_Toc28359079"/>
      <w:r/>
      <w:bookmarkStart w:id="13" w:name="_Toc35393790"/>
      <w:r/>
      <w:bookmarkStart w:id="14" w:name="_Toc38985263"/>
      <w:r/>
      <w:bookmarkStart w:id="15" w:name="_Toc35393621"/>
      <w:r/>
      <w:bookmarkStart w:id="16" w:name="_Toc28359002"/>
      <w:r/>
      <w:bookmarkStart w:id="17" w:name="_Hlk24379207"/>
      <w:r>
        <w:rPr>
          <w:rFonts w:hint="eastAsia"/>
        </w:rPr>
        <w:t xml:space="preserve">一、项目基本情况</w:t>
      </w:r>
      <w:bookmarkEnd w:id="12"/>
      <w:r/>
      <w:bookmarkEnd w:id="13"/>
      <w:r/>
      <w:bookmarkEnd w:id="14"/>
      <w:r/>
      <w:bookmarkEnd w:id="15"/>
      <w:r/>
      <w:bookmarkEnd w:id="16"/>
      <w:r/>
      <w:r/>
    </w:p>
    <w:p>
      <w:pPr>
        <w:ind w:firstLine="480"/>
        <w:spacing w:line="48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JSZC-320400-JZCG-G2026-0199</w:t>
      </w:r>
      <w:r>
        <w:rPr>
          <w:rFonts w:ascii="宋体" w:hAnsi="宋体"/>
          <w:sz w:val="24"/>
          <w:szCs w:val="24"/>
        </w:rPr>
        <w:t xml:space="preserve">  </w:t>
      </w:r>
      <w:r>
        <w:rPr>
          <w:rFonts w:hint="eastAsia" w:ascii="宋体" w:hAnsi="宋体"/>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常州市</w:t>
      </w:r>
      <w:r>
        <w:rPr>
          <w:rFonts w:hint="eastAsia" w:ascii="宋体" w:hAnsi="宋体" w:cs="宋体"/>
          <w:sz w:val="24"/>
          <w:szCs w:val="24"/>
        </w:rPr>
        <w:t xml:space="preserve">龙城</w:t>
      </w:r>
      <w:r>
        <w:rPr>
          <w:rFonts w:hint="eastAsia" w:ascii="宋体" w:hAnsi="宋体" w:cs="宋体"/>
          <w:sz w:val="24"/>
          <w:szCs w:val="24"/>
        </w:rPr>
        <w:t xml:space="preserve">高级中学</w:t>
      </w:r>
      <w:r>
        <w:rPr>
          <w:rFonts w:hint="eastAsia" w:ascii="宋体" w:hAnsi="宋体"/>
          <w:sz w:val="24"/>
          <w:szCs w:val="24"/>
        </w:rPr>
        <w:t xml:space="preserve">等学校实验室</w:t>
      </w:r>
      <w:r>
        <w:rPr>
          <w:rFonts w:ascii="宋体" w:hAnsi="宋体"/>
          <w:sz w:val="24"/>
          <w:szCs w:val="24"/>
        </w:rPr>
        <w:t xml:space="preserve">设备</w:t>
      </w:r>
      <w:r>
        <w:rPr>
          <w:rFonts w:hint="eastAsia" w:ascii="宋体" w:hAnsi="宋体"/>
          <w:sz w:val="24"/>
          <w:szCs w:val="24"/>
        </w:rPr>
        <w:t xml:space="preserve"> </w:t>
      </w:r>
      <w:bookmarkEnd w:id="17"/>
      <w:r/>
      <w:r/>
    </w:p>
    <w:p>
      <w:pPr>
        <w:ind w:firstLine="480"/>
        <w:spacing w:line="480" w:lineRule="exact"/>
        <w:rPr>
          <w:rFonts w:ascii="宋体" w:hAnsi="宋体"/>
          <w:sz w:val="24"/>
          <w:szCs w:val="24"/>
        </w:rPr>
      </w:pPr>
      <w:r>
        <w:rPr>
          <w:rFonts w:hint="eastAsia" w:ascii="宋体" w:hAnsi="宋体"/>
          <w:sz w:val="24"/>
          <w:szCs w:val="24"/>
        </w:rPr>
        <w:t xml:space="preserve">3.采购需求：本项目是对</w:t>
      </w:r>
      <w:r>
        <w:rPr>
          <w:rFonts w:hint="eastAsia" w:ascii="宋体" w:hAnsi="宋体" w:cs="宋体"/>
          <w:sz w:val="24"/>
          <w:szCs w:val="24"/>
        </w:rPr>
        <w:t xml:space="preserve">常州市</w:t>
      </w:r>
      <w:r>
        <w:rPr>
          <w:rFonts w:hint="eastAsia" w:ascii="宋体" w:hAnsi="宋体" w:cs="宋体"/>
          <w:sz w:val="24"/>
          <w:szCs w:val="24"/>
        </w:rPr>
        <w:t xml:space="preserve">龙城</w:t>
      </w:r>
      <w:r>
        <w:rPr>
          <w:rFonts w:hint="eastAsia" w:ascii="宋体" w:hAnsi="宋体" w:cs="宋体"/>
          <w:sz w:val="24"/>
          <w:szCs w:val="24"/>
        </w:rPr>
        <w:t xml:space="preserve">高级中学</w:t>
      </w:r>
      <w:r>
        <w:rPr>
          <w:rFonts w:hint="eastAsia" w:ascii="宋体" w:hAnsi="宋体"/>
          <w:sz w:val="24"/>
          <w:szCs w:val="24"/>
        </w:rPr>
        <w:t xml:space="preserve">等学校实验室</w:t>
      </w:r>
      <w:r>
        <w:rPr>
          <w:rFonts w:ascii="宋体" w:hAnsi="宋体"/>
          <w:sz w:val="24"/>
          <w:szCs w:val="24"/>
        </w:rPr>
        <w:t xml:space="preserve">设备项目</w:t>
      </w:r>
      <w:r>
        <w:rPr>
          <w:rFonts w:hint="eastAsia" w:ascii="宋体" w:hAnsi="宋体"/>
          <w:sz w:val="24"/>
          <w:szCs w:val="24"/>
        </w:rPr>
        <w:t xml:space="preserve">进行部门集中采购。本项目为包干制，投标人报价为完成本项目的总报价（含供货、运输、新设备安装、检测、质保），不再另外收取任何费用。</w:t>
      </w:r>
      <w:r/>
    </w:p>
    <w:p>
      <w:pPr>
        <w:ind w:firstLine="480"/>
        <w:spacing w:line="480" w:lineRule="exact"/>
        <w:rPr>
          <w:rFonts w:ascii="宋体" w:hAnsi="宋体"/>
          <w:sz w:val="24"/>
          <w:szCs w:val="24"/>
        </w:rPr>
      </w:pPr>
      <w:r>
        <w:rPr>
          <w:rFonts w:hint="eastAsia" w:ascii="宋体" w:hAnsi="宋体"/>
          <w:sz w:val="24"/>
          <w:szCs w:val="24"/>
        </w:rPr>
        <w:t xml:space="preserve">4.预算金额：</w:t>
      </w:r>
      <w:r>
        <w:rPr>
          <w:rFonts w:hint="eastAsia" w:ascii="宋体" w:hAnsi="宋体"/>
          <w:sz w:val="24"/>
          <w:szCs w:val="24"/>
        </w:rPr>
        <w:t xml:space="preserve">153.0676</w:t>
      </w:r>
      <w:r>
        <w:rPr>
          <w:rFonts w:hint="eastAsia" w:ascii="宋体" w:hAnsi="宋体"/>
          <w:sz w:val="24"/>
          <w:szCs w:val="24"/>
        </w:rPr>
        <w:t xml:space="preserve"> </w:t>
      </w:r>
      <w:r>
        <w:rPr>
          <w:rFonts w:hint="eastAsia" w:ascii="宋体" w:hAnsi="宋体"/>
          <w:sz w:val="24"/>
          <w:szCs w:val="24"/>
        </w:rPr>
        <w:t xml:space="preserve">万元</w:t>
      </w:r>
      <w:r>
        <w:rPr>
          <w:rFonts w:hint="eastAsia" w:ascii="宋体" w:hAnsi="宋体"/>
          <w:sz w:val="24"/>
          <w:szCs w:val="24"/>
        </w:rPr>
        <w:t xml:space="preserve">（其中包1：</w:t>
      </w:r>
      <w:r>
        <w:rPr>
          <w:rFonts w:ascii="宋体" w:hAnsi="宋体" w:cs="宋体"/>
          <w:sz w:val="24"/>
          <w:szCs w:val="24"/>
        </w:rPr>
        <w:t xml:space="preserve">69.2676</w:t>
      </w:r>
      <w:r>
        <w:rPr>
          <w:rFonts w:hint="eastAsia" w:ascii="宋体" w:hAnsi="宋体"/>
          <w:sz w:val="24"/>
          <w:szCs w:val="24"/>
        </w:rPr>
        <w:t xml:space="preserve">万元；包2:39.8万元；包3:</w:t>
      </w:r>
      <w:r>
        <w:rPr>
          <w:rFonts w:hint="eastAsia" w:ascii="宋体" w:hAnsi="宋体" w:cs="宋体"/>
          <w:sz w:val="24"/>
          <w:szCs w:val="24"/>
        </w:rPr>
        <w:t xml:space="preserve"> </w:t>
      </w:r>
      <w:r>
        <w:rPr>
          <w:rFonts w:hint="eastAsia" w:ascii="宋体" w:hAnsi="宋体" w:cs="宋体"/>
          <w:sz w:val="24"/>
          <w:szCs w:val="24"/>
        </w:rPr>
        <w:t xml:space="preserve">44</w:t>
      </w:r>
      <w:r>
        <w:rPr>
          <w:rFonts w:hint="eastAsia" w:ascii="宋体" w:hAnsi="宋体"/>
          <w:sz w:val="24"/>
          <w:szCs w:val="24"/>
        </w:rPr>
        <w:t xml:space="preserve">万元）</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本项目设定最高限价，采购包最高限价如下所示，投标报价超过采购包限价的，均以</w:t>
      </w:r>
      <w:r>
        <w:rPr>
          <w:rFonts w:hint="eastAsia" w:ascii="宋体" w:hAnsi="宋体"/>
          <w:b/>
          <w:bCs/>
          <w:color w:val="0000ff"/>
          <w:sz w:val="24"/>
          <w:szCs w:val="24"/>
        </w:rPr>
        <w:t xml:space="preserve">无效投标</w:t>
      </w:r>
      <w:r>
        <w:rPr>
          <w:rFonts w:hint="eastAsia" w:ascii="宋体" w:hAnsi="宋体"/>
          <w:sz w:val="24"/>
          <w:szCs w:val="24"/>
        </w:rPr>
        <w:t xml:space="preserve">处理。</w:t>
      </w:r>
      <w:r/>
    </w:p>
    <w:tbl>
      <w:tblPr>
        <w:tblW w:w="471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123"/>
        <w:gridCol w:w="1738"/>
        <w:gridCol w:w="2452"/>
      </w:tblGrid>
      <w:tr>
        <w:trPr>
          <w:trHeight w:val="503"/>
        </w:trPr>
        <w:tc>
          <w:tcPr>
            <w:tcW w:w="448" w:type="pct"/>
            <w:vAlign w:val="center"/>
            <w:textDirection w:val="lrTb"/>
            <w:noWrap/>
          </w:tcPr>
          <w:p>
            <w:pPr>
              <w:jc w:val="center"/>
              <w:rPr>
                <w:rFonts w:ascii="宋体" w:hAnsi="宋体" w:cs="宋体"/>
                <w:bCs/>
                <w:sz w:val="24"/>
                <w:szCs w:val="24"/>
              </w:rPr>
            </w:pPr>
            <w:r>
              <w:rPr>
                <w:rFonts w:ascii="宋体" w:hAnsi="宋体" w:cs="宋体"/>
                <w:bCs/>
                <w:sz w:val="24"/>
                <w:szCs w:val="24"/>
              </w:rPr>
              <w:t xml:space="preserve">包号</w:t>
            </w:r>
            <w:r/>
          </w:p>
        </w:tc>
        <w:tc>
          <w:tcPr>
            <w:tcW w:w="1944" w:type="pct"/>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学校</w:t>
            </w:r>
            <w:r/>
          </w:p>
        </w:tc>
        <w:tc>
          <w:tcPr>
            <w:tcW w:w="1082" w:type="pct"/>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学校预算</w:t>
            </w:r>
            <w:r/>
          </w:p>
          <w:p>
            <w:pPr>
              <w:jc w:val="center"/>
              <w:rPr>
                <w:rFonts w:ascii="宋体" w:hAnsi="宋体" w:cs="宋体"/>
                <w:bCs/>
                <w:sz w:val="24"/>
                <w:szCs w:val="24"/>
              </w:rPr>
            </w:pPr>
            <w:r>
              <w:rPr>
                <w:rFonts w:hint="eastAsia" w:ascii="宋体" w:hAnsi="宋体" w:cs="宋体"/>
                <w:bCs/>
                <w:sz w:val="24"/>
                <w:szCs w:val="24"/>
              </w:rPr>
              <w:t xml:space="preserve">（万元）</w:t>
            </w:r>
            <w:r/>
          </w:p>
        </w:tc>
        <w:tc>
          <w:tcPr>
            <w:tcW w:w="1526" w:type="pct"/>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采购包最高限价（万元）</w:t>
            </w:r>
            <w:r/>
          </w:p>
        </w:tc>
      </w:tr>
      <w:tr>
        <w:trPr>
          <w:trHeight w:val="503"/>
        </w:trPr>
        <w:tc>
          <w:tcPr>
            <w:tcW w:w="448" w:type="pct"/>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1</w:t>
            </w:r>
            <w:r/>
          </w:p>
        </w:tc>
        <w:tc>
          <w:tcPr>
            <w:tcW w:w="1944" w:type="pct"/>
            <w:vAlign w:val="center"/>
            <w:textDirection w:val="lrTb"/>
            <w:noWrap/>
          </w:tcPr>
          <w:p>
            <w:pPr>
              <w:jc w:val="center"/>
              <w:rPr>
                <w:rFonts w:ascii="宋体" w:hAnsi="宋体" w:cs="宋体"/>
                <w:sz w:val="24"/>
                <w:szCs w:val="24"/>
              </w:rPr>
            </w:pPr>
            <w:r>
              <w:rPr>
                <w:rFonts w:hint="eastAsia" w:ascii="宋体" w:hAnsi="宋体" w:cs="宋体"/>
                <w:sz w:val="24"/>
                <w:szCs w:val="24"/>
              </w:rPr>
              <w:t xml:space="preserve">常州市</w:t>
            </w:r>
            <w:r>
              <w:rPr>
                <w:rFonts w:hint="eastAsia" w:ascii="宋体" w:hAnsi="宋体" w:cs="宋体"/>
                <w:sz w:val="24"/>
                <w:szCs w:val="24"/>
              </w:rPr>
              <w:t xml:space="preserve">龙城</w:t>
            </w:r>
            <w:r>
              <w:rPr>
                <w:rFonts w:hint="eastAsia" w:ascii="宋体" w:hAnsi="宋体" w:cs="宋体"/>
                <w:sz w:val="24"/>
                <w:szCs w:val="24"/>
              </w:rPr>
              <w:t xml:space="preserve">高级中学</w:t>
            </w:r>
            <w:r/>
          </w:p>
        </w:tc>
        <w:tc>
          <w:tcPr>
            <w:tcW w:w="1082" w:type="pct"/>
            <w:vAlign w:val="center"/>
            <w:textDirection w:val="lrTb"/>
            <w:noWrap w:val="false"/>
          </w:tcPr>
          <w:p>
            <w:pPr>
              <w:jc w:val="center"/>
              <w:rPr>
                <w:rFonts w:ascii="宋体" w:hAnsi="宋体" w:cs="宋体"/>
                <w:sz w:val="24"/>
                <w:szCs w:val="24"/>
              </w:rPr>
            </w:pPr>
            <w:r>
              <w:rPr>
                <w:rFonts w:ascii="宋体" w:hAnsi="宋体" w:cs="宋体"/>
                <w:sz w:val="24"/>
                <w:szCs w:val="24"/>
              </w:rPr>
              <w:t xml:space="preserve">69.2676</w:t>
            </w:r>
            <w:r/>
          </w:p>
        </w:tc>
        <w:tc>
          <w:tcPr>
            <w:tcW w:w="152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66.4742</w:t>
            </w:r>
            <w:r/>
          </w:p>
        </w:tc>
      </w:tr>
      <w:tr>
        <w:trPr>
          <w:trHeight w:val="503"/>
        </w:trPr>
        <w:tc>
          <w:tcPr>
            <w:tcW w:w="448" w:type="pct"/>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2</w:t>
            </w:r>
            <w:r/>
          </w:p>
        </w:tc>
        <w:tc>
          <w:tcPr>
            <w:tcW w:w="1944" w:type="pct"/>
            <w:vAlign w:val="center"/>
            <w:textDirection w:val="lrTb"/>
            <w:noWrap/>
          </w:tcPr>
          <w:p>
            <w:pPr>
              <w:jc w:val="center"/>
              <w:rPr>
                <w:rFonts w:ascii="宋体" w:hAnsi="宋体" w:cs="宋体"/>
                <w:sz w:val="24"/>
                <w:szCs w:val="24"/>
              </w:rPr>
            </w:pPr>
            <w:r>
              <w:rPr>
                <w:rFonts w:ascii="宋体" w:hAnsi="宋体" w:cs="宋体"/>
                <w:sz w:val="24"/>
                <w:szCs w:val="24"/>
              </w:rPr>
              <w:t xml:space="preserve">常州市教科院附属高级中学</w:t>
            </w:r>
            <w:r/>
          </w:p>
        </w:tc>
        <w:tc>
          <w:tcPr>
            <w:tcW w:w="108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39.8</w:t>
            </w:r>
            <w:r/>
          </w:p>
        </w:tc>
        <w:tc>
          <w:tcPr>
            <w:tcW w:w="152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39.8</w:t>
            </w:r>
            <w:r/>
          </w:p>
        </w:tc>
      </w:tr>
      <w:tr>
        <w:trPr>
          <w:trHeight w:val="503"/>
        </w:trPr>
        <w:tc>
          <w:tcPr>
            <w:tcW w:w="448" w:type="pct"/>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3</w:t>
            </w:r>
            <w:r/>
          </w:p>
        </w:tc>
        <w:tc>
          <w:tcPr>
            <w:tcW w:w="1944" w:type="pct"/>
            <w:vAlign w:val="center"/>
            <w:textDirection w:val="lrTb"/>
            <w:noWrap/>
          </w:tcPr>
          <w:p>
            <w:pPr>
              <w:jc w:val="center"/>
              <w:rPr>
                <w:rFonts w:ascii="宋体" w:hAnsi="宋体" w:cs="宋体"/>
                <w:sz w:val="24"/>
                <w:szCs w:val="24"/>
              </w:rPr>
            </w:pPr>
            <w:r>
              <w:rPr>
                <w:rFonts w:hint="eastAsia" w:ascii="宋体" w:hAnsi="宋体" w:cs="宋体"/>
                <w:sz w:val="24"/>
                <w:szCs w:val="24"/>
              </w:rPr>
              <w:t xml:space="preserve">常州市北郊高级中学</w:t>
            </w:r>
            <w:r/>
          </w:p>
        </w:tc>
        <w:tc>
          <w:tcPr>
            <w:tcW w:w="108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44</w:t>
            </w:r>
            <w:r/>
          </w:p>
        </w:tc>
        <w:tc>
          <w:tcPr>
            <w:tcW w:w="1526" w:type="pct"/>
            <w:vAlign w:val="center"/>
            <w:textDirection w:val="lrTb"/>
            <w:noWrap w:val="false"/>
          </w:tcPr>
          <w:p>
            <w:pPr>
              <w:jc w:val="center"/>
              <w:rPr>
                <w:rFonts w:ascii="宋体" w:hAnsi="宋体" w:cs="宋体"/>
                <w:sz w:val="24"/>
                <w:szCs w:val="24"/>
              </w:rPr>
            </w:pPr>
            <w:r>
              <w:rPr>
                <w:rFonts w:ascii="宋体" w:hAnsi="宋体" w:cs="宋体"/>
                <w:sz w:val="24"/>
                <w:szCs w:val="24"/>
              </w:rPr>
              <w:t xml:space="preserve">30.007</w:t>
            </w:r>
            <w:r/>
          </w:p>
        </w:tc>
      </w:tr>
    </w:tbl>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.合同履行期限：自合同签订生效之日起、项目验收合格之日止。</w:t>
      </w:r>
      <w:r/>
    </w:p>
    <w:p>
      <w:pPr>
        <w:pStyle w:val="982"/>
        <w:ind w:firstLine="498"/>
        <w:spacing w:before="156" w:after="156" w:line="480" w:lineRule="exact"/>
      </w:pPr>
      <w:r/>
      <w:bookmarkStart w:id="18" w:name="_Toc35393791"/>
      <w:r/>
      <w:bookmarkStart w:id="19" w:name="_Toc38985264"/>
      <w:r/>
      <w:bookmarkStart w:id="20" w:name="_Toc28359003"/>
      <w:r/>
      <w:bookmarkStart w:id="21" w:name="_Toc35393622"/>
      <w:r/>
      <w:bookmarkStart w:id="22" w:name="_Toc28359080"/>
      <w:r>
        <w:rPr>
          <w:rFonts w:hint="eastAsia"/>
        </w:rPr>
        <w:t xml:space="preserve">二、申请人的资格要求</w:t>
      </w:r>
      <w:bookmarkEnd w:id="18"/>
      <w:r/>
      <w:bookmarkEnd w:id="19"/>
      <w:r/>
      <w:bookmarkEnd w:id="20"/>
      <w:r/>
      <w:bookmarkEnd w:id="21"/>
      <w:r/>
      <w:bookmarkEnd w:id="22"/>
      <w:r/>
      <w:r/>
    </w:p>
    <w:p>
      <w:pPr>
        <w:ind w:firstLine="480"/>
        <w:spacing w:line="480" w:lineRule="exact"/>
        <w:rPr>
          <w:rFonts w:ascii="宋体" w:hAnsi="宋体"/>
          <w:sz w:val="24"/>
          <w:szCs w:val="24"/>
        </w:rPr>
      </w:pPr>
      <w:r/>
      <w:bookmarkStart w:id="23" w:name="_Toc28359081"/>
      <w:r/>
      <w:bookmarkStart w:id="24" w:name="_Toc38985265"/>
      <w:r/>
      <w:bookmarkStart w:id="25" w:name="_Toc28359004"/>
      <w:r/>
      <w:bookmarkStart w:id="26" w:name="_Toc35393623"/>
      <w:r/>
      <w:bookmarkStart w:id="27"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80" w:lineRule="exact"/>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spacing w:line="480" w:lineRule="exact"/>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ascii="宋体" w:hAnsi="宋体"/>
          <w:sz w:val="24"/>
          <w:szCs w:val="24"/>
        </w:rPr>
      </w:pPr>
      <w:r>
        <w:rPr>
          <w:rFonts w:hint="eastAsia" w:ascii="宋体" w:hAnsi="宋体"/>
          <w:sz w:val="24"/>
          <w:szCs w:val="24"/>
        </w:rPr>
        <w:t xml:space="preserve">3.落实政府采购政策需满足的资格要求</w:t>
      </w:r>
      <w:r/>
    </w:p>
    <w:p>
      <w:pPr>
        <w:ind w:firstLine="480"/>
        <w:spacing w:line="480" w:lineRule="exact"/>
        <w:rPr>
          <w:rFonts w:ascii="宋体" w:hAnsi="宋体"/>
          <w:sz w:val="24"/>
          <w:szCs w:val="24"/>
        </w:rPr>
      </w:pPr>
      <w:r>
        <w:rPr>
          <w:rFonts w:hint="eastAsia" w:ascii="宋体" w:hAnsi="宋体"/>
          <w:sz w:val="24"/>
          <w:szCs w:val="24"/>
        </w:rPr>
        <w:t xml:space="preserve">  本项目专门面向中小企业采购。</w:t>
      </w:r>
      <w:r/>
    </w:p>
    <w:p>
      <w:pPr>
        <w:ind w:firstLine="480"/>
        <w:spacing w:line="480" w:lineRule="exact"/>
        <w:rPr>
          <w:rFonts w:ascii="宋体" w:hAnsi="宋体" w:cs="宋体"/>
          <w:sz w:val="24"/>
          <w:szCs w:val="24"/>
        </w:rPr>
      </w:pPr>
      <w:r>
        <w:rPr>
          <w:rFonts w:hint="eastAsia" w:ascii="宋体" w:hAnsi="宋体"/>
          <w:sz w:val="24"/>
          <w:szCs w:val="24"/>
        </w:rPr>
        <w:t xml:space="preserve">4.本项目不接受联合体投标。</w:t>
      </w:r>
      <w:r/>
    </w:p>
    <w:p>
      <w:pPr>
        <w:ind w:firstLine="480"/>
        <w:spacing w:line="48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480" w:lineRule="exact"/>
        <w:rPr>
          <w:rFonts w:ascii="宋体" w:hAnsi="宋体" w:cs="宋体"/>
          <w:sz w:val="24"/>
          <w:szCs w:val="24"/>
        </w:rPr>
      </w:pPr>
      <w:r>
        <w:rPr>
          <w:rFonts w:hint="eastAsia" w:ascii="宋体" w:hAnsi="宋体"/>
          <w:sz w:val="24"/>
          <w:szCs w:val="24"/>
        </w:rPr>
        <w:t xml:space="preserve">无</w:t>
      </w:r>
      <w:r/>
    </w:p>
    <w:p>
      <w:pPr>
        <w:pStyle w:val="982"/>
        <w:ind w:firstLine="498"/>
        <w:spacing w:before="156" w:after="156" w:line="480" w:lineRule="exact"/>
      </w:pPr>
      <w:r>
        <w:rPr>
          <w:rFonts w:hint="eastAsia"/>
        </w:rPr>
        <w:t xml:space="preserve">三、获取招标文件</w:t>
      </w:r>
      <w:bookmarkEnd w:id="23"/>
      <w:r/>
      <w:bookmarkEnd w:id="24"/>
      <w:r/>
      <w:bookmarkEnd w:id="25"/>
      <w:r/>
      <w:bookmarkEnd w:id="26"/>
      <w:r/>
      <w:bookmarkEnd w:id="27"/>
      <w:r/>
      <w:r/>
    </w:p>
    <w:p>
      <w:pPr>
        <w:ind w:firstLine="540"/>
        <w:spacing w:line="360" w:lineRule="auto"/>
        <w:rPr>
          <w:rFonts w:asciiTheme="minorEastAsia" w:hAnsiTheme="minorEastAsia" w:eastAsiaTheme="minorEastAsia" w:cstheme="minorEastAsia"/>
          <w:sz w:val="24"/>
          <w:szCs w:val="24"/>
        </w:rPr>
      </w:pPr>
      <w:r/>
      <w:bookmarkStart w:id="28" w:name="_Toc35393794"/>
      <w:r/>
      <w:bookmarkStart w:id="29" w:name="_Toc28359007"/>
      <w:r/>
      <w:bookmarkStart w:id="30" w:name="_Toc28359084"/>
      <w:r/>
      <w:bookmarkStart w:id="31" w:name="_Toc38985267"/>
      <w:r/>
      <w:bookmarkStart w:id="32" w:name="_Toc35393625"/>
      <w:r/>
      <w:bookmarkStart w:id="33" w:name="_Toc35393624"/>
      <w:r/>
      <w:bookmarkStart w:id="34" w:name="_Toc35393793"/>
      <w:r/>
      <w:bookmarkStart w:id="35" w:name="_Toc28359082"/>
      <w:r/>
      <w:bookmarkStart w:id="36" w:name="_Toc38985266"/>
      <w:r/>
      <w:bookmarkStart w:id="37" w:name="_Toc28359005"/>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2.方式：在“江苏政府采购网”、“常州市政府采购网”自行免费下载招标文件。</w:t>
      </w:r>
      <w:bookmarkEnd w:id="33"/>
      <w:r/>
      <w:bookmarkEnd w:id="34"/>
      <w:r/>
      <w:bookmarkEnd w:id="35"/>
      <w:r/>
      <w:bookmarkEnd w:id="36"/>
      <w:r/>
      <w:bookmarkEnd w:id="37"/>
      <w:r/>
      <w:r/>
    </w:p>
    <w:p>
      <w:pPr>
        <w:pStyle w:val="1101"/>
        <w:ind w:firstLine="498"/>
        <w:spacing w:before="156" w:after="156"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四、投标文件提交</w:t>
      </w:r>
      <w:r/>
    </w:p>
    <w:p>
      <w:pPr>
        <w:ind w:firstLine="54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2.地点：苏采云政府采购一体化平台</w:t>
      </w:r>
      <w:r/>
    </w:p>
    <w:p>
      <w:pPr>
        <w:ind w:firstLine="540"/>
        <w:spacing w:line="480" w:lineRule="exact"/>
        <w:rPr>
          <w:rFonts w:ascii="宋体" w:hAnsi="宋体" w:cs="宋体"/>
          <w:sz w:val="24"/>
          <w:szCs w:val="24"/>
        </w:rPr>
      </w:pPr>
      <w:r>
        <w:rPr>
          <w:rFonts w:ascii="宋体" w:hAnsi="宋体" w:cs="宋体"/>
          <w:sz w:val="24"/>
          <w:szCs w:val="24"/>
        </w:rPr>
      </w:r>
      <w:r/>
    </w:p>
    <w:p>
      <w:pPr>
        <w:pStyle w:val="982"/>
        <w:ind w:firstLine="498"/>
        <w:spacing w:before="156" w:after="156" w:line="480" w:lineRule="exact"/>
      </w:pPr>
      <w:r>
        <w:rPr>
          <w:rFonts w:hint="eastAsia"/>
        </w:rPr>
        <w:t xml:space="preserve">五、公告期限</w:t>
      </w:r>
      <w:bookmarkEnd w:id="28"/>
      <w:r/>
      <w:bookmarkEnd w:id="29"/>
      <w:r/>
      <w:bookmarkEnd w:id="30"/>
      <w:r/>
      <w:bookmarkEnd w:id="31"/>
      <w:r/>
      <w:bookmarkEnd w:id="32"/>
      <w:r/>
      <w:r/>
    </w:p>
    <w:p>
      <w:pPr>
        <w:ind w:firstLine="480"/>
        <w:spacing w:line="480" w:lineRule="exact"/>
        <w:rPr>
          <w:rFonts w:ascii="宋体" w:hAnsi="宋体" w:cs="宋体"/>
          <w:sz w:val="24"/>
          <w:szCs w:val="24"/>
        </w:rPr>
      </w:pPr>
      <w:r/>
      <w:bookmarkStart w:id="38" w:name="_Toc35393626"/>
      <w:r/>
      <w:bookmarkStart w:id="39" w:name="_Toc35393795"/>
      <w:r/>
      <w:bookmarkStart w:id="40" w:name="_Toc38985268"/>
      <w:r>
        <w:rPr>
          <w:rFonts w:hint="eastAsia" w:ascii="宋体" w:hAnsi="宋体" w:cs="宋体"/>
          <w:sz w:val="24"/>
          <w:szCs w:val="24"/>
        </w:rPr>
        <w:t xml:space="preserve">招标公告及招标文件公告期限为自本公告发布之日起</w:t>
      </w:r>
      <w:r>
        <w:rPr>
          <w:rFonts w:hint="eastAsia" w:ascii="宋体" w:hAnsi="宋体" w:cs="宋体"/>
          <w:color w:val="0000ff"/>
          <w:sz w:val="24"/>
          <w:szCs w:val="24"/>
        </w:rPr>
        <w:t xml:space="preserve">5个工作日</w:t>
      </w:r>
      <w:r>
        <w:rPr>
          <w:rFonts w:hint="eastAsia" w:ascii="宋体" w:hAnsi="宋体" w:cs="宋体"/>
          <w:sz w:val="24"/>
          <w:szCs w:val="24"/>
        </w:rPr>
        <w:t xml:space="preserve">。</w:t>
      </w:r>
      <w:r/>
    </w:p>
    <w:p>
      <w:pPr>
        <w:pStyle w:val="982"/>
        <w:ind w:firstLine="498"/>
        <w:spacing w:before="156" w:after="156" w:line="480" w:lineRule="exact"/>
      </w:pPr>
      <w:r>
        <w:rPr>
          <w:rFonts w:hint="eastAsia"/>
        </w:rPr>
        <w:t xml:space="preserve">六、其他补充事宜</w:t>
      </w:r>
      <w:bookmarkEnd w:id="38"/>
      <w:r/>
      <w:bookmarkEnd w:id="39"/>
      <w:r/>
      <w:bookmarkEnd w:id="40"/>
      <w:r/>
      <w:r/>
    </w:p>
    <w:p>
      <w:pPr>
        <w:ind w:firstLine="480"/>
        <w:spacing w:line="480" w:lineRule="exact"/>
        <w:rPr>
          <w:rFonts w:ascii="宋体" w:hAnsi="宋体" w:cs="宋体"/>
          <w:sz w:val="24"/>
          <w:szCs w:val="24"/>
        </w:rPr>
      </w:pPr>
      <w:r>
        <w:rPr>
          <w:rFonts w:hint="eastAsia" w:ascii="宋体" w:hAnsi="宋体" w:cs="宋体"/>
          <w:sz w:val="24"/>
          <w:szCs w:val="24"/>
        </w:rPr>
        <w:t xml:space="preserve">无</w:t>
      </w:r>
      <w:r/>
    </w:p>
    <w:p>
      <w:pPr>
        <w:pStyle w:val="982"/>
        <w:ind w:firstLine="498"/>
        <w:spacing w:before="156" w:after="156" w:line="480" w:lineRule="exact"/>
      </w:pPr>
      <w:r/>
      <w:bookmarkStart w:id="41" w:name="_Toc35393796"/>
      <w:r/>
      <w:bookmarkStart w:id="42" w:name="_Toc28359008"/>
      <w:r/>
      <w:bookmarkStart w:id="43" w:name="_Toc28359085"/>
      <w:r/>
      <w:bookmarkStart w:id="44" w:name="_Toc38985269"/>
      <w:r/>
      <w:bookmarkStart w:id="45" w:name="_Toc35393627"/>
      <w:r>
        <w:rPr>
          <w:rFonts w:hint="eastAsia"/>
        </w:rPr>
        <w:t xml:space="preserve">七、本次招标联系方式</w:t>
      </w:r>
      <w:bookmarkEnd w:id="41"/>
      <w:r/>
      <w:bookmarkEnd w:id="42"/>
      <w:r/>
      <w:bookmarkEnd w:id="43"/>
      <w:r/>
      <w:bookmarkEnd w:id="44"/>
      <w:r/>
      <w:bookmarkEnd w:id="45"/>
      <w:r/>
      <w:r/>
    </w:p>
    <w:p>
      <w:pPr>
        <w:jc w:val="left"/>
        <w:spacing w:line="48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720"/>
        <w:jc w:val="left"/>
        <w:spacing w:line="480" w:lineRule="exact"/>
        <w:rPr>
          <w:rFonts w:ascii="宋体" w:hAnsi="宋体"/>
          <w:sz w:val="24"/>
          <w:szCs w:val="24"/>
        </w:rPr>
      </w:pPr>
      <w:r/>
      <w:bookmarkStart w:id="46" w:name="_Toc28359009"/>
      <w:r/>
      <w:bookmarkStart w:id="47" w:name="_Toc28359086"/>
      <w:r>
        <w:rPr>
          <w:rFonts w:hint="eastAsia" w:ascii="宋体" w:hAnsi="宋体"/>
          <w:sz w:val="24"/>
          <w:szCs w:val="24"/>
        </w:rPr>
        <w:t xml:space="preserve">（1） 名  称：</w:t>
      </w:r>
      <w:r>
        <w:rPr>
          <w:rFonts w:hint="eastAsia" w:ascii="宋体" w:hAnsi="宋体" w:cs="宋体"/>
          <w:sz w:val="24"/>
          <w:szCs w:val="24"/>
        </w:rPr>
        <w:t xml:space="preserve">常州市</w:t>
      </w:r>
      <w:r>
        <w:rPr>
          <w:rFonts w:hint="eastAsia" w:ascii="宋体" w:hAnsi="宋体" w:cs="宋体"/>
          <w:sz w:val="24"/>
          <w:szCs w:val="24"/>
        </w:rPr>
        <w:t xml:space="preserve">龙城</w:t>
      </w:r>
      <w:r>
        <w:rPr>
          <w:rFonts w:hint="eastAsia" w:ascii="宋体" w:hAnsi="宋体" w:cs="宋体"/>
          <w:sz w:val="24"/>
          <w:szCs w:val="24"/>
        </w:rPr>
        <w:t xml:space="preserve">高级中学</w:t>
      </w:r>
      <w:r/>
    </w:p>
    <w:p>
      <w:pPr>
        <w:ind w:left="1079" w:hanging="300"/>
        <w:jc w:val="left"/>
        <w:spacing w:line="360" w:lineRule="auto"/>
        <w:rPr>
          <w:rFonts w:ascii="宋体" w:hAnsi="宋体" w:cs="宋体"/>
          <w:sz w:val="24"/>
          <w:szCs w:val="24"/>
        </w:rPr>
      </w:pPr>
      <w:r>
        <w:rPr>
          <w:bCs/>
          <w:sz w:val="24"/>
        </w:rPr>
        <w:t xml:space="preserve">地</w:t>
      </w:r>
      <w:r>
        <w:rPr>
          <w:bCs/>
          <w:sz w:val="24"/>
        </w:rPr>
        <w:t xml:space="preserve">    </w:t>
      </w:r>
      <w:r>
        <w:rPr>
          <w:bCs/>
          <w:sz w:val="24"/>
        </w:rPr>
        <w:t xml:space="preserve">址：</w:t>
      </w:r>
      <w:r>
        <w:rPr>
          <w:rFonts w:hint="eastAsia" w:ascii="宋体" w:hAnsi="宋体" w:cs="宋体"/>
          <w:sz w:val="24"/>
          <w:szCs w:val="24"/>
        </w:rPr>
        <w:t xml:space="preserve">常州市新北区巫山路1号</w:t>
      </w:r>
      <w:r/>
    </w:p>
    <w:p>
      <w:pPr>
        <w:pStyle w:val="787"/>
        <w:ind w:firstLine="809"/>
        <w:rPr>
          <w:rFonts w:ascii="宋体" w:hAnsi="宋体" w:cs="宋体"/>
          <w:szCs w:val="24"/>
        </w:rPr>
      </w:pPr>
      <w:r>
        <w:rPr>
          <w:rFonts w:ascii="宋体" w:hAnsi="宋体" w:cs="宋体"/>
          <w:szCs w:val="24"/>
        </w:rPr>
        <w:t xml:space="preserve">联</w:t>
      </w:r>
      <w:r>
        <w:rPr>
          <w:rFonts w:hint="eastAsia" w:ascii="宋体" w:hAnsi="宋体" w:cs="宋体"/>
          <w:szCs w:val="24"/>
        </w:rPr>
        <w:t xml:space="preserve"> </w:t>
      </w:r>
      <w:r>
        <w:rPr>
          <w:rFonts w:ascii="宋体" w:hAnsi="宋体" w:cs="宋体"/>
          <w:szCs w:val="24"/>
        </w:rPr>
        <w:t xml:space="preserve">系</w:t>
      </w:r>
      <w:r>
        <w:rPr>
          <w:rFonts w:hint="eastAsia" w:ascii="宋体" w:hAnsi="宋体" w:cs="宋体"/>
          <w:szCs w:val="24"/>
        </w:rPr>
        <w:t xml:space="preserve"> </w:t>
      </w:r>
      <w:r>
        <w:rPr>
          <w:rFonts w:ascii="宋体" w:hAnsi="宋体" w:cs="宋体"/>
          <w:szCs w:val="24"/>
        </w:rPr>
        <w:t xml:space="preserve">人：</w:t>
      </w:r>
      <w:bookmarkStart w:id="48" w:name="OLE_LINK10"/>
      <w:r/>
      <w:bookmarkStart w:id="49" w:name="OLE_LINK11"/>
      <w:r>
        <w:rPr>
          <w:rFonts w:hint="eastAsia" w:ascii="宋体" w:hAnsi="宋体" w:cs="宋体"/>
          <w:szCs w:val="24"/>
        </w:rPr>
        <w:t xml:space="preserve">王老师 13584533317</w:t>
      </w:r>
      <w:bookmarkEnd w:id="48"/>
      <w:r/>
      <w:bookmarkEnd w:id="49"/>
      <w:r/>
      <w:r/>
    </w:p>
    <w:p>
      <w:pPr>
        <w:ind w:firstLine="720"/>
        <w:jc w:val="left"/>
        <w:spacing w:line="48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名  称：常州市教科院附属高级中学</w:t>
      </w:r>
      <w:r/>
    </w:p>
    <w:p>
      <w:pPr>
        <w:ind w:firstLine="1320"/>
        <w:jc w:val="left"/>
        <w:spacing w:line="480" w:lineRule="exact"/>
        <w:rPr>
          <w:rFonts w:ascii="宋体" w:hAnsi="宋体" w:cs="宋体"/>
          <w:sz w:val="24"/>
          <w:szCs w:val="24"/>
        </w:rPr>
      </w:pPr>
      <w:r>
        <w:rPr>
          <w:rFonts w:hint="eastAsia" w:ascii="宋体" w:hAnsi="宋体" w:cs="宋体"/>
          <w:sz w:val="24"/>
          <w:szCs w:val="24"/>
        </w:rPr>
        <w:t xml:space="preserve">地  址：常州市钟楼区中吴大道1900号</w:t>
      </w:r>
      <w:r/>
    </w:p>
    <w:p>
      <w:pPr>
        <w:ind w:firstLine="1320"/>
        <w:jc w:val="left"/>
        <w:spacing w:line="480" w:lineRule="exact"/>
        <w:rPr>
          <w:rFonts w:ascii="宋体" w:hAnsi="宋体" w:cs="宋体"/>
          <w:sz w:val="24"/>
          <w:szCs w:val="24"/>
        </w:rPr>
      </w:pPr>
      <w:r>
        <w:rPr>
          <w:rFonts w:hint="eastAsia" w:ascii="宋体" w:hAnsi="宋体" w:cs="宋体"/>
          <w:sz w:val="24"/>
          <w:szCs w:val="24"/>
        </w:rPr>
        <w:t xml:space="preserve">联系方式：</w:t>
      </w:r>
      <w:bookmarkStart w:id="50" w:name="OLE_LINK12"/>
      <w:r/>
      <w:bookmarkStart w:id="51" w:name="OLE_LINK13"/>
      <w:r>
        <w:rPr>
          <w:rFonts w:hint="eastAsia" w:ascii="宋体" w:hAnsi="宋体" w:cs="宋体"/>
          <w:sz w:val="24"/>
          <w:szCs w:val="24"/>
        </w:rPr>
        <w:t xml:space="preserve">沈老师</w:t>
      </w:r>
      <w:r>
        <w:rPr>
          <w:rFonts w:hint="eastAsia" w:ascii="宋体" w:hAnsi="宋体" w:cs="宋体"/>
          <w:sz w:val="24"/>
          <w:szCs w:val="24"/>
        </w:rPr>
        <w:t xml:space="preserve"> 0519-81000992</w:t>
      </w:r>
      <w:bookmarkEnd w:id="50"/>
      <w:r/>
      <w:bookmarkEnd w:id="51"/>
      <w:r/>
      <w:r/>
    </w:p>
    <w:p>
      <w:pPr>
        <w:ind w:firstLine="720"/>
        <w:jc w:val="left"/>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名  称：</w:t>
      </w:r>
      <w:r>
        <w:rPr>
          <w:rFonts w:hint="eastAsia" w:ascii="宋体" w:hAnsi="宋体" w:cs="宋体"/>
          <w:sz w:val="24"/>
          <w:szCs w:val="24"/>
        </w:rPr>
        <w:t xml:space="preserve">常州市北郊高级中学</w:t>
      </w:r>
      <w:r/>
    </w:p>
    <w:p>
      <w:pPr>
        <w:ind w:left="1077" w:firstLine="240"/>
        <w:jc w:val="left"/>
        <w:spacing w:line="360" w:lineRule="auto"/>
        <w:rPr>
          <w:rFonts w:ascii="宋体" w:hAnsi="宋体" w:cs="宋体"/>
          <w:sz w:val="24"/>
          <w:szCs w:val="24"/>
        </w:rPr>
      </w:pPr>
      <w:r>
        <w:rPr>
          <w:rFonts w:ascii="宋体" w:hAnsi="宋体" w:cs="宋体"/>
          <w:sz w:val="24"/>
          <w:szCs w:val="24"/>
        </w:rPr>
        <w:t xml:space="preserve">地    址：</w:t>
      </w:r>
      <w:r>
        <w:rPr>
          <w:rFonts w:hint="eastAsia" w:ascii="宋体" w:hAnsi="宋体" w:cs="宋体"/>
          <w:sz w:val="24"/>
          <w:szCs w:val="24"/>
        </w:rPr>
        <w:t xml:space="preserve">常州市新北区辽河路218号</w:t>
      </w:r>
      <w:r/>
    </w:p>
    <w:p>
      <w:pPr>
        <w:pStyle w:val="787"/>
        <w:ind w:firstLine="1301"/>
        <w:rPr>
          <w:rFonts w:ascii="宋体" w:hAnsi="宋体" w:cs="宋体"/>
          <w:szCs w:val="24"/>
        </w:rPr>
      </w:pPr>
      <w:r>
        <w:rPr>
          <w:rFonts w:ascii="宋体" w:hAnsi="宋体" w:cs="宋体"/>
          <w:szCs w:val="24"/>
        </w:rPr>
        <w:t xml:space="preserve">联</w:t>
      </w:r>
      <w:r>
        <w:rPr>
          <w:rFonts w:hint="eastAsia" w:ascii="宋体" w:hAnsi="宋体" w:cs="宋体"/>
          <w:szCs w:val="24"/>
        </w:rPr>
        <w:t xml:space="preserve"> </w:t>
      </w:r>
      <w:r>
        <w:rPr>
          <w:rFonts w:ascii="宋体" w:hAnsi="宋体" w:cs="宋体"/>
          <w:szCs w:val="24"/>
        </w:rPr>
        <w:t xml:space="preserve">系</w:t>
      </w:r>
      <w:r>
        <w:rPr>
          <w:rFonts w:hint="eastAsia" w:ascii="宋体" w:hAnsi="宋体" w:cs="宋体"/>
          <w:szCs w:val="24"/>
        </w:rPr>
        <w:t xml:space="preserve"> </w:t>
      </w:r>
      <w:r>
        <w:rPr>
          <w:rFonts w:ascii="宋体" w:hAnsi="宋体" w:cs="宋体"/>
          <w:szCs w:val="24"/>
        </w:rPr>
        <w:t xml:space="preserve">人：</w:t>
      </w:r>
      <w:bookmarkStart w:id="52" w:name="OLE_LINK14"/>
      <w:r/>
      <w:bookmarkStart w:id="53" w:name="OLE_LINK15"/>
      <w:r>
        <w:rPr>
          <w:rFonts w:hint="eastAsia" w:ascii="宋体" w:hAnsi="宋体" w:cs="宋体"/>
          <w:szCs w:val="24"/>
        </w:rPr>
        <w:t xml:space="preserve">张老师13861127700</w:t>
      </w:r>
      <w:bookmarkEnd w:id="52"/>
      <w:r/>
      <w:bookmarkEnd w:id="53"/>
      <w:r/>
      <w:r/>
    </w:p>
    <w:p>
      <w:pPr>
        <w:ind w:firstLine="720"/>
        <w:jc w:val="left"/>
        <w:spacing w:line="480" w:lineRule="exact"/>
        <w:rPr>
          <w:rFonts w:ascii="宋体" w:hAnsi="宋体"/>
          <w:sz w:val="24"/>
          <w:szCs w:val="24"/>
        </w:rPr>
      </w:pPr>
      <w:r>
        <w:rPr>
          <w:rFonts w:hint="eastAsia" w:ascii="宋体" w:hAnsi="宋体" w:cs="宋体"/>
          <w:sz w:val="24"/>
          <w:szCs w:val="24"/>
        </w:rPr>
        <w:t xml:space="preserve">2.采购代理机构信息</w:t>
      </w:r>
      <w:bookmarkEnd w:id="46"/>
      <w:r/>
      <w:bookmarkEnd w:id="47"/>
      <w:r/>
      <w:r/>
    </w:p>
    <w:p>
      <w:pPr>
        <w:ind w:firstLine="720"/>
        <w:spacing w:line="480" w:lineRule="exact"/>
        <w:rPr>
          <w:rFonts w:ascii="宋体" w:hAnsi="宋体"/>
          <w:sz w:val="24"/>
          <w:szCs w:val="24"/>
        </w:rPr>
      </w:pPr>
      <w:r>
        <w:rPr>
          <w:rFonts w:hint="eastAsia" w:ascii="宋体" w:hAnsi="宋体"/>
          <w:sz w:val="24"/>
          <w:szCs w:val="24"/>
        </w:rPr>
        <w:t xml:space="preserve">地　址：常州市新市路9号</w:t>
      </w:r>
      <w:r/>
    </w:p>
    <w:p>
      <w:pPr>
        <w:ind w:firstLine="720"/>
        <w:spacing w:line="480" w:lineRule="exact"/>
        <w:rPr>
          <w:rFonts w:ascii="宋体" w:hAnsi="宋体"/>
          <w:sz w:val="24"/>
          <w:szCs w:val="24"/>
        </w:rPr>
      </w:pPr>
      <w:r/>
      <w:bookmarkStart w:id="54" w:name="_Toc28359087"/>
      <w:r/>
      <w:bookmarkStart w:id="55" w:name="_Toc28359010"/>
      <w:r>
        <w:rPr>
          <w:rFonts w:hint="eastAsia" w:ascii="宋体" w:hAnsi="宋体"/>
          <w:sz w:val="24"/>
          <w:szCs w:val="24"/>
        </w:rPr>
        <w:t xml:space="preserve">采购文件相关联系人：张老师              </w:t>
      </w:r>
      <w:r/>
    </w:p>
    <w:p>
      <w:pPr>
        <w:ind w:firstLine="720"/>
        <w:spacing w:line="480" w:lineRule="exact"/>
        <w:rPr>
          <w:rFonts w:ascii="宋体" w:hAnsi="宋体"/>
          <w:sz w:val="24"/>
          <w:szCs w:val="24"/>
        </w:rPr>
      </w:pPr>
      <w:r>
        <w:rPr>
          <w:rFonts w:hint="eastAsia" w:ascii="宋体" w:hAnsi="宋体"/>
          <w:sz w:val="24"/>
          <w:szCs w:val="24"/>
        </w:rPr>
        <w:t xml:space="preserve">电  话：0519-86676110</w:t>
      </w:r>
      <w:r/>
    </w:p>
    <w:p>
      <w:pPr>
        <w:ind w:firstLine="720"/>
        <w:spacing w:line="480" w:lineRule="exact"/>
        <w:rPr>
          <w:rFonts w:ascii="宋体" w:hAnsi="宋体"/>
          <w:sz w:val="24"/>
          <w:szCs w:val="24"/>
        </w:rPr>
      </w:pPr>
      <w:r>
        <w:rPr>
          <w:rFonts w:hint="eastAsia" w:ascii="宋体" w:hAnsi="宋体"/>
          <w:sz w:val="24"/>
          <w:szCs w:val="24"/>
        </w:rPr>
        <w:t xml:space="preserve">开标评审相关联系人：周先生              </w:t>
      </w:r>
      <w:r/>
    </w:p>
    <w:p>
      <w:pPr>
        <w:ind w:firstLine="720"/>
        <w:spacing w:line="480" w:lineRule="exact"/>
        <w:rPr>
          <w:rFonts w:ascii="宋体" w:hAnsi="宋体"/>
          <w:sz w:val="24"/>
          <w:szCs w:val="24"/>
        </w:rPr>
      </w:pPr>
      <w:r>
        <w:rPr>
          <w:rFonts w:hint="eastAsia" w:ascii="宋体" w:hAnsi="宋体"/>
          <w:sz w:val="24"/>
          <w:szCs w:val="24"/>
        </w:rPr>
        <w:t xml:space="preserve">电  话：0519-86607039</w:t>
      </w:r>
      <w:r/>
    </w:p>
    <w:p>
      <w:pPr>
        <w:ind w:firstLine="720"/>
        <w:spacing w:line="480" w:lineRule="exact"/>
        <w:rPr>
          <w:rFonts w:ascii="宋体" w:hAnsi="宋体"/>
          <w:sz w:val="24"/>
          <w:szCs w:val="24"/>
        </w:rPr>
      </w:pPr>
      <w:r>
        <w:rPr>
          <w:rFonts w:hint="eastAsia" w:ascii="宋体" w:hAnsi="宋体"/>
          <w:sz w:val="24"/>
          <w:szCs w:val="24"/>
        </w:rPr>
        <w:t xml:space="preserve">电子化招投标技术支持电话：0519-85588210</w:t>
      </w:r>
      <w:r/>
    </w:p>
    <w:p>
      <w:pPr>
        <w:ind w:firstLine="720"/>
        <w:spacing w:line="480" w:lineRule="exact"/>
        <w:rPr>
          <w:rFonts w:ascii="宋体" w:hAnsi="宋体"/>
          <w:sz w:val="24"/>
          <w:szCs w:val="24"/>
        </w:rPr>
      </w:pPr>
      <w:r>
        <w:rPr>
          <w:rFonts w:ascii="宋体" w:hAnsi="宋体"/>
          <w:sz w:val="24"/>
          <w:szCs w:val="24"/>
        </w:rPr>
      </w:r>
      <w:bookmarkEnd w:id="54"/>
      <w:r/>
      <w:bookmarkEnd w:id="55"/>
      <w:r/>
      <w:r/>
    </w:p>
    <w:p>
      <w:pPr>
        <w:pStyle w:val="982"/>
        <w:numPr>
          <w:ilvl w:val="0"/>
          <w:numId w:val="4"/>
        </w:numPr>
        <w:ind w:firstLine="498"/>
        <w:spacing w:before="156" w:after="156" w:line="480" w:lineRule="exact"/>
      </w:pPr>
      <w:r>
        <w:rPr>
          <w:rFonts w:hint="eastAsia"/>
        </w:rPr>
        <w:t xml:space="preserve">其他</w:t>
      </w:r>
      <w:r/>
    </w:p>
    <w:p>
      <w:pPr>
        <w:jc w:val="left"/>
        <w:spacing w:line="560" w:lineRule="exact"/>
        <w:tabs>
          <w:tab w:val="left" w:pos="900"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1.根据省财政厅《关于更换全省政府采购交易系统CA数字证书和电子签章的通知》（苏财购〔2023〕101号），</w:t>
      </w:r>
      <w:r>
        <w:rPr>
          <w:rFonts w:hint="eastAsia" w:asciiTheme="minorEastAsia" w:hAnsiTheme="minorEastAsia" w:eastAsiaTheme="minorEastAsia" w:cstheme="minorEastAsia"/>
          <w:sz w:val="24"/>
          <w:szCs w:val="24"/>
        </w:rPr>
        <w:t xml:space="preserve">“苏采云”政府采购交易系统（以下简称苏采云系统）</w:t>
      </w:r>
      <w:r>
        <w:rPr>
          <w:rFonts w:hint="eastAsia" w:asciiTheme="minorEastAsia" w:hAnsiTheme="minorEastAsia" w:eastAsiaTheme="minorEastAsia" w:cs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参与政府采购项目，需要更换CA数字证书和电子签章。具体办理指南和操作手册见链接：http://www.ccgp-</w:t>
      </w:r>
      <w:r>
        <w:rPr>
          <w:rFonts w:hint="eastAsia" w:asciiTheme="minorEastAsia" w:hAnsiTheme="minorEastAsia" w:eastAsiaTheme="minorEastAsia" w:cstheme="minorEastAsia"/>
          <w:bCs/>
          <w:sz w:val="24"/>
          <w:szCs w:val="24"/>
        </w:rPr>
        <w:t xml:space="preserve">jiangsu.gov.cn/jiangsu/zlxz/ee/ee3a4bc5a3454aa2b0d9312230633ce9.html。</w:t>
      </w:r>
      <w:r/>
    </w:p>
    <w:p>
      <w:pPr>
        <w:spacing w:line="5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spacing w:line="560" w:lineRule="exact"/>
        <w:tabs>
          <w:tab w:val="left" w:pos="900"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bCs/>
          <w:sz w:val="24"/>
          <w:szCs w:val="24"/>
        </w:rPr>
        <w:t xml:space="preserve"> 有关本次招标的事项若存在变动或修改，敬请及时关注常州市教育基本建设与装备管理中心在“江苏政府采购网”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bCs/>
          <w:sz w:val="24"/>
          <w:szCs w:val="24"/>
        </w:rPr>
        <w:t xml:space="preserve">发布的更正公告。</w:t>
      </w:r>
      <w:r/>
    </w:p>
    <w:p>
      <w:pPr>
        <w:spacing w:line="560" w:lineRule="exact"/>
        <w:tabs>
          <w:tab w:val="left" w:pos="900"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w:t>
      </w:r>
      <w:r>
        <w:rPr>
          <w:rFonts w:hint="eastAsia" w:asciiTheme="minorEastAsia" w:hAnsiTheme="minorEastAsia" w:eastAsiaTheme="minorEastAsia" w:cstheme="minorEastAsia"/>
          <w:bCs/>
          <w:sz w:val="24"/>
          <w:szCs w:val="24"/>
        </w:rPr>
        <w:t xml:space="preserve"> 本次招标不收取投标保证金。</w:t>
      </w:r>
      <w:r/>
    </w:p>
    <w:p>
      <w:pPr>
        <w:ind w:firstLine="480"/>
        <w:spacing w:line="480" w:lineRule="exact"/>
        <w:tabs>
          <w:tab w:val="left" w:pos="900" w:leader="none"/>
        </w:tabs>
        <w:rPr>
          <w:rFonts w:ascii="宋体" w:hAnsi="宋体"/>
          <w:bCs/>
          <w:sz w:val="24"/>
          <w:szCs w:val="24"/>
        </w:rPr>
      </w:pPr>
      <w:r>
        <w:rPr>
          <w:rFonts w:ascii="宋体" w:hAnsi="宋体"/>
          <w:bCs/>
          <w:sz w:val="24"/>
          <w:szCs w:val="24"/>
        </w:rPr>
      </w:r>
      <w:r/>
    </w:p>
    <w:p>
      <w:pPr>
        <w:ind w:right="840"/>
        <w:rPr>
          <w:rFonts w:ascii="宋体" w:hAnsi="宋体"/>
          <w:sz w:val="24"/>
          <w:szCs w:val="24"/>
        </w:rPr>
      </w:pPr>
      <w:r>
        <w:rPr>
          <w:rFonts w:ascii="宋体" w:hAnsi="宋体"/>
          <w:sz w:val="24"/>
          <w:szCs w:val="24"/>
        </w:rPr>
      </w:r>
      <w:r/>
    </w:p>
    <w:p>
      <w:pPr>
        <w:pStyle w:val="787"/>
        <w:rPr>
          <w:rFonts w:ascii="宋体" w:hAnsi="宋体"/>
          <w:szCs w:val="24"/>
        </w:rPr>
      </w:pPr>
      <w:r>
        <w:rPr>
          <w:rFonts w:ascii="宋体" w:hAnsi="宋体"/>
          <w:szCs w:val="24"/>
        </w:rPr>
      </w:r>
      <w:r/>
    </w:p>
    <w:p>
      <w:pPr>
        <w:pStyle w:val="1102"/>
        <w:ind w:firstLine="2429"/>
        <w:jc w:val="both"/>
        <w:rPr>
          <w:rFonts w:asciiTheme="minorEastAsia" w:hAnsiTheme="minorEastAsia" w:eastAsiaTheme="minorEastAsia" w:cstheme="minorEastAsia"/>
          <w:b w:val="0"/>
          <w:bCs w:val="0"/>
        </w:rPr>
        <w:outlineLvl w:val="0"/>
      </w:pPr>
      <w:r/>
      <w:bookmarkStart w:id="56" w:name="_Toc16938559"/>
      <w:r/>
      <w:bookmarkStart w:id="57" w:name="_Toc20823315"/>
      <w:r/>
      <w:bookmarkStart w:id="58" w:name="_Toc513029243"/>
      <w:r/>
      <w:bookmarkStart w:id="59" w:name="_Toc120614211"/>
      <w:r/>
      <w:bookmarkStart w:id="60" w:name="_Toc6429"/>
      <w:r/>
      <w:bookmarkStart w:id="61" w:name="_Toc120614221"/>
      <w:r/>
      <w:bookmarkStart w:id="62" w:name="_Toc479757207"/>
      <w:r/>
      <w:bookmarkStart w:id="63" w:name="_Toc16938558"/>
      <w:r/>
      <w:bookmarkStart w:id="64" w:name="_Toc20823314"/>
      <w:r/>
      <w:bookmarkStart w:id="65" w:name="_Toc513029242"/>
      <w:r/>
      <w:bookmarkEnd w:id="4"/>
      <w:r/>
      <w:bookmarkEnd w:id="5"/>
      <w:r/>
      <w:bookmarkEnd w:id="6"/>
      <w:r/>
      <w:bookmarkEnd w:id="7"/>
      <w:r/>
      <w:bookmarkEnd w:id="8"/>
      <w:r>
        <w:rPr>
          <w:rFonts w:hint="eastAsia" w:asciiTheme="minorEastAsia" w:hAnsiTheme="minorEastAsia" w:eastAsiaTheme="minorEastAsia" w:cstheme="minorEastAsia"/>
        </w:rPr>
        <w:t xml:space="preserve">第二章  </w:t>
      </w:r>
      <w:bookmarkStart w:id="66" w:name="_Toc20823274"/>
      <w:r/>
      <w:bookmarkStart w:id="67" w:name="_Toc513029202"/>
      <w:r/>
      <w:bookmarkStart w:id="68" w:name="_Toc16938518"/>
      <w:r/>
      <w:bookmarkStart w:id="69" w:name="_Toc120614213"/>
      <w:r/>
      <w:bookmarkEnd w:id="59"/>
      <w:r>
        <w:rPr>
          <w:rFonts w:hint="eastAsia" w:asciiTheme="minorEastAsia" w:hAnsiTheme="minorEastAsia" w:eastAsiaTheme="minorEastAsia" w:cstheme="minorEastAsia"/>
        </w:rPr>
        <w:t xml:space="preserve">投标人须知</w:t>
      </w:r>
      <w:bookmarkEnd w:id="60"/>
      <w:r/>
      <w:bookmarkEnd w:id="66"/>
      <w:r/>
      <w:bookmarkEnd w:id="67"/>
      <w:r/>
      <w:bookmarkEnd w:id="68"/>
      <w:r/>
      <w:bookmarkEnd w:id="69"/>
      <w:r/>
      <w:r/>
    </w:p>
    <w:p>
      <w:pPr>
        <w:pStyle w:val="1101"/>
        <w:ind w:firstLine="498"/>
        <w:spacing w:before="156" w:after="156" w:line="360" w:lineRule="auto"/>
        <w:rPr>
          <w:rFonts w:asciiTheme="minorEastAsia" w:hAnsiTheme="minorEastAsia" w:eastAsiaTheme="minorEastAsia" w:cstheme="minorEastAsia"/>
        </w:rPr>
      </w:pPr>
      <w:r/>
      <w:bookmarkStart w:id="70" w:name="_Toc513029203"/>
      <w:r/>
      <w:bookmarkStart w:id="71" w:name="_Toc120614214"/>
      <w:r/>
      <w:bookmarkStart w:id="72" w:name="_Toc20823275"/>
      <w:r/>
      <w:bookmarkStart w:id="73" w:name="_Toc16938519"/>
      <w:r>
        <w:rPr>
          <w:rFonts w:hint="eastAsia" w:asciiTheme="minorEastAsia" w:hAnsiTheme="minorEastAsia" w:eastAsiaTheme="minorEastAsia" w:cstheme="minorEastAsia"/>
        </w:rPr>
        <w:t xml:space="preserve">一、总则</w:t>
      </w:r>
      <w:bookmarkEnd w:id="70"/>
      <w:r/>
      <w:bookmarkEnd w:id="71"/>
      <w:r/>
      <w:bookmarkEnd w:id="72"/>
      <w:r/>
      <w:bookmarkEnd w:id="73"/>
      <w:r/>
      <w:r/>
    </w:p>
    <w:p>
      <w:pPr>
        <w:pStyle w:val="1103"/>
        <w:ind w:firstLine="420"/>
        <w:spacing w:before="0" w:after="0" w:line="240" w:lineRule="auto"/>
        <w:rPr>
          <w:rFonts w:asciiTheme="minorEastAsia" w:hAnsiTheme="minorEastAsia" w:eastAsiaTheme="minorEastAsia" w:cstheme="minorEastAsia"/>
          <w:b w:val="0"/>
          <w:bCs w:val="0"/>
        </w:rPr>
      </w:pPr>
      <w:r/>
      <w:bookmarkStart w:id="74" w:name="_Hlt16619475"/>
      <w:r/>
      <w:bookmarkStart w:id="75" w:name="_Toc458694821"/>
      <w:r/>
      <w:bookmarkStart w:id="76" w:name="_Toc20823276"/>
      <w:r/>
      <w:bookmarkStart w:id="77" w:name="_Toc16938520"/>
      <w:r/>
      <w:bookmarkStart w:id="78" w:name="_Toc513029204"/>
      <w:r/>
      <w:bookmarkEnd w:id="74"/>
      <w:r>
        <w:rPr>
          <w:rFonts w:hint="eastAsia" w:asciiTheme="minorEastAsia" w:hAnsiTheme="minorEastAsia" w:eastAsiaTheme="minorEastAsia" w:cstheme="minorEastAsia"/>
          <w:b w:val="0"/>
          <w:bCs w:val="0"/>
        </w:rPr>
        <w:t xml:space="preserve">1</w:t>
      </w:r>
      <w:bookmarkEnd w:id="75"/>
      <w:r>
        <w:rPr>
          <w:rFonts w:hint="eastAsia" w:asciiTheme="minorEastAsia" w:hAnsiTheme="minorEastAsia" w:eastAsiaTheme="minorEastAsia" w:cstheme="minorEastAsia"/>
          <w:b w:val="0"/>
          <w:bCs w:val="0"/>
        </w:rPr>
        <w:t xml:space="preserve">、招标方式</w:t>
      </w:r>
      <w:bookmarkEnd w:id="76"/>
      <w:r/>
      <w:bookmarkEnd w:id="77"/>
      <w:r/>
      <w:bookmarkEnd w:id="78"/>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1103"/>
        <w:ind w:firstLine="420"/>
        <w:spacing w:before="0" w:after="0" w:line="240" w:lineRule="auto"/>
        <w:rPr>
          <w:rFonts w:asciiTheme="minorEastAsia" w:hAnsiTheme="minorEastAsia" w:eastAsiaTheme="minorEastAsia" w:cstheme="minorEastAsia"/>
          <w:b w:val="0"/>
          <w:bCs w:val="0"/>
        </w:rPr>
      </w:pPr>
      <w:r/>
      <w:bookmarkStart w:id="79" w:name="_Toc16938521"/>
      <w:r/>
      <w:bookmarkStart w:id="80" w:name="_Toc20823277"/>
      <w:r/>
      <w:bookmarkStart w:id="81" w:name="_Toc513029205"/>
      <w:r>
        <w:rPr>
          <w:rFonts w:hint="eastAsia" w:asciiTheme="minorEastAsia" w:hAnsiTheme="minorEastAsia" w:eastAsiaTheme="minorEastAsia" w:cstheme="minorEastAsia"/>
          <w:b w:val="0"/>
          <w:bCs w:val="0"/>
        </w:rPr>
        <w:t xml:space="preserve">2、合格的投标人</w:t>
      </w:r>
      <w:bookmarkEnd w:id="79"/>
      <w:r/>
      <w:bookmarkEnd w:id="80"/>
      <w:r/>
      <w:bookmarkEnd w:id="81"/>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2.1满足招标公告中供应商的资格要求的规定。</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满足本文件实质性要求和条件的规定。</w:t>
      </w:r>
      <w:r/>
    </w:p>
    <w:p>
      <w:pPr>
        <w:pStyle w:val="1103"/>
        <w:ind w:firstLine="420"/>
        <w:spacing w:before="0" w:after="0" w:line="240" w:lineRule="auto"/>
        <w:rPr>
          <w:rFonts w:asciiTheme="minorEastAsia" w:hAnsiTheme="minorEastAsia" w:eastAsiaTheme="minorEastAsia" w:cstheme="minorEastAsia"/>
          <w:b w:val="0"/>
          <w:bCs w:val="0"/>
        </w:rPr>
      </w:pPr>
      <w:r/>
      <w:bookmarkStart w:id="82" w:name="_Toc20823278"/>
      <w:r/>
      <w:bookmarkStart w:id="83" w:name="_Toc513029206"/>
      <w:r/>
      <w:bookmarkStart w:id="84" w:name="_Toc16938522"/>
      <w:r>
        <w:rPr>
          <w:rFonts w:hint="eastAsia" w:asciiTheme="minorEastAsia" w:hAnsiTheme="minorEastAsia" w:eastAsiaTheme="minorEastAsia" w:cstheme="minorEastAsia"/>
          <w:b w:val="0"/>
          <w:bCs w:val="0"/>
        </w:rPr>
        <w:t xml:space="preserve">3、适用法律</w:t>
      </w:r>
      <w:bookmarkEnd w:id="82"/>
      <w:r/>
      <w:bookmarkEnd w:id="83"/>
      <w:r/>
      <w:bookmarkEnd w:id="84"/>
      <w:r>
        <w:rPr>
          <w:rFonts w:hint="eastAsia" w:asciiTheme="minorEastAsia" w:hAnsiTheme="minorEastAsia" w:eastAsiaTheme="minorEastAsia" w:cstheme="minorEastAsia"/>
          <w:b w:val="0"/>
          <w:bCs w:val="0"/>
        </w:rPr>
        <w:t xml:space="preserve">和标准</w:t>
      </w:r>
      <w:r/>
    </w:p>
    <w:p>
      <w:pPr>
        <w:ind w:firstLine="42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ind w:firstLine="42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在本项目政府采购活动过程中，如果所执行的标准有更新的，按照最新标准执行。</w:t>
      </w:r>
      <w:r/>
    </w:p>
    <w:p>
      <w:pPr>
        <w:pStyle w:val="1103"/>
        <w:ind w:firstLine="420"/>
        <w:spacing w:before="0" w:after="0" w:line="240" w:lineRule="auto"/>
        <w:rPr>
          <w:rFonts w:asciiTheme="minorEastAsia" w:hAnsiTheme="minorEastAsia" w:eastAsiaTheme="minorEastAsia" w:cstheme="minorEastAsia"/>
          <w:b w:val="0"/>
          <w:bCs w:val="0"/>
        </w:rPr>
      </w:pPr>
      <w:r/>
      <w:bookmarkStart w:id="85" w:name="_Toc462564067"/>
      <w:r/>
      <w:bookmarkStart w:id="86" w:name="_Toc513029207"/>
      <w:r/>
      <w:bookmarkStart w:id="87" w:name="_Toc16938523"/>
      <w:r/>
      <w:bookmarkStart w:id="88" w:name="_Toc20823279"/>
      <w:r>
        <w:rPr>
          <w:rFonts w:hint="eastAsia" w:asciiTheme="minorEastAsia" w:hAnsiTheme="minorEastAsia" w:eastAsiaTheme="minorEastAsia" w:cstheme="minorEastAsia"/>
          <w:b w:val="0"/>
          <w:bCs w:val="0"/>
        </w:rPr>
        <w:t xml:space="preserve">4、</w:t>
      </w:r>
      <w:bookmarkEnd w:id="85"/>
      <w:r/>
      <w:bookmarkEnd w:id="86"/>
      <w:r/>
      <w:bookmarkEnd w:id="87"/>
      <w:r/>
      <w:bookmarkEnd w:id="88"/>
      <w:r>
        <w:rPr>
          <w:rFonts w:hint="eastAsia" w:asciiTheme="minorEastAsia" w:hAnsiTheme="minorEastAsia" w:eastAsiaTheme="minorEastAsia" w:cstheme="minorEastAsia"/>
          <w:b w:val="0"/>
          <w:bCs w:val="0"/>
        </w:rPr>
        <w:t xml:space="preserve">核心产品、</w:t>
      </w:r>
      <w:r>
        <w:rPr>
          <w:rFonts w:hint="eastAsia" w:asciiTheme="minorEastAsia" w:hAnsiTheme="minorEastAsia" w:eastAsiaTheme="minorEastAsia" w:cstheme="minorEastAsia"/>
          <w:b w:val="0"/>
          <w:bCs w:val="0"/>
        </w:rPr>
        <w:t xml:space="preserve">投标费用</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4.1</w:t>
      </w:r>
      <w:r>
        <w:rPr>
          <w:rFonts w:hint="eastAsia" w:ascii="宋体" w:hAnsi="宋体"/>
          <w:sz w:val="24"/>
          <w:szCs w:val="24"/>
        </w:rPr>
        <w:t xml:space="preserve">核心产品：学生实验桌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4.2</w:t>
      </w:r>
      <w:r>
        <w:rPr>
          <w:rFonts w:hint="eastAsia" w:asciiTheme="minorEastAsia" w:hAnsiTheme="minorEastAsia" w:eastAsiaTheme="minorEastAsia" w:cstheme="minorEastAsia"/>
          <w:sz w:val="24"/>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w:t>
      </w:r>
      <w:r>
        <w:rPr>
          <w:rFonts w:hint="eastAsia" w:asciiTheme="minorEastAsia" w:hAnsiTheme="minorEastAsia" w:eastAsiaTheme="minorEastAsia" w:cstheme="minorEastAsia"/>
          <w:sz w:val="24"/>
        </w:rPr>
        <w:t xml:space="preserve">本次招标建装中心和采购人不收取标书工本费与中标服务费。</w:t>
      </w:r>
      <w:r/>
    </w:p>
    <w:p>
      <w:pPr>
        <w:ind w:firstLine="480"/>
        <w:spacing w:line="5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103"/>
        <w:ind w:firstLine="602"/>
        <w:spacing w:before="0" w:after="0" w:line="480" w:lineRule="exact"/>
        <w:rPr>
          <w:rFonts w:asciiTheme="minorEastAsia" w:hAnsiTheme="minorEastAsia" w:eastAsiaTheme="minorEastAsia" w:cstheme="minorEastAsia"/>
          <w:b w:val="0"/>
          <w:bCs w:val="0"/>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rPr>
        <w:t xml:space="preserve">招标文件的约束力</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1101"/>
        <w:ind w:firstLine="321"/>
        <w:spacing w:before="156" w:after="156" w:line="360" w:lineRule="auto"/>
        <w:rPr>
          <w:rFonts w:asciiTheme="minorEastAsia" w:hAnsiTheme="minorEastAsia" w:eastAsiaTheme="minorEastAsia" w:cstheme="minorEastAsia"/>
        </w:rPr>
      </w:pPr>
      <w:r/>
      <w:bookmarkStart w:id="89" w:name="_Toc16938525"/>
      <w:r/>
      <w:bookmarkStart w:id="90" w:name="_Toc513029209"/>
      <w:r/>
      <w:bookmarkStart w:id="91" w:name="_Toc20823281"/>
      <w:r/>
      <w:bookmarkStart w:id="92" w:name="_Toc120614215"/>
      <w:r>
        <w:rPr>
          <w:rFonts w:hint="eastAsia" w:asciiTheme="minorEastAsia" w:hAnsiTheme="minorEastAsia" w:eastAsiaTheme="minorEastAsia" w:cstheme="minorEastAsia"/>
        </w:rPr>
        <w:t xml:space="preserve">二、招标文件</w:t>
      </w:r>
      <w:bookmarkEnd w:id="89"/>
      <w:r/>
      <w:bookmarkEnd w:id="90"/>
      <w:r/>
      <w:bookmarkEnd w:id="91"/>
      <w:r/>
      <w:bookmarkEnd w:id="92"/>
      <w:r/>
      <w:r/>
    </w:p>
    <w:p>
      <w:pPr>
        <w:pStyle w:val="1103"/>
        <w:ind w:firstLine="420"/>
        <w:spacing w:before="0" w:after="0" w:line="240" w:lineRule="auto"/>
        <w:rPr>
          <w:rFonts w:asciiTheme="minorEastAsia" w:hAnsiTheme="minorEastAsia" w:eastAsiaTheme="minorEastAsia" w:cstheme="minorEastAsia"/>
          <w:b w:val="0"/>
          <w:bCs w:val="0"/>
        </w:rPr>
      </w:pPr>
      <w:r/>
      <w:bookmarkStart w:id="93" w:name="_Toc513029210"/>
      <w:r/>
      <w:bookmarkStart w:id="94" w:name="_Toc20823282"/>
      <w:r/>
      <w:bookmarkStart w:id="95" w:name="_Toc16938526"/>
      <w:r>
        <w:rPr>
          <w:rFonts w:hint="eastAsia" w:asciiTheme="minorEastAsia" w:hAnsiTheme="minorEastAsia" w:eastAsiaTheme="minorEastAsia" w:cstheme="minorEastAsia"/>
          <w:b w:val="0"/>
          <w:bCs w:val="0"/>
        </w:rPr>
        <w:t xml:space="preserve">6、招标文件构成</w:t>
      </w:r>
      <w:bookmarkEnd w:id="93"/>
      <w:r/>
      <w:bookmarkEnd w:id="94"/>
      <w:r/>
      <w:bookmarkEnd w:id="95"/>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请仔细检查招标文件是否齐全，如有缺漏请立即与建装中心联系解决。</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3"/>
        <w:ind w:firstLine="560"/>
        <w:spacing w:before="0" w:after="0" w:line="240" w:lineRule="auto"/>
        <w:rPr>
          <w:rFonts w:asciiTheme="minorEastAsia" w:hAnsiTheme="minorEastAsia" w:eastAsiaTheme="minorEastAsia" w:cstheme="minorEastAsia"/>
          <w:b w:val="0"/>
          <w:bCs w:val="0"/>
        </w:rPr>
      </w:pPr>
      <w:r/>
      <w:bookmarkStart w:id="96" w:name="_Toc20823283"/>
      <w:r/>
      <w:bookmarkStart w:id="97" w:name="_Toc16938527"/>
      <w:r/>
      <w:bookmarkStart w:id="98" w:name="_Toc462564070"/>
      <w:r/>
      <w:bookmarkStart w:id="99" w:name="_Toc513029211"/>
      <w:r>
        <w:rPr>
          <w:rFonts w:hint="eastAsia" w:asciiTheme="minorEastAsia" w:hAnsiTheme="minorEastAsia" w:eastAsiaTheme="minorEastAsia" w:cstheme="minorEastAsia"/>
          <w:b w:val="0"/>
          <w:bCs w:val="0"/>
        </w:rPr>
        <w:t xml:space="preserve">7、招标文件的澄清</w:t>
      </w:r>
      <w:bookmarkEnd w:id="96"/>
      <w:r/>
      <w:bookmarkEnd w:id="97"/>
      <w:r/>
      <w:bookmarkEnd w:id="98"/>
      <w:r/>
      <w:bookmarkEnd w:id="99"/>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按招标公告中的通讯地址，以书面形式通知建装中心。</w:t>
      </w:r>
      <w:r/>
    </w:p>
    <w:p>
      <w:pPr>
        <w:pStyle w:val="1103"/>
        <w:ind w:firstLine="560"/>
        <w:spacing w:before="0" w:after="0" w:line="240" w:lineRule="auto"/>
        <w:rPr>
          <w:rFonts w:asciiTheme="minorEastAsia" w:hAnsiTheme="minorEastAsia" w:eastAsiaTheme="minorEastAsia" w:cstheme="minorEastAsia"/>
          <w:b w:val="0"/>
          <w:bCs w:val="0"/>
        </w:rPr>
      </w:pPr>
      <w:r/>
      <w:bookmarkStart w:id="100" w:name="_Toc20823284"/>
      <w:r/>
      <w:bookmarkStart w:id="101" w:name="_Toc16938528"/>
      <w:r/>
      <w:bookmarkStart w:id="102" w:name="_Toc513029212"/>
      <w:r/>
      <w:bookmarkStart w:id="103" w:name="_Toc462564071"/>
      <w:r>
        <w:rPr>
          <w:rFonts w:hint="eastAsia" w:asciiTheme="minorEastAsia" w:hAnsiTheme="minorEastAsia" w:eastAsiaTheme="minorEastAsia" w:cstheme="minorEastAsia"/>
          <w:b w:val="0"/>
          <w:bCs w:val="0"/>
        </w:rPr>
        <w:t xml:space="preserve">8、招标文件的修改</w:t>
      </w:r>
      <w:bookmarkEnd w:id="100"/>
      <w:r/>
      <w:bookmarkEnd w:id="101"/>
      <w:r/>
      <w:bookmarkEnd w:id="102"/>
      <w:r/>
      <w:bookmarkEnd w:id="103"/>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8.1</w:t>
      </w:r>
      <w:r>
        <w:rPr>
          <w:rFonts w:hint="eastAsia" w:asciiTheme="minorEastAsia" w:hAnsiTheme="minorEastAsia" w:eastAsiaTheme="minorEastAsia" w:cstheme="minorEastAsia"/>
          <w:sz w:val="24"/>
        </w:rPr>
        <w:t xml:space="preserve"> 在投标截止时间前，建装中心可以对招标文件进行修改。</w:t>
      </w:r>
      <w:r/>
    </w:p>
    <w:p>
      <w:pPr>
        <w:ind w:firstLine="480"/>
        <w:spacing w:line="500" w:lineRule="exact"/>
        <w:rPr>
          <w:rFonts w:asciiTheme="minorEastAsia" w:hAnsiTheme="minorEastAsia" w:eastAsiaTheme="minorEastAsia" w:cstheme="minorEastAsia"/>
          <w:sz w:val="28"/>
        </w:rPr>
      </w:pPr>
      <w:r>
        <w:rPr>
          <w:rFonts w:hint="eastAsia" w:asciiTheme="minorEastAsia" w:hAnsiTheme="minorEastAsia" w:eastAsiaTheme="minorEastAsia" w:cstheme="minorEastAsia"/>
          <w:bCs/>
          <w:sz w:val="24"/>
        </w:rPr>
        <w:t xml:space="preserve">8.2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有权按照法定的要求</w:t>
      </w:r>
      <w:r>
        <w:rPr>
          <w:rFonts w:hint="eastAsia" w:asciiTheme="minorEastAsia" w:hAnsiTheme="minorEastAsia" w:eastAsiaTheme="minorEastAsia" w:cstheme="minorEastAsia"/>
          <w:sz w:val="24"/>
        </w:rPr>
        <w:t xml:space="preserve">推迟投标截止日期和开标日期。</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8.3 </w:t>
      </w:r>
      <w:r>
        <w:rPr>
          <w:rFonts w:hint="eastAsia" w:asciiTheme="minorEastAsia" w:hAnsiTheme="minorEastAsia" w:eastAsiaTheme="minorEastAsia" w:cstheme="minorEastAsia"/>
          <w:sz w:val="24"/>
        </w:rPr>
        <w:t xml:space="preserve">招标文件的修改将在江苏政府采购网、常州市政府采购网公布，</w:t>
      </w:r>
      <w:r>
        <w:rPr>
          <w:rFonts w:hint="eastAsia" w:asciiTheme="minorEastAsia" w:hAnsiTheme="minorEastAsia" w:eastAsiaTheme="minorEastAsia" w:cstheme="minorEastAsia"/>
          <w:sz w:val="24"/>
          <w:szCs w:val="24"/>
        </w:rPr>
        <w:t xml:space="preserve">补充文件将作为招标文件的组成部分，</w:t>
      </w:r>
      <w:r>
        <w:rPr>
          <w:rFonts w:hint="eastAsia" w:asciiTheme="minorEastAsia" w:hAnsiTheme="minorEastAsia" w:eastAsiaTheme="minorEastAsia" w:cstheme="minorEastAsia"/>
          <w:sz w:val="24"/>
        </w:rPr>
        <w:t xml:space="preserve">并对投标人具有约束力。</w:t>
      </w:r>
      <w:r/>
    </w:p>
    <w:p>
      <w:pPr>
        <w:pStyle w:val="1101"/>
        <w:ind w:firstLine="482"/>
        <w:spacing w:before="156" w:after="156" w:line="360" w:lineRule="auto"/>
        <w:rPr>
          <w:rFonts w:asciiTheme="minorEastAsia" w:hAnsiTheme="minorEastAsia" w:eastAsiaTheme="minorEastAsia" w:cstheme="minorEastAsia"/>
        </w:rPr>
      </w:pPr>
      <w:r/>
      <w:bookmarkStart w:id="104" w:name="_Toc16938529"/>
      <w:r/>
      <w:bookmarkStart w:id="105" w:name="_Toc20823285"/>
      <w:r/>
      <w:bookmarkStart w:id="106" w:name="_Toc462564072"/>
      <w:r/>
      <w:bookmarkStart w:id="107" w:name="_Toc120614216"/>
      <w:r/>
      <w:bookmarkStart w:id="108" w:name="_Toc513029213"/>
      <w:r>
        <w:rPr>
          <w:rFonts w:hint="eastAsia" w:asciiTheme="minorEastAsia" w:hAnsiTheme="minorEastAsia" w:eastAsiaTheme="minorEastAsia" w:cstheme="minorEastAsia"/>
        </w:rPr>
        <w:t xml:space="preserve">三、投标文件的编制</w:t>
      </w:r>
      <w:bookmarkEnd w:id="104"/>
      <w:r/>
      <w:bookmarkEnd w:id="105"/>
      <w:r/>
      <w:bookmarkEnd w:id="106"/>
      <w:r/>
      <w:bookmarkEnd w:id="107"/>
      <w:r/>
      <w:bookmarkEnd w:id="108"/>
      <w:r/>
      <w:r/>
    </w:p>
    <w:p>
      <w:pPr>
        <w:pStyle w:val="1103"/>
        <w:ind w:firstLine="560"/>
        <w:spacing w:before="0" w:after="0" w:line="240" w:lineRule="auto"/>
        <w:rPr>
          <w:rFonts w:asciiTheme="minorEastAsia" w:hAnsiTheme="minorEastAsia" w:eastAsiaTheme="minorEastAsia" w:cstheme="minorEastAsia"/>
          <w:bCs w:val="0"/>
        </w:rPr>
      </w:pPr>
      <w:r/>
      <w:bookmarkStart w:id="109" w:name="_Toc462564073"/>
      <w:r/>
      <w:bookmarkStart w:id="110" w:name="_Toc20823286"/>
      <w:r/>
      <w:bookmarkStart w:id="111" w:name="_Toc513029214"/>
      <w:r/>
      <w:bookmarkStart w:id="112" w:name="_Toc16938530"/>
      <w:r>
        <w:rPr>
          <w:rFonts w:hint="eastAsia" w:asciiTheme="minorEastAsia" w:hAnsiTheme="minorEastAsia" w:eastAsiaTheme="minorEastAsia" w:cstheme="minorEastAsia"/>
          <w:b w:val="0"/>
          <w:bCs w:val="0"/>
        </w:rPr>
        <w:t xml:space="preserve">9、投标文件的语言及度量衡单位</w:t>
      </w:r>
      <w:bookmarkEnd w:id="109"/>
      <w:r/>
      <w:bookmarkEnd w:id="110"/>
      <w:r/>
      <w:bookmarkEnd w:id="111"/>
      <w:r/>
      <w:bookmarkEnd w:id="112"/>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1103"/>
        <w:ind w:firstLine="420"/>
        <w:spacing w:before="0" w:after="0" w:line="240" w:lineRule="auto"/>
        <w:rPr>
          <w:rFonts w:asciiTheme="minorEastAsia" w:hAnsiTheme="minorEastAsia" w:eastAsiaTheme="minorEastAsia" w:cstheme="minorEastAsia"/>
          <w:b w:val="0"/>
          <w:bCs w:val="0"/>
        </w:rPr>
      </w:pPr>
      <w:r/>
      <w:bookmarkStart w:id="113" w:name="_Toc462564074"/>
      <w:r/>
      <w:bookmarkStart w:id="114" w:name="_Toc20823287"/>
      <w:r/>
      <w:bookmarkStart w:id="115" w:name="_Toc16938531"/>
      <w:r/>
      <w:bookmarkStart w:id="116" w:name="_Toc513029215"/>
      <w:r>
        <w:rPr>
          <w:rFonts w:hint="eastAsia" w:asciiTheme="minorEastAsia" w:hAnsiTheme="minorEastAsia" w:eastAsiaTheme="minorEastAsia" w:cstheme="minorEastAsia"/>
          <w:b w:val="0"/>
          <w:bCs w:val="0"/>
        </w:rPr>
        <w:t xml:space="preserve">10、投标文件构成</w:t>
      </w:r>
      <w:bookmarkEnd w:id="113"/>
      <w:r/>
      <w:bookmarkEnd w:id="114"/>
      <w:r/>
      <w:bookmarkEnd w:id="115"/>
      <w:r/>
      <w:bookmarkEnd w:id="116"/>
      <w:r/>
      <w:r/>
    </w:p>
    <w:p>
      <w:pPr>
        <w:ind w:firstLine="480"/>
        <w:spacing w:line="360" w:lineRule="auto"/>
        <w:tabs>
          <w:tab w:val="left" w:pos="1080" w:leader="none"/>
          <w:tab w:val="left" w:pos="1589" w:leader="none"/>
          <w:tab w:val="left" w:pos="2014"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10.1本项目如划分采购包，投标人可以对本项目的其中一个采购包进行投标，也可同时对多个采购包进行投标。</w:t>
      </w:r>
      <w:r>
        <w:rPr>
          <w:rFonts w:hint="eastAsia" w:asciiTheme="minorEastAsia" w:hAnsiTheme="minorEastAsia" w:eastAsiaTheme="minorEastAsia" w:cstheme="minorEastAsia"/>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10.3如标书制作工具中格式和内容与“江苏政府采购网”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发布的招标文件不一致，请以“江苏政府采购网”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发布的招标文件为准。</w:t>
      </w:r>
      <w:r/>
    </w:p>
    <w:p>
      <w:pPr>
        <w:pStyle w:val="1103"/>
        <w:ind w:firstLine="420"/>
        <w:spacing w:before="0" w:after="0" w:line="240" w:lineRule="auto"/>
        <w:rPr>
          <w:rFonts w:asciiTheme="minorEastAsia" w:hAnsiTheme="minorEastAsia" w:eastAsiaTheme="minorEastAsia" w:cstheme="minorEastAsia"/>
          <w:b w:val="0"/>
          <w:bCs w:val="0"/>
        </w:rPr>
      </w:pPr>
      <w:r/>
      <w:bookmarkStart w:id="117" w:name="_Hlt26954838"/>
      <w:r/>
      <w:bookmarkStart w:id="118" w:name="_Hlt26670360"/>
      <w:r/>
      <w:bookmarkStart w:id="119" w:name="_Hlt26668975"/>
      <w:r/>
      <w:bookmarkStart w:id="120" w:name="_Toc14577357"/>
      <w:r/>
      <w:bookmarkStart w:id="121" w:name="_Toc513029219"/>
      <w:r/>
      <w:bookmarkStart w:id="122" w:name="_Toc49090509"/>
      <w:r/>
      <w:bookmarkStart w:id="123" w:name="_Toc513029216"/>
      <w:r/>
      <w:bookmarkStart w:id="124" w:name="_Toc49090507"/>
      <w:r/>
      <w:bookmarkStart w:id="125" w:name="_Toc14577354"/>
      <w:r/>
      <w:bookmarkEnd w:id="117"/>
      <w:r/>
      <w:bookmarkEnd w:id="118"/>
      <w:r/>
      <w:bookmarkEnd w:id="119"/>
      <w:r>
        <w:rPr>
          <w:rFonts w:hint="eastAsia" w:asciiTheme="minorEastAsia" w:hAnsiTheme="minorEastAsia" w:eastAsiaTheme="minorEastAsia" w:cstheme="minorEastAsia"/>
          <w:b w:val="0"/>
          <w:bCs w:val="0"/>
        </w:rPr>
        <w:t xml:space="preserve">11、证明投标人及投标标的符合招标文件规定的文件</w:t>
      </w:r>
      <w:bookmarkEnd w:id="120"/>
      <w:r/>
      <w:bookmarkEnd w:id="121"/>
      <w:r/>
      <w:bookmarkEnd w:id="122"/>
      <w:r/>
      <w:r/>
    </w:p>
    <w:p>
      <w:pPr>
        <w:spacing w:line="480" w:lineRule="exact"/>
        <w:rPr>
          <w:rFonts w:asciiTheme="minorEastAsia" w:hAnsiTheme="minorEastAsia" w:eastAsiaTheme="minorEastAsia" w:cstheme="minorEastAsia"/>
          <w:sz w:val="24"/>
          <w:szCs w:val="24"/>
        </w:rPr>
      </w:pPr>
      <w:r/>
      <w:bookmarkStart w:id="126" w:name="_Toc14577355"/>
      <w:r/>
      <w:bookmarkStart w:id="127" w:name="_Toc49090508"/>
      <w:r/>
      <w:bookmarkEnd w:id="123"/>
      <w:r/>
      <w:bookmarkEnd w:id="124"/>
      <w:r/>
      <w:bookmarkEnd w:id="125"/>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1103"/>
        <w:ind w:firstLine="420"/>
        <w:spacing w:before="0" w:after="0" w:line="240" w:lineRule="auto"/>
        <w:rPr>
          <w:rFonts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12、投标分项报价</w:t>
      </w:r>
      <w:bookmarkStart w:id="128" w:name="_Hlt26670373"/>
      <w:r/>
      <w:bookmarkEnd w:id="126"/>
      <w:r/>
      <w:bookmarkEnd w:id="128"/>
      <w:r>
        <w:rPr>
          <w:rFonts w:hint="eastAsia" w:asciiTheme="minorEastAsia" w:hAnsiTheme="minorEastAsia" w:eastAsiaTheme="minorEastAsia" w:cstheme="minorEastAsia"/>
          <w:b w:val="0"/>
          <w:bCs w:val="0"/>
        </w:rPr>
        <w:t xml:space="preserve">表</w:t>
      </w:r>
      <w:bookmarkEnd w:id="127"/>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29" w:name="_Hlt26954840"/>
      <w:r/>
      <w:bookmarkEnd w:id="129"/>
      <w:r>
        <w:rPr>
          <w:rFonts w:hint="eastAsia" w:asciiTheme="minorEastAsia" w:hAnsiTheme="minorEastAsia" w:eastAsiaTheme="minorEastAsia" w:cstheme="minorEastAsia"/>
          <w:sz w:val="24"/>
        </w:rPr>
        <w:t xml:space="preserve">标人应按照招标文件规定格式填报投标分项报价表</w:t>
      </w:r>
      <w:bookmarkStart w:id="130" w:name="_Hlt26670399"/>
      <w:r/>
      <w:bookmarkEnd w:id="130"/>
      <w:r>
        <w:rPr>
          <w:rFonts w:hint="eastAsia" w:asciiTheme="minorEastAsia" w:hAnsiTheme="minorEastAsia" w:eastAsiaTheme="minorEastAsia" w:cstheme="minorEastAsia"/>
          <w:sz w:val="24"/>
        </w:rPr>
        <w:t xml:space="preserve">。</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w:t>
      </w:r>
      <w:r>
        <w:rPr>
          <w:rFonts w:hint="eastAsia" w:asciiTheme="minorEastAsia" w:hAnsiTheme="minorEastAsia" w:eastAsiaTheme="minorEastAsia" w:cstheme="minorEastAsia"/>
          <w:bCs/>
          <w:sz w:val="24"/>
        </w:rPr>
        <w:t xml:space="preserve">以元为单位标注。</w:t>
      </w:r>
      <w:r>
        <w:rPr>
          <w:rFonts w:hint="eastAsia" w:asciiTheme="minorEastAsia" w:hAnsiTheme="minorEastAsia" w:eastAsiaTheme="minorEastAsia" w:cstheme="minorEastAsia"/>
          <w:sz w:val="24"/>
        </w:rPr>
        <w:t xml:space="preserve">招标文件中另有规定的按规定执行。</w:t>
      </w:r>
      <w:r/>
    </w:p>
    <w:p>
      <w:pPr>
        <w:pStyle w:val="1103"/>
        <w:ind w:firstLine="420"/>
        <w:spacing w:before="0" w:after="0" w:line="240" w:lineRule="auto"/>
        <w:rPr>
          <w:rFonts w:asciiTheme="minorEastAsia" w:hAnsiTheme="minorEastAsia" w:eastAsiaTheme="minorEastAsia" w:cstheme="minorEastAsia"/>
          <w:b w:val="0"/>
          <w:bCs w:val="0"/>
        </w:rPr>
      </w:pPr>
      <w:r/>
      <w:bookmarkStart w:id="131" w:name="_Hlt26954842"/>
      <w:r/>
      <w:bookmarkStart w:id="132" w:name="_Hlt26954848"/>
      <w:r/>
      <w:bookmarkStart w:id="133" w:name="_Hlt26670482"/>
      <w:r/>
      <w:bookmarkStart w:id="134" w:name="_Hlt26954731"/>
      <w:r/>
      <w:bookmarkStart w:id="135" w:name="_Hlt26670403"/>
      <w:r/>
      <w:bookmarkStart w:id="136" w:name="_Hlt26668983"/>
      <w:r/>
      <w:bookmarkStart w:id="137" w:name="_Hlt26954846"/>
      <w:r/>
      <w:bookmarkStart w:id="138" w:name="_Hlt26670486"/>
      <w:r/>
      <w:bookmarkStart w:id="139" w:name="_Hlt26670425"/>
      <w:r/>
      <w:bookmarkStart w:id="140" w:name="_Hlt26954844"/>
      <w:r/>
      <w:bookmarkEnd w:id="131"/>
      <w:r/>
      <w:bookmarkEnd w:id="132"/>
      <w:r/>
      <w:bookmarkEnd w:id="133"/>
      <w:r/>
      <w:bookmarkEnd w:id="134"/>
      <w:r/>
      <w:bookmarkEnd w:id="135"/>
      <w:r/>
      <w:bookmarkEnd w:id="136"/>
      <w:r/>
      <w:bookmarkEnd w:id="137"/>
      <w:r/>
      <w:bookmarkEnd w:id="138"/>
      <w:r/>
      <w:bookmarkEnd w:id="139"/>
      <w:r/>
      <w:bookmarkEnd w:id="140"/>
      <w:r>
        <w:rPr>
          <w:rFonts w:hint="eastAsia" w:asciiTheme="minorEastAsia" w:hAnsiTheme="minorEastAsia" w:eastAsiaTheme="minorEastAsia" w:cstheme="minorEastAsia"/>
          <w:b w:val="0"/>
          <w:bCs w:val="0"/>
        </w:rPr>
        <w:t xml:space="preserve">13.1、技术要求响应及偏离表、商务要求响应及偏离表</w:t>
      </w:r>
      <w:r/>
    </w:p>
    <w:p>
      <w:pPr>
        <w:ind w:firstLine="480"/>
        <w:spacing w:line="50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keepLines/>
        <w:keepNext/>
        <w:rPr>
          <w:rFonts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13.1.2 投标人可在投标文件中提供认为需要的其他技术文件或说明。</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13.2、服务承诺、培训计划、人员安排及其他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bCs/>
          <w:sz w:val="24"/>
          <w:szCs w:val="24"/>
        </w:rPr>
        <w:t xml:space="preserve">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2 投标人需根据招标文件要求提供培训计划。</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ind w:firstLine="480"/>
        <w:spacing w:line="500" w:lineRule="exact"/>
        <w:tabs>
          <w:tab w:val="left" w:pos="1035"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103"/>
        <w:ind w:firstLine="420"/>
        <w:spacing w:before="0" w:after="0" w:line="240" w:lineRule="auto"/>
        <w:rPr>
          <w:rFonts w:asciiTheme="minorEastAsia" w:hAnsiTheme="minorEastAsia" w:eastAsiaTheme="minorEastAsia" w:cstheme="minorEastAsia"/>
          <w:b w:val="0"/>
          <w:bCs w:val="0"/>
        </w:rPr>
      </w:pPr>
      <w:r/>
      <w:bookmarkStart w:id="141" w:name="_Toc14577359"/>
      <w:r/>
      <w:bookmarkStart w:id="142" w:name="_Toc49090510"/>
      <w:r>
        <w:rPr>
          <w:rFonts w:hint="eastAsia" w:asciiTheme="minorEastAsia" w:hAnsiTheme="minorEastAsia" w:eastAsiaTheme="minorEastAsia" w:cstheme="minorEastAsia"/>
          <w:b w:val="0"/>
          <w:bCs w:val="0"/>
        </w:rPr>
        <w:t xml:space="preserve">14、投标函和开标一览表</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14.1</w:t>
      </w:r>
      <w:r>
        <w:rPr>
          <w:rFonts w:hint="eastAsia" w:asciiTheme="minorEastAsia" w:hAnsiTheme="minorEastAsia" w:eastAsiaTheme="minorEastAsia" w:cstheme="minorEastAsia"/>
          <w:sz w:val="24"/>
        </w:rPr>
        <w:t xml:space="preserve"> 投标人应按照招标文件中提供的格式完整、正确填写投标函、开标一览表。</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r/>
    </w:p>
    <w:p>
      <w:pPr>
        <w:pStyle w:val="1103"/>
        <w:ind w:firstLine="420"/>
        <w:spacing w:before="0" w:after="0" w:line="240" w:lineRule="auto"/>
        <w:rPr>
          <w:rFonts w:asciiTheme="minorEastAsia" w:hAnsiTheme="minorEastAsia" w:eastAsiaTheme="minorEastAsia" w:cstheme="minorEastAsia"/>
          <w:b w:val="0"/>
          <w:bCs w:val="0"/>
        </w:rPr>
      </w:pPr>
      <w:r/>
      <w:bookmarkStart w:id="143" w:name="_Hlt26954850"/>
      <w:r/>
      <w:bookmarkStart w:id="144" w:name="_Hlt26954734"/>
      <w:r/>
      <w:bookmarkStart w:id="145" w:name="_Hlt26670489"/>
      <w:r/>
      <w:bookmarkStart w:id="146" w:name="_Toc49090511"/>
      <w:r/>
      <w:bookmarkStart w:id="147" w:name="_Toc14577360"/>
      <w:r/>
      <w:bookmarkEnd w:id="141"/>
      <w:r/>
      <w:bookmarkEnd w:id="142"/>
      <w:r/>
      <w:bookmarkEnd w:id="143"/>
      <w:r/>
      <w:bookmarkEnd w:id="144"/>
      <w:r/>
      <w:bookmarkEnd w:id="145"/>
      <w:r>
        <w:rPr>
          <w:rFonts w:hint="eastAsia" w:asciiTheme="minorEastAsia" w:hAnsiTheme="minorEastAsia" w:eastAsiaTheme="minorEastAsia" w:cstheme="minorEastAsia"/>
          <w:b w:val="0"/>
          <w:bCs w:val="0"/>
        </w:rPr>
        <w:t xml:space="preserve">15、投标有效期</w:t>
      </w:r>
      <w:bookmarkEnd w:id="146"/>
      <w:r/>
      <w:bookmarkEnd w:id="147"/>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w:t>
      </w:r>
      <w:r>
        <w:rPr>
          <w:rFonts w:hint="eastAsia" w:asciiTheme="minorEastAsia" w:hAnsiTheme="minorEastAsia" w:eastAsiaTheme="minorEastAsia" w:cstheme="minorEastAsia"/>
          <w:bCs/>
          <w:sz w:val="24"/>
        </w:rPr>
        <w:t xml:space="preserve"> 投标有效期为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规定的开标之日后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投标有效期比规定短的将被视为未实质性响应招标文件而予以拒绝。</w:t>
      </w:r>
      <w:r/>
    </w:p>
    <w:p>
      <w:pPr>
        <w:pStyle w:val="1103"/>
        <w:ind w:firstLine="420"/>
        <w:spacing w:before="0" w:after="0" w:line="240" w:lineRule="auto"/>
        <w:rPr>
          <w:rFonts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16、投标有效期的延长</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在特殊情况下，</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pStyle w:val="1101"/>
        <w:ind w:firstLine="482"/>
        <w:spacing w:before="156" w:after="156" w:line="360" w:lineRule="auto"/>
        <w:rPr>
          <w:rFonts w:asciiTheme="minorEastAsia" w:hAnsiTheme="minorEastAsia" w:eastAsiaTheme="minorEastAsia" w:cstheme="minorEastAsia"/>
        </w:rPr>
      </w:pPr>
      <w:r/>
      <w:bookmarkStart w:id="148" w:name="_Hlt26954852"/>
      <w:r/>
      <w:bookmarkStart w:id="149" w:name="_Hlt26954739"/>
      <w:r/>
      <w:bookmarkStart w:id="150" w:name="_Toc16938540"/>
      <w:r/>
      <w:bookmarkStart w:id="151" w:name="_Toc120614217"/>
      <w:r/>
      <w:bookmarkStart w:id="152" w:name="_Toc513029224"/>
      <w:r/>
      <w:bookmarkStart w:id="153" w:name="_Toc20823296"/>
      <w:r/>
      <w:bookmarkEnd w:id="148"/>
      <w:r/>
      <w:bookmarkEnd w:id="149"/>
      <w:r>
        <w:rPr>
          <w:rFonts w:hint="eastAsia" w:asciiTheme="minorEastAsia" w:hAnsiTheme="minorEastAsia" w:eastAsiaTheme="minorEastAsia" w:cstheme="minorEastAsia"/>
        </w:rPr>
        <w:t xml:space="preserve">四、投标文件的递交</w:t>
      </w:r>
      <w:bookmarkEnd w:id="150"/>
      <w:r/>
      <w:bookmarkEnd w:id="151"/>
      <w:r/>
      <w:bookmarkEnd w:id="152"/>
      <w:r/>
      <w:bookmarkEnd w:id="153"/>
      <w:r/>
      <w:r/>
    </w:p>
    <w:p>
      <w:pPr>
        <w:pStyle w:val="1103"/>
        <w:ind w:firstLine="560"/>
        <w:spacing w:before="0" w:after="0" w:line="240" w:lineRule="auto"/>
        <w:rPr>
          <w:rFonts w:asciiTheme="minorEastAsia" w:hAnsiTheme="minorEastAsia" w:eastAsiaTheme="minorEastAsia" w:cstheme="minorEastAsia"/>
          <w:b w:val="0"/>
          <w:bCs w:val="0"/>
        </w:rPr>
      </w:pPr>
      <w:r/>
      <w:bookmarkStart w:id="154" w:name="_Toc20823297"/>
      <w:r/>
      <w:bookmarkStart w:id="155" w:name="_Toc462564084"/>
      <w:r/>
      <w:bookmarkStart w:id="156" w:name="_Toc513029225"/>
      <w:r/>
      <w:bookmarkStart w:id="157" w:name="_Toc16938541"/>
      <w:r>
        <w:rPr>
          <w:rFonts w:hint="eastAsia" w:asciiTheme="minorEastAsia" w:hAnsiTheme="minorEastAsia" w:eastAsiaTheme="minorEastAsia" w:cstheme="minorEastAsia"/>
          <w:b w:val="0"/>
          <w:bCs w:val="0"/>
        </w:rPr>
        <w:t xml:space="preserve">17、投标文件</w:t>
      </w:r>
      <w:bookmarkEnd w:id="154"/>
      <w:r/>
      <w:bookmarkEnd w:id="155"/>
      <w:r/>
      <w:bookmarkEnd w:id="156"/>
      <w:r/>
      <w:bookmarkEnd w:id="157"/>
      <w:r>
        <w:rPr>
          <w:rFonts w:hint="eastAsia" w:asciiTheme="minorEastAsia" w:hAnsiTheme="minorEastAsia" w:eastAsiaTheme="minorEastAsia" w:cstheme="minorEastAsia"/>
          <w:b w:val="0"/>
          <w:bCs w:val="0"/>
        </w:rPr>
        <w:t xml:space="preserve">的递交</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电子投标文件的递交</w:t>
      </w:r>
      <w:r/>
    </w:p>
    <w:p>
      <w:pPr>
        <w:pStyle w:val="1085"/>
        <w:ind w:left="525"/>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投标人应当按照《操作手册》规定，在投标截止时间前制作并上传电子投标文件。</w:t>
      </w:r>
      <w:bookmarkStart w:id="158" w:name="_Toc513029226"/>
      <w:r/>
      <w:bookmarkStart w:id="159" w:name="_Toc16938542"/>
      <w:r/>
      <w:bookmarkStart w:id="160" w:name="_Toc20823298"/>
      <w:r/>
      <w:r/>
    </w:p>
    <w:p>
      <w:pPr>
        <w:pStyle w:val="1103"/>
        <w:ind w:firstLine="42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18、投标截止</w:t>
      </w:r>
      <w:bookmarkEnd w:id="158"/>
      <w:r/>
      <w:bookmarkEnd w:id="159"/>
      <w:r/>
      <w:bookmarkEnd w:id="160"/>
      <w:r>
        <w:rPr>
          <w:rFonts w:hint="eastAsia" w:asciiTheme="minorEastAsia" w:hAnsiTheme="minorEastAsia" w:eastAsiaTheme="minorEastAsia" w:cstheme="minorEastAsia"/>
          <w:b w:val="0"/>
        </w:rPr>
        <w:t xml:space="preserve">时间</w:t>
      </w:r>
      <w:r/>
    </w:p>
    <w:p>
      <w:pPr>
        <w:ind w:firstLine="480"/>
        <w:spacing w:line="500" w:lineRule="exact"/>
        <w:rPr>
          <w:rFonts w:asciiTheme="minorEastAsia" w:hAnsiTheme="minorEastAsia" w:eastAsiaTheme="minorEastAsia" w:cstheme="minorEastAsia"/>
          <w:bCs/>
          <w:i/>
          <w:sz w:val="24"/>
          <w:u w:val="single"/>
        </w:rPr>
      </w:pPr>
      <w:r>
        <w:rPr>
          <w:rFonts w:hint="eastAsia" w:asciiTheme="minorEastAsia" w:hAnsiTheme="minorEastAsia" w:eastAsiaTheme="minorEastAsia" w:cstheme="minorEastAsia"/>
          <w:i/>
          <w:sz w:val="24"/>
          <w:u w:val="single"/>
        </w:rPr>
        <w:t xml:space="preserve">18.1</w:t>
      </w:r>
      <w:r>
        <w:rPr>
          <w:rFonts w:hint="eastAsia" w:asciiTheme="minorEastAsia" w:hAnsiTheme="minorEastAsia" w:eastAsiaTheme="minorEastAsia" w:cstheme="minorEastAsia"/>
          <w:bCs/>
          <w:i/>
          <w:sz w:val="24"/>
          <w:u w:val="single"/>
        </w:rPr>
        <w:t xml:space="preserve"> 投标人上传电子投标文件的时间不得迟于招标公告中规定的投标截止时间。</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18.2</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可以按照规定，通过修改招标文件酌情延长投标截止时间，在此情况下，投标人的所有权利和义务以及投标人受制的截止时间均应以延长后新的截止时间为准。</w:t>
      </w:r>
      <w:r/>
    </w:p>
    <w:p>
      <w:pPr>
        <w:pStyle w:val="1103"/>
        <w:ind w:firstLine="420"/>
        <w:spacing w:before="0" w:after="0" w:line="240" w:lineRule="auto"/>
        <w:rPr>
          <w:rFonts w:asciiTheme="minorEastAsia" w:hAnsiTheme="minorEastAsia" w:eastAsiaTheme="minorEastAsia" w:cstheme="minorEastAsia"/>
          <w:b w:val="0"/>
          <w:bCs w:val="0"/>
        </w:rPr>
      </w:pPr>
      <w:r/>
      <w:bookmarkStart w:id="161" w:name="_Toc513029227"/>
      <w:r/>
      <w:bookmarkStart w:id="162" w:name="_Toc20823299"/>
      <w:r/>
      <w:bookmarkStart w:id="163" w:name="_Toc16938543"/>
      <w:r>
        <w:rPr>
          <w:rFonts w:hint="eastAsia" w:asciiTheme="minorEastAsia" w:hAnsiTheme="minorEastAsia" w:eastAsiaTheme="minorEastAsia" w:cstheme="minorEastAsia"/>
          <w:b w:val="0"/>
          <w:bCs w:val="0"/>
        </w:rPr>
        <w:t xml:space="preserve">19、投标文件</w:t>
      </w:r>
      <w:bookmarkEnd w:id="161"/>
      <w:r/>
      <w:bookmarkEnd w:id="162"/>
      <w:r/>
      <w:bookmarkEnd w:id="163"/>
      <w:r>
        <w:rPr>
          <w:rFonts w:hint="eastAsia" w:asciiTheme="minorEastAsia" w:hAnsiTheme="minorEastAsia" w:eastAsiaTheme="minorEastAsia" w:cstheme="minorEastAsia"/>
          <w:b w:val="0"/>
          <w:bCs w:val="0"/>
        </w:rPr>
        <w:t xml:space="preserve">的拒收</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19.1建装中心</w:t>
      </w:r>
      <w:r>
        <w:rPr>
          <w:rFonts w:hint="eastAsia" w:asciiTheme="minorEastAsia" w:hAnsiTheme="minorEastAsia" w:eastAsiaTheme="minorEastAsia" w:cstheme="minorEastAsia"/>
          <w:bCs/>
          <w:sz w:val="24"/>
        </w:rPr>
        <w:t xml:space="preserve">拒绝接收在其规定的投标截止时间后上传的任何投标文件。</w:t>
      </w:r>
      <w:r/>
    </w:p>
    <w:p>
      <w:pPr>
        <w:pStyle w:val="1103"/>
        <w:ind w:firstLine="420"/>
        <w:spacing w:before="0" w:after="0" w:line="240" w:lineRule="auto"/>
        <w:rPr>
          <w:rFonts w:asciiTheme="minorEastAsia" w:hAnsiTheme="minorEastAsia" w:eastAsiaTheme="minorEastAsia" w:cstheme="minorEastAsia"/>
          <w:b w:val="0"/>
          <w:bCs w:val="0"/>
        </w:rPr>
      </w:pPr>
      <w:r/>
      <w:bookmarkStart w:id="164" w:name="_Toc20823300"/>
      <w:r/>
      <w:bookmarkStart w:id="165" w:name="_Toc16938544"/>
      <w:r/>
      <w:bookmarkStart w:id="166" w:name="_Toc513029228"/>
      <w:r>
        <w:rPr>
          <w:rFonts w:hint="eastAsia" w:asciiTheme="minorEastAsia" w:hAnsiTheme="minorEastAsia" w:eastAsiaTheme="minorEastAsia" w:cstheme="minorEastAsia"/>
          <w:b w:val="0"/>
          <w:bCs w:val="0"/>
        </w:rPr>
        <w:t xml:space="preserve">20、投标文件的撤回和修改</w:t>
      </w:r>
      <w:bookmarkEnd w:id="164"/>
      <w:r/>
      <w:bookmarkEnd w:id="165"/>
      <w:r/>
      <w:bookmarkEnd w:id="166"/>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投标文件的撤回</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20.1.1 电子投标文件的撤回</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20.1.2 投标人撤回电子投标文件，则认为其不再参与本项目投标活动。</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投标文件的修改</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20.2.1投标人可在投标截止时间前，对其电子投标文件进行修改，具体操作方法见《操作手册》。</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20.3</w:t>
      </w:r>
      <w:r>
        <w:rPr>
          <w:rFonts w:hint="eastAsia" w:asciiTheme="minorEastAsia" w:hAnsiTheme="minorEastAsia" w:eastAsiaTheme="minorEastAsia" w:cstheme="minorEastAsia"/>
          <w:bCs/>
          <w:sz w:val="24"/>
        </w:rPr>
        <w:t xml:space="preserve"> 在投标截止时间至招标文件中规定的投标有效期满之间的这段时间内，</w:t>
      </w:r>
      <w:r>
        <w:rPr>
          <w:rFonts w:hint="eastAsia" w:asciiTheme="minorEastAsia" w:hAnsiTheme="minorEastAsia" w:eastAsiaTheme="minorEastAsia" w:cstheme="minorEastAsia"/>
          <w:bCs/>
          <w:sz w:val="24"/>
        </w:rPr>
        <w:t xml:space="preserve">投标人不得撤回其投标。</w:t>
      </w:r>
      <w:r/>
    </w:p>
    <w:p>
      <w:pPr>
        <w:pStyle w:val="1101"/>
        <w:ind w:firstLine="482"/>
        <w:spacing w:before="156" w:after="156" w:line="360" w:lineRule="auto"/>
        <w:rPr>
          <w:rFonts w:asciiTheme="minorEastAsia" w:hAnsiTheme="minorEastAsia" w:eastAsiaTheme="minorEastAsia" w:cstheme="minorEastAsia"/>
        </w:rPr>
      </w:pPr>
      <w:r/>
      <w:bookmarkStart w:id="167" w:name="_Toc16938545"/>
      <w:r/>
      <w:bookmarkStart w:id="168" w:name="_Toc20823301"/>
      <w:r/>
      <w:bookmarkStart w:id="169" w:name="_Toc513029229"/>
      <w:r/>
      <w:bookmarkStart w:id="170" w:name="_Toc120614218"/>
      <w:r>
        <w:rPr>
          <w:rFonts w:hint="eastAsia" w:asciiTheme="minorEastAsia" w:hAnsiTheme="minorEastAsia" w:eastAsiaTheme="minorEastAsia" w:cstheme="minorEastAsia"/>
        </w:rPr>
        <w:t xml:space="preserve">五、开标与评标</w:t>
      </w:r>
      <w:bookmarkEnd w:id="167"/>
      <w:r/>
      <w:bookmarkEnd w:id="168"/>
      <w:r/>
      <w:bookmarkEnd w:id="169"/>
      <w:r/>
      <w:bookmarkEnd w:id="170"/>
      <w:r/>
      <w:r/>
    </w:p>
    <w:p>
      <w:pPr>
        <w:pStyle w:val="1103"/>
        <w:ind w:firstLine="420"/>
        <w:spacing w:before="0" w:after="0" w:line="240" w:lineRule="auto"/>
        <w:rPr>
          <w:rFonts w:asciiTheme="minorEastAsia" w:hAnsiTheme="minorEastAsia" w:eastAsiaTheme="minorEastAsia" w:cstheme="minorEastAsia"/>
          <w:b w:val="0"/>
          <w:bCs w:val="0"/>
        </w:rPr>
      </w:pPr>
      <w:r/>
      <w:bookmarkStart w:id="171" w:name="_Toc20823302"/>
      <w:r/>
      <w:bookmarkStart w:id="172" w:name="_Toc16938546"/>
      <w:r/>
      <w:bookmarkStart w:id="173" w:name="_Toc513029230"/>
      <w:r>
        <w:rPr>
          <w:rFonts w:hint="eastAsia" w:asciiTheme="minorEastAsia" w:hAnsiTheme="minorEastAsia" w:eastAsiaTheme="minorEastAsia" w:cstheme="minorEastAsia"/>
          <w:b w:val="0"/>
          <w:bCs w:val="0"/>
        </w:rPr>
        <w:t xml:space="preserve">21、开标</w:t>
      </w:r>
      <w:bookmarkEnd w:id="171"/>
      <w:r/>
      <w:bookmarkEnd w:id="172"/>
      <w:r/>
      <w:bookmarkEnd w:id="173"/>
      <w:r/>
      <w:r/>
    </w:p>
    <w:p>
      <w:pPr>
        <w:ind w:firstLine="360"/>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21.1</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将在招标公告中规定的时间和地点组织公开开标</w:t>
      </w:r>
      <w:r>
        <w:rPr>
          <w:rFonts w:hint="eastAsia" w:asciiTheme="minorEastAsia" w:hAnsiTheme="minorEastAsia" w:eastAsiaTheme="minorEastAsia" w:cstheme="minorEastAsia"/>
          <w:sz w:val="24"/>
          <w:szCs w:val="24"/>
        </w:rPr>
        <w:t xml:space="preserve">。投标人应当按照《操作手册》规定，参加开标活动和在苏采云系统规定的时间内对投标文件进行解密。</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21.2</w:t>
      </w:r>
      <w:r>
        <w:rPr>
          <w:rFonts w:hint="eastAsia" w:asciiTheme="minorEastAsia" w:hAnsiTheme="minorEastAsia" w:eastAsiaTheme="minorEastAsia" w:cstheme="minorEastAsia"/>
          <w:sz w:val="24"/>
          <w:szCs w:val="24"/>
        </w:rPr>
        <w:t xml:space="preserve">开标仪式由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组织。苏采云系统将自动对项目进行开标，并宣布各投标人名称和投标价格。</w:t>
      </w:r>
      <w:r/>
    </w:p>
    <w:p>
      <w:pPr>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21.3投标人在开标过程中涉及到的投标文件解密、开标结果确认等工作，应按照《操作手册》规定执行。</w:t>
      </w:r>
      <w:r/>
    </w:p>
    <w:p>
      <w:pPr>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21.4投标人如果对开标过程和开标记录有疑义，应当根据《操作手册》规定提出，如 苏采云系统中《开标记录表》宣布后5分钟内未提出的，视同认可开标结果。</w:t>
      </w:r>
      <w:r/>
    </w:p>
    <w:p>
      <w:pPr>
        <w:pStyle w:val="1103"/>
        <w:ind w:firstLine="420"/>
        <w:spacing w:before="0" w:after="0" w:line="240" w:lineRule="auto"/>
        <w:rPr>
          <w:rFonts w:asciiTheme="minorEastAsia" w:hAnsiTheme="minorEastAsia" w:eastAsiaTheme="minorEastAsia" w:cstheme="minorEastAsia"/>
          <w:b w:val="0"/>
          <w:bCs w:val="0"/>
        </w:rPr>
      </w:pPr>
      <w:r/>
      <w:bookmarkStart w:id="174" w:name="_Toc513029231"/>
      <w:r/>
      <w:bookmarkStart w:id="175" w:name="_Toc16938547"/>
      <w:r/>
      <w:bookmarkStart w:id="176" w:name="_Toc20823303"/>
      <w:r>
        <w:rPr>
          <w:rFonts w:hint="eastAsia" w:asciiTheme="minorEastAsia" w:hAnsiTheme="minorEastAsia" w:eastAsiaTheme="minorEastAsia" w:cstheme="minorEastAsia"/>
          <w:b w:val="0"/>
          <w:bCs w:val="0"/>
        </w:rPr>
        <w:t xml:space="preserve">22、评标委员会</w:t>
      </w:r>
      <w:r/>
    </w:p>
    <w:p>
      <w:pPr>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将立即组织评标委员会（以下简称评委会）进行评标。</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22.2 评委会由采购人代表和有关技术、经济等方面的专家组成，且人员构成符合政府采购有关规定。</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22.3评委会独立工作，负责评审所有投标文件并确定中标侯选人。</w:t>
      </w:r>
      <w:r/>
    </w:p>
    <w:p>
      <w:pPr>
        <w:pStyle w:val="1103"/>
        <w:ind w:firstLine="420"/>
        <w:spacing w:before="0" w:after="0" w:line="240" w:lineRule="auto"/>
        <w:rPr>
          <w:rFonts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23、评标过程的保密与公正</w:t>
      </w:r>
      <w:bookmarkEnd w:id="174"/>
      <w:r/>
      <w:bookmarkEnd w:id="175"/>
      <w:r/>
      <w:bookmarkEnd w:id="176"/>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23.1</w:t>
      </w:r>
      <w:r>
        <w:rPr>
          <w:rFonts w:hint="eastAsia" w:asciiTheme="minorEastAsia" w:hAnsiTheme="minorEastAsia" w:eastAsiaTheme="minorEastAsia" w:cstheme="minorEastAsia"/>
          <w:bCs/>
          <w:sz w:val="24"/>
        </w:rPr>
        <w:t xml:space="preserve">凡是与审查、澄清、评价和比较投标的有关资料以及授标建议等，采购人、评委、</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均不得向投标人或与评标无关的其他人员透露。</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和评标委员会不向未中标的投标人解释未中标原因，也不公布评标过程中的相关细节。</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23.4 采用综合评分法的项目，未中标的投标人可于中标结果公告期限届满之日起通过苏采云系统查看自己的评审得分及排序情况。</w:t>
      </w:r>
      <w:r/>
    </w:p>
    <w:p>
      <w:pPr>
        <w:pStyle w:val="1103"/>
        <w:ind w:firstLine="420"/>
        <w:spacing w:before="0" w:after="0" w:line="240" w:lineRule="auto"/>
        <w:rPr>
          <w:rFonts w:asciiTheme="minorEastAsia" w:hAnsiTheme="minorEastAsia" w:eastAsiaTheme="minorEastAsia" w:cstheme="minorEastAsia"/>
          <w:b w:val="0"/>
          <w:bCs w:val="0"/>
        </w:rPr>
      </w:pPr>
      <w:r/>
      <w:bookmarkStart w:id="177" w:name="_Toc16938548"/>
      <w:r/>
      <w:bookmarkStart w:id="178" w:name="_Toc20823304"/>
      <w:r/>
      <w:bookmarkStart w:id="179" w:name="_Toc513029232"/>
      <w:r>
        <w:rPr>
          <w:rFonts w:hint="eastAsia" w:asciiTheme="minorEastAsia" w:hAnsiTheme="minorEastAsia" w:eastAsiaTheme="minorEastAsia" w:cstheme="minorEastAsia"/>
          <w:b w:val="0"/>
          <w:bCs w:val="0"/>
        </w:rPr>
        <w:t xml:space="preserve">24、投标文件的澄清</w:t>
      </w:r>
      <w:bookmarkEnd w:id="177"/>
      <w:r/>
      <w:bookmarkEnd w:id="178"/>
      <w:r/>
      <w:bookmarkEnd w:id="179"/>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24.3 接到评委会澄清、说明和补正要求的投标人如未按规定做出澄清、说明和补正，其风险由投标人自行承担。</w:t>
      </w:r>
      <w:r/>
    </w:p>
    <w:p>
      <w:pPr>
        <w:pStyle w:val="1103"/>
        <w:ind w:firstLine="420"/>
        <w:spacing w:before="0" w:after="0" w:line="240" w:lineRule="auto"/>
        <w:rPr>
          <w:rFonts w:asciiTheme="minorEastAsia" w:hAnsiTheme="minorEastAsia" w:eastAsiaTheme="minorEastAsia" w:cstheme="minorEastAsia"/>
          <w:b w:val="0"/>
          <w:bCs w:val="0"/>
        </w:rPr>
      </w:pPr>
      <w:r/>
      <w:bookmarkStart w:id="180" w:name="_Toc16938549"/>
      <w:r/>
      <w:bookmarkStart w:id="181" w:name="_Toc20823305"/>
      <w:r/>
      <w:bookmarkStart w:id="182" w:name="_Toc513029233"/>
      <w:r>
        <w:rPr>
          <w:rFonts w:hint="eastAsia" w:asciiTheme="minorEastAsia" w:hAnsiTheme="minorEastAsia" w:eastAsiaTheme="minorEastAsia" w:cstheme="minorEastAsia"/>
          <w:b w:val="0"/>
          <w:bCs w:val="0"/>
        </w:rPr>
        <w:t xml:space="preserve">25、对投标文件的初审</w:t>
      </w:r>
      <w:bookmarkEnd w:id="180"/>
      <w:r/>
      <w:bookmarkEnd w:id="181"/>
      <w:r/>
      <w:bookmarkEnd w:id="182"/>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25.1.3 未通过资格审查或符合性审查的投标人，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中告知未通过资格审查或符合性审查的原因，评标结束后，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将不再告</w:t>
      </w:r>
      <w:r>
        <w:rPr>
          <w:rFonts w:hint="eastAsia" w:asciiTheme="minorEastAsia" w:hAnsiTheme="minorEastAsia" w:eastAsiaTheme="minorEastAsia" w:cstheme="minorEastAsia"/>
          <w:bCs/>
          <w:sz w:val="24"/>
        </w:rPr>
        <w:t xml:space="preserve">知未通过资格审查和符合性审查的原因。</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25.5 </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25.6 评审委员会启动异常低价投标（响应）审查的情形和具体要求</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25.6.1根据财政部《关于推动解决政府采购异常低价问题的通知》财库〔2026〕2号，评审过程中出现下列情形之一的，评审委员会应当启动异常低价投标（响应）审查程序：</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25.6.1.1 投标（响应）报价低于全部通过符合性审查供应商投标（响应）报价平均值50%的，即投标（响应）报价&lt;全部通过符合性审查供应商投标（响应）报价平均值×50%； </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25.6.1.2 投标（响应）报价低于通过符合性审查的次低报价供应商投标（响应）报价50%的，即投标（响应）报价&lt;通过符合性审查的次低报价供应商投标（响应）报价×50%； </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25.6.1.3 投标（响应）报价低于采购项目最高限价45%的，即投标（响应）报价&lt;采购项目最高限价×45%；</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25.6.1.4评审委员会基于专业判断，认为供应商报价过低，有可能影响产品质量或者不能诚信履约的其他情形。 </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sz w:val="24"/>
        </w:rPr>
        <w:t xml:space="preserve">其中，属于第3项情形，供应商已随投标（响应）文件一并提交相关书面说明及必要的证明材料的，在评审现场可不再重复提交。 </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异常低价投标（响应）审查的启动原因、审查意见和审查结果应当在评审</w:t>
      </w:r>
      <w:r>
        <w:rPr>
          <w:rFonts w:hint="eastAsia" w:asciiTheme="minorEastAsia" w:hAnsiTheme="minorEastAsia" w:eastAsiaTheme="minorEastAsia" w:cstheme="minorEastAsia"/>
          <w:sz w:val="24"/>
        </w:rPr>
        <w:t xml:space="preserve">报告中记录，并随供应商提供的相关书面说明及证明材料，以及评审委员会有关互联网浏览、查询历史一并归档。 </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r/>
    </w:p>
    <w:p>
      <w:pPr>
        <w:ind w:firstLine="480"/>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r/>
    </w:p>
    <w:p>
      <w:pPr>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非单一产品采购项目，招标文件中将载明其中的核心产品。多家投标人提供的核心产品品牌相同的，按前两款规定处理。</w:t>
      </w:r>
      <w:r/>
    </w:p>
    <w:p>
      <w:pPr>
        <w:ind w:firstLine="420"/>
        <w:spacing w:line="460" w:lineRule="exact"/>
        <w:rPr>
          <w:rFonts w:asciiTheme="minorEastAsia" w:hAnsiTheme="minorEastAsia" w:eastAsiaTheme="minorEastAsia" w:cstheme="minorEastAsia"/>
          <w:sz w:val="24"/>
        </w:rPr>
      </w:pPr>
      <w:r/>
      <w:bookmarkStart w:id="183" w:name="_Toc16938550"/>
      <w:r/>
      <w:bookmarkStart w:id="184" w:name="_Toc20823306"/>
      <w:r/>
      <w:bookmarkStart w:id="185" w:name="_Toc513029234"/>
      <w:r>
        <w:rPr>
          <w:rFonts w:hint="eastAsia" w:asciiTheme="minorEastAsia" w:hAnsiTheme="minorEastAsia" w:eastAsiaTheme="minorEastAsia" w:cstheme="minorEastAsia"/>
          <w:sz w:val="24"/>
        </w:rPr>
        <w:t xml:space="preserve">25.8投标人在开、评标全过程中应保持通讯畅通，及时登录</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查阅、答复相关信息，并安排专人与建装中心及评标委员会联系。</w:t>
      </w:r>
      <w:r/>
    </w:p>
    <w:p>
      <w:pPr>
        <w:pStyle w:val="1103"/>
        <w:ind w:firstLine="420"/>
        <w:spacing w:before="0" w:after="0" w:line="240" w:lineRule="auto"/>
        <w:rPr>
          <w:rFonts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26、</w:t>
      </w:r>
      <w:bookmarkEnd w:id="183"/>
      <w:r/>
      <w:bookmarkEnd w:id="184"/>
      <w:r/>
      <w:bookmarkEnd w:id="185"/>
      <w:r>
        <w:rPr>
          <w:rFonts w:hint="eastAsia" w:asciiTheme="minorEastAsia" w:hAnsiTheme="minorEastAsia" w:eastAsiaTheme="minorEastAsia" w:cstheme="minorEastAsia"/>
          <w:b w:val="0"/>
          <w:bCs w:val="0"/>
        </w:rPr>
        <w:t xml:space="preserve">无效投标条款和废标条款</w:t>
      </w:r>
      <w:r/>
    </w:p>
    <w:p>
      <w:pPr>
        <w:ind w:left="479"/>
        <w:spacing w:line="440" w:lineRule="exact"/>
        <w:rPr>
          <w:rFonts w:asciiTheme="minorEastAsia" w:hAnsiTheme="minorEastAsia" w:eastAsiaTheme="minorEastAsia" w:cstheme="minorEastAsia"/>
          <w:bCs/>
          <w:sz w:val="24"/>
        </w:rPr>
      </w:pPr>
      <w:r/>
      <w:bookmarkStart w:id="186" w:name="_Toc513029235"/>
      <w:r/>
      <w:bookmarkStart w:id="187" w:name="_Toc20823307"/>
      <w:r/>
      <w:bookmarkStart w:id="188" w:name="_Toc16938551"/>
      <w:r>
        <w:rPr>
          <w:rFonts w:hint="eastAsia" w:asciiTheme="minorEastAsia" w:hAnsiTheme="minorEastAsia" w:eastAsiaTheme="minorEastAsia" w:cstheme="minorEastAsia"/>
          <w:bCs/>
          <w:sz w:val="24"/>
        </w:rPr>
        <w:t xml:space="preserve">26.1无效投标条款</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26</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投标人未按照招标文件要求上传电子投标文件的。</w:t>
      </w:r>
      <w:r/>
    </w:p>
    <w:p>
      <w:pPr>
        <w:ind w:left="479"/>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26.1.3同一投标人提交两个（含两个）以上不同的投标报价的。</w:t>
      </w:r>
      <w:r/>
    </w:p>
    <w:p>
      <w:pPr>
        <w:ind w:left="479"/>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26.1.4投标人不具备招标文件中规定资格要求的。</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26.1.5投标人的报价超过了采购预算或最高限价的。</w:t>
      </w:r>
      <w:r/>
    </w:p>
    <w:p>
      <w:pPr>
        <w:ind w:firstLine="480"/>
        <w:spacing w:line="440" w:lineRule="exact"/>
        <w:rPr>
          <w:rFonts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26.1.6未通过符合性审查的。</w:t>
      </w:r>
      <w:r/>
    </w:p>
    <w:p>
      <w:pPr>
        <w:ind w:firstLine="360"/>
        <w:spacing w:line="440" w:lineRule="exact"/>
        <w:rPr>
          <w:rFonts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 26.1.7不符合招标文件中规定的实质性要求和条件的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本招标文件加“★”号的内容为实质性要求和条件）。</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w:t>
      </w:r>
      <w:r>
        <w:rPr>
          <w:rFonts w:hint="eastAsia" w:asciiTheme="minorEastAsia" w:hAnsiTheme="minorEastAsia" w:eastAsiaTheme="minorEastAsia" w:cstheme="minorEastAsia"/>
          <w:bCs/>
          <w:sz w:val="24"/>
        </w:rPr>
        <w:t xml:space="preserve">采购法》第二十二条规定条件的信用记录。</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26.1.9 投标文件含有采购人不能接受的附加条件的。</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26.1.10评标委员会按照本招标文件规定对投标人进行异常低价投标审查后，认为投标人不能证明其报价合理性的。</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26.1.12 投标文件未按照招标文件要求加盖CA电子公章的。</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26.1.13 投标人所投标产品不符合招标文件中所列国家强制性标准的。</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26.1.14其他法律、法规及本招标文件规定的属无效投标的情形。</w:t>
      </w:r>
      <w:r/>
    </w:p>
    <w:p>
      <w:pPr>
        <w:ind w:left="479"/>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26.2废标条款</w:t>
      </w:r>
      <w:r/>
    </w:p>
    <w:p>
      <w:pPr>
        <w:ind w:left="479"/>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26.2.1符合专业条件的供应商或者对招标文件作实质响应的供应商不足三家的。</w:t>
      </w:r>
      <w:r/>
    </w:p>
    <w:p>
      <w:pPr>
        <w:ind w:left="479"/>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26.2.2出现影响采购公正的违法、违规行为的。</w:t>
      </w:r>
      <w:r/>
    </w:p>
    <w:p>
      <w:pPr>
        <w:ind w:left="479"/>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26.2.3因重大变故，采购任务取消的。</w:t>
      </w:r>
      <w:r/>
    </w:p>
    <w:p>
      <w:pPr>
        <w:ind w:left="479"/>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26.2.4评标委员会认定招标文件存在歧义、重大缺陷导致评审工作无法进行。</w:t>
      </w:r>
      <w:r/>
    </w:p>
    <w:p>
      <w:pPr>
        <w:ind w:left="479"/>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left="479"/>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 投标截止时间结束后参加投标的供应商不足三家的处理：</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26.3.1如出现投标截止时间结束后参加投标的供应商或者在评标期间对招标文件做出实质响应的供应商不足三家情况，按政府采购相关规定执行。</w:t>
      </w:r>
      <w:r/>
    </w:p>
    <w:p>
      <w:pPr>
        <w:pStyle w:val="1101"/>
        <w:ind w:firstLine="482"/>
        <w:spacing w:before="156" w:after="156" w:line="360" w:lineRule="auto"/>
        <w:rPr>
          <w:rFonts w:asciiTheme="minorEastAsia" w:hAnsiTheme="minorEastAsia" w:eastAsiaTheme="minorEastAsia" w:cstheme="minorEastAsia"/>
        </w:rPr>
      </w:pPr>
      <w:r/>
      <w:bookmarkStart w:id="189" w:name="_Toc120614219"/>
      <w:r>
        <w:rPr>
          <w:rFonts w:hint="eastAsia" w:asciiTheme="minorEastAsia" w:hAnsiTheme="minorEastAsia" w:eastAsiaTheme="minorEastAsia" w:cstheme="minorEastAsia"/>
        </w:rPr>
        <w:t xml:space="preserve">六、</w:t>
      </w:r>
      <w:bookmarkEnd w:id="186"/>
      <w:r/>
      <w:bookmarkEnd w:id="187"/>
      <w:r/>
      <w:bookmarkEnd w:id="188"/>
      <w:r>
        <w:rPr>
          <w:rFonts w:hint="eastAsia" w:asciiTheme="minorEastAsia" w:hAnsiTheme="minorEastAsia" w:eastAsiaTheme="minorEastAsia" w:cstheme="minorEastAsia"/>
        </w:rPr>
        <w:t xml:space="preserve">定标</w:t>
      </w:r>
      <w:bookmarkEnd w:id="189"/>
      <w:r/>
      <w:r/>
    </w:p>
    <w:p>
      <w:pPr>
        <w:pStyle w:val="1103"/>
        <w:ind w:firstLine="600"/>
        <w:spacing w:before="0" w:after="0" w:line="240" w:lineRule="auto"/>
        <w:rPr>
          <w:rFonts w:asciiTheme="minorEastAsia" w:hAnsiTheme="minorEastAsia" w:eastAsiaTheme="minorEastAsia" w:cstheme="minorEastAsia"/>
          <w:b w:val="0"/>
          <w:sz w:val="30"/>
          <w:szCs w:val="30"/>
        </w:rPr>
      </w:pPr>
      <w:r/>
      <w:bookmarkStart w:id="190" w:name="_Toc513029238"/>
      <w:r/>
      <w:bookmarkStart w:id="191" w:name="_Toc16938554"/>
      <w:r/>
      <w:bookmarkStart w:id="192" w:name="_Toc20823310"/>
      <w:r>
        <w:rPr>
          <w:rFonts w:hint="eastAsia" w:asciiTheme="minorEastAsia" w:hAnsiTheme="minorEastAsia" w:eastAsiaTheme="minorEastAsia" w:cstheme="minorEastAsia"/>
          <w:b w:val="0"/>
          <w:sz w:val="30"/>
          <w:szCs w:val="30"/>
        </w:rPr>
        <w:t xml:space="preserve">27、</w:t>
      </w:r>
      <w:bookmarkEnd w:id="190"/>
      <w:r>
        <w:rPr>
          <w:rFonts w:hint="eastAsia" w:asciiTheme="minorEastAsia" w:hAnsiTheme="minorEastAsia" w:eastAsiaTheme="minorEastAsia" w:cstheme="minorEastAsia"/>
          <w:b w:val="0"/>
          <w:sz w:val="30"/>
          <w:szCs w:val="30"/>
        </w:rPr>
        <w:t xml:space="preserve">确定</w:t>
      </w:r>
      <w:bookmarkEnd w:id="191"/>
      <w:r/>
      <w:bookmarkEnd w:id="192"/>
      <w:r>
        <w:rPr>
          <w:rFonts w:hint="eastAsia" w:asciiTheme="minorEastAsia" w:hAnsiTheme="minorEastAsia" w:eastAsiaTheme="minorEastAsia" w:cstheme="minorEastAsia"/>
          <w:b w:val="0"/>
          <w:sz w:val="30"/>
          <w:szCs w:val="30"/>
        </w:rPr>
        <w:t xml:space="preserve">中标单位</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27.1中标候选人的选取原则和数量见招标文件第五章规定。 </w:t>
      </w:r>
      <w:r/>
    </w:p>
    <w:p>
      <w:pPr>
        <w:ind w:firstLine="480"/>
        <w:spacing w:line="44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 采购人应根据评委会推荐的中标候选人按顺序确定中标人，中标候选人并列的，由采购人依法确定。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27.3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将在“江苏政府采购网、常州市政府采购网”发布中标公告，公告期限为1个工作日。</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  若有充分证据证明，中标人出现下列情况之一的，一经查实，将被取消中标资格：</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27.4.1提供虚假材料谋取中标的。</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27.4.2向采购人、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行贿或者提供其他不正当利益的。</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27.4.3属于本文件规定的无效条件，但在评标过程中又未被评委会发现的。</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27.4.4与采购人或者其他供应商恶意串通的。</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27.4.5采取不正当手段诋毁、排挤其他供应商的。</w:t>
      </w:r>
      <w:r/>
    </w:p>
    <w:p>
      <w:pPr>
        <w:ind w:firstLine="480"/>
        <w:spacing w:line="480" w:lineRule="exact"/>
        <w:rPr>
          <w:rFonts w:asciiTheme="minorEastAsia" w:hAnsiTheme="minorEastAsia" w:eastAsiaTheme="minorEastAsia" w:cstheme="minorEastAsia"/>
          <w:sz w:val="24"/>
          <w:szCs w:val="24"/>
        </w:rPr>
      </w:pPr>
      <w:r/>
      <w:bookmarkStart w:id="193" w:name="_Toc200451960"/>
      <w:r>
        <w:rPr>
          <w:rFonts w:hint="eastAsia" w:asciiTheme="minorEastAsia" w:hAnsiTheme="minorEastAsia" w:eastAsiaTheme="minorEastAsia" w:cstheme="minorEastAsia"/>
          <w:sz w:val="24"/>
          <w:szCs w:val="24"/>
        </w:rPr>
        <w:t xml:space="preserve">27.5 有下列情形之一的，视为投标人串通投标，投标无效：</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27.5.1不同投标人的投标文件由同一单位或者个人编制。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27.5.2不同投标人委托同一单位或者个人办理投标事宜。</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27.5.3 不同投标人的投标文件载明的项目管理成员或者联系人员为同一人。</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27.5.4不同投标人的投标文件异常一致或者投标报价呈规律性差异。</w:t>
      </w:r>
      <w:r/>
    </w:p>
    <w:p>
      <w:pPr>
        <w:pStyle w:val="1103"/>
        <w:ind w:firstLine="600"/>
        <w:spacing w:before="0" w:after="0" w:line="240" w:lineRule="auto"/>
        <w:rPr>
          <w:rFonts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28、质疑处理</w:t>
      </w:r>
      <w:bookmarkEnd w:id="193"/>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或采购人提出质疑。上述应知其权益受到损害之日，是指：</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28.2.1对可以质疑的采购文件提出质疑的，为收到采购文件之日或者采购文件公告期限届满之日；</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28.2.2对采购过程提出质疑的，为各采购程序环节结束之日；</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28.2.3对中标或者成交结果提出质疑的，为中标或者成交结果公告期限届满之日。</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、采购人将只对供应商第一次质疑作出答复。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28.3质疑函必须按照本招标文件中《质疑函范本》要求的格式和内容进行</w:t>
      </w:r>
      <w:r>
        <w:rPr>
          <w:rFonts w:hint="eastAsia" w:asciiTheme="minorEastAsia" w:hAnsiTheme="minorEastAsia" w:eastAsiaTheme="minorEastAsia" w:cstheme="minorEastAsia"/>
          <w:sz w:val="24"/>
          <w:szCs w:val="24"/>
        </w:rPr>
        <w:t xml:space="preserve">填写。供应商如组成联合体参加投标，则《质疑函范本》中要求签字、盖章、加盖公章之处，联合体各方均须按要求签字、盖章、加盖公章。</w:t>
      </w:r>
      <w:r/>
    </w:p>
    <w:p>
      <w:pPr>
        <w:ind w:firstLine="480"/>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28.4</w:t>
      </w:r>
      <w:r>
        <w:rPr>
          <w:rFonts w:hint="eastAsia" w:asciiTheme="minorEastAsia" w:hAnsiTheme="minorEastAsia" w:eastAsiaTheme="minorEastAsia" w:cstheme="minorEastAsia"/>
          <w:b/>
          <w:bCs/>
          <w:sz w:val="24"/>
          <w:szCs w:val="24"/>
        </w:rPr>
        <w:t xml:space="preserve">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sz w:val="24"/>
          <w:szCs w:val="24"/>
        </w:rPr>
        <w:t xml:space="preserve">供应商对除上述事项以外其他事项的询问、质疑请向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提出，由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负责答复。</w:t>
      </w:r>
      <w:r/>
    </w:p>
    <w:p>
      <w:pPr>
        <w:ind w:firstLine="480"/>
        <w:spacing w:line="48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采购人及</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只接收以纸质原件形式送达的质疑,建议外地供应商尽量通过邮寄方式提交质疑（采购人和</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不接受未填写快递运单的快件）。</w:t>
      </w:r>
      <w:r/>
    </w:p>
    <w:p>
      <w:pPr>
        <w:ind w:firstLine="482"/>
        <w:spacing w:line="48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采购人质疑接收部门及联系方式见第一章投标邀请。建装中心质疑接收部门为项目管理科（快递运单上的收件人填写“项目管理科”即可），联系地址：常州市新市路9号，联系电话：0519-86802236。</w:t>
      </w:r>
      <w:r/>
    </w:p>
    <w:p>
      <w:pPr>
        <w:ind w:firstLine="480"/>
        <w:spacing w:line="48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28.5 以下情形的质疑不予受理</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 内容不符合《政府采购质疑和投诉办法》第十二条规定的质疑。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 超出政府采购法定期限的质疑。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以传真、电子邮件等方式递交的非原件形式的质疑。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 未参加投标活动的供应商或在投标活动中自身权益未受到损害的供应商所提出的质疑。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28.5.5供应商组成联合体参加投标，联合体中任何一方或多方未按要求签字、盖章、加盖公章的质疑。</w:t>
      </w:r>
      <w:r/>
    </w:p>
    <w:p>
      <w:pPr>
        <w:ind w:firstLine="468"/>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  供应商提出书面质疑必须有理、有据，不得捏造事实、提供虚假材料进行恶意质疑。否则，一经查实，</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有权依据政府采购的有关规定，报请政府采购监管部门对该供应商进行相应的行政处罚和记录该供应商的失信信息。</w:t>
      </w:r>
      <w:r/>
    </w:p>
    <w:p>
      <w:pPr>
        <w:pStyle w:val="1103"/>
        <w:ind w:firstLine="600"/>
        <w:spacing w:before="0" w:after="0" w:line="240" w:lineRule="auto"/>
        <w:rPr>
          <w:rFonts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29、中标通知书</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将向中标人发出中标通知书。请中标人在</w:t>
      </w:r>
      <w:r>
        <w:rPr>
          <w:rFonts w:hint="eastAsia" w:asciiTheme="minorEastAsia" w:hAnsiTheme="minorEastAsia" w:eastAsiaTheme="minorEastAsia" w:cstheme="minorEastAsia"/>
          <w:sz w:val="24"/>
        </w:rPr>
        <w:t xml:space="preserve">中标结果公告届满之日起30日内</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w:t>
      </w:r>
      <w:r>
        <w:rPr>
          <w:rFonts w:hint="eastAsia" w:asciiTheme="minorEastAsia" w:hAnsiTheme="minorEastAsia" w:eastAsiaTheme="minorEastAsia" w:cstheme="minorEastAsia"/>
          <w:sz w:val="24"/>
          <w:szCs w:val="24"/>
        </w:rPr>
        <w:t xml:space="preserve">标人自行承担。</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1101"/>
        <w:spacing w:before="156" w:after="156" w:line="360" w:lineRule="auto"/>
        <w:rPr>
          <w:rFonts w:asciiTheme="minorEastAsia" w:hAnsiTheme="minorEastAsia" w:eastAsiaTheme="minorEastAsia" w:cstheme="minorEastAsia"/>
        </w:rPr>
      </w:pPr>
      <w:r/>
      <w:bookmarkStart w:id="194" w:name="_Toc120614220"/>
      <w:r/>
      <w:bookmarkStart w:id="195" w:name="_Toc20823308"/>
      <w:r/>
      <w:bookmarkStart w:id="196" w:name="_Toc16938552"/>
      <w:r/>
      <w:bookmarkStart w:id="197" w:name="_Toc513029236"/>
      <w:r>
        <w:rPr>
          <w:rFonts w:hint="eastAsia" w:asciiTheme="minorEastAsia" w:hAnsiTheme="minorEastAsia" w:eastAsiaTheme="minorEastAsia" w:cstheme="minorEastAsia"/>
        </w:rPr>
        <w:t xml:space="preserve">七、授予合同</w:t>
      </w:r>
      <w:bookmarkEnd w:id="194"/>
      <w:r/>
      <w:r/>
    </w:p>
    <w:p>
      <w:pPr>
        <w:pStyle w:val="1103"/>
        <w:ind w:firstLine="600"/>
        <w:spacing w:before="0" w:after="0" w:line="240" w:lineRule="auto"/>
        <w:rPr>
          <w:rFonts w:asciiTheme="minorEastAsia" w:hAnsiTheme="minorEastAsia" w:eastAsiaTheme="minorEastAsia" w:cstheme="minorEastAsia"/>
          <w:b w:val="0"/>
          <w:sz w:val="30"/>
          <w:szCs w:val="30"/>
        </w:rPr>
      </w:pPr>
      <w:r/>
      <w:bookmarkStart w:id="198" w:name="_Toc20823309"/>
      <w:r/>
      <w:bookmarkStart w:id="199" w:name="_Toc16938553"/>
      <w:r/>
      <w:bookmarkStart w:id="200" w:name="_Toc513029237"/>
      <w:r/>
      <w:bookmarkEnd w:id="195"/>
      <w:r/>
      <w:bookmarkEnd w:id="196"/>
      <w:r/>
      <w:bookmarkEnd w:id="197"/>
      <w:r>
        <w:rPr>
          <w:rFonts w:hint="eastAsia" w:asciiTheme="minorEastAsia" w:hAnsiTheme="minorEastAsia" w:eastAsiaTheme="minorEastAsia" w:cstheme="minorEastAsia"/>
          <w:b w:val="0"/>
          <w:sz w:val="30"/>
          <w:szCs w:val="30"/>
        </w:rPr>
        <w:t xml:space="preserve">30. 签订合同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w:t>
      </w:r>
      <w:r>
        <w:rPr>
          <w:rFonts w:hint="eastAsia" w:asciiTheme="minorEastAsia" w:hAnsiTheme="minorEastAsia" w:eastAsiaTheme="minorEastAsia" w:cstheme="minorEastAsia"/>
          <w:sz w:val="24"/>
          <w:szCs w:val="24"/>
        </w:rPr>
        <w:t xml:space="preserve">.l</w:t>
      </w:r>
      <w:r>
        <w:rPr>
          <w:rFonts w:hint="eastAsia" w:asciiTheme="minorEastAsia" w:hAnsiTheme="minorEastAsia" w:eastAsiaTheme="minorEastAsia" w:cstheme="minorEastAsia"/>
          <w:sz w:val="24"/>
        </w:rPr>
        <w:t xml:space="preserve">中标人应当在中标通知书发出之日起三十日内</w:t>
      </w:r>
      <w:r>
        <w:rPr>
          <w:rFonts w:hint="eastAsia" w:asciiTheme="minorEastAsia" w:hAnsiTheme="minorEastAsia" w:eastAsiaTheme="minorEastAsia" w:cstheme="minorEastAsia"/>
          <w:sz w:val="24"/>
          <w:szCs w:val="24"/>
        </w:rPr>
        <w:t xml:space="preserve">，按照招标文件确定的事项与采购人签订政府采购合同。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 签订合同后，</w:t>
      </w:r>
      <w:r>
        <w:rPr>
          <w:rFonts w:hint="eastAsia" w:asciiTheme="minorEastAsia" w:hAnsiTheme="minorEastAsia" w:eastAsiaTheme="minorEastAsia" w:cstheme="minorEastAsia"/>
          <w:i/>
          <w:sz w:val="24"/>
          <w:szCs w:val="24"/>
          <w:u w:val="single"/>
        </w:rPr>
        <w:t xml:space="preserve">中标人不得将合同标的进行转包</w:t>
      </w:r>
      <w:r>
        <w:rPr>
          <w:rFonts w:hint="eastAsia" w:asciiTheme="minorEastAsia" w:hAnsiTheme="minorEastAsia" w:eastAsiaTheme="minorEastAsia" w:cstheme="minorEastAsia"/>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rPr>
          <w:rFonts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sz w:val="24"/>
          <w:szCs w:val="24"/>
        </w:rPr>
        <w:t xml:space="preserve">31</w:t>
      </w:r>
      <w:r>
        <w:rPr>
          <w:rFonts w:hint="eastAsia" w:asciiTheme="minorEastAsia" w:hAnsiTheme="minorEastAsia" w:eastAsiaTheme="minorEastAsia" w:cstheme="minorEastAsia"/>
          <w:bCs/>
          <w:sz w:val="24"/>
          <w:szCs w:val="24"/>
        </w:rPr>
        <w:t xml:space="preserve">、货物（包含与货物相关的服务）的追加</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98"/>
      <w:r/>
      <w:bookmarkEnd w:id="199"/>
      <w:r/>
      <w:bookmarkEnd w:id="200"/>
      <w:r/>
      <w:r/>
    </w:p>
    <w:p>
      <w:pPr>
        <w:pStyle w:val="1103"/>
        <w:ind w:firstLine="600"/>
        <w:spacing w:before="0" w:after="0" w:line="240" w:lineRule="auto"/>
        <w:rPr>
          <w:rFonts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32、需要执行的政府采购政策（包括但不限于）</w:t>
      </w:r>
      <w:r/>
    </w:p>
    <w:p>
      <w:pPr>
        <w:ind w:firstLine="482"/>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32.1履约资金扶持政策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32.2进口产品</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32.3中小企业、监狱企业及残疾人福利性单位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32.3.1中小企业定义：</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中小企业是</w:t>
      </w:r>
      <w:r>
        <w:rPr>
          <w:rFonts w:hint="eastAsia" w:asciiTheme="minorEastAsia" w:hAnsiTheme="minorEastAsia" w:eastAsiaTheme="minorEastAsia" w:cstheme="minorEastAsia"/>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32.3.2供应商提供的货物、工程或者服务符合下列情形的，享受中小企业扶持政策：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32.3.2.1</w:t>
      </w: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rPr>
          <w:rFonts w:hint="eastAsia" w:asciiTheme="minorEastAsia" w:hAnsiTheme="minorEastAsia" w:eastAsiaTheme="minorEastAsia" w:cstheme="minorEastAsia"/>
          <w:sz w:val="24"/>
          <w:szCs w:val="24"/>
        </w:rPr>
        <w:t xml:space="preserve">；</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32.3.2.2在工程采购项目中，工程由中小企业承建，即工程施工单位为中小企业；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32.3.3在货物采购项目中，供应商提供的货物既有中小企业制造货物，也有大型企业制造货物的，不享受中小企业扶持政策。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32.3.6残疾人福利单位定义：享受政府采购支持政策的残疾人福利性单位应当同时满足以下条件：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32.3.6.1安置的残疾人占本单位在职职工人数的比例不低于25%（含</w:t>
      </w:r>
      <w:r>
        <w:rPr>
          <w:rFonts w:hint="eastAsia" w:asciiTheme="minorEastAsia" w:hAnsiTheme="minorEastAsia" w:eastAsiaTheme="minorEastAsia" w:cstheme="minorEastAsia"/>
          <w:sz w:val="24"/>
          <w:szCs w:val="24"/>
        </w:rPr>
        <w:t xml:space="preserve">25%），并且安置的残疾人人数不少于10 人（含10 人）；</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32.3.6.2依法与安置的每位残疾人签订了一年以上（含一年）的劳动合同或服务协议；</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32.3.6.3为安置的每位残疾人按月足额缴纳了基本养老保险、基本医疗保险、失业保险、工伤保险和生育保险等社会保险费；</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32.3.7本项目是否专门面向中小企业预留采购份额见第一章《投标邀请》。</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32.3.8采购标的对应的中小企业划分标准所属行业见第四章《采购需求》。</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32.3.9小微企业价格评审优惠的政策调整：见第五章《评标方法和评标标准》。</w:t>
      </w:r>
      <w:r/>
    </w:p>
    <w:p>
      <w:pPr>
        <w:ind w:firstLine="482"/>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32.4政府采购节能产品、环境标志产品</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32.4.2采购人拟采购的产品属于品目清单范围的，采购人及其委托的采购代理机构</w:t>
      </w:r>
      <w:r>
        <w:rPr>
          <w:rFonts w:hint="eastAsia" w:asciiTheme="minorEastAsia" w:hAnsiTheme="minorEastAsia" w:eastAsiaTheme="minorEastAsia" w:cstheme="minorEastAsia"/>
          <w:sz w:val="24"/>
        </w:rPr>
        <w:t xml:space="preserve">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sz w:val="24"/>
          <w:szCs w:val="24"/>
        </w:rPr>
        <w:t xml:space="preserve">。关于政府采购节能产品、环境标志产品的相关规定依据《关于调整优化节能产品、环</w:t>
      </w:r>
      <w:r>
        <w:rPr>
          <w:rFonts w:hint="eastAsia" w:asciiTheme="minorEastAsia" w:hAnsiTheme="minorEastAsia" w:eastAsiaTheme="minorEastAsia" w:cstheme="minorEastAsia"/>
          <w:sz w:val="24"/>
          <w:szCs w:val="24"/>
        </w:rPr>
        <w:t xml:space="preserve">境标志产品政府采购执行机制的通知》（财库〔2019〕9号）。 </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32.4.3</w:t>
      </w:r>
      <w:r>
        <w:rPr>
          <w:rFonts w:hint="eastAsia" w:asciiTheme="minorEastAsia" w:hAnsiTheme="minorEastAsia" w:eastAsiaTheme="minorEastAsia" w:cstheme="minorEastAsia"/>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32.4.4非政府强制采购的节能产品或环境标志产品，依据品目清单和认证证书实施政府优先采购。优先采购的具体规定见第五章《评标方法和评标标准》（如涉及）。</w:t>
      </w:r>
      <w:r/>
    </w:p>
    <w:p>
      <w:pPr>
        <w:ind w:firstLine="482"/>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32.5绿色包装</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32.6支持乡村产业振兴管理</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32.7正版软件</w:t>
      </w:r>
      <w:r/>
    </w:p>
    <w:p>
      <w:pPr>
        <w:ind w:firstLine="480"/>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sz w:val="24"/>
          <w:szCs w:val="24"/>
        </w:rPr>
        <w:t xml:space="preserve">其中，国家有特殊信息安全要求的项目必须采购认证产品，否则投标无效。</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sz w:val="24"/>
        </w:rPr>
        <w:t xml:space="preserve">已预装正版操作系统软件</w:t>
      </w:r>
      <w:r>
        <w:rPr>
          <w:rFonts w:hint="eastAsia" w:asciiTheme="minorEastAsia" w:hAnsiTheme="minorEastAsia" w:eastAsiaTheme="minorEastAsia" w:cstheme="minorEastAsia"/>
          <w:sz w:val="24"/>
          <w:szCs w:val="24"/>
        </w:rPr>
        <w:t xml:space="preserve">产品的通知》（国权联〔2006〕1 号）、《国务院办公厅关于进一步做好政府机关使用正版软件工作的通知》（国办发〔2010〕47 号）、《财政</w:t>
      </w:r>
      <w:r>
        <w:rPr>
          <w:rFonts w:hint="eastAsia" w:asciiTheme="minorEastAsia" w:hAnsiTheme="minorEastAsia" w:eastAsiaTheme="minorEastAsia" w:cstheme="minorEastAsia"/>
          <w:sz w:val="24"/>
          <w:szCs w:val="24"/>
        </w:rPr>
        <w:t xml:space="preserve">部关于进一步做好政府机关使用正版软件工作的通知》（财预〔2010〕536 号）。</w:t>
      </w:r>
      <w:r/>
    </w:p>
    <w:p>
      <w:pPr>
        <w:ind w:firstLine="482"/>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32.8政府采购创新产品政策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采购人要将创新要求嵌入采购项目需求，可在采购文件中设定评审规则，优先采购各级政府部门公开发布的</w:t>
      </w:r>
      <w:r>
        <w:rPr>
          <w:rFonts w:hint="eastAsia" w:asciiTheme="minorEastAsia" w:hAnsiTheme="minorEastAsia" w:eastAsiaTheme="minorEastAsia" w:cstheme="minorEastAsia"/>
          <w:sz w:val="24"/>
        </w:rPr>
        <w:t xml:space="preserve">有效期内的创新产品、创新服务、首台套、首购首用等《目录》的创新产品</w:t>
      </w:r>
      <w:r>
        <w:rPr>
          <w:rFonts w:hint="eastAsia" w:asciiTheme="minorEastAsia" w:hAnsiTheme="minorEastAsia" w:eastAsiaTheme="minorEastAsia" w:cstheme="minorEastAsia"/>
          <w:sz w:val="24"/>
          <w:szCs w:val="24"/>
        </w:rPr>
        <w:t xml:space="preserve">，上述《目录》内创新产品，</w:t>
      </w:r>
      <w:r>
        <w:rPr>
          <w:rFonts w:hint="eastAsia" w:asciiTheme="minorEastAsia" w:hAnsiTheme="minorEastAsia" w:eastAsiaTheme="minorEastAsia" w:cstheme="minorEastAsia"/>
          <w:sz w:val="24"/>
        </w:rPr>
        <w:t xml:space="preserve">自认定之日起2年内视同已具备相应销售业绩，参加政府采购活动时业绩分值为满分。</w:t>
      </w:r>
      <w:r>
        <w:rPr>
          <w:rFonts w:hint="eastAsia" w:asciiTheme="minorEastAsia" w:hAnsiTheme="minorEastAsia" w:eastAsiaTheme="minorEastAsia" w:cstheme="minorEastAsia"/>
          <w:sz w:val="24"/>
          <w:szCs w:val="24"/>
        </w:rPr>
        <w:t xml:space="preserve">（如涉及）</w:t>
      </w:r>
      <w:r/>
    </w:p>
    <w:p>
      <w:pPr>
        <w:ind w:firstLine="482"/>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32.9绿色数据中心政策 </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sz w:val="24"/>
        </w:rPr>
        <w:t xml:space="preserve">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sz w:val="24"/>
          <w:szCs w:val="24"/>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z w:val="24"/>
          <w:szCs w:val="24"/>
        </w:rPr>
        <w:t xml:space="preserve">32.10履约保证金相关政策</w:t>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79"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rPr>
      </w:pPr>
      <w:r>
        <w:rPr>
          <w:rFonts w:asciiTheme="minorEastAsia" w:hAnsiTheme="minorEastAsia" w:eastAsiaTheme="minorEastAsia" w:cstheme="minorEastAsia"/>
        </w:rPr>
      </w:r>
      <w:bookmarkEnd w:id="61"/>
      <w:r/>
      <w:bookmarkEnd w:id="62"/>
      <w:r/>
      <w:bookmarkEnd w:id="63"/>
      <w:r/>
      <w:bookmarkEnd w:id="64"/>
      <w:r/>
      <w:bookmarkEnd w:id="65"/>
      <w:r/>
      <w:r/>
    </w:p>
    <w:p>
      <w:pPr>
        <w:jc w:val="center"/>
        <w:keepNext/>
        <w:rPr>
          <w:rFonts w:asciiTheme="minorEastAsia" w:hAnsiTheme="minorEastAsia" w:eastAsiaTheme="minorEastAsia" w:cstheme="minorEastAsia"/>
          <w:bCs/>
          <w:sz w:val="44"/>
          <w:szCs w:val="28"/>
        </w:rPr>
        <w:outlineLvl w:val="0"/>
      </w:pPr>
      <w:r>
        <w:rPr>
          <w:rFonts w:hint="eastAsia" w:asciiTheme="minorEastAsia" w:hAnsiTheme="minorEastAsia" w:eastAsiaTheme="minorEastAsia" w:cstheme="minorEastAsia"/>
          <w:bCs/>
          <w:sz w:val="44"/>
          <w:szCs w:val="28"/>
        </w:rPr>
        <w:t xml:space="preserve">第三章  合同文本</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以下为中标后签定本项目合同的通用条款，中标人不得提出实质性的修改。</w:t>
      </w:r>
      <w:r/>
    </w:p>
    <w:p>
      <w:pPr>
        <w:jc w:val="center"/>
        <w:rPr>
          <w:rFonts w:asciiTheme="minorEastAsia" w:hAnsiTheme="minorEastAsia" w:eastAsiaTheme="minorEastAsia" w:cstheme="minorEastAsia"/>
          <w:b/>
          <w:bCs/>
          <w:sz w:val="30"/>
          <w:szCs w:val="20"/>
        </w:rPr>
        <w:outlineLvl w:val="0"/>
      </w:pPr>
      <w:r>
        <w:rPr>
          <w:rFonts w:hint="eastAsia" w:asciiTheme="minorEastAsia" w:hAnsiTheme="minorEastAsia" w:eastAsiaTheme="minorEastAsia" w:cstheme="minorEastAsia"/>
          <w:b/>
          <w:sz w:val="30"/>
        </w:rPr>
        <w:t xml:space="preserve">江苏省政府采购合同（货物）（合同编号）</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项目编号：</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甲方：（买方）_________</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乙方：（卖方）_________</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甲、乙双方根据江苏省政府采购中心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一、合同内容</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标的名称：</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标的质量：</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标的数量（规模）：</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履行时间（期限）：</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履行地点：</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履行方式：</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包装方式：</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本合同金额为（大写）：_______圆（___元）人民币或其他币种。</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3.1乙方应按招标文件规定的时间向甲方提供使用货物(包含与货物相关的服务)的有关技术资料。</w:t>
      </w:r>
      <w:r/>
    </w:p>
    <w:p>
      <w:pPr>
        <w:ind w:left="410" w:hanging="41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四、知识产权</w:t>
      </w:r>
      <w:r/>
    </w:p>
    <w:p>
      <w:pPr>
        <w:spacing w:line="0" w:lineRule="atLeast"/>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4.1乙</w:t>
      </w:r>
      <w:r>
        <w:rPr>
          <w:rFonts w:hint="eastAsia" w:asciiTheme="minorEastAsia" w:hAnsiTheme="minorEastAsia" w:eastAsiaTheme="minorEastAsia" w:cstheme="minorEastAsia"/>
          <w:sz w:val="24"/>
        </w:rPr>
        <w:t xml:space="preserve">方应保证甲方在使用、接受本合同货物</w:t>
      </w:r>
      <w:r>
        <w:rPr>
          <w:rFonts w:hint="eastAsia" w:asciiTheme="minorEastAsia" w:hAnsiTheme="minorEastAsia" w:eastAsiaTheme="minorEastAsia" w:cstheme="minorEastAsia"/>
          <w:sz w:val="24"/>
          <w:szCs w:val="24"/>
        </w:rPr>
        <w:t xml:space="preserve">（包含与货物相关的服务）</w:t>
      </w:r>
      <w:r>
        <w:rPr>
          <w:rFonts w:hint="eastAsia" w:asciiTheme="minorEastAsia" w:hAnsiTheme="minorEastAsia" w:eastAsiaTheme="minorEastAsia" w:cstheme="minorEastAsia"/>
          <w:sz w:val="24"/>
        </w:rPr>
        <w:t xml:space="preserve">或其任何一部分时不受第三方提出侵犯其专利权、版权、商标权和工业设计权等知识产权的起诉。一旦出现侵权，由乙方负全部责任。</w:t>
      </w:r>
      <w:r/>
    </w:p>
    <w:p>
      <w:pPr>
        <w:spacing w:before="120" w:after="12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5.1 乙方保证所交付的货物（包含与货物相关的服务）的所有权完全属于乙方且无任何抵押、查封等产权瑕疵。</w:t>
      </w:r>
      <w:r/>
    </w:p>
    <w:p>
      <w:pPr>
        <w:ind w:left="410" w:hanging="410"/>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六、履约保证金</w:t>
      </w:r>
      <w:r/>
    </w:p>
    <w:p>
      <w:pPr>
        <w:ind w:left="408"/>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七、合同转包或分包</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7.1乙方不得将合同标的转包给他人履行。</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7.2乙方不得将合同标的分包给他人履行。</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7.3乙方如有转包或未经甲方同意的分包行为，甲方有权给予终止合同。</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八、合同款项支付</w:t>
      </w:r>
      <w:r/>
    </w:p>
    <w:p>
      <w:pPr>
        <w:spacing w:before="120" w:after="12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8.1合同款项的支付方式及进度安排：本合同货物在规定的时间内供货，验收合格，自验收合格之日起十个工作日内一次性付清。</w:t>
      </w:r>
      <w:r/>
    </w:p>
    <w:p>
      <w:pP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九、税费</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9.1本合同执行中相关的一切税费均由乙方负担。</w:t>
      </w:r>
      <w:r/>
    </w:p>
    <w:p>
      <w:pPr>
        <w:ind w:left="412" w:hanging="412"/>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十、质量保修范围和保修期及售后服务</w:t>
      </w:r>
      <w:r/>
    </w:p>
    <w:p>
      <w:pPr>
        <w:ind w:left="410" w:hanging="41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乙方应按招标文件规定的货物性能、技术要求、质量标准向甲方提供未经使用的全新产品。</w:t>
      </w:r>
      <w:r/>
    </w:p>
    <w:p>
      <w:pPr>
        <w:ind w:left="480" w:hanging="48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⑴更换：由乙方承担所发生的全部费用。</w:t>
      </w:r>
      <w:r/>
    </w:p>
    <w:p>
      <w:pPr>
        <w:ind w:firstLine="42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⑵贬值处理：由甲乙双方合议定价。</w:t>
      </w:r>
      <w:r/>
    </w:p>
    <w:p>
      <w:pPr>
        <w:ind w:left="42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⑶退货处理：乙方应退还甲方支付的合同款，同时应承担该货物的直接费用（运输、保险、检验、货款利息及银行手续费等）。</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如在使用过程中发生质量问题，乙方在接到甲方通知后在_________小时内到达甲方现场。</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在质保期内，乙方应对货物出现的质量及安全问题负责处理解决并承担一切费用。</w:t>
      </w:r>
      <w:r/>
    </w:p>
    <w:p>
      <w:pPr>
        <w:ind w:left="480" w:hanging="48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10.5上述的货物免费保修期为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年（自交货验收合格之日起计），因人为因素出现的故障不在免费保修范围内。超过保修期的机器设备，终生维修，维修时只收部件成本费。</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十一、项目验收</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甲方依法组织履约验收工作。</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对于实际使用人和甲方分离的项目，甲方邀请实际使用人参与验收。</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如有必要，甲方邀请参加本项目的其他供应商或第三方专业机构及专家参</w:t>
      </w:r>
      <w:r>
        <w:rPr>
          <w:rFonts w:hint="eastAsia" w:asciiTheme="minorEastAsia" w:hAnsiTheme="minorEastAsia" w:eastAsiaTheme="minorEastAsia" w:cstheme="minorEastAsia"/>
          <w:sz w:val="24"/>
          <w:szCs w:val="24"/>
        </w:rPr>
        <w:t xml:space="preserve">与验收，相关意见将作为验收书的参考资料。</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十二、货物的包装、发运及运输</w:t>
      </w:r>
      <w:r/>
    </w:p>
    <w:p>
      <w:pPr>
        <w:ind w:left="480" w:hanging="48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使用说明书、质量检验证明书、随配附件和工具以及清单一并附于货物内。</w:t>
      </w:r>
      <w:r/>
    </w:p>
    <w:p>
      <w:pPr>
        <w:ind w:left="480" w:hanging="48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乙方在货物发运手续办理完毕后24小时内或货到甲方48小时前通知甲方，以准备接货。</w:t>
      </w:r>
      <w:r/>
    </w:p>
    <w:p>
      <w:pPr>
        <w:ind w:left="480" w:hanging="48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货物在交付甲方前发生的风险均由乙方负责。</w:t>
      </w:r>
      <w:r/>
    </w:p>
    <w:p>
      <w:pPr>
        <w:ind w:left="480" w:right="26" w:hanging="480"/>
        <w:spacing w:before="156" w:after="156"/>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 货物在规定的交付期限内由乙方送达甲方指定的地点视为交付，乙方同时需通知甲方货物已送达。</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十三、违约责任</w:t>
      </w:r>
      <w:r/>
    </w:p>
    <w:p>
      <w:pPr>
        <w:ind w:left="410" w:hanging="41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甲方无正当理由拒收货物的，甲方向乙方偿付拒收货款总值</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甲方无故逾期验收和办理货款支付手续的,甲方应按逾期付款总额每日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向乙方支付违约金。</w:t>
      </w:r>
      <w:r/>
    </w:p>
    <w:p>
      <w:pPr>
        <w:ind w:left="410" w:hanging="41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 </w:t>
      </w:r>
      <w:r/>
    </w:p>
    <w:p>
      <w:pPr>
        <w:ind w:left="410" w:hanging="41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十四、不可抗力事件处理</w:t>
      </w:r>
      <w:r/>
    </w:p>
    <w:p>
      <w:pPr>
        <w:ind w:left="480" w:hanging="48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在合同有效期内，任何一方因不可抗力事件导致不能履行合同，则合同履行期可延长，其延长期与不可抗力影响期相同。</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不可抗力事件发生后，应立即通知对方，并寄送有关权威机构出具的证明。</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 不可抗力事件延续120天以上，双方应通过友好协商，确定是否继续履行合同。</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十五、解决争议的方法</w:t>
      </w:r>
      <w:r/>
    </w:p>
    <w:p>
      <w:pPr>
        <w:ind w:left="480" w:hanging="48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15.1甲乙双方因合同签订、履行而发生的一切争议，应通过友好协商解决。如协商不成由甲方住所地人民法院管辖。</w:t>
      </w:r>
      <w:r/>
    </w:p>
    <w:p>
      <w:pPr>
        <w:spacing w:before="120" w:after="12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十六、合同生效及其它</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 合同经双方法定代表人或授权委托代表人签字并加盖单位公章后生效。</w:t>
      </w:r>
      <w:r/>
    </w:p>
    <w:p>
      <w:pPr>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16.2本合同未尽事宜，遵照《民法典》、《政府采购法》有关条文执行。</w:t>
      </w:r>
      <w:r/>
    </w:p>
    <w:p>
      <w:pPr>
        <w:ind w:left="480" w:hanging="48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 本合同正本一式两份，具有同等法律效力，甲方、乙方各执一份。</w:t>
      </w:r>
      <w:r/>
    </w:p>
    <w:p>
      <w:pPr>
        <w:ind w:left="480" w:hanging="48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                        乙方： </w:t>
      </w:r>
      <w:r/>
    </w:p>
    <w:p>
      <w:pP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地址：                        地址： </w:t>
      </w:r>
      <w:r/>
    </w:p>
    <w:p>
      <w:pP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法定代表人或授权代表：        法定代表人或授权代表：</w:t>
      </w:r>
      <w:r/>
    </w:p>
    <w:p>
      <w:pPr>
        <w:ind w:firstLine="240"/>
        <w:spacing w:before="120" w:after="120" w:line="0" w:lineRule="atLeas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联系电话：                    联系电话：          </w:t>
      </w:r>
      <w:r/>
    </w:p>
    <w:p>
      <w:pPr>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szCs w:val="24"/>
        </w:rPr>
        <w:t xml:space="preserve">   </w:t>
      </w:r>
      <w:r/>
    </w:p>
    <w:p>
      <w:pPr>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rPr>
          <w:rFonts w:ascii="宋体" w:hAnsi="宋体"/>
          <w:bCs/>
          <w:sz w:val="32"/>
          <w:szCs w:val="32"/>
        </w:rPr>
      </w:pPr>
      <w:r>
        <w:rPr>
          <w:rFonts w:hint="eastAsia" w:asciiTheme="minorEastAsia" w:hAnsiTheme="minorEastAsia" w:eastAsiaTheme="minorEastAsia" w:cstheme="minorEastAsia"/>
          <w:sz w:val="24"/>
          <w:szCs w:val="24"/>
        </w:rPr>
        <w:t xml:space="preserve">                    签订日期：      年    月   日</w:t>
      </w:r>
      <w:r>
        <w:rPr>
          <w:rFonts w:ascii="黑体" w:hAnsi="Courier New" w:eastAsia="黑体" w:cs="Courier New"/>
          <w:bCs/>
          <w:color w:val="000000"/>
          <w:sz w:val="44"/>
        </w:rPr>
        <w:br w:type="page" w:clear="all"/>
      </w:r>
      <w:r/>
    </w:p>
    <w:p>
      <w:pPr>
        <w:pStyle w:val="976"/>
        <w:rPr>
          <w:rFonts w:ascii="黑体" w:eastAsia="黑体"/>
          <w:b/>
          <w:bCs/>
          <w:sz w:val="44"/>
        </w:rPr>
      </w:pPr>
      <w:r/>
      <w:bookmarkStart w:id="201" w:name="_Toc17950"/>
      <w:r/>
      <w:bookmarkStart w:id="202" w:name="_Toc49090575"/>
      <w:r/>
      <w:bookmarkStart w:id="203" w:name="_Toc120614281"/>
      <w:r/>
      <w:bookmarkStart w:id="204" w:name="_Toc26554093"/>
      <w:r/>
      <w:bookmarkStart w:id="205" w:name="_Toc479757211"/>
      <w:r/>
      <w:bookmarkStart w:id="206" w:name="_Toc462564139"/>
      <w:r/>
      <w:bookmarkEnd w:id="56"/>
      <w:r/>
      <w:bookmarkEnd w:id="57"/>
      <w:r/>
      <w:bookmarkEnd w:id="58"/>
      <w:r>
        <w:rPr>
          <w:rFonts w:hint="eastAsia" w:ascii="黑体" w:eastAsia="黑体"/>
          <w:b/>
          <w:bCs/>
          <w:sz w:val="44"/>
        </w:rPr>
        <w:t xml:space="preserve">第四章 采购需求</w:t>
      </w:r>
      <w:bookmarkEnd w:id="201"/>
      <w:r/>
      <w:r/>
    </w:p>
    <w:p>
      <w:pPr>
        <w:spacing w:line="360" w:lineRule="auto"/>
        <w:rPr>
          <w:b/>
          <w:sz w:val="24"/>
        </w:rPr>
      </w:pPr>
      <w:r/>
      <w:bookmarkStart w:id="207" w:name="_Toc91836055"/>
      <w:r>
        <w:rPr>
          <w:rFonts w:hint="eastAsia"/>
          <w:b/>
          <w:sz w:val="24"/>
        </w:rPr>
        <w:t xml:space="preserve">一、项目说明</w:t>
      </w:r>
      <w:bookmarkEnd w:id="207"/>
      <w:r/>
      <w:r/>
    </w:p>
    <w:p>
      <w:pPr>
        <w:ind w:firstLine="420"/>
        <w:spacing w:line="360" w:lineRule="auto"/>
        <w:rPr>
          <w:sz w:val="24"/>
        </w:rPr>
      </w:pPr>
      <w:r>
        <w:rPr>
          <w:rFonts w:hint="eastAsia"/>
          <w:sz w:val="24"/>
        </w:rPr>
        <w:t xml:space="preserve">1.</w:t>
      </w:r>
      <w:r>
        <w:rPr>
          <w:rFonts w:hint="eastAsia"/>
          <w:sz w:val="24"/>
        </w:rPr>
        <w:t xml:space="preserve">本项目实验室设备中所有产品名称、外观没有特定要求，</w:t>
      </w:r>
      <w:r>
        <w:rPr>
          <w:rFonts w:hint="eastAsia" w:ascii="宋体" w:hAnsi="宋体" w:cs="宋体"/>
          <w:bCs/>
          <w:sz w:val="24"/>
          <w:szCs w:val="24"/>
        </w:rPr>
        <w:t xml:space="preserve">产品尺寸不是唯一的，尺寸公差在±10mm内不作为扣分依据。</w:t>
      </w:r>
      <w:r>
        <w:rPr>
          <w:rFonts w:hint="eastAsia"/>
          <w:sz w:val="24"/>
        </w:rPr>
        <w:t xml:space="preserve">对本项目设备的技术参数如有疑问，请及时与采购单位联系。投标人可以去学校现场进行实地勘察，保证所投产品后期安装时能与学校现有水电配套实施，不得再改动相关布线。</w:t>
      </w:r>
      <w:r/>
    </w:p>
    <w:p>
      <w:pPr>
        <w:ind w:firstLine="360"/>
        <w:spacing w:line="360" w:lineRule="auto"/>
        <w:rPr>
          <w:sz w:val="24"/>
        </w:rPr>
      </w:pPr>
      <w:r>
        <w:rPr>
          <w:rFonts w:hint="eastAsia"/>
          <w:sz w:val="24"/>
        </w:rPr>
        <w:t xml:space="preserve">2</w:t>
      </w:r>
      <w:bookmarkStart w:id="208" w:name="_Toc91836056"/>
      <w:r>
        <w:rPr>
          <w:rFonts w:hint="eastAsia"/>
          <w:sz w:val="24"/>
        </w:rPr>
        <w:t xml:space="preserve">.</w:t>
      </w:r>
      <w:r>
        <w:rPr>
          <w:rFonts w:hint="eastAsia"/>
          <w:sz w:val="24"/>
        </w:rPr>
        <w:t xml:space="preserve">采购清单及技术参数中打“★”项为实质性技术参数，打“▲”参数为重要参数，其余为一般性技术参数。标有★的实质性响应参数，</w:t>
      </w:r>
      <w:r>
        <w:rPr>
          <w:rFonts w:hint="eastAsia" w:ascii="宋体" w:hAnsi="宋体" w:cs="宋体"/>
          <w:iCs/>
          <w:sz w:val="24"/>
        </w:rPr>
        <w:t xml:space="preserve">投标人</w:t>
      </w:r>
      <w:r>
        <w:rPr>
          <w:rFonts w:hint="eastAsia"/>
          <w:sz w:val="24"/>
        </w:rPr>
        <w:t xml:space="preserve">必须提供所投产品符合参数的承诺函并加盖</w:t>
      </w:r>
      <w:r>
        <w:rPr>
          <w:rFonts w:hint="eastAsia" w:ascii="宋体" w:hAnsi="宋体" w:cs="宋体"/>
          <w:iCs/>
          <w:sz w:val="24"/>
        </w:rPr>
        <w:t xml:space="preserve">投标人</w:t>
      </w:r>
      <w:r>
        <w:rPr>
          <w:rFonts w:hint="eastAsia"/>
          <w:sz w:val="24"/>
        </w:rPr>
        <w:t xml:space="preserve">公章，标有▲的重要参数，</w:t>
      </w:r>
      <w:r>
        <w:rPr>
          <w:rFonts w:hint="eastAsia" w:ascii="宋体" w:hAnsi="宋体" w:cs="宋体"/>
          <w:iCs/>
          <w:sz w:val="24"/>
        </w:rPr>
        <w:t xml:space="preserve">投标人</w:t>
      </w:r>
      <w:r>
        <w:rPr>
          <w:rFonts w:hint="eastAsia"/>
          <w:sz w:val="24"/>
        </w:rPr>
        <w:t xml:space="preserve">应在技术参数偏离表中如实填写偏离情况、提供相关承诺并加盖</w:t>
      </w:r>
      <w:r>
        <w:rPr>
          <w:rFonts w:hint="eastAsia" w:ascii="宋体" w:hAnsi="宋体" w:cs="宋体"/>
          <w:iCs/>
          <w:sz w:val="24"/>
        </w:rPr>
        <w:t xml:space="preserve">投标人</w:t>
      </w:r>
      <w:r>
        <w:rPr>
          <w:rFonts w:hint="eastAsia"/>
          <w:sz w:val="24"/>
        </w:rPr>
        <w:t xml:space="preserve">公章。</w:t>
      </w:r>
      <w:r/>
    </w:p>
    <w:p>
      <w:pPr>
        <w:ind w:firstLine="360"/>
        <w:spacing w:line="360" w:lineRule="auto"/>
        <w:rPr>
          <w:sz w:val="24"/>
        </w:rPr>
      </w:pPr>
      <w:r>
        <w:rPr>
          <w:rFonts w:hint="eastAsia"/>
          <w:sz w:val="24"/>
        </w:rPr>
        <w:t xml:space="preserve">3.</w:t>
      </w:r>
      <w:r>
        <w:rPr>
          <w:rFonts w:hint="eastAsia"/>
          <w:sz w:val="24"/>
        </w:rPr>
        <w:t xml:space="preserve">签订合同时提供加盖所投品牌原厂公章以上（上述第</w:t>
      </w:r>
      <w:r>
        <w:rPr>
          <w:rFonts w:hint="eastAsia"/>
          <w:sz w:val="24"/>
        </w:rPr>
        <w:t xml:space="preserve">2</w:t>
      </w:r>
      <w:r>
        <w:rPr>
          <w:rFonts w:hint="eastAsia"/>
          <w:sz w:val="24"/>
        </w:rPr>
        <w:t xml:space="preserve">点的）证明材料。</w:t>
      </w:r>
      <w:r/>
    </w:p>
    <w:p>
      <w:pPr>
        <w:pStyle w:val="787"/>
        <w:ind w:firstLine="350"/>
      </w:pPr>
      <w:r>
        <w:rPr>
          <w:rFonts w:hint="eastAsia"/>
        </w:rPr>
        <w:t xml:space="preserve">4.</w:t>
      </w:r>
      <w:r>
        <w:rPr>
          <w:rFonts w:hint="eastAsia"/>
        </w:rPr>
        <w:t xml:space="preserve">本项目强制节能产品：实验室水龙头水嘴。投标人应当提供由国家确定的认证机构出具的、处于有效期之内的节能产品认证证书</w:t>
      </w:r>
      <w:r>
        <w:rPr>
          <w:rFonts w:hint="eastAsia"/>
        </w:rPr>
        <w:t xml:space="preserve">扫描件</w:t>
      </w:r>
      <w:r>
        <w:rPr>
          <w:rFonts w:hint="eastAsia"/>
        </w:rPr>
        <w:t xml:space="preserve">，否则视为未实质响应。</w:t>
      </w:r>
      <w:r/>
    </w:p>
    <w:p>
      <w:pPr>
        <w:ind w:firstLine="36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5.实质性要求</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序号1-3项都要满足；</w:t>
      </w:r>
      <w:r>
        <w:rPr>
          <w:rFonts w:hint="eastAsia" w:ascii="宋体" w:hAnsi="宋体" w:cs="宋体"/>
          <w:sz w:val="24"/>
          <w:szCs w:val="24"/>
        </w:rPr>
        <w:t xml:space="preserve">常州市</w:t>
      </w:r>
      <w:r>
        <w:rPr>
          <w:rFonts w:hint="eastAsia" w:ascii="宋体" w:hAnsi="宋体" w:cs="宋体"/>
          <w:sz w:val="24"/>
          <w:szCs w:val="24"/>
        </w:rPr>
        <w:t xml:space="preserve">龙城</w:t>
      </w:r>
      <w:r>
        <w:rPr>
          <w:rFonts w:hint="eastAsia" w:ascii="宋体" w:hAnsi="宋体" w:cs="宋体"/>
          <w:sz w:val="24"/>
          <w:szCs w:val="24"/>
        </w:rPr>
        <w:t xml:space="preserve">高级中学、</w:t>
      </w:r>
      <w:r>
        <w:rPr>
          <w:rFonts w:hint="eastAsia" w:ascii="宋体" w:hAnsi="宋体" w:cs="宋体"/>
          <w:sz w:val="24"/>
          <w:szCs w:val="24"/>
        </w:rPr>
        <w:t xml:space="preserve">常州市北郊高级中学</w:t>
      </w:r>
      <w:r>
        <w:rPr>
          <w:rFonts w:hint="eastAsia" w:ascii="宋体" w:hAnsi="宋体" w:cs="宋体"/>
          <w:sz w:val="24"/>
          <w:szCs w:val="24"/>
        </w:rPr>
        <w:t xml:space="preserve">：</w:t>
      </w:r>
      <w:r>
        <w:rPr>
          <w:rFonts w:hint="eastAsia" w:asciiTheme="minorEastAsia" w:hAnsiTheme="minorEastAsia" w:eastAsiaTheme="minorEastAsia" w:cstheme="minorEastAsia"/>
          <w:sz w:val="24"/>
          <w:szCs w:val="24"/>
        </w:rPr>
        <w:t xml:space="preserve">序号</w:t>
      </w:r>
      <w:r>
        <w:rPr>
          <w:rFonts w:hint="eastAsia" w:asciiTheme="minorEastAsia" w:hAnsiTheme="minorEastAsia" w:eastAsiaTheme="minorEastAsia" w:cstheme="minorEastAsia"/>
          <w:sz w:val="24"/>
          <w:szCs w:val="24"/>
        </w:rPr>
        <w:t xml:space="preserve">第4</w:t>
      </w:r>
      <w:r>
        <w:rPr>
          <w:rFonts w:hint="eastAsia" w:asciiTheme="minorEastAsia" w:hAnsiTheme="minorEastAsia" w:eastAsiaTheme="minorEastAsia" w:cstheme="minorEastAsia"/>
          <w:sz w:val="24"/>
          <w:szCs w:val="24"/>
        </w:rPr>
        <w:t xml:space="preserve">项</w:t>
      </w:r>
      <w:r>
        <w:rPr>
          <w:rFonts w:hint="eastAsia" w:asciiTheme="minorEastAsia" w:hAnsiTheme="minorEastAsia" w:eastAsiaTheme="minorEastAsia" w:cstheme="minorEastAsia"/>
          <w:sz w:val="24"/>
          <w:szCs w:val="24"/>
        </w:rPr>
        <w:t xml:space="preserve">；</w:t>
      </w:r>
      <w:r>
        <w:rPr>
          <w:rFonts w:ascii="宋体" w:hAnsi="宋体" w:cs="宋体"/>
          <w:sz w:val="24"/>
          <w:szCs w:val="24"/>
        </w:rPr>
        <w:t xml:space="preserve">常州市教科院附属高级中学</w:t>
      </w:r>
      <w:r>
        <w:rPr>
          <w:rFonts w:hint="eastAsia" w:asciiTheme="minorEastAsia" w:hAnsiTheme="minorEastAsia" w:eastAsiaTheme="minorEastAsia" w:cstheme="minorEastAsia"/>
          <w:sz w:val="24"/>
          <w:szCs w:val="24"/>
        </w:rPr>
        <w:t xml:space="preserve">：序号</w:t>
      </w:r>
      <w:r>
        <w:rPr>
          <w:rFonts w:hint="eastAsia" w:asciiTheme="minorEastAsia" w:hAnsiTheme="minorEastAsia" w:eastAsiaTheme="minorEastAsia" w:cstheme="minorEastAsia"/>
          <w:sz w:val="24"/>
          <w:szCs w:val="24"/>
        </w:rPr>
        <w:t xml:space="preserve">第5</w:t>
      </w:r>
      <w:r>
        <w:rPr>
          <w:rFonts w:hint="eastAsia" w:asciiTheme="minorEastAsia" w:hAnsiTheme="minorEastAsia" w:eastAsiaTheme="minorEastAsia" w:cstheme="minorEastAsia"/>
          <w:sz w:val="24"/>
          <w:szCs w:val="24"/>
        </w:rPr>
        <w:t xml:space="preserve">项</w:t>
      </w:r>
      <w:r>
        <w:rPr>
          <w:rFonts w:hint="eastAsia" w:asciiTheme="minorEastAsia" w:hAnsiTheme="minorEastAsia" w:eastAsiaTheme="minorEastAsia" w:cstheme="minorEastAsia"/>
          <w:sz w:val="24"/>
          <w:szCs w:val="24"/>
        </w:rPr>
        <w:t xml:space="preserve">）</w:t>
      </w:r>
      <w:r/>
    </w:p>
    <w:tbl>
      <w:tblPr>
        <w:tblW w:w="87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2"/>
        <w:gridCol w:w="1417"/>
        <w:gridCol w:w="5103"/>
        <w:gridCol w:w="1595"/>
      </w:tblGrid>
      <w:tr>
        <w:trPr>
          <w:jc w:val="center"/>
        </w:trPr>
        <w:tc>
          <w:tcPr>
            <w:tcW w:w="662" w:type="dxa"/>
            <w:vAlign w:val="center"/>
            <w:textDirection w:val="lrTb"/>
            <w:noWrap/>
          </w:tcPr>
          <w:p>
            <w:pPr>
              <w:jc w:val="center"/>
              <w:spacing w:line="276" w:lineRule="auto"/>
              <w:rPr>
                <w:sz w:val="24"/>
              </w:rPr>
            </w:pPr>
            <w:r>
              <w:rPr>
                <w:rFonts w:hint="eastAsia"/>
                <w:sz w:val="24"/>
              </w:rPr>
              <w:t xml:space="preserve">序号</w:t>
            </w:r>
            <w:r/>
          </w:p>
        </w:tc>
        <w:tc>
          <w:tcPr>
            <w:tcW w:w="1417" w:type="dxa"/>
            <w:vAlign w:val="center"/>
            <w:textDirection w:val="lrTb"/>
            <w:noWrap/>
          </w:tcPr>
          <w:p>
            <w:pPr>
              <w:jc w:val="center"/>
              <w:widowControl/>
              <w:rPr>
                <w:sz w:val="24"/>
              </w:rPr>
            </w:pPr>
            <w:r>
              <w:rPr>
                <w:rFonts w:hint="eastAsia"/>
                <w:sz w:val="24"/>
              </w:rPr>
              <w:t xml:space="preserve">设备名称或其它</w:t>
            </w:r>
            <w:r/>
          </w:p>
        </w:tc>
        <w:tc>
          <w:tcPr>
            <w:tcW w:w="5103" w:type="dxa"/>
            <w:vAlign w:val="center"/>
            <w:textDirection w:val="lrTb"/>
            <w:noWrap/>
          </w:tcPr>
          <w:p>
            <w:pPr>
              <w:jc w:val="center"/>
              <w:widowControl/>
              <w:rPr>
                <w:sz w:val="24"/>
              </w:rPr>
            </w:pPr>
            <w:r>
              <w:rPr>
                <w:rFonts w:hint="eastAsia"/>
                <w:sz w:val="24"/>
              </w:rPr>
              <w:t xml:space="preserve">技术参数或要求</w:t>
            </w:r>
            <w:r/>
          </w:p>
        </w:tc>
        <w:tc>
          <w:tcPr>
            <w:tcW w:w="1595" w:type="dxa"/>
            <w:vAlign w:val="center"/>
            <w:textDirection w:val="lrTb"/>
            <w:noWrap/>
          </w:tcPr>
          <w:p>
            <w:pPr>
              <w:jc w:val="center"/>
              <w:widowControl/>
              <w:rPr>
                <w:sz w:val="24"/>
              </w:rPr>
            </w:pPr>
            <w:r>
              <w:rPr>
                <w:rFonts w:hint="eastAsia"/>
                <w:sz w:val="24"/>
              </w:rPr>
              <w:t xml:space="preserve">证明材料</w:t>
            </w:r>
            <w:r/>
          </w:p>
        </w:tc>
      </w:tr>
      <w:tr>
        <w:trPr>
          <w:jc w:val="center"/>
          <w:trHeight w:val="1073"/>
        </w:trPr>
        <w:tc>
          <w:tcPr>
            <w:tcW w:w="662" w:type="dxa"/>
            <w:vAlign w:val="center"/>
            <w:textDirection w:val="lrTb"/>
            <w:noWrap/>
          </w:tcPr>
          <w:p>
            <w:pPr>
              <w:jc w:val="center"/>
              <w:spacing w:line="276" w:lineRule="auto"/>
              <w:rPr>
                <w:sz w:val="24"/>
              </w:rPr>
            </w:pPr>
            <w:r>
              <w:rPr>
                <w:rFonts w:hint="eastAsia"/>
                <w:sz w:val="24"/>
              </w:rPr>
              <w:t xml:space="preserve">1</w:t>
            </w:r>
            <w:r/>
          </w:p>
        </w:tc>
        <w:tc>
          <w:tcPr>
            <w:tcW w:w="1417" w:type="dxa"/>
            <w:vAlign w:val="center"/>
            <w:textDirection w:val="lrTb"/>
            <w:noWrap/>
          </w:tcPr>
          <w:p>
            <w:pPr>
              <w:jc w:val="center"/>
              <w:widowControl/>
              <w:rPr>
                <w:sz w:val="24"/>
              </w:rPr>
            </w:pPr>
            <w:r>
              <w:rPr>
                <w:rFonts w:hint="eastAsia"/>
                <w:sz w:val="24"/>
              </w:rPr>
              <w:t xml:space="preserve">质保期</w:t>
            </w:r>
            <w:r/>
          </w:p>
        </w:tc>
        <w:tc>
          <w:tcPr>
            <w:tcW w:w="5103" w:type="dxa"/>
            <w:vAlign w:val="center"/>
            <w:textDirection w:val="lrTb"/>
            <w:noWrap/>
          </w:tcPr>
          <w:p>
            <w:pPr>
              <w:jc w:val="left"/>
              <w:widowControl/>
              <w:rPr>
                <w:sz w:val="24"/>
              </w:rPr>
            </w:pPr>
            <w:r>
              <w:rPr>
                <w:rFonts w:hint="eastAsia"/>
                <w:sz w:val="24"/>
              </w:rPr>
              <w:t xml:space="preserve">★桌椅类产品免费质保不低于</w:t>
            </w:r>
            <w:r>
              <w:rPr>
                <w:rFonts w:hint="eastAsia"/>
                <w:sz w:val="24"/>
              </w:rPr>
              <w:t xml:space="preserve">5</w:t>
            </w:r>
            <w:r>
              <w:rPr>
                <w:rFonts w:hint="eastAsia"/>
                <w:sz w:val="24"/>
              </w:rPr>
              <w:t xml:space="preserve">年，其他（除耗材外）</w:t>
            </w:r>
            <w:r>
              <w:rPr>
                <w:sz w:val="24"/>
              </w:rPr>
              <w:t xml:space="preserve">免费质保</w:t>
            </w:r>
            <w:r>
              <w:rPr>
                <w:rFonts w:hint="eastAsia"/>
                <w:sz w:val="24"/>
              </w:rPr>
              <w:t xml:space="preserve">不低于</w:t>
            </w:r>
            <w:r>
              <w:rPr>
                <w:rFonts w:hint="eastAsia"/>
                <w:sz w:val="24"/>
              </w:rPr>
              <w:t xml:space="preserve">3</w:t>
            </w:r>
            <w:r>
              <w:rPr>
                <w:sz w:val="24"/>
              </w:rPr>
              <w:t xml:space="preserve">年</w:t>
            </w:r>
            <w:r>
              <w:rPr>
                <w:rFonts w:hint="eastAsia"/>
                <w:sz w:val="24"/>
              </w:rPr>
              <w:t xml:space="preserve">。</w:t>
            </w:r>
            <w:r/>
          </w:p>
        </w:tc>
        <w:tc>
          <w:tcPr>
            <w:tcW w:w="1595" w:type="dxa"/>
            <w:vAlign w:val="center"/>
            <w:textDirection w:val="lrTb"/>
            <w:noWrap/>
          </w:tcPr>
          <w:p>
            <w:pPr>
              <w:jc w:val="center"/>
              <w:widowControl/>
              <w:rPr>
                <w:sz w:val="24"/>
              </w:rPr>
            </w:pPr>
            <w:r>
              <w:rPr>
                <w:rFonts w:hint="eastAsia"/>
                <w:sz w:val="24"/>
              </w:rPr>
              <w:t xml:space="preserve">★承诺书并加盖投标人公章</w:t>
            </w:r>
            <w:r/>
          </w:p>
        </w:tc>
      </w:tr>
      <w:tr>
        <w:trPr>
          <w:jc w:val="center"/>
          <w:trHeight w:val="1073"/>
        </w:trPr>
        <w:tc>
          <w:tcPr>
            <w:tcW w:w="662" w:type="dxa"/>
            <w:vAlign w:val="center"/>
            <w:textDirection w:val="lrTb"/>
            <w:noWrap/>
          </w:tcPr>
          <w:p>
            <w:pPr>
              <w:jc w:val="center"/>
              <w:spacing w:line="276" w:lineRule="auto"/>
              <w:rPr>
                <w:sz w:val="24"/>
              </w:rPr>
            </w:pPr>
            <w:r>
              <w:rPr>
                <w:rFonts w:hint="eastAsia"/>
                <w:sz w:val="24"/>
              </w:rPr>
              <w:t xml:space="preserve">2</w:t>
            </w:r>
            <w:r/>
          </w:p>
        </w:tc>
        <w:tc>
          <w:tcPr>
            <w:tcW w:w="1417" w:type="dxa"/>
            <w:vAlign w:val="center"/>
            <w:textDirection w:val="lrTb"/>
            <w:noWrap/>
          </w:tcPr>
          <w:p>
            <w:pPr>
              <w:jc w:val="center"/>
              <w:widowControl/>
              <w:rPr>
                <w:sz w:val="24"/>
              </w:rPr>
            </w:pPr>
            <w:r>
              <w:rPr>
                <w:rFonts w:hint="eastAsia"/>
                <w:sz w:val="24"/>
              </w:rPr>
              <w:t xml:space="preserve">强制节能产品</w:t>
            </w:r>
            <w:r/>
          </w:p>
        </w:tc>
        <w:tc>
          <w:tcPr>
            <w:tcW w:w="5103" w:type="dxa"/>
            <w:vAlign w:val="center"/>
            <w:textDirection w:val="lrTb"/>
            <w:noWrap/>
          </w:tcPr>
          <w:p>
            <w:pPr>
              <w:jc w:val="left"/>
              <w:widowControl/>
              <w:rPr>
                <w:sz w:val="24"/>
              </w:rPr>
            </w:pPr>
            <w:r>
              <w:rPr>
                <w:rFonts w:hint="eastAsia"/>
                <w:sz w:val="24"/>
              </w:rPr>
              <w:t xml:space="preserve">★实验室水龙头水嘴</w:t>
            </w:r>
            <w:r/>
          </w:p>
        </w:tc>
        <w:tc>
          <w:tcPr>
            <w:tcW w:w="1595" w:type="dxa"/>
            <w:vAlign w:val="center"/>
            <w:textDirection w:val="lrTb"/>
            <w:noWrap/>
          </w:tcPr>
          <w:p>
            <w:pPr>
              <w:jc w:val="left"/>
              <w:widowControl/>
              <w:rPr>
                <w:sz w:val="24"/>
              </w:rPr>
            </w:pPr>
            <w:r>
              <w:rPr>
                <w:rFonts w:hint="eastAsia"/>
                <w:sz w:val="24"/>
              </w:rPr>
              <w:t xml:space="preserve">★提供由国家确定的认证机构出具的、处于有效期之内的节能产品认证证书扫描件</w:t>
            </w:r>
            <w:r/>
          </w:p>
        </w:tc>
      </w:tr>
      <w:tr>
        <w:trPr>
          <w:jc w:val="center"/>
          <w:trHeight w:val="606"/>
        </w:trPr>
        <w:tc>
          <w:tcPr>
            <w:tcW w:w="662" w:type="dxa"/>
            <w:vAlign w:val="center"/>
            <w:vMerge w:val="restart"/>
            <w:textDirection w:val="lrTb"/>
            <w:noWrap/>
          </w:tcPr>
          <w:p>
            <w:pPr>
              <w:numPr>
                <w:ilvl w:val="1"/>
                <w:numId w:val="0"/>
              </w:numPr>
              <w:jc w:val="center"/>
              <w:spacing w:line="276" w:lineRule="auto"/>
              <w:rPr>
                <w:sz w:val="24"/>
              </w:rPr>
            </w:pPr>
            <w:r>
              <w:rPr>
                <w:rFonts w:hint="eastAsia"/>
                <w:sz w:val="24"/>
              </w:rPr>
              <w:t xml:space="preserve">3</w:t>
            </w:r>
            <w:r/>
          </w:p>
        </w:tc>
        <w:tc>
          <w:tcPr>
            <w:tcW w:w="1417" w:type="dxa"/>
            <w:vAlign w:val="center"/>
            <w:vMerge w:val="restart"/>
            <w:textDirection w:val="lrTb"/>
            <w:noWrap/>
          </w:tcPr>
          <w:p>
            <w:pPr>
              <w:jc w:val="center"/>
              <w:widowControl/>
              <w:rPr>
                <w:sz w:val="24"/>
              </w:rPr>
            </w:pPr>
            <w:r>
              <w:rPr>
                <w:rFonts w:hint="eastAsia"/>
                <w:sz w:val="24"/>
              </w:rPr>
              <w:t xml:space="preserve">学生实验桌</w:t>
            </w:r>
            <w:r/>
          </w:p>
        </w:tc>
        <w:tc>
          <w:tcPr>
            <w:tcW w:w="5103" w:type="dxa"/>
            <w:vAlign w:val="center"/>
            <w:textDirection w:val="lrTb"/>
            <w:noWrap/>
          </w:tcPr>
          <w:p>
            <w:pPr>
              <w:jc w:val="left"/>
              <w:widowControl/>
              <w:rPr>
                <w:sz w:val="24"/>
              </w:rPr>
            </w:pPr>
            <w:r>
              <w:rPr>
                <w:rFonts w:hint="eastAsia"/>
                <w:sz w:val="24"/>
              </w:rPr>
              <w:t xml:space="preserve">★</w:t>
            </w:r>
            <w:r>
              <w:rPr>
                <w:rFonts w:hint="eastAsia"/>
                <w:sz w:val="24"/>
              </w:rPr>
              <w:t xml:space="preserve">（</w:t>
            </w:r>
            <w:r>
              <w:rPr>
                <w:rFonts w:hint="eastAsia"/>
                <w:sz w:val="24"/>
              </w:rPr>
              <w:t xml:space="preserve">1</w:t>
            </w:r>
            <w:r>
              <w:rPr>
                <w:rFonts w:hint="eastAsia"/>
                <w:sz w:val="24"/>
              </w:rPr>
              <w:t xml:space="preserve">）</w:t>
            </w:r>
            <w:r>
              <w:rPr>
                <w:rFonts w:hint="eastAsia"/>
                <w:sz w:val="24"/>
              </w:rPr>
              <w:t xml:space="preserve">侧脚采用高强度合金或者钢制结构，要做到承重性能强和耐酸碱、耐腐蚀。</w:t>
            </w:r>
            <w:r/>
          </w:p>
          <w:p>
            <w:pPr>
              <w:jc w:val="left"/>
              <w:widowControl/>
              <w:rPr>
                <w:sz w:val="24"/>
              </w:rPr>
            </w:pPr>
            <w:r>
              <w:rPr>
                <w:sz w:val="24"/>
              </w:rPr>
            </w:r>
            <w:r/>
          </w:p>
        </w:tc>
        <w:tc>
          <w:tcPr>
            <w:tcW w:w="1595" w:type="dxa"/>
            <w:vAlign w:val="center"/>
            <w:vMerge w:val="restart"/>
            <w:textDirection w:val="lrTb"/>
            <w:noWrap/>
          </w:tcPr>
          <w:p>
            <w:pPr>
              <w:jc w:val="center"/>
              <w:widowControl/>
              <w:rPr>
                <w:sz w:val="24"/>
              </w:rPr>
            </w:pPr>
            <w:r>
              <w:rPr>
                <w:rFonts w:hint="eastAsia"/>
                <w:sz w:val="24"/>
              </w:rPr>
              <w:t xml:space="preserve">★承诺书并加盖投标人公章</w:t>
            </w:r>
            <w:r/>
          </w:p>
        </w:tc>
      </w:tr>
      <w:tr>
        <w:trPr>
          <w:jc w:val="center"/>
          <w:trHeight w:val="606"/>
        </w:trPr>
        <w:tc>
          <w:tcPr>
            <w:tcW w:w="662" w:type="dxa"/>
            <w:vAlign w:val="center"/>
            <w:vMerge w:val="continue"/>
            <w:textDirection w:val="lrTb"/>
            <w:noWrap/>
          </w:tcPr>
          <w:p>
            <w:pPr>
              <w:numPr>
                <w:ilvl w:val="1"/>
                <w:numId w:val="0"/>
              </w:numPr>
              <w:jc w:val="center"/>
              <w:spacing w:line="276" w:lineRule="auto"/>
              <w:rPr>
                <w:sz w:val="24"/>
              </w:rPr>
            </w:pPr>
            <w:r>
              <w:rPr>
                <w:sz w:val="24"/>
              </w:rPr>
            </w:r>
            <w:r/>
          </w:p>
        </w:tc>
        <w:tc>
          <w:tcPr>
            <w:tcW w:w="1417" w:type="dxa"/>
            <w:vAlign w:val="center"/>
            <w:vMerge w:val="continue"/>
            <w:textDirection w:val="lrTb"/>
            <w:noWrap/>
          </w:tcPr>
          <w:p>
            <w:pPr>
              <w:jc w:val="center"/>
              <w:widowControl/>
              <w:rPr>
                <w:sz w:val="24"/>
              </w:rPr>
            </w:pPr>
            <w:r>
              <w:rPr>
                <w:sz w:val="24"/>
              </w:rPr>
            </w:r>
            <w:r/>
          </w:p>
        </w:tc>
        <w:tc>
          <w:tcPr>
            <w:tcW w:w="5103" w:type="dxa"/>
            <w:vAlign w:val="center"/>
            <w:textDirection w:val="lrTb"/>
            <w:noWrap/>
          </w:tcPr>
          <w:p>
            <w:pPr>
              <w:jc w:val="left"/>
              <w:widowControl/>
              <w:rPr>
                <w:sz w:val="24"/>
              </w:rPr>
            </w:pPr>
            <w:r>
              <w:rPr>
                <w:rFonts w:hint="eastAsia"/>
                <w:sz w:val="24"/>
              </w:rPr>
              <w:t xml:space="preserve">★（</w:t>
            </w:r>
            <w:r>
              <w:rPr>
                <w:rFonts w:hint="eastAsia"/>
                <w:sz w:val="24"/>
              </w:rPr>
              <w:t xml:space="preserve">2</w:t>
            </w:r>
            <w:r>
              <w:rPr>
                <w:rFonts w:hint="eastAsia"/>
                <w:sz w:val="24"/>
              </w:rPr>
              <w:t xml:space="preserve">）后档板、前后横梁、中间横梁全部采用高强度挤出合金或者钢制模具型材。</w:t>
            </w:r>
            <w:r/>
          </w:p>
        </w:tc>
        <w:tc>
          <w:tcPr>
            <w:tcW w:w="1595" w:type="dxa"/>
            <w:vAlign w:val="center"/>
            <w:vMerge w:val="continue"/>
            <w:textDirection w:val="lrTb"/>
            <w:noWrap/>
          </w:tcPr>
          <w:p>
            <w:pPr>
              <w:jc w:val="center"/>
              <w:widowControl/>
              <w:rPr>
                <w:sz w:val="24"/>
              </w:rPr>
            </w:pPr>
            <w:r>
              <w:rPr>
                <w:sz w:val="24"/>
              </w:rPr>
            </w:r>
            <w:r/>
          </w:p>
        </w:tc>
      </w:tr>
      <w:tr>
        <w:trPr>
          <w:jc w:val="center"/>
          <w:trHeight w:val="606"/>
        </w:trPr>
        <w:tc>
          <w:tcPr>
            <w:tcW w:w="662" w:type="dxa"/>
            <w:vAlign w:val="center"/>
            <w:textDirection w:val="lrTb"/>
            <w:noWrap/>
          </w:tcPr>
          <w:p>
            <w:pPr>
              <w:numPr>
                <w:ilvl w:val="1"/>
                <w:numId w:val="0"/>
              </w:numPr>
              <w:jc w:val="center"/>
              <w:spacing w:line="276" w:lineRule="auto"/>
              <w:rPr>
                <w:sz w:val="24"/>
              </w:rPr>
            </w:pPr>
            <w:r>
              <w:rPr>
                <w:rFonts w:hint="eastAsia"/>
                <w:sz w:val="24"/>
              </w:rPr>
              <w:t xml:space="preserve">4</w:t>
            </w:r>
            <w:r/>
          </w:p>
        </w:tc>
        <w:tc>
          <w:tcPr>
            <w:tcW w:w="1417" w:type="dxa"/>
            <w:vAlign w:val="center"/>
            <w:textDirection w:val="lrTb"/>
            <w:noWrap/>
          </w:tcPr>
          <w:p>
            <w:pPr>
              <w:jc w:val="center"/>
              <w:widowControl/>
              <w:rPr>
                <w:sz w:val="24"/>
              </w:rPr>
            </w:pPr>
            <w:r>
              <w:rPr>
                <w:rFonts w:hint="eastAsia"/>
                <w:sz w:val="24"/>
              </w:rPr>
              <w:t xml:space="preserve">教师演示台、探究操作台、准备台</w:t>
            </w:r>
            <w:r/>
          </w:p>
        </w:tc>
        <w:tc>
          <w:tcPr>
            <w:tcW w:w="5103" w:type="dxa"/>
            <w:vAlign w:val="center"/>
            <w:textDirection w:val="lrTb"/>
            <w:noWrap/>
          </w:tcPr>
          <w:p>
            <w:pPr>
              <w:jc w:val="left"/>
              <w:widowControl/>
              <w:rPr>
                <w:sz w:val="24"/>
              </w:rPr>
            </w:pPr>
            <w:r>
              <w:rPr>
                <w:rFonts w:hint="eastAsia"/>
                <w:sz w:val="24"/>
              </w:rPr>
              <w:t xml:space="preserve">★柜体：全钢结构，采用≥</w:t>
            </w:r>
            <w:r>
              <w:rPr>
                <w:rFonts w:hint="eastAsia"/>
                <w:sz w:val="24"/>
              </w:rPr>
              <w:t xml:space="preserve">1.0mm</w:t>
            </w:r>
            <w:r>
              <w:rPr>
                <w:rFonts w:hint="eastAsia"/>
                <w:sz w:val="24"/>
              </w:rPr>
              <w:t xml:space="preserve">高强度镀锌钢板，切割折弯成型，组件焊接工艺，打磨平整，表面经环氧树脂喷涂处理。</w:t>
            </w:r>
            <w:r/>
          </w:p>
        </w:tc>
        <w:tc>
          <w:tcPr>
            <w:tcW w:w="1595" w:type="dxa"/>
            <w:vAlign w:val="center"/>
            <w:vMerge w:val="continue"/>
            <w:textDirection w:val="lrTb"/>
            <w:noWrap/>
          </w:tcPr>
          <w:p>
            <w:pPr>
              <w:jc w:val="center"/>
              <w:widowControl/>
              <w:rPr>
                <w:sz w:val="24"/>
              </w:rPr>
            </w:pPr>
            <w:r>
              <w:rPr>
                <w:sz w:val="24"/>
              </w:rPr>
            </w:r>
            <w:r/>
          </w:p>
        </w:tc>
      </w:tr>
      <w:tr>
        <w:trPr>
          <w:jc w:val="center"/>
          <w:trHeight w:val="606"/>
        </w:trPr>
        <w:tc>
          <w:tcPr>
            <w:tcW w:w="662" w:type="dxa"/>
            <w:vAlign w:val="center"/>
            <w:textDirection w:val="lrTb"/>
            <w:noWrap/>
          </w:tcPr>
          <w:p>
            <w:pPr>
              <w:numPr>
                <w:ilvl w:val="1"/>
                <w:numId w:val="0"/>
              </w:numPr>
              <w:jc w:val="center"/>
              <w:spacing w:line="276" w:lineRule="auto"/>
              <w:rPr>
                <w:sz w:val="24"/>
              </w:rPr>
            </w:pPr>
            <w:r>
              <w:rPr>
                <w:rFonts w:hint="eastAsia"/>
                <w:sz w:val="24"/>
              </w:rPr>
              <w:t xml:space="preserve">5</w:t>
            </w:r>
            <w:r/>
          </w:p>
        </w:tc>
        <w:tc>
          <w:tcPr>
            <w:tcW w:w="1417" w:type="dxa"/>
            <w:vAlign w:val="center"/>
            <w:textDirection w:val="lrTb"/>
            <w:noWrap/>
          </w:tcPr>
          <w:p>
            <w:pPr>
              <w:jc w:val="center"/>
              <w:rPr>
                <w:sz w:val="24"/>
              </w:rPr>
            </w:pPr>
            <w:r>
              <w:rPr>
                <w:rFonts w:hint="eastAsia"/>
                <w:sz w:val="24"/>
              </w:rPr>
              <w:t xml:space="preserve">教师演示</w:t>
            </w:r>
            <w:r>
              <w:rPr>
                <w:rFonts w:hint="eastAsia"/>
                <w:sz w:val="24"/>
              </w:rPr>
              <w:t xml:space="preserve">台</w:t>
            </w:r>
            <w:r/>
          </w:p>
        </w:tc>
        <w:tc>
          <w:tcPr>
            <w:tcW w:w="5103" w:type="dxa"/>
            <w:vAlign w:val="bottom"/>
            <w:textDirection w:val="lrTb"/>
            <w:noWrap/>
          </w:tcPr>
          <w:p>
            <w:pPr>
              <w:rPr>
                <w:sz w:val="24"/>
              </w:rPr>
            </w:pPr>
            <w:r>
              <w:rPr>
                <w:rFonts w:hint="eastAsia"/>
                <w:sz w:val="24"/>
              </w:rPr>
              <w:t xml:space="preserve">★桌身：整体采用≥</w:t>
            </w:r>
            <w:r>
              <w:rPr>
                <w:rFonts w:hint="eastAsia"/>
                <w:sz w:val="24"/>
              </w:rPr>
              <w:t xml:space="preserve">1.0mm</w:t>
            </w:r>
            <w:r>
              <w:rPr>
                <w:rFonts w:hint="eastAsia"/>
                <w:sz w:val="24"/>
              </w:rPr>
              <w:t xml:space="preserve">厚优质冷轧钢板，全部钢制件镀膜防锈处理。</w:t>
            </w:r>
            <w:r/>
          </w:p>
        </w:tc>
        <w:tc>
          <w:tcPr>
            <w:tcW w:w="1595" w:type="dxa"/>
            <w:vAlign w:val="center"/>
            <w:vMerge w:val="continue"/>
            <w:textDirection w:val="lrTb"/>
            <w:noWrap/>
          </w:tcPr>
          <w:p>
            <w:pPr>
              <w:jc w:val="center"/>
              <w:widowControl/>
              <w:rPr>
                <w:sz w:val="24"/>
              </w:rPr>
            </w:pPr>
            <w:r>
              <w:rPr>
                <w:sz w:val="24"/>
              </w:rPr>
            </w:r>
            <w:r/>
          </w:p>
        </w:tc>
      </w:tr>
    </w:tbl>
    <w:p>
      <w:pPr>
        <w:pStyle w:val="787"/>
        <w:ind w:firstLine="0"/>
      </w:pPr>
      <w:r/>
      <w:r/>
    </w:p>
    <w:p>
      <w:pPr>
        <w:pStyle w:val="787"/>
        <w:ind w:firstLine="0"/>
        <w:rPr>
          <w:b/>
        </w:rPr>
      </w:pPr>
      <w:r>
        <w:rPr>
          <w:b/>
        </w:rPr>
      </w:r>
      <w:r/>
    </w:p>
    <w:p>
      <w:pPr>
        <w:pStyle w:val="787"/>
        <w:ind w:firstLine="0"/>
        <w:rPr>
          <w:b/>
        </w:rPr>
      </w:pPr>
      <w:r>
        <w:rPr>
          <w:rFonts w:hint="eastAsia"/>
          <w:b/>
        </w:rPr>
        <w:t xml:space="preserve">二、相关说明</w:t>
      </w:r>
      <w:r/>
    </w:p>
    <w:p>
      <w:pPr>
        <w:numPr>
          <w:ilvl w:val="0"/>
          <w:numId w:val="5"/>
        </w:numPr>
        <w:spacing w:line="480" w:lineRule="exact"/>
        <w:rPr>
          <w:rFonts w:asciiTheme="minorEastAsia" w:hAnsiTheme="minorEastAsia" w:eastAsiaTheme="minorEastAsia" w:cstheme="minorEastAsia"/>
          <w:sz w:val="24"/>
          <w:szCs w:val="24"/>
        </w:rPr>
      </w:pPr>
      <w:r>
        <w:rPr>
          <w:rFonts w:hint="eastAsia" w:ascii="宋体" w:hAnsi="宋体" w:cs="宋体"/>
          <w:sz w:val="24"/>
          <w:szCs w:val="24"/>
        </w:rPr>
        <w:t xml:space="preserve">合同履行期限：自合同签订生效之日起30日内安装、调式运行；</w:t>
      </w:r>
      <w:r/>
    </w:p>
    <w:p>
      <w:pPr>
        <w:numPr>
          <w:ilvl w:val="0"/>
          <w:numId w:val="5"/>
        </w:num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是/否接受联合体投标： 否  ；</w:t>
      </w:r>
      <w:r/>
    </w:p>
    <w:p>
      <w:pPr>
        <w:numPr>
          <w:ilvl w:val="0"/>
          <w:numId w:val="5"/>
        </w:numPr>
        <w:spacing w:line="48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是/否接受分支机构参与响应：</w:t>
      </w:r>
      <w:r>
        <w:rPr>
          <w:rFonts w:hint="eastAsia" w:asciiTheme="minorEastAsia" w:hAnsiTheme="minorEastAsia" w:eastAsiaTheme="minorEastAsia" w:cstheme="minorEastAsia"/>
          <w:bCs/>
          <w:sz w:val="24"/>
          <w:szCs w:val="24"/>
        </w:rPr>
        <w:t xml:space="preserve">否；</w:t>
      </w:r>
      <w:r/>
    </w:p>
    <w:p>
      <w:pPr>
        <w:numPr>
          <w:ilvl w:val="0"/>
          <w:numId w:val="5"/>
        </w:num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是/否属于政府购买服务：否；</w:t>
      </w:r>
      <w:r/>
    </w:p>
    <w:p>
      <w:pPr>
        <w:numPr>
          <w:ilvl w:val="0"/>
          <w:numId w:val="5"/>
        </w:num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是/否接受进口产品投标：否；</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是/否专门面向中小企业预留采购份额：</w:t>
      </w:r>
      <w:r>
        <w:rPr>
          <w:rFonts w:asciiTheme="minorEastAsia" w:hAnsiTheme="minorEastAsia" w:eastAsiaTheme="minorEastAsia" w:cstheme="minorEastAsia"/>
          <w:sz w:val="24"/>
          <w:szCs w:val="24"/>
        </w:rPr>
        <w:t xml:space="preserve">是</w:t>
      </w:r>
      <w:r>
        <w:rPr>
          <w:rFonts w:hint="eastAsia" w:asciiTheme="minorEastAsia" w:hAnsiTheme="minorEastAsia" w:eastAsiaTheme="minorEastAsia" w:cstheme="minorEastAsia"/>
          <w:sz w:val="24"/>
          <w:szCs w:val="24"/>
        </w:rPr>
        <w:t xml:space="preserve">；</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7.本项目的特定资格要求：无；</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8.项目类别：货物类。</w:t>
      </w:r>
      <w:r/>
    </w:p>
    <w:p>
      <w:pPr>
        <w:pStyle w:val="1095"/>
        <w:numPr>
          <w:ilvl w:val="0"/>
          <w:numId w:val="6"/>
        </w:numPr>
        <w:jc w:val="both"/>
        <w:spacing w:line="400" w:lineRule="exact"/>
        <w:widowControl w:val="off"/>
        <w:rPr>
          <w:rFonts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政府采购中实施本国产品标准及相关政策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1.本项目对采购本国产品给予政策支持，具体内容见招标文件“第五章 评标方法与评标标准”。</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350"/>
      </w:pPr>
      <w:r>
        <w:rPr>
          <w:rFonts w:hint="eastAsia" w:asciiTheme="minorEastAsia" w:hAnsiTheme="minorEastAsia" w:eastAsiaTheme="minorEastAsia" w:cstheme="minorEastAsia"/>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7"/>
        <w:ind w:firstLine="350"/>
      </w:pPr>
      <w:r/>
      <w:r/>
    </w:p>
    <w:p>
      <w:pPr>
        <w:pStyle w:val="787"/>
        <w:ind w:firstLine="350"/>
      </w:pPr>
      <w:r/>
      <w:r/>
    </w:p>
    <w:tbl>
      <w:tblPr>
        <w:tblpPr w:horzAnchor="margin" w:tblpXSpec="left" w:vertAnchor="text" w:tblpY="1456" w:leftFromText="180" w:topFromText="0" w:rightFromText="180" w:bottomFromText="0"/>
        <w:tblW w:w="8191" w:type="dxa"/>
        <w:tblLayout w:type="fixed"/>
        <w:tblLook w:val="04A0" w:firstRow="1" w:lastRow="0" w:firstColumn="1" w:lastColumn="0" w:noHBand="0" w:noVBand="1"/>
      </w:tblPr>
      <w:tblGrid>
        <w:gridCol w:w="3218"/>
        <w:gridCol w:w="3107"/>
        <w:gridCol w:w="894"/>
        <w:gridCol w:w="972"/>
      </w:tblGrid>
      <w:tr>
        <w:trP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18" w:type="dxa"/>
            <w:vAlign w:val="center"/>
            <w:textDirection w:val="lrTb"/>
            <w:noWrap w:val="false"/>
          </w:tcPr>
          <w:p>
            <w:pPr>
              <w:jc w:val="center"/>
              <w:rPr>
                <w:sz w:val="24"/>
              </w:rPr>
            </w:pPr>
            <w:r>
              <w:rPr>
                <w:rFonts w:hint="eastAsia"/>
                <w:sz w:val="24"/>
              </w:rPr>
              <w:t xml:space="preserve">样品名称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107" w:type="dxa"/>
            <w:vAlign w:val="center"/>
            <w:textDirection w:val="lrTb"/>
            <w:noWrap w:val="false"/>
          </w:tcPr>
          <w:p>
            <w:pPr>
              <w:jc w:val="center"/>
              <w:rPr>
                <w:sz w:val="24"/>
              </w:rPr>
            </w:pPr>
            <w:r>
              <w:rPr>
                <w:rFonts w:hint="eastAsia"/>
                <w:sz w:val="24"/>
              </w:rPr>
              <w:t xml:space="preserve">实验室名称</w:t>
            </w:r>
            <w:r/>
          </w:p>
        </w:tc>
        <w:tc>
          <w:tcPr>
            <w:tcBorders>
              <w:top w:val="single" w:color="000000" w:sz="4" w:space="0"/>
              <w:left w:val="single" w:color="000000" w:sz="4" w:space="0"/>
              <w:bottom w:val="single" w:color="000000" w:sz="4" w:space="0"/>
              <w:right w:val="single" w:color="000000" w:sz="4" w:space="0"/>
            </w:tcBorders>
            <w:tcW w:w="894" w:type="dxa"/>
            <w:textDirection w:val="lrTb"/>
            <w:noWrap w:val="false"/>
          </w:tcPr>
          <w:p>
            <w:pPr>
              <w:jc w:val="center"/>
              <w:rPr>
                <w:sz w:val="24"/>
              </w:rPr>
            </w:pPr>
            <w:r>
              <w:rPr>
                <w:rFonts w:hint="eastAsia"/>
                <w:sz w:val="24"/>
              </w:rPr>
              <w:t xml:space="preserve">数量</w:t>
            </w:r>
            <w:r/>
          </w:p>
        </w:tc>
        <w:tc>
          <w:tcPr>
            <w:tcBorders>
              <w:top w:val="single" w:color="000000" w:sz="4" w:space="0"/>
              <w:left w:val="single" w:color="000000" w:sz="4" w:space="0"/>
              <w:bottom w:val="single" w:color="000000" w:sz="4" w:space="0"/>
              <w:right w:val="single" w:color="000000" w:sz="4" w:space="0"/>
            </w:tcBorders>
            <w:tcW w:w="972" w:type="dxa"/>
            <w:textDirection w:val="lrTb"/>
            <w:noWrap w:val="false"/>
          </w:tcPr>
          <w:p>
            <w:pPr>
              <w:jc w:val="center"/>
              <w:rPr>
                <w:sz w:val="24"/>
              </w:rPr>
            </w:pPr>
            <w:r>
              <w:rPr>
                <w:rFonts w:hint="eastAsia"/>
                <w:sz w:val="24"/>
              </w:rPr>
              <w:t xml:space="preserve">单位</w:t>
            </w:r>
            <w:r/>
          </w:p>
        </w:tc>
      </w:tr>
      <w:tr>
        <w:trPr>
          <w:trHeight w:val="6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18" w:type="dxa"/>
            <w:vAlign w:val="center"/>
            <w:textDirection w:val="lrTb"/>
            <w:noWrap w:val="false"/>
          </w:tcPr>
          <w:p>
            <w:pPr>
              <w:jc w:val="center"/>
              <w:rPr>
                <w:sz w:val="24"/>
              </w:rPr>
            </w:pPr>
            <w:r>
              <w:rPr>
                <w:sz w:val="24"/>
              </w:rPr>
              <w:t xml:space="preserve">学生实验桌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107" w:type="dxa"/>
            <w:vAlign w:val="center"/>
            <w:textDirection w:val="lrTb"/>
            <w:noWrap w:val="false"/>
          </w:tcPr>
          <w:p>
            <w:pPr>
              <w:jc w:val="center"/>
              <w:rPr>
                <w:sz w:val="24"/>
              </w:rPr>
            </w:pPr>
            <w:r>
              <w:rPr>
                <w:rFonts w:hint="eastAsia"/>
                <w:sz w:val="24"/>
              </w:rPr>
              <w:t xml:space="preserve">包号</w:t>
            </w:r>
            <w:r>
              <w:rPr>
                <w:rFonts w:hint="eastAsia"/>
                <w:sz w:val="24"/>
              </w:rPr>
              <w:t xml:space="preserve">1</w:t>
            </w:r>
            <w:r>
              <w:rPr>
                <w:rFonts w:hint="eastAsia"/>
                <w:sz w:val="24"/>
              </w:rPr>
              <w:t xml:space="preserve">中化学</w:t>
            </w:r>
            <w:r>
              <w:rPr>
                <w:rFonts w:hint="eastAsia" w:ascii="宋体" w:hAnsi="宋体" w:cs="宋体"/>
                <w:sz w:val="24"/>
                <w:szCs w:val="24"/>
              </w:rPr>
              <w:t xml:space="preserve">通风</w:t>
            </w:r>
            <w:r>
              <w:rPr>
                <w:rFonts w:hint="eastAsia"/>
                <w:sz w:val="24"/>
              </w:rPr>
              <w:t xml:space="preserve">实验室</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rPr>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rPr>
                <w:sz w:val="24"/>
              </w:rPr>
            </w:pPr>
            <w:r>
              <w:rPr>
                <w:sz w:val="24"/>
              </w:rPr>
              <w:t xml:space="preserve">张</w:t>
            </w:r>
            <w:r/>
          </w:p>
        </w:tc>
      </w:tr>
      <w:tr>
        <w:trPr>
          <w:trHeight w:val="6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18" w:type="dxa"/>
            <w:vAlign w:val="center"/>
            <w:textDirection w:val="lrTb"/>
            <w:noWrap w:val="false"/>
          </w:tcPr>
          <w:p>
            <w:pPr>
              <w:jc w:val="center"/>
              <w:rPr>
                <w:sz w:val="24"/>
              </w:rPr>
            </w:pPr>
            <w:r>
              <w:rPr>
                <w:sz w:val="24"/>
              </w:rPr>
              <w:t xml:space="preserve">实验凳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107" w:type="dxa"/>
            <w:vAlign w:val="center"/>
            <w:textDirection w:val="lrTb"/>
            <w:noWrap w:val="false"/>
          </w:tcPr>
          <w:p>
            <w:pPr>
              <w:jc w:val="center"/>
              <w:rPr>
                <w:sz w:val="24"/>
              </w:rPr>
            </w:pPr>
            <w:r>
              <w:rPr>
                <w:rFonts w:hint="eastAsia"/>
                <w:sz w:val="24"/>
              </w:rPr>
              <w:t xml:space="preserve">包号</w:t>
            </w:r>
            <w:r>
              <w:rPr>
                <w:rFonts w:hint="eastAsia"/>
                <w:sz w:val="24"/>
              </w:rPr>
              <w:t xml:space="preserve">1</w:t>
            </w:r>
            <w:r>
              <w:rPr>
                <w:rFonts w:hint="eastAsia"/>
                <w:sz w:val="24"/>
              </w:rPr>
              <w:t xml:space="preserve">中化学</w:t>
            </w:r>
            <w:r>
              <w:rPr>
                <w:rFonts w:hint="eastAsia" w:ascii="宋体" w:hAnsi="宋体" w:cs="宋体"/>
                <w:sz w:val="24"/>
                <w:szCs w:val="24"/>
              </w:rPr>
              <w:t xml:space="preserve">通风</w:t>
            </w:r>
            <w:r>
              <w:rPr>
                <w:rFonts w:hint="eastAsia"/>
                <w:sz w:val="24"/>
              </w:rPr>
              <w:t xml:space="preserve">实验室</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rPr>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rPr>
                <w:sz w:val="24"/>
              </w:rPr>
            </w:pPr>
            <w:r>
              <w:rPr>
                <w:sz w:val="24"/>
              </w:rPr>
              <w:t xml:space="preserve">张</w:t>
            </w:r>
            <w:r/>
          </w:p>
        </w:tc>
      </w:tr>
    </w:tbl>
    <w:p>
      <w:pPr>
        <w:pStyle w:val="838"/>
        <w:numPr>
          <w:ilvl w:val="0"/>
          <w:numId w:val="6"/>
        </w:numPr>
        <w:spacing w:line="360" w:lineRule="auto"/>
        <w:rPr>
          <w:b/>
          <w:sz w:val="24"/>
        </w:rPr>
      </w:pPr>
      <w:r>
        <w:rPr>
          <w:rFonts w:hint="eastAsia"/>
          <w:b/>
          <w:sz w:val="24"/>
        </w:rPr>
        <w:t xml:space="preserve">样品</w:t>
      </w:r>
      <w:bookmarkEnd w:id="208"/>
      <w:r/>
      <w:r/>
    </w:p>
    <w:p>
      <w:pPr>
        <w:spacing w:line="360" w:lineRule="auto"/>
        <w:rPr>
          <w:sz w:val="24"/>
        </w:rPr>
      </w:pPr>
      <w:r>
        <w:rPr>
          <w:rFonts w:hint="eastAsia"/>
          <w:sz w:val="24"/>
        </w:rPr>
        <w:t xml:space="preserve">1.</w:t>
      </w:r>
      <w:r>
        <w:rPr>
          <w:rFonts w:hint="eastAsia"/>
          <w:sz w:val="24"/>
        </w:rPr>
        <w:t xml:space="preserve">样品清单：（样品应与投标产品型号一致，样品与配套设备现场遮盖产品品牌，样品提交截止时间前完成安装）</w:t>
      </w:r>
      <w:bookmarkStart w:id="209" w:name="_Toc91836057"/>
      <w:r/>
      <w:bookmarkEnd w:id="209"/>
      <w:r/>
      <w:r/>
    </w:p>
    <w:p>
      <w:pPr>
        <w:jc w:val="left"/>
        <w:spacing w:line="360" w:lineRule="auto"/>
        <w:widowControl/>
        <w:rPr>
          <w:b/>
          <w:sz w:val="24"/>
        </w:rPr>
      </w:pPr>
      <w:r>
        <w:rPr>
          <w:b/>
          <w:sz w:val="24"/>
        </w:rPr>
      </w:r>
      <w:r/>
    </w:p>
    <w:p>
      <w:pPr>
        <w:pStyle w:val="787"/>
        <w:ind w:left="480" w:firstLine="0"/>
      </w:pPr>
      <w:r/>
      <w:r/>
    </w:p>
    <w:p>
      <w:pPr>
        <w:pStyle w:val="787"/>
        <w:ind w:firstLine="0"/>
        <w:rPr>
          <w:rFonts w:ascii="宋体" w:hAnsi="宋体" w:cs="宋体"/>
          <w:bCs/>
          <w:szCs w:val="24"/>
        </w:rPr>
      </w:pPr>
      <w:r>
        <w:rPr>
          <w:rFonts w:hint="eastAsia" w:ascii="宋体" w:hAnsi="宋体" w:cs="宋体"/>
          <w:bCs/>
          <w:szCs w:val="24"/>
        </w:rPr>
        <w:t xml:space="preserve">2.送样要求</w:t>
      </w:r>
      <w:r/>
    </w:p>
    <w:p>
      <w:pPr>
        <w:jc w:val="left"/>
        <w:spacing w:line="360" w:lineRule="auto"/>
        <w:widowControl/>
        <w:rPr>
          <w:rFonts w:ascii="宋体" w:hAnsi="宋体" w:cs="宋体"/>
          <w:bCs/>
          <w:color w:val="ff0000"/>
          <w:sz w:val="24"/>
          <w:szCs w:val="24"/>
        </w:rPr>
      </w:pPr>
      <w:r>
        <w:rPr>
          <w:rFonts w:hint="eastAsia" w:ascii="宋体" w:hAnsi="宋体" w:cs="宋体"/>
          <w:bCs/>
          <w:color w:val="ff0000"/>
          <w:sz w:val="24"/>
          <w:szCs w:val="24"/>
        </w:rPr>
        <w:t xml:space="preserve">(1)</w:t>
      </w:r>
      <w:r>
        <w:rPr>
          <w:rFonts w:ascii="宋体" w:hAnsi="宋体" w:cs="宋体"/>
          <w:bCs/>
          <w:color w:val="ff0000"/>
          <w:sz w:val="24"/>
          <w:szCs w:val="24"/>
        </w:rPr>
        <w:t xml:space="preserve"> </w:t>
      </w:r>
      <w:r>
        <w:rPr>
          <w:rFonts w:hint="eastAsia" w:ascii="宋体" w:hAnsi="宋体" w:cs="宋体"/>
          <w:bCs/>
          <w:color w:val="ff0000"/>
          <w:sz w:val="24"/>
          <w:szCs w:val="24"/>
        </w:rPr>
        <w:t xml:space="preserve">样品递交（安装完成）截止时间： </w:t>
      </w:r>
      <w:r>
        <w:rPr>
          <w:rFonts w:hint="eastAsia" w:ascii="宋体" w:hAnsi="宋体" w:cs="宋体"/>
          <w:bCs/>
          <w:color w:val="ff0000"/>
          <w:sz w:val="24"/>
          <w:szCs w:val="24"/>
          <w:highlight w:val="yellow"/>
        </w:rPr>
        <w:t xml:space="preserve">2026年</w:t>
      </w:r>
      <w:r>
        <w:rPr>
          <w:rFonts w:hint="eastAsia" w:ascii="宋体" w:hAnsi="宋体" w:cs="宋体"/>
          <w:bCs/>
          <w:color w:val="ff0000"/>
          <w:sz w:val="24"/>
          <w:szCs w:val="24"/>
          <w:highlight w:val="yellow"/>
        </w:rPr>
        <w:t xml:space="preserve"> </w:t>
      </w:r>
      <w:r>
        <w:rPr>
          <w:rFonts w:hint="eastAsia" w:ascii="宋体" w:hAnsi="宋体" w:cs="宋体"/>
          <w:bCs/>
          <w:color w:val="ff0000"/>
          <w:sz w:val="24"/>
          <w:szCs w:val="24"/>
          <w:highlight w:val="yellow"/>
        </w:rPr>
        <w:t xml:space="preserve">8 月 </w:t>
      </w:r>
      <w:r>
        <w:rPr>
          <w:rFonts w:hint="eastAsia" w:ascii="宋体" w:hAnsi="宋体" w:cs="宋体"/>
          <w:bCs/>
          <w:color w:val="ff0000"/>
          <w:sz w:val="24"/>
          <w:szCs w:val="24"/>
          <w:highlight w:val="yellow"/>
        </w:rPr>
        <w:t xml:space="preserve">20</w:t>
      </w:r>
      <w:r>
        <w:rPr>
          <w:rFonts w:hint="eastAsia" w:ascii="宋体" w:hAnsi="宋体" w:cs="宋体"/>
          <w:bCs/>
          <w:color w:val="ff0000"/>
          <w:sz w:val="24"/>
          <w:szCs w:val="24"/>
          <w:highlight w:val="yellow"/>
        </w:rPr>
        <w:t xml:space="preserve"> </w:t>
      </w:r>
      <w:r>
        <w:rPr>
          <w:rFonts w:hint="eastAsia" w:ascii="宋体" w:hAnsi="宋体" w:cs="宋体"/>
          <w:bCs/>
          <w:color w:val="ff0000"/>
          <w:sz w:val="24"/>
          <w:szCs w:val="24"/>
          <w:highlight w:val="yellow"/>
        </w:rPr>
        <w:t xml:space="preserve">日 17</w:t>
      </w:r>
      <w:r>
        <w:rPr>
          <w:rFonts w:hint="eastAsia" w:ascii="宋体" w:hAnsi="宋体" w:cs="宋体"/>
          <w:bCs/>
          <w:color w:val="ff0000"/>
          <w:sz w:val="24"/>
          <w:szCs w:val="24"/>
          <w:highlight w:val="yellow"/>
        </w:rPr>
        <w:t xml:space="preserve">：</w:t>
      </w:r>
      <w:r>
        <w:rPr>
          <w:rFonts w:hint="eastAsia" w:ascii="宋体" w:hAnsi="宋体" w:cs="宋体"/>
          <w:bCs/>
          <w:color w:val="ff0000"/>
          <w:sz w:val="24"/>
          <w:szCs w:val="24"/>
          <w:highlight w:val="yellow"/>
        </w:rPr>
        <w:t xml:space="preserve">00</w:t>
      </w:r>
      <w:r>
        <w:rPr>
          <w:rFonts w:hint="eastAsia" w:ascii="宋体" w:hAnsi="宋体" w:cs="宋体"/>
          <w:bCs/>
          <w:color w:val="ff0000"/>
          <w:sz w:val="24"/>
          <w:szCs w:val="24"/>
        </w:rPr>
        <w:t xml:space="preserve">；</w:t>
      </w:r>
      <w:r/>
    </w:p>
    <w:p>
      <w:pPr>
        <w:jc w:val="left"/>
        <w:spacing w:line="360" w:lineRule="auto"/>
        <w:widowControl/>
        <w:rPr>
          <w:rFonts w:ascii="宋体" w:hAnsi="宋体" w:cs="宋体"/>
          <w:bCs/>
          <w:color w:val="ff0000"/>
          <w:sz w:val="24"/>
          <w:szCs w:val="24"/>
        </w:rPr>
      </w:pPr>
      <w:r>
        <w:rPr>
          <w:rFonts w:hint="eastAsia" w:ascii="宋体" w:hAnsi="宋体" w:cs="宋体"/>
          <w:bCs/>
          <w:color w:val="ff0000"/>
          <w:sz w:val="24"/>
          <w:szCs w:val="24"/>
        </w:rPr>
        <w:t xml:space="preserve">(2)</w:t>
      </w:r>
      <w:r>
        <w:rPr>
          <w:rFonts w:ascii="宋体" w:hAnsi="宋体" w:cs="宋体"/>
          <w:bCs/>
          <w:color w:val="ff0000"/>
          <w:sz w:val="24"/>
          <w:szCs w:val="24"/>
        </w:rPr>
        <w:t xml:space="preserve"> </w:t>
      </w:r>
      <w:r>
        <w:rPr>
          <w:rFonts w:hint="eastAsia" w:ascii="宋体" w:hAnsi="宋体" w:cs="宋体"/>
          <w:bCs/>
          <w:color w:val="ff0000"/>
          <w:sz w:val="24"/>
          <w:szCs w:val="24"/>
        </w:rPr>
        <w:t xml:space="preserve">样品递交地点：常州市钟楼区新市路9号  1号楼一层大厅；</w:t>
      </w:r>
      <w:r/>
    </w:p>
    <w:p>
      <w:pPr>
        <w:jc w:val="left"/>
        <w:spacing w:line="360" w:lineRule="auto"/>
        <w:widowControl/>
        <w:rPr>
          <w:rFonts w:ascii="宋体" w:hAnsi="宋体" w:cs="宋体"/>
          <w:bCs/>
          <w:color w:val="ff0000"/>
          <w:sz w:val="24"/>
          <w:szCs w:val="24"/>
        </w:rPr>
      </w:pPr>
      <w:r>
        <w:rPr>
          <w:rFonts w:hint="eastAsia" w:ascii="宋体" w:hAnsi="宋体" w:cs="宋体"/>
          <w:bCs/>
          <w:color w:val="ff0000"/>
          <w:sz w:val="24"/>
          <w:szCs w:val="24"/>
        </w:rPr>
        <w:t xml:space="preserve">(3)</w:t>
      </w:r>
      <w:r>
        <w:rPr>
          <w:rFonts w:ascii="宋体" w:hAnsi="宋体" w:cs="宋体"/>
          <w:bCs/>
          <w:color w:val="ff0000"/>
          <w:sz w:val="24"/>
          <w:szCs w:val="24"/>
        </w:rPr>
        <w:t xml:space="preserve"> </w:t>
      </w:r>
      <w:r>
        <w:rPr>
          <w:rFonts w:hint="eastAsia" w:ascii="宋体" w:hAnsi="宋体" w:cs="宋体"/>
          <w:bCs/>
          <w:color w:val="ff0000"/>
          <w:sz w:val="24"/>
          <w:szCs w:val="24"/>
        </w:rPr>
        <w:t xml:space="preserve">递交样品联系电话：周老师 0519-86607039。</w:t>
      </w:r>
      <w:r/>
    </w:p>
    <w:p>
      <w:pPr>
        <w:jc w:val="left"/>
        <w:spacing w:line="360" w:lineRule="auto"/>
        <w:widowControl/>
        <w:rPr>
          <w:rFonts w:ascii="宋体" w:hAnsi="宋体" w:cs="宋体"/>
          <w:bCs/>
          <w:color w:val="ff0000"/>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）投标人在样品上/样品背面</w:t>
      </w:r>
      <w:r>
        <w:rPr>
          <w:rFonts w:hint="eastAsia" w:ascii="宋体" w:hAnsi="宋体"/>
          <w:sz w:val="24"/>
          <w:szCs w:val="24"/>
        </w:rPr>
        <w:t xml:space="preserve">粘贴标签（不大于</w:t>
      </w:r>
      <w:r>
        <w:rPr>
          <w:rFonts w:ascii="宋体" w:hAnsi="宋体"/>
          <w:sz w:val="24"/>
          <w:szCs w:val="24"/>
        </w:rPr>
        <w:t xml:space="preserve">10cm×5cm），标签上注明投标人名称、投标样品材质、规格型号、产地，加盖投标人公章，并用</w:t>
      </w:r>
      <w:r>
        <w:rPr>
          <w:rFonts w:ascii="宋体" w:hAnsi="宋体"/>
          <w:b/>
          <w:bCs/>
          <w:sz w:val="24"/>
          <w:szCs w:val="24"/>
        </w:rPr>
        <w:t xml:space="preserve">不透明白纸将标签粘贴遮盖</w:t>
      </w:r>
      <w:r>
        <w:rPr>
          <w:rFonts w:ascii="宋体" w:hAnsi="宋体"/>
          <w:sz w:val="24"/>
          <w:szCs w:val="24"/>
        </w:rPr>
        <w:t xml:space="preserve">。样品递交时</w:t>
      </w:r>
      <w:r>
        <w:rPr>
          <w:rFonts w:hint="eastAsia" w:ascii="宋体" w:hAnsi="宋体"/>
          <w:sz w:val="24"/>
          <w:szCs w:val="24"/>
        </w:rPr>
        <w:t xml:space="preserve">，</w:t>
      </w:r>
      <w:r>
        <w:rPr>
          <w:rFonts w:ascii="宋体" w:hAnsi="宋体"/>
          <w:sz w:val="24"/>
          <w:szCs w:val="24"/>
        </w:rPr>
        <w:t xml:space="preserve">样品上任何显示投标人名称的商标、品牌或其他显示该投标人名称的标志都应用不透明的白纸粘贴遮盖，否则将被视为无效投标。</w:t>
      </w:r>
      <w:r>
        <w:rPr>
          <w:rFonts w:hint="eastAsia" w:ascii="宋体" w:hAnsi="宋体"/>
          <w:sz w:val="24"/>
          <w:szCs w:val="24"/>
        </w:rPr>
        <w:t xml:space="preserve">未能提供样品、样品不齐全或样品不符合要求的，将被视为无效投标。样品制作及运输费用由投标人自行承担。</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ascii="宋体" w:hAnsi="宋体" w:cs="宋体"/>
          <w:bCs/>
          <w:sz w:val="24"/>
          <w:szCs w:val="24"/>
        </w:rPr>
        <w:t xml:space="preserve"> </w:t>
      </w:r>
      <w:r>
        <w:rPr>
          <w:rFonts w:hint="eastAsia" w:ascii="宋体" w:hAnsi="宋体" w:cs="宋体"/>
          <w:bCs/>
          <w:sz w:val="24"/>
          <w:szCs w:val="24"/>
        </w:rPr>
        <w:t xml:space="preserve">未中标人样品退还：未中标人的投标样品由投标人在开标结束后及时领回，采购人和采购代理机构不会对未中标人的投标样品负保管责任；</w:t>
      </w:r>
      <w:r/>
    </w:p>
    <w:p>
      <w:pPr>
        <w:jc w:val="left"/>
        <w:spacing w:line="360" w:lineRule="auto"/>
        <w:widowControl/>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)中标人样品保管、封存及退还：中标人的投标样品由采购人保管、封存，并作为履约验收的依据，验收合格后由采购人退回；</w:t>
      </w:r>
      <w:r/>
    </w:p>
    <w:p>
      <w:pPr>
        <w:pStyle w:val="787"/>
        <w:ind w:firstLine="0"/>
      </w:pPr>
      <w:r>
        <w:rPr>
          <w:rFonts w:hint="eastAsia" w:ascii="宋体" w:hAnsi="宋体" w:cs="宋体"/>
          <w:bCs/>
          <w:szCs w:val="24"/>
        </w:rPr>
        <w:t xml:space="preserve">(7</w:t>
      </w:r>
      <w:r>
        <w:rPr>
          <w:rFonts w:hint="eastAsia" w:ascii="宋体" w:hAnsi="宋体" w:cs="宋体"/>
          <w:bCs/>
          <w:szCs w:val="24"/>
        </w:rPr>
        <w:t xml:space="preserve">)其他要求：开标前样品均由投标人自行保管。</w:t>
      </w:r>
      <w:r/>
    </w:p>
    <w:p>
      <w:pPr>
        <w:pStyle w:val="787"/>
        <w:ind w:left="480" w:firstLine="0"/>
      </w:pPr>
      <w:r/>
      <w:r/>
    </w:p>
    <w:p>
      <w:pPr>
        <w:pStyle w:val="787"/>
        <w:ind w:left="480" w:firstLine="0"/>
      </w:pPr>
      <w:r/>
      <w:r/>
    </w:p>
    <w:p>
      <w:pPr>
        <w:pStyle w:val="787"/>
        <w:ind w:left="480" w:firstLine="0"/>
      </w:pPr>
      <w:r/>
      <w:r/>
    </w:p>
    <w:p>
      <w:pPr>
        <w:pStyle w:val="787"/>
        <w:ind w:left="480" w:firstLine="0"/>
      </w:pPr>
      <w:r/>
      <w:r/>
    </w:p>
    <w:p>
      <w:pPr>
        <w:pStyle w:val="787"/>
        <w:ind w:left="480" w:firstLine="0"/>
      </w:pPr>
      <w:r/>
      <w:r/>
    </w:p>
    <w:p>
      <w:pPr>
        <w:pStyle w:val="787"/>
        <w:ind w:left="480" w:firstLine="0"/>
      </w:pPr>
      <w:r/>
      <w:r/>
    </w:p>
    <w:p>
      <w:pPr>
        <w:pStyle w:val="787"/>
        <w:numPr>
          <w:ilvl w:val="0"/>
          <w:numId w:val="7"/>
        </w:numPr>
      </w:pPr>
      <w:r>
        <w:t xml:space="preserve">采购清单</w:t>
      </w:r>
      <w:r>
        <w:rPr>
          <w:rFonts w:hint="eastAsia"/>
        </w:rPr>
        <w:t xml:space="preserve">：</w:t>
      </w:r>
      <w:r/>
    </w:p>
    <w:p>
      <w:pPr>
        <w:pStyle w:val="787"/>
        <w:numPr>
          <w:ilvl w:val="0"/>
          <w:numId w:val="8"/>
        </w:numPr>
      </w:pPr>
      <w:r>
        <w:rPr>
          <w:rFonts w:hint="eastAsia"/>
        </w:rPr>
        <w:t xml:space="preserve">基础清单</w:t>
      </w:r>
      <w:r/>
    </w:p>
    <w:p>
      <w:pPr>
        <w:pStyle w:val="815"/>
        <w:ind w:firstLine="0"/>
        <w:spacing w:line="480" w:lineRule="exact"/>
        <w:rPr>
          <w:rFonts w:asciiTheme="minorEastAsia" w:hAnsiTheme="minorEastAsia" w:eastAsiaTheme="minorEastAsia" w:cstheme="minorEastAsia"/>
          <w:spacing w:val="9"/>
          <w:sz w:val="24"/>
          <w:szCs w:val="24"/>
        </w:rPr>
      </w:pPr>
      <w:r>
        <w:rPr>
          <w:rFonts w:hint="eastAsia" w:asciiTheme="minorEastAsia" w:hAnsiTheme="minorEastAsia" w:eastAsiaTheme="minorEastAsia" w:cstheme="minorEastAsia"/>
          <w:spacing w:val="9"/>
          <w:sz w:val="24"/>
          <w:szCs w:val="24"/>
        </w:rPr>
        <w:t xml:space="preserve">包一：</w:t>
      </w:r>
      <w:r/>
    </w:p>
    <w:tbl>
      <w:tblPr>
        <w:tblStyle w:val="1089"/>
        <w:tblW w:w="8737"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38"/>
        <w:gridCol w:w="939"/>
        <w:gridCol w:w="2891"/>
        <w:gridCol w:w="1715"/>
        <w:gridCol w:w="1554"/>
      </w:tblGrid>
      <w:tr>
        <w:trPr>
          <w:trHeight w:val="520"/>
        </w:trPr>
        <w:tc>
          <w:tcPr>
            <w:shd w:val="clear" w:color="auto" w:fill="auto"/>
            <w:tcW w:w="1638" w:type="dxa"/>
            <w:vAlign w:val="center"/>
            <w:textDirection w:val="lrTb"/>
            <w:noWrap w:val="false"/>
          </w:tcPr>
          <w:p>
            <w:pPr>
              <w:pStyle w:val="1090"/>
              <w:jc w:val="center"/>
              <w:rPr>
                <w:sz w:val="24"/>
                <w:szCs w:val="24"/>
              </w:rPr>
            </w:pPr>
            <w:r>
              <w:rPr>
                <w:rFonts w:hint="eastAsia"/>
                <w:sz w:val="24"/>
                <w:szCs w:val="24"/>
              </w:rPr>
              <w:t xml:space="preserve">学校</w:t>
            </w:r>
            <w:r/>
          </w:p>
        </w:tc>
        <w:tc>
          <w:tcPr>
            <w:shd w:val="clear" w:color="auto" w:fill="auto"/>
            <w:tcW w:w="939" w:type="dxa"/>
            <w:vAlign w:val="center"/>
            <w:textDirection w:val="lrTb"/>
            <w:noWrap w:val="false"/>
          </w:tcPr>
          <w:p>
            <w:pPr>
              <w:pStyle w:val="1090"/>
              <w:jc w:val="center"/>
              <w:rPr>
                <w:sz w:val="24"/>
                <w:szCs w:val="24"/>
              </w:rPr>
            </w:pPr>
            <w:r>
              <w:rPr>
                <w:rFonts w:hint="eastAsia"/>
                <w:sz w:val="24"/>
                <w:szCs w:val="24"/>
              </w:rPr>
              <w:t xml:space="preserve">序号</w:t>
            </w:r>
            <w:r/>
          </w:p>
        </w:tc>
        <w:tc>
          <w:tcPr>
            <w:shd w:val="clear" w:color="auto" w:fill="auto"/>
            <w:tcW w:w="2891" w:type="dxa"/>
            <w:vAlign w:val="center"/>
            <w:textDirection w:val="lrTb"/>
            <w:noWrap w:val="false"/>
          </w:tcPr>
          <w:p>
            <w:pPr>
              <w:pStyle w:val="1090"/>
              <w:jc w:val="center"/>
              <w:rPr>
                <w:sz w:val="24"/>
                <w:szCs w:val="24"/>
              </w:rPr>
            </w:pPr>
            <w:r>
              <w:rPr>
                <w:rFonts w:hint="eastAsia"/>
                <w:sz w:val="24"/>
                <w:szCs w:val="24"/>
              </w:rPr>
              <w:t xml:space="preserve">名称</w:t>
            </w:r>
            <w:r/>
          </w:p>
        </w:tc>
        <w:tc>
          <w:tcPr>
            <w:shd w:val="clear" w:color="auto" w:fill="auto"/>
            <w:tcW w:w="1715" w:type="dxa"/>
            <w:vAlign w:val="center"/>
            <w:textDirection w:val="lrTb"/>
            <w:noWrap w:val="false"/>
          </w:tcPr>
          <w:p>
            <w:pPr>
              <w:pStyle w:val="1090"/>
              <w:jc w:val="center"/>
              <w:rPr>
                <w:sz w:val="24"/>
                <w:szCs w:val="24"/>
              </w:rPr>
            </w:pPr>
            <w:r>
              <w:rPr>
                <w:rFonts w:hint="eastAsia"/>
                <w:sz w:val="24"/>
                <w:szCs w:val="24"/>
              </w:rPr>
              <w:t xml:space="preserve">单位</w:t>
            </w:r>
            <w:r/>
          </w:p>
        </w:tc>
        <w:tc>
          <w:tcPr>
            <w:shd w:val="clear" w:color="auto" w:fill="auto"/>
            <w:tcW w:w="1554" w:type="dxa"/>
            <w:vAlign w:val="center"/>
            <w:textDirection w:val="lrTb"/>
            <w:noWrap w:val="false"/>
          </w:tcPr>
          <w:p>
            <w:pPr>
              <w:pStyle w:val="1090"/>
              <w:jc w:val="center"/>
              <w:rPr>
                <w:sz w:val="24"/>
                <w:szCs w:val="24"/>
              </w:rPr>
            </w:pPr>
            <w:r>
              <w:rPr>
                <w:rFonts w:hint="eastAsia"/>
                <w:sz w:val="24"/>
                <w:szCs w:val="24"/>
              </w:rPr>
              <w:t xml:space="preserve">数量</w:t>
            </w:r>
            <w:r/>
          </w:p>
        </w:tc>
      </w:tr>
      <w:tr>
        <w:trPr>
          <w:trHeight w:val="534"/>
        </w:trPr>
        <w:tc>
          <w:tcPr>
            <w:tcW w:w="1638" w:type="dxa"/>
            <w:vAlign w:val="center"/>
            <w:vMerge w:val="restart"/>
            <w:textDirection w:val="lrTb"/>
            <w:noWrap w:val="false"/>
          </w:tcPr>
          <w:p>
            <w:pPr>
              <w:pStyle w:val="1090"/>
              <w:jc w:val="center"/>
              <w:rPr>
                <w:sz w:val="24"/>
                <w:szCs w:val="24"/>
              </w:rPr>
            </w:pPr>
            <w:r>
              <w:rPr>
                <w:rFonts w:hint="eastAsia"/>
                <w:sz w:val="24"/>
                <w:szCs w:val="24"/>
              </w:rPr>
              <w:t xml:space="preserve">常州市</w:t>
            </w:r>
            <w:r>
              <w:rPr>
                <w:rFonts w:hint="eastAsia"/>
                <w:sz w:val="24"/>
                <w:szCs w:val="24"/>
              </w:rPr>
              <w:t xml:space="preserve">龙城</w:t>
            </w:r>
            <w:r>
              <w:rPr>
                <w:rFonts w:hint="eastAsia"/>
                <w:sz w:val="24"/>
                <w:szCs w:val="24"/>
              </w:rPr>
              <w:t xml:space="preserve">高级中学</w:t>
            </w:r>
            <w:r/>
          </w:p>
        </w:tc>
        <w:tc>
          <w:tcPr>
            <w:tcW w:w="939" w:type="dxa"/>
            <w:vAlign w:val="center"/>
            <w:textDirection w:val="lrTb"/>
            <w:noWrap w:val="false"/>
          </w:tcPr>
          <w:p>
            <w:pPr>
              <w:pStyle w:val="1090"/>
              <w:jc w:val="center"/>
              <w:rPr>
                <w:sz w:val="24"/>
                <w:szCs w:val="24"/>
              </w:rPr>
            </w:pPr>
            <w:r>
              <w:rPr>
                <w:rFonts w:hint="eastAsia"/>
                <w:sz w:val="24"/>
                <w:szCs w:val="24"/>
              </w:rPr>
              <w:t xml:space="preserve">1</w:t>
            </w:r>
            <w:r/>
          </w:p>
        </w:tc>
        <w:tc>
          <w:tcPr>
            <w:tcW w:w="2891" w:type="dxa"/>
            <w:vAlign w:val="center"/>
            <w:textDirection w:val="lrTb"/>
            <w:noWrap w:val="false"/>
          </w:tcPr>
          <w:p>
            <w:pPr>
              <w:rPr>
                <w:rFonts w:ascii="宋体" w:hAnsi="宋体" w:cs="宋体"/>
                <w:sz w:val="24"/>
                <w:szCs w:val="24"/>
                <w:lang w:eastAsia="en-US"/>
              </w:rPr>
            </w:pPr>
            <w:r>
              <w:rPr>
                <w:rFonts w:hint="eastAsia" w:ascii="宋体" w:hAnsi="宋体" w:cs="宋体"/>
                <w:sz w:val="24"/>
                <w:szCs w:val="24"/>
                <w:lang w:eastAsia="en-US"/>
              </w:rPr>
              <w:t xml:space="preserve">化学通风实验室</w:t>
            </w:r>
            <w:r/>
          </w:p>
        </w:tc>
        <w:tc>
          <w:tcPr>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r>
        <w:trPr>
          <w:trHeight w:val="540"/>
        </w:trPr>
        <w:tc>
          <w:tcPr>
            <w:tcW w:w="1638" w:type="dxa"/>
            <w:vAlign w:val="center"/>
            <w:vMerge w:val="continue"/>
            <w:textDirection w:val="lrTb"/>
            <w:noWrap w:val="false"/>
          </w:tcPr>
          <w:p>
            <w:pPr>
              <w:pStyle w:val="1090"/>
              <w:jc w:val="center"/>
              <w:rPr>
                <w:sz w:val="24"/>
                <w:szCs w:val="24"/>
              </w:rPr>
            </w:pPr>
            <w:r>
              <w:rPr>
                <w:sz w:val="24"/>
                <w:szCs w:val="24"/>
              </w:rPr>
            </w:r>
            <w:r/>
          </w:p>
        </w:tc>
        <w:tc>
          <w:tcPr>
            <w:tcW w:w="939" w:type="dxa"/>
            <w:vAlign w:val="center"/>
            <w:textDirection w:val="lrTb"/>
            <w:noWrap w:val="false"/>
          </w:tcPr>
          <w:p>
            <w:pPr>
              <w:pStyle w:val="1090"/>
              <w:jc w:val="center"/>
              <w:rPr>
                <w:sz w:val="24"/>
                <w:szCs w:val="24"/>
              </w:rPr>
            </w:pPr>
            <w:r>
              <w:rPr>
                <w:rFonts w:hint="eastAsia"/>
                <w:sz w:val="24"/>
                <w:szCs w:val="24"/>
              </w:rPr>
              <w:t xml:space="preserve">2</w:t>
            </w:r>
            <w:r/>
          </w:p>
        </w:tc>
        <w:tc>
          <w:tcPr>
            <w:tcW w:w="2891" w:type="dxa"/>
            <w:vAlign w:val="center"/>
            <w:textDirection w:val="lrTb"/>
            <w:noWrap w:val="false"/>
          </w:tcPr>
          <w:p>
            <w:pPr>
              <w:rPr>
                <w:rFonts w:ascii="宋体" w:hAnsi="宋体" w:cs="宋体"/>
                <w:sz w:val="24"/>
                <w:szCs w:val="24"/>
                <w:lang w:eastAsia="en-US"/>
              </w:rPr>
            </w:pPr>
            <w:r>
              <w:rPr>
                <w:rFonts w:hint="eastAsia" w:ascii="宋体" w:hAnsi="宋体" w:cs="宋体"/>
                <w:sz w:val="24"/>
                <w:szCs w:val="24"/>
                <w:lang w:eastAsia="en-US"/>
              </w:rPr>
              <w:t xml:space="preserve">生物</w:t>
            </w:r>
            <w:r>
              <w:rPr>
                <w:rFonts w:hint="eastAsia" w:ascii="宋体" w:hAnsi="宋体" w:cs="宋体"/>
                <w:sz w:val="24"/>
                <w:szCs w:val="24"/>
                <w:lang w:eastAsia="en-US"/>
              </w:rPr>
              <w:t xml:space="preserve">常规</w:t>
            </w:r>
            <w:r>
              <w:rPr>
                <w:rFonts w:hint="eastAsia" w:ascii="宋体" w:hAnsi="宋体" w:cs="宋体"/>
                <w:sz w:val="24"/>
                <w:szCs w:val="24"/>
                <w:lang w:eastAsia="en-US"/>
              </w:rPr>
              <w:t xml:space="preserve">实验室</w:t>
            </w:r>
            <w:r/>
          </w:p>
        </w:tc>
        <w:tc>
          <w:tcPr>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r>
        <w:trPr>
          <w:trHeight w:val="477"/>
        </w:trPr>
        <w:tc>
          <w:tcPr>
            <w:tcW w:w="1638" w:type="dxa"/>
            <w:vAlign w:val="center"/>
            <w:vMerge w:val="continue"/>
            <w:textDirection w:val="lrTb"/>
            <w:noWrap w:val="false"/>
          </w:tcPr>
          <w:p>
            <w:pPr>
              <w:pStyle w:val="1090"/>
              <w:jc w:val="center"/>
              <w:rPr>
                <w:sz w:val="24"/>
                <w:szCs w:val="24"/>
              </w:rPr>
            </w:pPr>
            <w:r>
              <w:rPr>
                <w:sz w:val="24"/>
                <w:szCs w:val="24"/>
              </w:rPr>
            </w:r>
            <w:r/>
          </w:p>
        </w:tc>
        <w:tc>
          <w:tcPr>
            <w:tcW w:w="939" w:type="dxa"/>
            <w:vAlign w:val="center"/>
            <w:textDirection w:val="lrTb"/>
            <w:noWrap w:val="false"/>
          </w:tcPr>
          <w:p>
            <w:pPr>
              <w:pStyle w:val="1090"/>
              <w:jc w:val="center"/>
              <w:rPr>
                <w:sz w:val="24"/>
                <w:szCs w:val="24"/>
              </w:rPr>
            </w:pPr>
            <w:r>
              <w:rPr>
                <w:rFonts w:hint="eastAsia"/>
                <w:sz w:val="24"/>
                <w:szCs w:val="24"/>
              </w:rPr>
              <w:t xml:space="preserve">3</w:t>
            </w:r>
            <w:r/>
          </w:p>
        </w:tc>
        <w:tc>
          <w:tcPr>
            <w:tcW w:w="2891" w:type="dxa"/>
            <w:vAlign w:val="center"/>
            <w:textDirection w:val="lrTb"/>
            <w:noWrap w:val="false"/>
          </w:tcPr>
          <w:p>
            <w:pPr>
              <w:rPr>
                <w:rFonts w:ascii="宋体" w:hAnsi="宋体" w:cs="宋体"/>
                <w:sz w:val="24"/>
                <w:szCs w:val="24"/>
                <w:lang w:eastAsia="en-US"/>
              </w:rPr>
            </w:pPr>
            <w:r>
              <w:rPr>
                <w:rFonts w:hint="eastAsia" w:ascii="宋体" w:hAnsi="宋体" w:cs="宋体"/>
                <w:sz w:val="24"/>
                <w:szCs w:val="24"/>
                <w:lang w:eastAsia="en-US"/>
              </w:rPr>
              <w:t xml:space="preserve">物理</w:t>
            </w:r>
            <w:r>
              <w:rPr>
                <w:rFonts w:hint="eastAsia" w:ascii="宋体" w:hAnsi="宋体" w:cs="宋体"/>
                <w:sz w:val="24"/>
                <w:szCs w:val="24"/>
                <w:lang w:eastAsia="en-US"/>
              </w:rPr>
              <w:t xml:space="preserve">常规</w:t>
            </w:r>
            <w:r>
              <w:rPr>
                <w:rFonts w:hint="eastAsia" w:ascii="宋体" w:hAnsi="宋体" w:cs="宋体"/>
                <w:sz w:val="24"/>
                <w:szCs w:val="24"/>
                <w:lang w:eastAsia="en-US"/>
              </w:rPr>
              <w:t xml:space="preserve">实验室1</w:t>
            </w:r>
            <w:r/>
          </w:p>
        </w:tc>
        <w:tc>
          <w:tcPr>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r>
        <w:trPr>
          <w:trHeight w:val="498"/>
        </w:trPr>
        <w:tc>
          <w:tcPr>
            <w:tcW w:w="1638" w:type="dxa"/>
            <w:vAlign w:val="center"/>
            <w:vMerge w:val="continue"/>
            <w:textDirection w:val="lrTb"/>
            <w:noWrap w:val="false"/>
          </w:tcPr>
          <w:p>
            <w:pPr>
              <w:pStyle w:val="1090"/>
              <w:jc w:val="center"/>
              <w:rPr>
                <w:sz w:val="24"/>
                <w:szCs w:val="24"/>
              </w:rPr>
            </w:pPr>
            <w:r>
              <w:rPr>
                <w:sz w:val="24"/>
                <w:szCs w:val="24"/>
              </w:rPr>
            </w:r>
            <w:r/>
          </w:p>
        </w:tc>
        <w:tc>
          <w:tcPr>
            <w:tcW w:w="939" w:type="dxa"/>
            <w:vAlign w:val="center"/>
            <w:textDirection w:val="lrTb"/>
            <w:noWrap w:val="false"/>
          </w:tcPr>
          <w:p>
            <w:pPr>
              <w:pStyle w:val="1090"/>
              <w:jc w:val="center"/>
              <w:rPr>
                <w:sz w:val="24"/>
                <w:szCs w:val="24"/>
              </w:rPr>
            </w:pPr>
            <w:r>
              <w:rPr>
                <w:rFonts w:hint="eastAsia"/>
                <w:sz w:val="24"/>
                <w:szCs w:val="24"/>
              </w:rPr>
              <w:t xml:space="preserve">4</w:t>
            </w:r>
            <w:r/>
          </w:p>
        </w:tc>
        <w:tc>
          <w:tcPr>
            <w:tcW w:w="2891" w:type="dxa"/>
            <w:vAlign w:val="center"/>
            <w:textDirection w:val="lrTb"/>
            <w:noWrap w:val="false"/>
          </w:tcPr>
          <w:p>
            <w:pPr>
              <w:rPr>
                <w:rFonts w:ascii="宋体" w:hAnsi="宋体" w:cs="宋体"/>
                <w:sz w:val="24"/>
                <w:szCs w:val="24"/>
                <w:lang w:eastAsia="en-US"/>
              </w:rPr>
            </w:pPr>
            <w:r>
              <w:rPr>
                <w:rFonts w:hint="eastAsia" w:ascii="宋体" w:hAnsi="宋体" w:cs="宋体"/>
                <w:sz w:val="24"/>
                <w:szCs w:val="24"/>
                <w:lang w:eastAsia="en-US"/>
              </w:rPr>
              <w:t xml:space="preserve">物理</w:t>
            </w:r>
            <w:r>
              <w:rPr>
                <w:rFonts w:hint="eastAsia" w:ascii="宋体" w:hAnsi="宋体" w:cs="宋体"/>
                <w:sz w:val="24"/>
                <w:szCs w:val="24"/>
                <w:lang w:eastAsia="en-US"/>
              </w:rPr>
              <w:t xml:space="preserve">常规</w:t>
            </w:r>
            <w:r>
              <w:rPr>
                <w:rFonts w:hint="eastAsia" w:ascii="宋体" w:hAnsi="宋体" w:cs="宋体"/>
                <w:sz w:val="24"/>
                <w:szCs w:val="24"/>
                <w:lang w:eastAsia="en-US"/>
              </w:rPr>
              <w:t xml:space="preserve">实验室2</w:t>
            </w:r>
            <w:r/>
          </w:p>
        </w:tc>
        <w:tc>
          <w:tcPr>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bl>
    <w:p>
      <w:pPr>
        <w:pStyle w:val="815"/>
        <w:ind w:firstLine="0"/>
        <w:spacing w:line="480" w:lineRule="exact"/>
        <w:rPr>
          <w:rFonts w:asciiTheme="minorEastAsia" w:hAnsiTheme="minorEastAsia" w:eastAsiaTheme="minorEastAsia" w:cstheme="minorEastAsia"/>
          <w:spacing w:val="9"/>
          <w:sz w:val="24"/>
          <w:szCs w:val="24"/>
        </w:rPr>
      </w:pPr>
      <w:r>
        <w:rPr>
          <w:rFonts w:hint="eastAsia" w:asciiTheme="minorEastAsia" w:hAnsiTheme="minorEastAsia" w:eastAsiaTheme="minorEastAsia" w:cstheme="minorEastAsia"/>
          <w:spacing w:val="9"/>
          <w:sz w:val="24"/>
          <w:szCs w:val="24"/>
        </w:rPr>
        <w:t xml:space="preserve">包二：</w:t>
      </w:r>
      <w:r/>
    </w:p>
    <w:tbl>
      <w:tblPr>
        <w:tblStyle w:val="1089"/>
        <w:tblW w:w="8737"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38"/>
        <w:gridCol w:w="939"/>
        <w:gridCol w:w="2891"/>
        <w:gridCol w:w="1715"/>
        <w:gridCol w:w="1554"/>
      </w:tblGrid>
      <w:tr>
        <w:trPr>
          <w:trHeight w:val="520"/>
        </w:trPr>
        <w:tc>
          <w:tcPr>
            <w:shd w:val="clear" w:color="auto" w:fill="auto"/>
            <w:tcW w:w="1638" w:type="dxa"/>
            <w:vAlign w:val="center"/>
            <w:textDirection w:val="lrTb"/>
            <w:noWrap w:val="false"/>
          </w:tcPr>
          <w:p>
            <w:pPr>
              <w:pStyle w:val="1090"/>
              <w:jc w:val="center"/>
              <w:rPr>
                <w:sz w:val="24"/>
                <w:szCs w:val="24"/>
              </w:rPr>
            </w:pPr>
            <w:r>
              <w:rPr>
                <w:rFonts w:hint="eastAsia"/>
                <w:sz w:val="24"/>
                <w:szCs w:val="24"/>
              </w:rPr>
              <w:t xml:space="preserve">学校</w:t>
            </w:r>
            <w:r/>
          </w:p>
        </w:tc>
        <w:tc>
          <w:tcPr>
            <w:shd w:val="clear" w:color="auto" w:fill="auto"/>
            <w:tcW w:w="939" w:type="dxa"/>
            <w:vAlign w:val="center"/>
            <w:textDirection w:val="lrTb"/>
            <w:noWrap w:val="false"/>
          </w:tcPr>
          <w:p>
            <w:pPr>
              <w:pStyle w:val="1090"/>
              <w:jc w:val="center"/>
              <w:rPr>
                <w:sz w:val="24"/>
                <w:szCs w:val="24"/>
              </w:rPr>
            </w:pPr>
            <w:r>
              <w:rPr>
                <w:rFonts w:hint="eastAsia"/>
                <w:sz w:val="24"/>
                <w:szCs w:val="24"/>
              </w:rPr>
              <w:t xml:space="preserve">序号</w:t>
            </w:r>
            <w:r/>
          </w:p>
        </w:tc>
        <w:tc>
          <w:tcPr>
            <w:shd w:val="clear" w:color="auto" w:fill="auto"/>
            <w:tcW w:w="2891" w:type="dxa"/>
            <w:vAlign w:val="center"/>
            <w:textDirection w:val="lrTb"/>
            <w:noWrap w:val="false"/>
          </w:tcPr>
          <w:p>
            <w:pPr>
              <w:pStyle w:val="1090"/>
              <w:jc w:val="center"/>
              <w:rPr>
                <w:sz w:val="24"/>
                <w:szCs w:val="24"/>
              </w:rPr>
            </w:pPr>
            <w:r>
              <w:rPr>
                <w:rFonts w:hint="eastAsia"/>
                <w:sz w:val="24"/>
                <w:szCs w:val="24"/>
              </w:rPr>
              <w:t xml:space="preserve">名称</w:t>
            </w:r>
            <w:r/>
          </w:p>
        </w:tc>
        <w:tc>
          <w:tcPr>
            <w:shd w:val="clear" w:color="auto" w:fill="auto"/>
            <w:tcW w:w="1715" w:type="dxa"/>
            <w:vAlign w:val="center"/>
            <w:textDirection w:val="lrTb"/>
            <w:noWrap w:val="false"/>
          </w:tcPr>
          <w:p>
            <w:pPr>
              <w:pStyle w:val="1090"/>
              <w:jc w:val="center"/>
              <w:rPr>
                <w:sz w:val="24"/>
                <w:szCs w:val="24"/>
              </w:rPr>
            </w:pPr>
            <w:r>
              <w:rPr>
                <w:rFonts w:hint="eastAsia"/>
                <w:sz w:val="24"/>
                <w:szCs w:val="24"/>
              </w:rPr>
              <w:t xml:space="preserve">单位</w:t>
            </w:r>
            <w:r/>
          </w:p>
        </w:tc>
        <w:tc>
          <w:tcPr>
            <w:shd w:val="clear" w:color="auto" w:fill="auto"/>
            <w:tcW w:w="1554" w:type="dxa"/>
            <w:vAlign w:val="center"/>
            <w:textDirection w:val="lrTb"/>
            <w:noWrap w:val="false"/>
          </w:tcPr>
          <w:p>
            <w:pPr>
              <w:pStyle w:val="1090"/>
              <w:jc w:val="center"/>
              <w:rPr>
                <w:sz w:val="24"/>
                <w:szCs w:val="24"/>
              </w:rPr>
            </w:pPr>
            <w:r>
              <w:rPr>
                <w:rFonts w:hint="eastAsia"/>
                <w:sz w:val="24"/>
                <w:szCs w:val="24"/>
              </w:rPr>
              <w:t xml:space="preserve">数量</w:t>
            </w:r>
            <w:r/>
          </w:p>
        </w:tc>
      </w:tr>
      <w:tr>
        <w:trPr>
          <w:trHeight w:val="524"/>
        </w:trPr>
        <w:tc>
          <w:tcPr>
            <w:shd w:val="clear" w:color="auto" w:fill="auto"/>
            <w:tcW w:w="1638" w:type="dxa"/>
            <w:vAlign w:val="center"/>
            <w:vMerge w:val="restart"/>
            <w:textDirection w:val="lrTb"/>
            <w:noWrap w:val="false"/>
          </w:tcPr>
          <w:p>
            <w:pPr>
              <w:pStyle w:val="1090"/>
              <w:jc w:val="center"/>
              <w:rPr>
                <w:sz w:val="24"/>
                <w:szCs w:val="24"/>
                <w:lang w:eastAsia="zh-CN"/>
              </w:rPr>
            </w:pPr>
            <w:r/>
            <w:bookmarkStart w:id="210" w:name="OLE_LINK9"/>
            <w:r>
              <w:rPr>
                <w:sz w:val="24"/>
                <w:szCs w:val="24"/>
                <w:lang w:eastAsia="zh-CN"/>
              </w:rPr>
              <w:t xml:space="preserve">常州市教科院附属高级中学</w:t>
            </w:r>
            <w:bookmarkEnd w:id="210"/>
            <w:r/>
            <w:r/>
          </w:p>
        </w:tc>
        <w:tc>
          <w:tcPr>
            <w:shd w:val="clear" w:color="auto" w:fill="auto"/>
            <w:tcW w:w="939" w:type="dxa"/>
            <w:vAlign w:val="center"/>
            <w:textDirection w:val="lrTb"/>
            <w:noWrap w:val="false"/>
          </w:tcPr>
          <w:p>
            <w:pPr>
              <w:pStyle w:val="1090"/>
              <w:jc w:val="center"/>
              <w:rPr>
                <w:sz w:val="24"/>
                <w:szCs w:val="24"/>
              </w:rPr>
            </w:pPr>
            <w:r>
              <w:rPr>
                <w:rFonts w:hint="eastAsia"/>
                <w:sz w:val="24"/>
                <w:szCs w:val="24"/>
              </w:rPr>
              <w:t xml:space="preserve">1</w:t>
            </w:r>
            <w:r/>
          </w:p>
        </w:tc>
        <w:tc>
          <w:tcPr>
            <w:shd w:val="clear" w:color="auto" w:fill="auto"/>
            <w:tcW w:w="2891"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化学</w:t>
            </w:r>
            <w:r>
              <w:rPr>
                <w:rFonts w:hint="eastAsia" w:ascii="宋体" w:hAnsi="宋体" w:cs="宋体"/>
                <w:sz w:val="24"/>
                <w:szCs w:val="24"/>
                <w:lang w:eastAsia="en-US"/>
              </w:rPr>
              <w:t xml:space="preserve">常规</w:t>
            </w:r>
            <w:r>
              <w:rPr>
                <w:rFonts w:hint="eastAsia" w:ascii="宋体" w:hAnsi="宋体" w:cs="宋体"/>
                <w:sz w:val="24"/>
                <w:szCs w:val="24"/>
                <w:lang w:eastAsia="en-US"/>
              </w:rPr>
              <w:t xml:space="preserve">实验室</w:t>
            </w:r>
            <w:r/>
          </w:p>
        </w:tc>
        <w:tc>
          <w:tcPr>
            <w:shd w:val="clear" w:color="auto" w:fill="auto"/>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shd w:val="clear" w:color="auto" w:fill="auto"/>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r>
        <w:trPr>
          <w:trHeight w:val="520"/>
        </w:trPr>
        <w:tc>
          <w:tcPr>
            <w:shd w:val="clear" w:color="auto" w:fill="auto"/>
            <w:tcW w:w="1638" w:type="dxa"/>
            <w:vAlign w:val="center"/>
            <w:vMerge w:val="continue"/>
            <w:textDirection w:val="lrTb"/>
            <w:noWrap w:val="false"/>
          </w:tcPr>
          <w:p>
            <w:pPr>
              <w:pStyle w:val="1090"/>
              <w:jc w:val="center"/>
              <w:rPr>
                <w:sz w:val="24"/>
                <w:szCs w:val="24"/>
              </w:rPr>
            </w:pPr>
            <w:r>
              <w:rPr>
                <w:sz w:val="24"/>
                <w:szCs w:val="24"/>
              </w:rPr>
            </w:r>
            <w:r/>
          </w:p>
        </w:tc>
        <w:tc>
          <w:tcPr>
            <w:shd w:val="clear" w:color="auto" w:fill="auto"/>
            <w:tcW w:w="939" w:type="dxa"/>
            <w:vAlign w:val="center"/>
            <w:textDirection w:val="lrTb"/>
            <w:noWrap w:val="false"/>
          </w:tcPr>
          <w:p>
            <w:pPr>
              <w:pStyle w:val="1090"/>
              <w:jc w:val="center"/>
              <w:rPr>
                <w:sz w:val="24"/>
                <w:szCs w:val="24"/>
              </w:rPr>
            </w:pPr>
            <w:r>
              <w:rPr>
                <w:rFonts w:hint="eastAsia"/>
                <w:sz w:val="24"/>
                <w:szCs w:val="24"/>
              </w:rPr>
              <w:t xml:space="preserve">2</w:t>
            </w:r>
            <w:r/>
          </w:p>
        </w:tc>
        <w:tc>
          <w:tcPr>
            <w:shd w:val="clear" w:color="auto" w:fill="auto"/>
            <w:tcW w:w="2891"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生物</w:t>
            </w:r>
            <w:r>
              <w:rPr>
                <w:rFonts w:hint="eastAsia" w:ascii="宋体" w:hAnsi="宋体" w:cs="宋体"/>
                <w:sz w:val="24"/>
                <w:szCs w:val="24"/>
                <w:lang w:eastAsia="en-US"/>
              </w:rPr>
              <w:t xml:space="preserve">常规</w:t>
            </w:r>
            <w:r>
              <w:rPr>
                <w:rFonts w:hint="eastAsia" w:ascii="宋体" w:hAnsi="宋体" w:cs="宋体"/>
                <w:sz w:val="24"/>
                <w:szCs w:val="24"/>
                <w:lang w:eastAsia="en-US"/>
              </w:rPr>
              <w:t xml:space="preserve">实验室</w:t>
            </w:r>
            <w:r/>
          </w:p>
        </w:tc>
        <w:tc>
          <w:tcPr>
            <w:shd w:val="clear" w:color="auto" w:fill="auto"/>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shd w:val="clear" w:color="auto" w:fill="auto"/>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r>
        <w:trPr>
          <w:trHeight w:val="520"/>
        </w:trPr>
        <w:tc>
          <w:tcPr>
            <w:shd w:val="clear" w:color="auto" w:fill="auto"/>
            <w:tcW w:w="1638" w:type="dxa"/>
            <w:vAlign w:val="center"/>
            <w:vMerge w:val="continue"/>
            <w:textDirection w:val="lrTb"/>
            <w:noWrap w:val="false"/>
          </w:tcPr>
          <w:p>
            <w:pPr>
              <w:pStyle w:val="1090"/>
              <w:jc w:val="center"/>
              <w:rPr>
                <w:sz w:val="24"/>
                <w:szCs w:val="24"/>
              </w:rPr>
            </w:pPr>
            <w:r>
              <w:rPr>
                <w:sz w:val="24"/>
                <w:szCs w:val="24"/>
              </w:rPr>
            </w:r>
            <w:r/>
          </w:p>
        </w:tc>
        <w:tc>
          <w:tcPr>
            <w:shd w:val="clear" w:color="auto" w:fill="auto"/>
            <w:tcW w:w="939" w:type="dxa"/>
            <w:vAlign w:val="center"/>
            <w:textDirection w:val="lrTb"/>
            <w:noWrap w:val="false"/>
          </w:tcPr>
          <w:p>
            <w:pPr>
              <w:pStyle w:val="1090"/>
              <w:jc w:val="center"/>
              <w:rPr>
                <w:sz w:val="24"/>
                <w:szCs w:val="24"/>
              </w:rPr>
            </w:pPr>
            <w:r>
              <w:rPr>
                <w:rFonts w:hint="eastAsia"/>
                <w:sz w:val="24"/>
                <w:szCs w:val="24"/>
              </w:rPr>
              <w:t xml:space="preserve">3</w:t>
            </w:r>
            <w:r/>
          </w:p>
        </w:tc>
        <w:tc>
          <w:tcPr>
            <w:shd w:val="clear" w:color="auto" w:fill="auto"/>
            <w:tcW w:w="2891"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物理</w:t>
            </w:r>
            <w:r>
              <w:rPr>
                <w:rFonts w:hint="eastAsia" w:ascii="宋体" w:hAnsi="宋体" w:cs="宋体"/>
                <w:sz w:val="24"/>
                <w:szCs w:val="24"/>
              </w:rPr>
              <w:t xml:space="preserve">光学</w:t>
            </w:r>
            <w:r>
              <w:rPr>
                <w:rFonts w:hint="eastAsia" w:ascii="宋体" w:hAnsi="宋体" w:cs="宋体"/>
                <w:sz w:val="24"/>
                <w:szCs w:val="24"/>
                <w:lang w:eastAsia="en-US"/>
              </w:rPr>
              <w:t xml:space="preserve">实验室</w:t>
            </w:r>
            <w:r/>
          </w:p>
        </w:tc>
        <w:tc>
          <w:tcPr>
            <w:shd w:val="clear" w:color="auto" w:fill="auto"/>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shd w:val="clear" w:color="auto" w:fill="auto"/>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bl>
    <w:p>
      <w:pPr>
        <w:pStyle w:val="787"/>
        <w:ind w:firstLine="0"/>
      </w:pPr>
      <w:r>
        <w:rPr>
          <w:rFonts w:hint="eastAsia" w:asciiTheme="minorEastAsia" w:hAnsiTheme="minorEastAsia" w:eastAsiaTheme="minorEastAsia" w:cstheme="minorEastAsia"/>
          <w:spacing w:val="9"/>
          <w:szCs w:val="24"/>
        </w:rPr>
        <w:t xml:space="preserve">包三：</w:t>
      </w:r>
      <w:r/>
    </w:p>
    <w:tbl>
      <w:tblPr>
        <w:tblStyle w:val="1089"/>
        <w:tblW w:w="8737"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38"/>
        <w:gridCol w:w="939"/>
        <w:gridCol w:w="2891"/>
        <w:gridCol w:w="1715"/>
        <w:gridCol w:w="1554"/>
      </w:tblGrid>
      <w:tr>
        <w:trPr>
          <w:trHeight w:val="520"/>
        </w:trPr>
        <w:tc>
          <w:tcPr>
            <w:shd w:val="clear" w:color="auto" w:fill="auto"/>
            <w:tcW w:w="1638" w:type="dxa"/>
            <w:vAlign w:val="center"/>
            <w:textDirection w:val="lrTb"/>
            <w:noWrap w:val="false"/>
          </w:tcPr>
          <w:p>
            <w:pPr>
              <w:pStyle w:val="1090"/>
              <w:jc w:val="center"/>
              <w:rPr>
                <w:sz w:val="24"/>
                <w:szCs w:val="24"/>
              </w:rPr>
            </w:pPr>
            <w:r>
              <w:rPr>
                <w:rFonts w:hint="eastAsia"/>
                <w:sz w:val="24"/>
                <w:szCs w:val="24"/>
              </w:rPr>
              <w:t xml:space="preserve">学校</w:t>
            </w:r>
            <w:r/>
          </w:p>
        </w:tc>
        <w:tc>
          <w:tcPr>
            <w:shd w:val="clear" w:color="auto" w:fill="auto"/>
            <w:tcW w:w="939" w:type="dxa"/>
            <w:vAlign w:val="center"/>
            <w:textDirection w:val="lrTb"/>
            <w:noWrap w:val="false"/>
          </w:tcPr>
          <w:p>
            <w:pPr>
              <w:pStyle w:val="1090"/>
              <w:jc w:val="center"/>
              <w:rPr>
                <w:sz w:val="24"/>
                <w:szCs w:val="24"/>
              </w:rPr>
            </w:pPr>
            <w:r>
              <w:rPr>
                <w:rFonts w:hint="eastAsia"/>
                <w:sz w:val="24"/>
                <w:szCs w:val="24"/>
              </w:rPr>
              <w:t xml:space="preserve">序号</w:t>
            </w:r>
            <w:r/>
          </w:p>
        </w:tc>
        <w:tc>
          <w:tcPr>
            <w:shd w:val="clear" w:color="auto" w:fill="auto"/>
            <w:tcW w:w="2891" w:type="dxa"/>
            <w:vAlign w:val="center"/>
            <w:textDirection w:val="lrTb"/>
            <w:noWrap w:val="false"/>
          </w:tcPr>
          <w:p>
            <w:pPr>
              <w:pStyle w:val="1090"/>
              <w:jc w:val="center"/>
              <w:rPr>
                <w:sz w:val="24"/>
                <w:szCs w:val="24"/>
              </w:rPr>
            </w:pPr>
            <w:r>
              <w:rPr>
                <w:rFonts w:hint="eastAsia"/>
                <w:sz w:val="24"/>
                <w:szCs w:val="24"/>
              </w:rPr>
              <w:t xml:space="preserve">名称</w:t>
            </w:r>
            <w:r/>
          </w:p>
        </w:tc>
        <w:tc>
          <w:tcPr>
            <w:shd w:val="clear" w:color="auto" w:fill="auto"/>
            <w:tcW w:w="1715" w:type="dxa"/>
            <w:vAlign w:val="center"/>
            <w:textDirection w:val="lrTb"/>
            <w:noWrap w:val="false"/>
          </w:tcPr>
          <w:p>
            <w:pPr>
              <w:pStyle w:val="1090"/>
              <w:jc w:val="center"/>
              <w:rPr>
                <w:sz w:val="24"/>
                <w:szCs w:val="24"/>
              </w:rPr>
            </w:pPr>
            <w:r>
              <w:rPr>
                <w:rFonts w:hint="eastAsia"/>
                <w:sz w:val="24"/>
                <w:szCs w:val="24"/>
              </w:rPr>
              <w:t xml:space="preserve">单位</w:t>
            </w:r>
            <w:r/>
          </w:p>
        </w:tc>
        <w:tc>
          <w:tcPr>
            <w:shd w:val="clear" w:color="auto" w:fill="auto"/>
            <w:tcW w:w="1554" w:type="dxa"/>
            <w:vAlign w:val="center"/>
            <w:textDirection w:val="lrTb"/>
            <w:noWrap w:val="false"/>
          </w:tcPr>
          <w:p>
            <w:pPr>
              <w:pStyle w:val="1090"/>
              <w:jc w:val="center"/>
              <w:rPr>
                <w:sz w:val="24"/>
                <w:szCs w:val="24"/>
              </w:rPr>
            </w:pPr>
            <w:r>
              <w:rPr>
                <w:rFonts w:hint="eastAsia"/>
                <w:sz w:val="24"/>
                <w:szCs w:val="24"/>
              </w:rPr>
              <w:t xml:space="preserve">数量</w:t>
            </w:r>
            <w:r/>
          </w:p>
        </w:tc>
      </w:tr>
      <w:tr>
        <w:trPr>
          <w:trHeight w:val="520"/>
        </w:trPr>
        <w:tc>
          <w:tcPr>
            <w:shd w:val="clear" w:color="auto" w:fill="auto"/>
            <w:tcW w:w="1638" w:type="dxa"/>
            <w:vAlign w:val="center"/>
            <w:vMerge w:val="restart"/>
            <w:textDirection w:val="lrTb"/>
            <w:noWrap w:val="false"/>
          </w:tcPr>
          <w:p>
            <w:pPr>
              <w:pStyle w:val="1090"/>
              <w:jc w:val="center"/>
              <w:rPr>
                <w:sz w:val="24"/>
                <w:szCs w:val="24"/>
              </w:rPr>
            </w:pPr>
            <w:r>
              <w:rPr>
                <w:rFonts w:hint="eastAsia"/>
                <w:sz w:val="24"/>
                <w:szCs w:val="24"/>
              </w:rPr>
              <w:t xml:space="preserve">常州市北郊高级中学</w:t>
            </w:r>
            <w:r/>
          </w:p>
        </w:tc>
        <w:tc>
          <w:tcPr>
            <w:shd w:val="clear" w:color="auto" w:fill="auto"/>
            <w:tcW w:w="939" w:type="dxa"/>
            <w:vAlign w:val="center"/>
            <w:textDirection w:val="lrTb"/>
            <w:noWrap w:val="false"/>
          </w:tcPr>
          <w:p>
            <w:pPr>
              <w:pStyle w:val="1090"/>
              <w:jc w:val="center"/>
              <w:rPr>
                <w:sz w:val="24"/>
                <w:szCs w:val="24"/>
              </w:rPr>
            </w:pPr>
            <w:r>
              <w:rPr>
                <w:rFonts w:hint="eastAsia"/>
                <w:sz w:val="24"/>
                <w:szCs w:val="24"/>
              </w:rPr>
              <w:t xml:space="preserve">1</w:t>
            </w:r>
            <w:r/>
          </w:p>
        </w:tc>
        <w:tc>
          <w:tcPr>
            <w:shd w:val="clear" w:color="auto" w:fill="auto"/>
            <w:tcW w:w="2891"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物理数字化实验室</w:t>
            </w:r>
            <w:r/>
          </w:p>
        </w:tc>
        <w:tc>
          <w:tcPr>
            <w:shd w:val="clear" w:color="auto" w:fill="auto"/>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shd w:val="clear" w:color="auto" w:fill="auto"/>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r>
        <w:trPr>
          <w:trHeight w:val="520"/>
        </w:trPr>
        <w:tc>
          <w:tcPr>
            <w:shd w:val="clear" w:color="auto" w:fill="auto"/>
            <w:tcW w:w="1638" w:type="dxa"/>
            <w:vAlign w:val="center"/>
            <w:vMerge w:val="continue"/>
            <w:textDirection w:val="lrTb"/>
            <w:noWrap w:val="false"/>
          </w:tcPr>
          <w:p>
            <w:pPr>
              <w:pStyle w:val="1090"/>
              <w:jc w:val="center"/>
              <w:rPr>
                <w:sz w:val="24"/>
                <w:szCs w:val="24"/>
              </w:rPr>
            </w:pPr>
            <w:r>
              <w:rPr>
                <w:sz w:val="24"/>
                <w:szCs w:val="24"/>
              </w:rPr>
            </w:r>
            <w:r/>
          </w:p>
        </w:tc>
        <w:tc>
          <w:tcPr>
            <w:shd w:val="clear" w:color="auto" w:fill="auto"/>
            <w:tcW w:w="939" w:type="dxa"/>
            <w:vAlign w:val="center"/>
            <w:textDirection w:val="lrTb"/>
            <w:noWrap w:val="false"/>
          </w:tcPr>
          <w:p>
            <w:pPr>
              <w:pStyle w:val="1090"/>
              <w:jc w:val="center"/>
              <w:rPr>
                <w:sz w:val="24"/>
                <w:szCs w:val="24"/>
              </w:rPr>
            </w:pPr>
            <w:r>
              <w:rPr>
                <w:rFonts w:hint="eastAsia"/>
                <w:sz w:val="24"/>
                <w:szCs w:val="24"/>
              </w:rPr>
              <w:t xml:space="preserve">2</w:t>
            </w:r>
            <w:r/>
          </w:p>
        </w:tc>
        <w:tc>
          <w:tcPr>
            <w:shd w:val="clear" w:color="auto" w:fill="auto"/>
            <w:tcW w:w="2891" w:type="dxa"/>
            <w:vAlign w:val="center"/>
            <w:textDirection w:val="lrTb"/>
            <w:noWrap w:val="false"/>
          </w:tcPr>
          <w:p>
            <w:pPr>
              <w:pStyle w:val="1090"/>
              <w:jc w:val="center"/>
              <w:rPr>
                <w:sz w:val="24"/>
                <w:szCs w:val="24"/>
              </w:rPr>
            </w:pPr>
            <w:r>
              <w:rPr>
                <w:sz w:val="24"/>
                <w:szCs w:val="24"/>
              </w:rPr>
              <w:t xml:space="preserve">生物</w:t>
            </w:r>
            <w:r>
              <w:rPr>
                <w:rFonts w:hint="eastAsia"/>
                <w:sz w:val="24"/>
                <w:szCs w:val="24"/>
              </w:rPr>
              <w:t xml:space="preserve">常规</w:t>
            </w:r>
            <w:r>
              <w:rPr>
                <w:sz w:val="24"/>
                <w:szCs w:val="24"/>
              </w:rPr>
              <w:t xml:space="preserve">实验室</w:t>
            </w:r>
            <w:r/>
          </w:p>
        </w:tc>
        <w:tc>
          <w:tcPr>
            <w:shd w:val="clear" w:color="auto" w:fill="auto"/>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shd w:val="clear" w:color="auto" w:fill="auto"/>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r>
        <w:trPr>
          <w:trHeight w:val="520"/>
        </w:trPr>
        <w:tc>
          <w:tcPr>
            <w:shd w:val="clear" w:color="auto" w:fill="auto"/>
            <w:tcW w:w="1638" w:type="dxa"/>
            <w:vAlign w:val="center"/>
            <w:vMerge w:val="continue"/>
            <w:textDirection w:val="lrTb"/>
            <w:noWrap w:val="false"/>
          </w:tcPr>
          <w:p>
            <w:pPr>
              <w:pStyle w:val="1090"/>
              <w:jc w:val="center"/>
              <w:rPr>
                <w:sz w:val="24"/>
                <w:szCs w:val="24"/>
              </w:rPr>
            </w:pPr>
            <w:r>
              <w:rPr>
                <w:sz w:val="24"/>
                <w:szCs w:val="24"/>
              </w:rPr>
            </w:r>
            <w:r/>
          </w:p>
        </w:tc>
        <w:tc>
          <w:tcPr>
            <w:shd w:val="clear" w:color="auto" w:fill="auto"/>
            <w:tcW w:w="939" w:type="dxa"/>
            <w:vAlign w:val="center"/>
            <w:textDirection w:val="lrTb"/>
            <w:noWrap w:val="false"/>
          </w:tcPr>
          <w:p>
            <w:pPr>
              <w:pStyle w:val="1090"/>
              <w:jc w:val="center"/>
              <w:rPr>
                <w:sz w:val="24"/>
                <w:szCs w:val="24"/>
              </w:rPr>
            </w:pPr>
            <w:r>
              <w:rPr>
                <w:rFonts w:hint="eastAsia"/>
                <w:sz w:val="24"/>
                <w:szCs w:val="24"/>
              </w:rPr>
              <w:t xml:space="preserve">3</w:t>
            </w:r>
            <w:r/>
          </w:p>
        </w:tc>
        <w:tc>
          <w:tcPr>
            <w:shd w:val="clear" w:color="auto" w:fill="auto"/>
            <w:tcW w:w="2891" w:type="dxa"/>
            <w:vAlign w:val="center"/>
            <w:textDirection w:val="lrTb"/>
            <w:noWrap w:val="false"/>
          </w:tcPr>
          <w:p>
            <w:pPr>
              <w:pStyle w:val="1090"/>
              <w:jc w:val="center"/>
              <w:rPr>
                <w:sz w:val="24"/>
                <w:szCs w:val="24"/>
              </w:rPr>
            </w:pPr>
            <w:r>
              <w:rPr>
                <w:sz w:val="24"/>
                <w:szCs w:val="24"/>
              </w:rPr>
              <w:t xml:space="preserve">生物准备室</w:t>
            </w:r>
            <w:r/>
          </w:p>
        </w:tc>
        <w:tc>
          <w:tcPr>
            <w:shd w:val="clear" w:color="auto" w:fill="auto"/>
            <w:tcW w:w="1715"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间</w:t>
            </w:r>
            <w:r/>
          </w:p>
        </w:tc>
        <w:tc>
          <w:tcPr>
            <w:shd w:val="clear" w:color="auto" w:fill="auto"/>
            <w:tcW w:w="1554" w:type="dxa"/>
            <w:vAlign w:val="center"/>
            <w:textDirection w:val="lrTb"/>
            <w:noWrap w:val="false"/>
          </w:tcPr>
          <w:p>
            <w:pPr>
              <w:jc w:val="center"/>
              <w:rPr>
                <w:rFonts w:ascii="宋体" w:hAnsi="宋体" w:cs="宋体"/>
                <w:sz w:val="24"/>
                <w:szCs w:val="24"/>
                <w:lang w:eastAsia="en-US"/>
              </w:rPr>
            </w:pPr>
            <w:r>
              <w:rPr>
                <w:rFonts w:hint="eastAsia" w:ascii="宋体" w:hAnsi="宋体" w:cs="宋体"/>
                <w:sz w:val="24"/>
                <w:szCs w:val="24"/>
                <w:lang w:eastAsia="en-US"/>
              </w:rPr>
              <w:t xml:space="preserve">1</w:t>
            </w:r>
            <w:r/>
          </w:p>
        </w:tc>
      </w:tr>
    </w:tbl>
    <w:p>
      <w:pPr>
        <w:pStyle w:val="787"/>
        <w:ind w:left="840" w:firstLine="0"/>
      </w:pPr>
      <w:r/>
      <w:r/>
    </w:p>
    <w:p>
      <w:pPr>
        <w:pStyle w:val="787"/>
        <w:ind w:left="840" w:firstLine="0"/>
      </w:pPr>
      <w:r/>
      <w:r/>
    </w:p>
    <w:p>
      <w:pPr>
        <w:pStyle w:val="787"/>
        <w:ind w:left="840" w:firstLine="0"/>
      </w:pPr>
      <w:r/>
      <w:r/>
    </w:p>
    <w:p>
      <w:pPr>
        <w:pStyle w:val="787"/>
        <w:ind w:left="840" w:firstLine="0"/>
      </w:pPr>
      <w:r/>
      <w:r/>
    </w:p>
    <w:p>
      <w:pPr>
        <w:pStyle w:val="787"/>
        <w:ind w:left="840" w:firstLine="0"/>
      </w:pPr>
      <w:r/>
      <w:r/>
    </w:p>
    <w:p>
      <w:pPr>
        <w:pStyle w:val="787"/>
        <w:ind w:left="840" w:firstLine="0"/>
      </w:pPr>
      <w:r/>
      <w:r/>
    </w:p>
    <w:p>
      <w:pPr>
        <w:pStyle w:val="787"/>
        <w:ind w:left="840" w:firstLine="0"/>
      </w:pPr>
      <w:r/>
      <w:r/>
    </w:p>
    <w:p>
      <w:pPr>
        <w:pStyle w:val="787"/>
        <w:ind w:left="840" w:firstLine="0"/>
      </w:pPr>
      <w:r/>
      <w:r/>
    </w:p>
    <w:p>
      <w:pPr>
        <w:pStyle w:val="787"/>
        <w:ind w:left="840" w:firstLine="0"/>
      </w:pPr>
      <w:r/>
      <w:r/>
    </w:p>
    <w:p>
      <w:pPr>
        <w:pStyle w:val="787"/>
        <w:numPr>
          <w:ilvl w:val="0"/>
          <w:numId w:val="8"/>
        </w:numPr>
      </w:pPr>
      <w:r>
        <w:t xml:space="preserve">货物技术参数要求</w:t>
      </w:r>
      <w:r>
        <w:rPr>
          <w:rFonts w:hint="eastAsia" w:ascii="宋体" w:hAnsi="宋体"/>
        </w:rPr>
        <w:t xml:space="preserve">：</w:t>
      </w:r>
      <w:r/>
    </w:p>
    <w:p>
      <w:pPr>
        <w:pStyle w:val="787"/>
        <w:ind w:firstLine="0"/>
        <w:rPr>
          <w:szCs w:val="24"/>
        </w:rPr>
      </w:pPr>
      <w:r>
        <w:rPr>
          <w:rFonts w:hint="eastAsia" w:asciiTheme="minorEastAsia" w:hAnsiTheme="minorEastAsia" w:eastAsiaTheme="minorEastAsia" w:cstheme="minorEastAsia"/>
          <w:spacing w:val="9"/>
          <w:szCs w:val="24"/>
        </w:rPr>
        <w:t xml:space="preserve">包一：</w:t>
      </w:r>
      <w:r/>
    </w:p>
    <w:tbl>
      <w:tblPr>
        <w:tblW w:w="0" w:type="auto"/>
        <w:tblInd w:w="97" w:type="dxa"/>
        <w:tblLook w:val="04A0" w:firstRow="1" w:lastRow="0" w:firstColumn="1" w:lastColumn="0" w:noHBand="0" w:noVBand="1"/>
      </w:tblPr>
      <w:tblGrid>
        <w:gridCol w:w="486"/>
        <w:gridCol w:w="1568"/>
        <w:gridCol w:w="5368"/>
        <w:gridCol w:w="517"/>
        <w:gridCol w:w="486"/>
      </w:tblGrid>
      <w:tr>
        <w:trPr>
          <w:trHeight w:val="720"/>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rPr>
                <w:rFonts w:hint="eastAsia"/>
                <w:sz w:val="24"/>
              </w:rPr>
              <w:t xml:space="preserve">化学通风实验室</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规格参数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数量</w:t>
            </w:r>
            <w:r/>
          </w:p>
        </w:tc>
      </w:tr>
      <w:tr>
        <w:trPr>
          <w:trHeight w:val="480"/>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教师演示控制</w:t>
            </w:r>
            <w:r>
              <w:rPr>
                <w:rFonts w:hint="eastAsia"/>
                <w:sz w:val="24"/>
              </w:rPr>
              <w:t xml:space="preserve">区</w:t>
            </w:r>
            <w:r/>
          </w:p>
        </w:tc>
      </w:tr>
      <w:tr>
        <w:trPr>
          <w:trHeight w:val="469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w:t>
            </w:r>
            <w:r>
              <w:rPr>
                <w:rFonts w:hint="eastAsia"/>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t xml:space="preserve">参考规格：</w:t>
            </w:r>
            <w:r>
              <w:rPr>
                <w:rFonts w:hint="eastAsia"/>
                <w:sz w:val="24"/>
              </w:rPr>
              <w:t xml:space="preserve">3000*700*900mm</w:t>
            </w:r>
            <w:r>
              <w:rPr>
                <w:rFonts w:hint="eastAsia"/>
                <w:sz w:val="24"/>
              </w:rPr>
              <w:br/>
            </w:r>
            <w:r>
              <w:rPr>
                <w:rFonts w:hint="eastAsia"/>
                <w:sz w:val="24"/>
              </w:rPr>
              <w:t xml:space="preserve">▲</w:t>
            </w:r>
            <w:r>
              <w:rPr>
                <w:rFonts w:hint="eastAsia"/>
                <w:sz w:val="24"/>
              </w:rPr>
              <w:t xml:space="preserve">1.</w:t>
            </w:r>
            <w:r>
              <w:rPr>
                <w:rFonts w:hint="eastAsia"/>
                <w:sz w:val="24"/>
              </w:rPr>
              <w:t xml:space="preserve">台面：采用≥</w:t>
            </w:r>
            <w:r>
              <w:rPr>
                <w:rFonts w:hint="eastAsia"/>
                <w:sz w:val="24"/>
              </w:rPr>
              <w:t xml:space="preserve">12.7mm</w:t>
            </w:r>
            <w:r>
              <w:rPr>
                <w:rFonts w:hint="eastAsia"/>
                <w:sz w:val="24"/>
              </w:rPr>
              <w:t xml:space="preserve">厚双面膜耐腐蚀实芯理化板制作，四角倒</w:t>
            </w:r>
            <w:r>
              <w:rPr>
                <w:rFonts w:hint="eastAsia"/>
                <w:sz w:val="24"/>
              </w:rPr>
              <w:t xml:space="preserve">R15</w:t>
            </w:r>
            <w:r>
              <w:rPr>
                <w:rFonts w:hint="eastAsia"/>
                <w:sz w:val="24"/>
              </w:rPr>
              <w:t xml:space="preserve">圆角，含水槽及三联高低位龙头。</w:t>
            </w:r>
            <w:r>
              <w:rPr>
                <w:rFonts w:hint="eastAsia"/>
                <w:sz w:val="24"/>
              </w:rPr>
              <w:br/>
            </w:r>
            <w:r>
              <w:rPr>
                <w:rFonts w:hint="eastAsia"/>
                <w:sz w:val="24"/>
              </w:rPr>
              <w:t xml:space="preserve">★</w:t>
            </w:r>
            <w:r>
              <w:rPr>
                <w:rFonts w:hint="eastAsia"/>
                <w:sz w:val="24"/>
              </w:rPr>
              <w:t xml:space="preserve">2.</w:t>
            </w:r>
            <w:r>
              <w:rPr>
                <w:rFonts w:hint="eastAsia"/>
                <w:sz w:val="24"/>
              </w:rPr>
              <w:t xml:space="preserve">柜体：全钢结构，采用≥</w:t>
            </w:r>
            <w:r>
              <w:rPr>
                <w:rFonts w:hint="eastAsia"/>
                <w:sz w:val="24"/>
              </w:rPr>
              <w:t xml:space="preserve">1.0mm</w:t>
            </w:r>
            <w:r>
              <w:rPr>
                <w:rFonts w:hint="eastAsia"/>
                <w:sz w:val="24"/>
              </w:rPr>
              <w:t xml:space="preserve">高强度镀锌钢板，切割折弯成型，组件焊接工艺，打磨平整，表面经环氧树脂喷涂处理；</w:t>
            </w:r>
            <w:r>
              <w:rPr>
                <w:rFonts w:hint="eastAsia"/>
                <w:sz w:val="24"/>
              </w:rPr>
              <w:br/>
              <w:t xml:space="preserve">3.</w:t>
            </w:r>
            <w:r>
              <w:rPr>
                <w:rFonts w:hint="eastAsia"/>
                <w:sz w:val="24"/>
              </w:rPr>
              <w:t xml:space="preserve">整体结构设计合理，预留教师电源安装位置；</w:t>
            </w:r>
            <w:r>
              <w:rPr>
                <w:rFonts w:hint="eastAsia"/>
                <w:sz w:val="24"/>
              </w:rPr>
              <w:br/>
              <w:t xml:space="preserve">4.</w:t>
            </w:r>
            <w:r>
              <w:rPr>
                <w:rFonts w:hint="eastAsia"/>
                <w:sz w:val="24"/>
              </w:rPr>
              <w:t xml:space="preserve">门板及抽面：采用双层结构，组装式设计，保证双层钢板双面都喷涂处理。</w:t>
            </w:r>
            <w:r>
              <w:rPr>
                <w:rFonts w:hint="eastAsia"/>
                <w:sz w:val="24"/>
              </w:rPr>
              <w:br/>
              <w:t xml:space="preserve">5.</w:t>
            </w:r>
            <w:r>
              <w:rPr>
                <w:rFonts w:hint="eastAsia"/>
                <w:sz w:val="24"/>
              </w:rPr>
              <w:t xml:space="preserve">防撞胶垫：装于抽屉及门板内侧，减缓碰撞，保护柜体。</w:t>
            </w:r>
            <w:r>
              <w:rPr>
                <w:rFonts w:hint="eastAsia"/>
                <w:sz w:val="24"/>
              </w:rPr>
              <w:br/>
              <w:t xml:space="preserve">6.</w:t>
            </w:r>
            <w:r>
              <w:rPr>
                <w:rFonts w:hint="eastAsia"/>
                <w:sz w:val="24"/>
              </w:rPr>
              <w:t xml:space="preserve">不锈钢防腐合页：采用优质不锈钢模具一体成型。</w:t>
            </w:r>
            <w:r>
              <w:rPr>
                <w:rFonts w:hint="eastAsia"/>
                <w:sz w:val="24"/>
              </w:rPr>
              <w:br/>
              <w:t xml:space="preserve">7.</w:t>
            </w:r>
            <w:r>
              <w:rPr>
                <w:rFonts w:hint="eastAsia"/>
                <w:sz w:val="24"/>
              </w:rPr>
              <w:t xml:space="preserve">防腐三节静音导轨：三节滚珠滑轨，承重性强，滑动顺滑。</w:t>
            </w:r>
            <w:r>
              <w:rPr>
                <w:rFonts w:hint="eastAsia"/>
                <w:sz w:val="24"/>
              </w:rPr>
              <w:br/>
              <w:t xml:space="preserve">8.</w:t>
            </w:r>
            <w:r>
              <w:rPr>
                <w:rFonts w:hint="eastAsia"/>
                <w:sz w:val="24"/>
              </w:rPr>
              <w:t xml:space="preserve">固定桌脚：采用柜体内置可调</w:t>
            </w:r>
            <w:r>
              <w:rPr>
                <w:rFonts w:hint="eastAsia"/>
                <w:sz w:val="24"/>
              </w:rPr>
              <w:t xml:space="preserve">ABS</w:t>
            </w:r>
            <w:r>
              <w:rPr>
                <w:rFonts w:hint="eastAsia"/>
                <w:sz w:val="24"/>
              </w:rPr>
              <w:t xml:space="preserve">调整脚，保证调整脚前后都可以调节高低。</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91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实验室专用水槽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采用实验室专用高密度</w:t>
            </w:r>
            <w:r>
              <w:rPr>
                <w:rFonts w:hint="eastAsia"/>
                <w:sz w:val="24"/>
              </w:rPr>
              <w:t xml:space="preserve">PP</w:t>
            </w:r>
            <w:r>
              <w:rPr>
                <w:rFonts w:hint="eastAsia"/>
                <w:sz w:val="24"/>
              </w:rPr>
              <w:t xml:space="preserve">一体化成型水槽，易清洁，耐腐蚀，且利于台面残水自然回流，美观实用；具耐酸碱、耐有机溶剂、耐紫外线等特点。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三联高低位龙头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9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实验室专用洗眼器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洗眼喷头：采用不助燃</w:t>
            </w:r>
            <w:r>
              <w:rPr>
                <w:rFonts w:hint="eastAsia"/>
                <w:sz w:val="24"/>
              </w:rPr>
              <w:t xml:space="preserve">PC</w:t>
            </w:r>
            <w:r>
              <w:rPr>
                <w:rFonts w:hint="eastAsia"/>
                <w:sz w:val="24"/>
              </w:rPr>
              <w:t xml:space="preserve">材质模铸一体成形制作，具有过滤泡棉及防尘功能，上面防尘盖平常可防尘，使用时可随时被水冲开，并降低突然打开时短暂的高水压，避免冲伤眼睛。</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27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教师总控电源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t xml:space="preserve">1.</w:t>
            </w:r>
            <w:r>
              <w:rPr>
                <w:rFonts w:hint="eastAsia"/>
                <w:sz w:val="24"/>
              </w:rPr>
              <w:t xml:space="preserve">装置在主控台组合柜内，采用耐磨、耐腐蚀的</w:t>
            </w:r>
            <w:r>
              <w:rPr>
                <w:rFonts w:hint="eastAsia"/>
                <w:sz w:val="24"/>
              </w:rPr>
              <w:t xml:space="preserve">PVC</w:t>
            </w:r>
            <w:r>
              <w:rPr>
                <w:rFonts w:hint="eastAsia"/>
                <w:sz w:val="24"/>
              </w:rPr>
              <w:t xml:space="preserve">薄膜面板，优质元器件，轻触按钮开关。</w:t>
            </w:r>
            <w:r>
              <w:rPr>
                <w:rFonts w:hint="eastAsia"/>
                <w:sz w:val="24"/>
              </w:rPr>
              <w:br/>
              <w:t xml:space="preserve">2.</w:t>
            </w:r>
            <w:r>
              <w:rPr>
                <w:rFonts w:hint="eastAsia"/>
                <w:sz w:val="24"/>
              </w:rPr>
              <w:t xml:space="preserve">输入电压：</w:t>
            </w:r>
            <w:r>
              <w:rPr>
                <w:rFonts w:hint="eastAsia"/>
                <w:sz w:val="24"/>
              </w:rPr>
              <w:t xml:space="preserve">220v</w:t>
            </w:r>
            <w:r>
              <w:rPr>
                <w:rFonts w:hint="eastAsia"/>
                <w:sz w:val="24"/>
              </w:rPr>
              <w:t xml:space="preserve">±</w:t>
            </w:r>
            <w:r>
              <w:rPr>
                <w:rFonts w:hint="eastAsia"/>
                <w:sz w:val="24"/>
              </w:rPr>
              <w:t xml:space="preserve">10%</w:t>
            </w:r>
            <w:r>
              <w:rPr>
                <w:rFonts w:hint="eastAsia"/>
                <w:sz w:val="24"/>
              </w:rPr>
              <w:t xml:space="preserve">；</w:t>
            </w:r>
            <w:r>
              <w:rPr>
                <w:rFonts w:hint="eastAsia"/>
                <w:sz w:val="24"/>
              </w:rPr>
              <w:br/>
              <w:t xml:space="preserve">3.</w:t>
            </w:r>
            <w:r>
              <w:rPr>
                <w:rFonts w:hint="eastAsia"/>
                <w:sz w:val="24"/>
              </w:rPr>
              <w:t xml:space="preserve">内装有教师演示电源及主控电源装置，教师能对实验室进行总体及分组控制：</w:t>
            </w:r>
            <w:r>
              <w:rPr>
                <w:rFonts w:hint="eastAsia"/>
                <w:sz w:val="24"/>
              </w:rPr>
              <w:br/>
              <w:t xml:space="preserve">4.220V</w:t>
            </w:r>
            <w:r>
              <w:rPr>
                <w:rFonts w:hint="eastAsia"/>
                <w:sz w:val="24"/>
              </w:rPr>
              <w:t xml:space="preserve">电源输出，电源总开关、漏电保护开关、工作指示灯、</w:t>
            </w:r>
            <w:r>
              <w:rPr>
                <w:rFonts w:hint="eastAsia"/>
                <w:sz w:val="24"/>
              </w:rPr>
              <w:t xml:space="preserve">220V</w:t>
            </w:r>
            <w:r>
              <w:rPr>
                <w:rFonts w:hint="eastAsia"/>
                <w:sz w:val="24"/>
              </w:rPr>
              <w:t xml:space="preserve">交流输出多用插座，数码实时显示电压电流值；电压表精度</w:t>
            </w:r>
            <w:r>
              <w:rPr>
                <w:rFonts w:hint="eastAsia"/>
                <w:sz w:val="24"/>
              </w:rPr>
              <w:t xml:space="preserve">1%</w:t>
            </w:r>
            <w:r>
              <w:rPr>
                <w:rFonts w:hint="eastAsia"/>
                <w:sz w:val="24"/>
              </w:rPr>
              <w:t xml:space="preserve">，电流表精度</w:t>
            </w:r>
            <w:r>
              <w:rPr>
                <w:rFonts w:hint="eastAsia"/>
                <w:sz w:val="24"/>
              </w:rPr>
              <w:t xml:space="preserve">1.5%</w:t>
            </w:r>
            <w:r>
              <w:rPr>
                <w:rFonts w:hint="eastAsia"/>
                <w:sz w:val="24"/>
              </w:rPr>
              <w:t xml:space="preserve">±</w:t>
            </w:r>
            <w:r>
              <w:rPr>
                <w:rFonts w:hint="eastAsia"/>
                <w:sz w:val="24"/>
              </w:rPr>
              <w:t xml:space="preserve">5</w:t>
            </w:r>
            <w:r>
              <w:rPr>
                <w:rFonts w:hint="eastAsia"/>
                <w:sz w:val="24"/>
              </w:rPr>
              <w:t xml:space="preserve">字；</w:t>
            </w:r>
            <w:r>
              <w:rPr>
                <w:rFonts w:hint="eastAsia"/>
                <w:sz w:val="24"/>
              </w:rPr>
              <w:br/>
              <w:t xml:space="preserve">5.</w:t>
            </w:r>
            <w:r>
              <w:rPr>
                <w:rFonts w:hint="eastAsia"/>
                <w:sz w:val="24"/>
              </w:rPr>
              <w:t xml:space="preserve">带老师、学生</w:t>
            </w:r>
            <w:r>
              <w:rPr>
                <w:rFonts w:hint="eastAsia"/>
                <w:sz w:val="24"/>
              </w:rPr>
              <w:t xml:space="preserve">220V</w:t>
            </w:r>
            <w:r>
              <w:rPr>
                <w:rFonts w:hint="eastAsia"/>
                <w:sz w:val="24"/>
              </w:rPr>
              <w:t xml:space="preserve">过载漏电保护。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20"/>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学生实验操作及学习区</w:t>
            </w:r>
            <w:r/>
          </w:p>
        </w:tc>
      </w:tr>
      <w:tr>
        <w:trPr>
          <w:trHeight w:val="651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学生实验桌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参考规格：</w:t>
            </w:r>
            <w:r>
              <w:rPr>
                <w:rFonts w:hint="eastAsia"/>
                <w:sz w:val="24"/>
              </w:rPr>
              <w:t xml:space="preserve">1200*600*780/800mm</w:t>
            </w:r>
            <w:r>
              <w:rPr>
                <w:rFonts w:hint="eastAsia"/>
                <w:sz w:val="24"/>
              </w:rPr>
              <w:br/>
            </w:r>
            <w:r>
              <w:rPr>
                <w:rFonts w:hint="eastAsia"/>
                <w:sz w:val="24"/>
              </w:rPr>
              <w:t xml:space="preserve">▲</w:t>
            </w:r>
            <w:r>
              <w:rPr>
                <w:rFonts w:hint="eastAsia"/>
                <w:sz w:val="24"/>
              </w:rPr>
              <w:t xml:space="preserve">2.</w:t>
            </w:r>
            <w:r>
              <w:rPr>
                <w:rFonts w:hint="eastAsia"/>
                <w:sz w:val="24"/>
              </w:rPr>
              <w:t xml:space="preserve">台面：采用≥</w:t>
            </w:r>
            <w:r>
              <w:rPr>
                <w:rFonts w:hint="eastAsia"/>
                <w:sz w:val="24"/>
              </w:rPr>
              <w:t xml:space="preserve">12.7mm</w:t>
            </w:r>
            <w:r>
              <w:rPr>
                <w:rFonts w:hint="eastAsia"/>
                <w:sz w:val="24"/>
              </w:rPr>
              <w:t xml:space="preserve">实芯理化板，台面前端经机械打磨，圆角处理，后部根据桌架形状铣边镶入框架中，防止台面起翘、变形、脱落；</w:t>
            </w:r>
            <w:r>
              <w:rPr>
                <w:rFonts w:hint="eastAsia"/>
                <w:sz w:val="24"/>
              </w:rPr>
              <w:br/>
              <w:t xml:space="preserve">3.</w:t>
            </w:r>
            <w:r>
              <w:rPr>
                <w:rFonts w:hint="eastAsia"/>
                <w:sz w:val="24"/>
              </w:rPr>
              <w:t xml:space="preserve">结构：镂空设计。专用书包斗，中间设挂凳卡。</w:t>
            </w:r>
            <w:r>
              <w:rPr>
                <w:rFonts w:hint="eastAsia"/>
                <w:sz w:val="24"/>
              </w:rPr>
              <w:br/>
            </w:r>
            <w:r>
              <w:rPr>
                <w:rFonts w:hint="eastAsia"/>
                <w:sz w:val="24"/>
              </w:rPr>
              <w:t xml:space="preserve">★</w:t>
            </w:r>
            <w:r>
              <w:rPr>
                <w:rFonts w:hint="eastAsia"/>
                <w:sz w:val="24"/>
              </w:rPr>
              <w:t xml:space="preserve">4.</w:t>
            </w:r>
            <w:r>
              <w:rPr>
                <w:rFonts w:hint="eastAsia"/>
                <w:sz w:val="24"/>
              </w:rPr>
              <w:t xml:space="preserve">侧脚采用高强度合金或者钢制结构，要做到承重性能强和耐酸碱、耐腐蚀。</w:t>
            </w:r>
            <w:r>
              <w:rPr>
                <w:rFonts w:hint="eastAsia"/>
                <w:sz w:val="24"/>
              </w:rPr>
              <w:br/>
            </w:r>
            <w:r>
              <w:rPr>
                <w:rFonts w:hint="eastAsia"/>
                <w:sz w:val="24"/>
              </w:rPr>
              <w:t xml:space="preserve">★</w:t>
            </w:r>
            <w:r>
              <w:rPr>
                <w:rFonts w:hint="eastAsia"/>
                <w:sz w:val="24"/>
              </w:rPr>
              <w:t xml:space="preserve">5.</w:t>
            </w:r>
            <w:r>
              <w:rPr>
                <w:rFonts w:hint="eastAsia"/>
                <w:sz w:val="24"/>
              </w:rPr>
              <w:t xml:space="preserve">后档板、前后横梁、中间横梁全部采用高强度挤出合金或者钢制模具型材。</w:t>
            </w:r>
            <w:r>
              <w:rPr>
                <w:rFonts w:hint="eastAsia"/>
                <w:sz w:val="24"/>
              </w:rPr>
              <w:br/>
              <w:t xml:space="preserve">6. </w:t>
            </w:r>
            <w:r>
              <w:rPr>
                <w:rFonts w:hint="eastAsia"/>
                <w:sz w:val="24"/>
              </w:rPr>
              <w:t xml:space="preserve">桌侧脚：桌侧脚设置专用孔位与地面固定，并配有跟台面同色</w:t>
            </w:r>
            <w:r>
              <w:rPr>
                <w:rFonts w:hint="eastAsia"/>
                <w:sz w:val="24"/>
              </w:rPr>
              <w:t xml:space="preserve">ABS</w:t>
            </w:r>
            <w:r>
              <w:rPr>
                <w:rFonts w:hint="eastAsia"/>
                <w:sz w:val="24"/>
              </w:rPr>
              <w:t xml:space="preserve">脚套装饰盖。</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多功能柱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整体采用实验室专用</w:t>
            </w:r>
            <w:r>
              <w:rPr>
                <w:rFonts w:hint="eastAsia"/>
                <w:sz w:val="24"/>
              </w:rPr>
              <w:t xml:space="preserve">PP</w:t>
            </w:r>
            <w:r>
              <w:rPr>
                <w:rFonts w:hint="eastAsia"/>
                <w:sz w:val="24"/>
              </w:rPr>
              <w:t xml:space="preserve">材质，四周圆弧处理，前后二块拼接而成，可拆装，内部隐藏实验线管及通风管道，方便检修。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19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实验凳</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凳脚材质：</w:t>
            </w:r>
            <w:r>
              <w:rPr>
                <w:rFonts w:hint="eastAsia"/>
                <w:sz w:val="24"/>
              </w:rPr>
              <w:t xml:space="preserve">4</w:t>
            </w:r>
            <w:r>
              <w:rPr>
                <w:rFonts w:hint="eastAsia"/>
                <w:sz w:val="24"/>
              </w:rPr>
              <w:t xml:space="preserve">个凳脚采用≥</w:t>
            </w:r>
            <w:r>
              <w:rPr>
                <w:rFonts w:hint="eastAsia"/>
                <w:sz w:val="24"/>
              </w:rPr>
              <w:t xml:space="preserve">17</w:t>
            </w:r>
            <w:r>
              <w:rPr>
                <w:rFonts w:hint="eastAsia"/>
                <w:sz w:val="24"/>
              </w:rPr>
              <w:t xml:space="preserve">×</w:t>
            </w:r>
            <w:r>
              <w:rPr>
                <w:rFonts w:hint="eastAsia"/>
                <w:sz w:val="24"/>
              </w:rPr>
              <w:t xml:space="preserve">34</w:t>
            </w:r>
            <w:r>
              <w:rPr>
                <w:rFonts w:hint="eastAsia"/>
                <w:sz w:val="24"/>
              </w:rPr>
              <w:t xml:space="preserve">×</w:t>
            </w:r>
            <w:r>
              <w:rPr>
                <w:rFonts w:hint="eastAsia"/>
                <w:sz w:val="24"/>
              </w:rPr>
              <w:t xml:space="preserve">1.7mm </w:t>
            </w:r>
            <w:r>
              <w:rPr>
                <w:rFonts w:hint="eastAsia"/>
                <w:sz w:val="24"/>
              </w:rPr>
              <w:t xml:space="preserve">无缝钢管模具一次成型。全圆满焊接完成，结构牢固，经高温粉体烤漆处理，长时间使用也不会产生表面烤漆剥落现象，升降式。Ф凳面直径</w:t>
            </w:r>
            <w:r>
              <w:rPr>
                <w:rFonts w:hint="eastAsia"/>
                <w:sz w:val="24"/>
              </w:rPr>
              <w:t xml:space="preserve">300/320</w:t>
            </w:r>
            <w:r>
              <w:rPr>
                <w:rFonts w:hint="eastAsia"/>
                <w:sz w:val="24"/>
              </w:rPr>
              <w:t xml:space="preserve">×高</w:t>
            </w:r>
            <w:r>
              <w:rPr>
                <w:rFonts w:hint="eastAsia"/>
                <w:sz w:val="24"/>
              </w:rPr>
              <w:t xml:space="preserve">450/500/510mm</w:t>
            </w:r>
            <w:r>
              <w:rPr>
                <w:rFonts w:hint="eastAsia"/>
                <w:sz w:val="24"/>
              </w:rPr>
              <w:t xml:space="preserve">。</w:t>
            </w:r>
            <w:r>
              <w:rPr>
                <w:rFonts w:hint="eastAsia"/>
                <w:sz w:val="24"/>
              </w:rPr>
              <w:br/>
              <w:t xml:space="preserve">2.</w:t>
            </w:r>
            <w:r>
              <w:rPr>
                <w:rFonts w:hint="eastAsia"/>
                <w:sz w:val="24"/>
              </w:rPr>
              <w:t xml:space="preserve">凳面材质：注塑，防滑不发光。</w:t>
            </w:r>
            <w:r>
              <w:rPr>
                <w:rFonts w:hint="eastAsia"/>
                <w:sz w:val="24"/>
              </w:rPr>
              <w:br/>
              <w:t xml:space="preserve">3.</w:t>
            </w:r>
            <w:r>
              <w:rPr>
                <w:rFonts w:hint="eastAsia"/>
                <w:sz w:val="24"/>
              </w:rPr>
              <w:t xml:space="preserve">脚垫材质：采用</w:t>
            </w:r>
            <w:r>
              <w:rPr>
                <w:rFonts w:hint="eastAsia"/>
                <w:sz w:val="24"/>
              </w:rPr>
              <w:t xml:space="preserve">PP</w:t>
            </w:r>
            <w:r>
              <w:rPr>
                <w:rFonts w:hint="eastAsia"/>
                <w:sz w:val="24"/>
              </w:rPr>
              <w:t xml:space="preserve">加耐磨纤维质塑料，实心倒</w:t>
            </w:r>
            <w:r>
              <w:rPr>
                <w:rFonts w:hint="eastAsia"/>
                <w:sz w:val="24"/>
              </w:rPr>
              <w:t xml:space="preserve">勾式一体射出成型</w:t>
            </w:r>
            <w:r>
              <w:rPr>
                <w:rFonts w:hint="eastAsia"/>
                <w:sz w:val="24"/>
              </w:rPr>
              <w:t xml:space="preserve"> </w:t>
            </w:r>
            <w:r>
              <w:rPr>
                <w:rFonts w:hint="eastAsia"/>
                <w:sz w:val="24"/>
              </w:rPr>
              <w:t xml:space="preserve">凳面与凳脚留有一定的空间便于凳子挂在挂凳扣上。方便教室的打扫。</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56</w:t>
            </w:r>
            <w:r/>
          </w:p>
        </w:tc>
      </w:tr>
      <w:tr>
        <w:trPr>
          <w:trHeight w:val="429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水槽柜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t xml:space="preserve">1. </w:t>
            </w:r>
            <w:r>
              <w:rPr>
                <w:rFonts w:hint="eastAsia"/>
                <w:sz w:val="24"/>
              </w:rPr>
              <w:t xml:space="preserve">参考规格：</w:t>
            </w:r>
            <w:r>
              <w:rPr>
                <w:rFonts w:hint="eastAsia"/>
                <w:sz w:val="24"/>
              </w:rPr>
              <w:t xml:space="preserve"> 438-500*600-655*788-940mm</w:t>
            </w:r>
            <w:r>
              <w:rPr>
                <w:rFonts w:hint="eastAsia"/>
                <w:sz w:val="24"/>
              </w:rPr>
              <w:t xml:space="preserve">；</w:t>
            </w:r>
            <w:r>
              <w:rPr>
                <w:rFonts w:hint="eastAsia"/>
                <w:sz w:val="24"/>
              </w:rPr>
              <w:br/>
              <w:t xml:space="preserve">2.</w:t>
            </w:r>
            <w:r>
              <w:rPr>
                <w:rFonts w:hint="eastAsia"/>
                <w:sz w:val="24"/>
              </w:rPr>
              <w:t xml:space="preserve">水槽：整体采用</w:t>
            </w:r>
            <w:r>
              <w:rPr>
                <w:rFonts w:hint="eastAsia"/>
                <w:sz w:val="24"/>
              </w:rPr>
              <w:t xml:space="preserve">PP</w:t>
            </w:r>
            <w:r>
              <w:rPr>
                <w:rFonts w:hint="eastAsia"/>
                <w:sz w:val="24"/>
              </w:rPr>
              <w:t xml:space="preserve">改性材料，壁厚≥</w:t>
            </w:r>
            <w:r>
              <w:rPr>
                <w:rFonts w:hint="eastAsia"/>
                <w:sz w:val="24"/>
              </w:rPr>
              <w:t xml:space="preserve">4mm</w:t>
            </w:r>
            <w:r>
              <w:rPr>
                <w:rFonts w:hint="eastAsia"/>
                <w:sz w:val="24"/>
              </w:rPr>
              <w:t xml:space="preserve">，一次性注塑成型；</w:t>
            </w:r>
            <w:r>
              <w:rPr>
                <w:rFonts w:hint="eastAsia"/>
                <w:sz w:val="24"/>
              </w:rPr>
              <w:t xml:space="preserve"> </w:t>
            </w:r>
            <w:r>
              <w:rPr>
                <w:rFonts w:hint="eastAsia"/>
                <w:sz w:val="24"/>
              </w:rPr>
              <w:br/>
            </w:r>
            <w:r>
              <w:rPr>
                <w:rFonts w:hint="eastAsia"/>
                <w:sz w:val="24"/>
              </w:rPr>
              <w:t xml:space="preserve">▲</w:t>
            </w:r>
            <w:r>
              <w:rPr>
                <w:rFonts w:hint="eastAsia"/>
                <w:sz w:val="24"/>
              </w:rPr>
              <w:t xml:space="preserve">3.</w:t>
            </w:r>
            <w:r>
              <w:rPr>
                <w:rFonts w:hint="eastAsia"/>
                <w:sz w:val="24"/>
              </w:rPr>
              <w:t xml:space="preserve">水槽整体分段组装，分别为水槽，柜体，底座三体组装而成。柜体采用金属件加固支撑，置物架设滴水架，水龙头安装底座，水槽台面预留通风管道、电路及网络线孔位。</w:t>
            </w:r>
            <w:r>
              <w:rPr>
                <w:rFonts w:hint="eastAsia"/>
                <w:sz w:val="24"/>
              </w:rPr>
              <w:br/>
              <w:t xml:space="preserve">4.</w:t>
            </w:r>
            <w:r>
              <w:rPr>
                <w:rFonts w:hint="eastAsia"/>
                <w:sz w:val="24"/>
              </w:rPr>
              <w:t xml:space="preserve">水槽内部前高后低设计，废水及时排出，不残留，配有防溅过滤网及不锈钢网双层过滤，防止残渣堵塞。</w:t>
            </w:r>
            <w:r>
              <w:rPr>
                <w:rFonts w:hint="eastAsia"/>
                <w:sz w:val="24"/>
              </w:rPr>
              <w:br/>
              <w:t xml:space="preserve">5.</w:t>
            </w:r>
            <w:r>
              <w:rPr>
                <w:rFonts w:hint="eastAsia"/>
                <w:sz w:val="24"/>
              </w:rPr>
              <w:t xml:space="preserve">柜门：柜体前后配有双层柜门，</w:t>
            </w:r>
            <w:r>
              <w:rPr>
                <w:rFonts w:hint="eastAsia"/>
                <w:sz w:val="24"/>
              </w:rPr>
              <w:t xml:space="preserve">ABS</w:t>
            </w:r>
            <w:r>
              <w:rPr>
                <w:rFonts w:hint="eastAsia"/>
                <w:sz w:val="24"/>
              </w:rPr>
              <w:t xml:space="preserve">材质，一体注塑成型，前后门安装不锈钢同芯锁，防止学生接触到电源及给水阀门。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r>
      <w:tr>
        <w:trPr>
          <w:trHeight w:val="124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三联高低位龙头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br/>
              <w:t xml:space="preserve">1.</w:t>
            </w:r>
            <w:r>
              <w:rPr>
                <w:rFonts w:hint="eastAsia"/>
                <w:sz w:val="24"/>
              </w:rPr>
              <w:t xml:space="preserve">臂弯、主体、进水管、出水管采用不锈钢或黄铜制造。</w:t>
            </w:r>
            <w:r>
              <w:rPr>
                <w:rFonts w:hint="eastAsia"/>
                <w:sz w:val="24"/>
              </w:rPr>
              <w:br/>
              <w:t xml:space="preserve">2.</w:t>
            </w:r>
            <w:r>
              <w:rPr>
                <w:rFonts w:hint="eastAsia"/>
                <w:sz w:val="24"/>
              </w:rPr>
              <w:t xml:space="preserve">涂层</w:t>
            </w:r>
            <w:r>
              <w:rPr>
                <w:rFonts w:hint="eastAsia"/>
                <w:sz w:val="24"/>
              </w:rPr>
              <w:t xml:space="preserve">: </w:t>
            </w:r>
            <w:r>
              <w:rPr>
                <w:rFonts w:hint="eastAsia"/>
                <w:sz w:val="24"/>
              </w:rPr>
              <w:t xml:space="preserve">涂层经亚光环氧树脂耐酸碱粉末涂料热固处理，耐腐蚀、耐热，防紫外线辐射。</w:t>
            </w:r>
            <w:r>
              <w:rPr>
                <w:rFonts w:hint="eastAsia"/>
                <w:sz w:val="24"/>
              </w:rPr>
              <w:br/>
              <w:t xml:space="preserve">3.</w:t>
            </w:r>
            <w:r>
              <w:rPr>
                <w:rFonts w:hint="eastAsia"/>
                <w:sz w:val="24"/>
              </w:rPr>
              <w:t xml:space="preserve">陶瓷阀芯</w:t>
            </w:r>
            <w:r>
              <w:rPr>
                <w:rFonts w:hint="eastAsia"/>
                <w:sz w:val="24"/>
              </w:rPr>
              <w:t xml:space="preserve">: 90</w:t>
            </w:r>
            <w:r>
              <w:rPr>
                <w:rFonts w:hint="eastAsia"/>
                <w:sz w:val="24"/>
              </w:rPr>
              <w:t xml:space="preserve">°旋转。</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r>
      <w:tr>
        <w:trPr>
          <w:trHeight w:val="91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侧面</w:t>
            </w:r>
            <w:r>
              <w:rPr>
                <w:rFonts w:hint="eastAsia"/>
                <w:sz w:val="24"/>
              </w:rPr>
              <w:t xml:space="preserve">220V</w:t>
            </w:r>
            <w:r>
              <w:rPr>
                <w:rFonts w:hint="eastAsia"/>
                <w:sz w:val="24"/>
              </w:rPr>
              <w:t xml:space="preserve">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单独安装在桌子侧边（左右可选），盒体为工程</w:t>
            </w:r>
            <w:r>
              <w:rPr>
                <w:rFonts w:hint="eastAsia"/>
                <w:sz w:val="24"/>
              </w:rPr>
              <w:t xml:space="preserve">PC</w:t>
            </w:r>
            <w:r>
              <w:rPr>
                <w:rFonts w:hint="eastAsia"/>
                <w:sz w:val="24"/>
              </w:rPr>
              <w:t xml:space="preserve">塑料模具注塑一次成型；</w:t>
            </w:r>
            <w:r>
              <w:rPr>
                <w:rFonts w:hint="eastAsia"/>
                <w:sz w:val="24"/>
              </w:rPr>
              <w:br/>
              <w:t xml:space="preserve">2.</w:t>
            </w:r>
            <w:r>
              <w:rPr>
                <w:rFonts w:hint="eastAsia"/>
                <w:sz w:val="24"/>
              </w:rPr>
              <w:t xml:space="preserve">设置</w:t>
            </w:r>
            <w:r>
              <w:rPr>
                <w:rFonts w:hint="eastAsia"/>
                <w:sz w:val="24"/>
              </w:rPr>
              <w:t xml:space="preserve">2</w:t>
            </w:r>
            <w:r>
              <w:rPr>
                <w:rFonts w:hint="eastAsia"/>
                <w:sz w:val="24"/>
              </w:rPr>
              <w:t xml:space="preserve">路多功能</w:t>
            </w:r>
            <w:r>
              <w:rPr>
                <w:rFonts w:hint="eastAsia"/>
                <w:sz w:val="24"/>
              </w:rPr>
              <w:t xml:space="preserve">220V</w:t>
            </w:r>
            <w:r>
              <w:rPr>
                <w:rFonts w:hint="eastAsia"/>
                <w:sz w:val="24"/>
              </w:rPr>
              <w:t xml:space="preserve">五孔交流插座，操作简单，安全可靠。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360"/>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通风系统</w:t>
            </w:r>
            <w:r/>
          </w:p>
        </w:tc>
      </w:tr>
      <w:tr>
        <w:trPr>
          <w:trHeight w:val="24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万向吸风罩</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br/>
              <w:t xml:space="preserve">1.</w:t>
            </w:r>
            <w:r>
              <w:rPr>
                <w:rFonts w:hint="eastAsia"/>
                <w:sz w:val="24"/>
              </w:rPr>
              <w:t xml:space="preserve">关节：高密度</w:t>
            </w:r>
            <w:r>
              <w:rPr>
                <w:rFonts w:hint="eastAsia"/>
                <w:sz w:val="24"/>
              </w:rPr>
              <w:t xml:space="preserve">PP</w:t>
            </w:r>
            <w:r>
              <w:rPr>
                <w:rFonts w:hint="eastAsia"/>
                <w:sz w:val="24"/>
              </w:rPr>
              <w:t xml:space="preserve">材质表面磨砂，可</w:t>
            </w:r>
            <w:r>
              <w:rPr>
                <w:rFonts w:hint="eastAsia"/>
                <w:sz w:val="24"/>
              </w:rPr>
              <w:t xml:space="preserve">360</w:t>
            </w:r>
            <w:r>
              <w:rPr>
                <w:rFonts w:hint="eastAsia"/>
                <w:sz w:val="24"/>
              </w:rPr>
              <w:t xml:space="preserve">°旋转调节方向。</w:t>
            </w:r>
            <w:r>
              <w:rPr>
                <w:rFonts w:hint="eastAsia"/>
                <w:sz w:val="24"/>
              </w:rPr>
              <w:br/>
              <w:t xml:space="preserve">2.</w:t>
            </w:r>
            <w:r>
              <w:rPr>
                <w:rFonts w:hint="eastAsia"/>
                <w:sz w:val="24"/>
              </w:rPr>
              <w:t xml:space="preserve">关节密封圈：不易老化之高密度橡胶。在关节之间随着旋钮压力加大而产生阻尼效果。</w:t>
            </w:r>
            <w:r>
              <w:rPr>
                <w:rFonts w:hint="eastAsia"/>
                <w:sz w:val="24"/>
              </w:rPr>
              <w:br/>
            </w:r>
            <w:r>
              <w:rPr>
                <w:rFonts w:hint="eastAsia"/>
                <w:sz w:val="24"/>
              </w:rPr>
              <w:t xml:space="preserve">▲</w:t>
            </w:r>
            <w:r>
              <w:rPr>
                <w:rFonts w:hint="eastAsia"/>
                <w:sz w:val="24"/>
              </w:rPr>
              <w:t xml:space="preserve">3.</w:t>
            </w:r>
            <w:r>
              <w:rPr>
                <w:rFonts w:hint="eastAsia"/>
                <w:sz w:val="24"/>
              </w:rPr>
              <w:t xml:space="preserve">关节连接杆：优质金属。</w:t>
            </w:r>
            <w:r>
              <w:rPr>
                <w:rFonts w:hint="eastAsia"/>
                <w:sz w:val="24"/>
              </w:rPr>
              <w:br/>
            </w:r>
            <w:r>
              <w:rPr>
                <w:rFonts w:hint="eastAsia"/>
                <w:sz w:val="24"/>
              </w:rPr>
              <w:t xml:space="preserve">▲</w:t>
            </w:r>
            <w:r>
              <w:rPr>
                <w:rFonts w:hint="eastAsia"/>
                <w:sz w:val="24"/>
              </w:rPr>
              <w:t xml:space="preserve">4.</w:t>
            </w:r>
            <w:r>
              <w:rPr>
                <w:rFonts w:hint="eastAsia"/>
                <w:sz w:val="24"/>
              </w:rPr>
              <w:t xml:space="preserve">伸缩导管、旋转关节：抗氧化抗腐蚀的镁硅铝合金，耐酸、耐碱、耐划痕。设有防滑机构，有效防止自动由上往下滑落。</w:t>
            </w:r>
            <w:r>
              <w:rPr>
                <w:rFonts w:hint="eastAsia"/>
                <w:sz w:val="24"/>
              </w:rPr>
              <w:br/>
              <w:t xml:space="preserve">5.</w:t>
            </w:r>
            <w:r>
              <w:rPr>
                <w:rFonts w:hint="eastAsia"/>
                <w:sz w:val="24"/>
              </w:rPr>
              <w:t xml:space="preserve">安装后可根据使用需要达到三维</w:t>
            </w:r>
            <w:r>
              <w:rPr>
                <w:rFonts w:hint="eastAsia"/>
                <w:sz w:val="24"/>
              </w:rPr>
              <w:t xml:space="preserve">360</w:t>
            </w:r>
            <w:r>
              <w:rPr>
                <w:rFonts w:hint="eastAsia"/>
                <w:sz w:val="24"/>
              </w:rPr>
              <w:t xml:space="preserve">度任意转停，集气罩吸气角度</w:t>
            </w:r>
            <w:r>
              <w:rPr>
                <w:rFonts w:hint="eastAsia"/>
                <w:sz w:val="24"/>
              </w:rPr>
              <w:t xml:space="preserve">360</w:t>
            </w:r>
            <w:r>
              <w:rPr>
                <w:rFonts w:hint="eastAsia"/>
                <w:sz w:val="24"/>
              </w:rPr>
              <w:t xml:space="preserve">度任意转停。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29</w:t>
            </w:r>
            <w:r/>
          </w:p>
        </w:tc>
      </w:tr>
      <w:tr>
        <w:trPr>
          <w:trHeight w:val="106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室内行程通风系统</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采用防腐蚀</w:t>
            </w:r>
            <w:r>
              <w:rPr>
                <w:rFonts w:hint="eastAsia"/>
                <w:sz w:val="24"/>
              </w:rPr>
              <w:t xml:space="preserve">PP</w:t>
            </w:r>
            <w:r>
              <w:rPr>
                <w:rFonts w:hint="eastAsia"/>
                <w:sz w:val="24"/>
              </w:rPr>
              <w:t xml:space="preserve">材质，整体焊接成型，整体结构性能好、严密性高。同时具有耐酸碱性能。</w:t>
            </w:r>
            <w:r>
              <w:rPr>
                <w:rFonts w:hint="eastAsia"/>
                <w:sz w:val="24"/>
              </w:rPr>
              <w:br/>
            </w:r>
            <w:r>
              <w:rPr>
                <w:rFonts w:hint="eastAsia"/>
                <w:sz w:val="24"/>
              </w:rPr>
              <w:t xml:space="preserve">管卡采用碳钢制作，表面经镀铬处理，具有耐腐蚀、防火、防潮等功能。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26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防腐风机及配件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br/>
            </w:r>
            <w:r>
              <w:rPr>
                <w:rFonts w:hint="eastAsia"/>
                <w:sz w:val="24"/>
              </w:rPr>
              <w:t xml:space="preserve">1.</w:t>
            </w:r>
            <w:r>
              <w:rPr>
                <w:rFonts w:hint="eastAsia"/>
                <w:sz w:val="24"/>
              </w:rPr>
              <w:t xml:space="preserve">功率：</w:t>
            </w:r>
            <w:r>
              <w:rPr>
                <w:rFonts w:hint="eastAsia"/>
                <w:sz w:val="24"/>
              </w:rPr>
              <w:t xml:space="preserve">≥</w:t>
            </w:r>
            <w:r>
              <w:rPr>
                <w:rFonts w:hint="eastAsia"/>
                <w:sz w:val="24"/>
              </w:rPr>
              <w:t xml:space="preserve">5.5KW</w:t>
            </w:r>
            <w:r>
              <w:rPr>
                <w:rFonts w:hint="eastAsia"/>
                <w:sz w:val="24"/>
              </w:rPr>
              <w:t xml:space="preserve">。风量：</w:t>
            </w:r>
            <w:r>
              <w:rPr>
                <w:rFonts w:hint="eastAsia"/>
                <w:sz w:val="24"/>
              </w:rPr>
              <w:t xml:space="preserve">7100-13500m</w:t>
            </w:r>
            <w:r>
              <w:rPr>
                <w:rFonts w:hint="eastAsia"/>
                <w:sz w:val="24"/>
                <w:vertAlign w:val="superscript"/>
              </w:rPr>
              <w:t xml:space="preserve">3</w:t>
            </w:r>
            <w:r>
              <w:rPr>
                <w:rFonts w:hint="eastAsia"/>
                <w:sz w:val="24"/>
              </w:rPr>
              <w:t xml:space="preserve">/h</w:t>
            </w:r>
            <w:r>
              <w:rPr>
                <w:rFonts w:hint="eastAsia"/>
                <w:sz w:val="24"/>
              </w:rPr>
              <w:t xml:space="preserve">。风压：</w:t>
            </w:r>
            <w:r>
              <w:rPr>
                <w:rFonts w:hint="eastAsia"/>
                <w:sz w:val="24"/>
              </w:rPr>
              <w:t xml:space="preserve">926-735Pa</w:t>
            </w:r>
            <w:r>
              <w:rPr>
                <w:rFonts w:hint="eastAsia"/>
                <w:sz w:val="24"/>
              </w:rPr>
              <w:t xml:space="preserve">。噪音：≤</w:t>
            </w:r>
            <w:r>
              <w:rPr>
                <w:rFonts w:hint="eastAsia"/>
                <w:sz w:val="24"/>
              </w:rPr>
              <w:t xml:space="preserve">55dB(A)</w:t>
            </w:r>
            <w:r>
              <w:rPr>
                <w:rFonts w:hint="eastAsia"/>
                <w:sz w:val="24"/>
              </w:rPr>
              <w:t xml:space="preserve">。室内换气次数：≥</w:t>
            </w:r>
            <w:r>
              <w:rPr>
                <w:rFonts w:hint="eastAsia"/>
                <w:sz w:val="24"/>
              </w:rPr>
              <w:t xml:space="preserve">20</w:t>
            </w:r>
            <w:r>
              <w:rPr>
                <w:rFonts w:hint="eastAsia"/>
                <w:sz w:val="24"/>
              </w:rPr>
              <w:t xml:space="preserve">次</w:t>
            </w:r>
            <w:r>
              <w:rPr>
                <w:rFonts w:hint="eastAsia"/>
                <w:sz w:val="24"/>
              </w:rPr>
              <w:t xml:space="preserve">/h</w:t>
            </w:r>
            <w:r>
              <w:rPr>
                <w:rFonts w:hint="eastAsia"/>
                <w:sz w:val="24"/>
              </w:rPr>
              <w:t xml:space="preserve">。终端流速：≥</w:t>
            </w:r>
            <w:r>
              <w:rPr>
                <w:rFonts w:hint="eastAsia"/>
                <w:sz w:val="24"/>
              </w:rPr>
              <w:t xml:space="preserve">11.3</w:t>
            </w:r>
            <w:r>
              <w:rPr>
                <w:rFonts w:hint="eastAsia"/>
                <w:sz w:val="24"/>
              </w:rPr>
              <w:t xml:space="preserve">米</w:t>
            </w:r>
            <w:r>
              <w:rPr>
                <w:rFonts w:hint="eastAsia"/>
                <w:sz w:val="24"/>
              </w:rPr>
              <w:t xml:space="preserve">/</w:t>
            </w:r>
            <w:r>
              <w:rPr>
                <w:rFonts w:hint="eastAsia"/>
                <w:sz w:val="24"/>
              </w:rPr>
              <w:t xml:space="preserve">秒</w:t>
            </w:r>
            <w:r>
              <w:rPr>
                <w:rFonts w:hint="eastAsia"/>
                <w:sz w:val="24"/>
              </w:rPr>
              <w:t xml:space="preserve">，</w:t>
            </w:r>
            <w:r>
              <w:rPr>
                <w:rFonts w:hint="eastAsia"/>
                <w:sz w:val="24"/>
              </w:rPr>
              <w:t xml:space="preserve">整个通风系统均为中压系统（</w:t>
            </w:r>
            <w:r>
              <w:rPr>
                <w:rFonts w:hint="eastAsia"/>
                <w:sz w:val="24"/>
              </w:rPr>
              <w:t xml:space="preserve">500Pa</w:t>
            </w:r>
            <w:r>
              <w:rPr>
                <w:rFonts w:hint="eastAsia"/>
                <w:sz w:val="24"/>
              </w:rPr>
              <w:t xml:space="preserve">＜</w:t>
            </w:r>
            <w:r>
              <w:rPr>
                <w:rFonts w:hint="eastAsia"/>
                <w:sz w:val="24"/>
              </w:rPr>
              <w:t xml:space="preserve">P</w:t>
            </w:r>
            <w:r>
              <w:rPr>
                <w:rFonts w:hint="eastAsia"/>
                <w:sz w:val="24"/>
              </w:rPr>
              <w:t xml:space="preserve">≤</w:t>
            </w:r>
            <w:r>
              <w:rPr>
                <w:rFonts w:hint="eastAsia"/>
                <w:sz w:val="24"/>
              </w:rPr>
              <w:t xml:space="preserve">1500Pa</w:t>
            </w:r>
            <w:r>
              <w:rPr>
                <w:rFonts w:hint="eastAsia"/>
                <w:sz w:val="24"/>
              </w:rPr>
              <w:t xml:space="preserve">），主管内风速约</w:t>
            </w:r>
            <w:r>
              <w:rPr>
                <w:rFonts w:hint="eastAsia"/>
                <w:sz w:val="24"/>
              </w:rPr>
              <w:t xml:space="preserve">8-14</w:t>
            </w:r>
            <w:r>
              <w:rPr>
                <w:rFonts w:hint="eastAsia"/>
                <w:sz w:val="24"/>
              </w:rPr>
              <w:t xml:space="preserve">米</w:t>
            </w:r>
            <w:r>
              <w:rPr>
                <w:rFonts w:hint="eastAsia"/>
                <w:sz w:val="24"/>
              </w:rPr>
              <w:t xml:space="preserve">/</w:t>
            </w:r>
            <w:r>
              <w:rPr>
                <w:rFonts w:hint="eastAsia"/>
                <w:sz w:val="24"/>
              </w:rPr>
              <w:t xml:space="preserve">秒，支管内风速约</w:t>
            </w:r>
            <w:r>
              <w:rPr>
                <w:rFonts w:hint="eastAsia"/>
                <w:sz w:val="24"/>
              </w:rPr>
              <w:t xml:space="preserve">6-8</w:t>
            </w:r>
            <w:r>
              <w:rPr>
                <w:rFonts w:hint="eastAsia"/>
                <w:sz w:val="24"/>
              </w:rPr>
              <w:t xml:space="preserve">米</w:t>
            </w:r>
            <w:r>
              <w:rPr>
                <w:rFonts w:hint="eastAsia"/>
                <w:sz w:val="24"/>
              </w:rPr>
              <w:t xml:space="preserve">/</w:t>
            </w:r>
            <w:r>
              <w:rPr>
                <w:rFonts w:hint="eastAsia"/>
                <w:sz w:val="24"/>
              </w:rPr>
              <w:t xml:space="preserve">秒。</w:t>
            </w:r>
            <w:r>
              <w:rPr>
                <w:rFonts w:hint="eastAsia"/>
                <w:sz w:val="24"/>
              </w:rPr>
              <w:br/>
            </w:r>
            <w:r>
              <w:rPr>
                <w:rFonts w:hint="eastAsia"/>
                <w:sz w:val="24"/>
              </w:rPr>
              <w:t xml:space="preserve">2.</w:t>
            </w:r>
            <w:r>
              <w:rPr>
                <w:rFonts w:hint="eastAsia"/>
                <w:sz w:val="24"/>
              </w:rPr>
              <w:t xml:space="preserve">每台通风设备都可以独立操作，相互之间不受影响。</w:t>
            </w:r>
            <w:r>
              <w:rPr>
                <w:rFonts w:hint="eastAsia"/>
                <w:sz w:val="24"/>
              </w:rPr>
              <w:br/>
            </w:r>
            <w:r>
              <w:rPr>
                <w:rFonts w:hint="eastAsia"/>
                <w:sz w:val="24"/>
              </w:rPr>
              <w:t xml:space="preserve">3.</w:t>
            </w:r>
            <w:r>
              <w:rPr>
                <w:rFonts w:hint="eastAsia"/>
                <w:sz w:val="24"/>
              </w:rPr>
              <w:t xml:space="preserve">气流组织合理，排气顺畅，无气味溢出、气体排放符合国家规定排放标准。</w:t>
            </w:r>
            <w:r>
              <w:rPr>
                <w:rFonts w:hint="eastAsia"/>
                <w:sz w:val="24"/>
              </w:rPr>
              <w:br/>
            </w:r>
            <w:r>
              <w:rPr>
                <w:rFonts w:hint="eastAsia"/>
                <w:sz w:val="24"/>
              </w:rPr>
              <w:t xml:space="preserve">4.</w:t>
            </w:r>
            <w:r>
              <w:rPr>
                <w:rFonts w:hint="eastAsia"/>
                <w:sz w:val="24"/>
              </w:rPr>
              <w:t xml:space="preserve">通风系统主管内壁光滑，以降低噪声向室内传播，同时管井外壁应同室内装修保持一致</w:t>
            </w:r>
            <w:r>
              <w:rPr>
                <w:rFonts w:hint="eastAsia"/>
                <w:sz w:val="24"/>
              </w:rPr>
              <w:t xml:space="preserve">。</w:t>
            </w:r>
            <w:r/>
          </w:p>
          <w:p>
            <w:pPr>
              <w:jc w:val="left"/>
              <w:widowControl/>
              <w:rPr>
                <w:sz w:val="24"/>
              </w:rPr>
            </w:pPr>
            <w:r>
              <w:rPr>
                <w:sz w:val="24"/>
              </w:rPr>
            </w:r>
            <w:r/>
          </w:p>
          <w:p>
            <w:pPr>
              <w:jc w:val="left"/>
              <w:widowControl/>
              <w:rPr>
                <w:sz w:val="24"/>
              </w:rPr>
            </w:pPr>
            <w:r>
              <w:rPr>
                <w:sz w:val="24"/>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205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矢量控制变频器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频率指示、异常指示、转速指示、状态指示等均由</w:t>
            </w:r>
            <w:r>
              <w:rPr>
                <w:rFonts w:hint="eastAsia"/>
                <w:sz w:val="24"/>
              </w:rPr>
              <w:t xml:space="preserve">LED</w:t>
            </w:r>
            <w:r>
              <w:rPr>
                <w:rFonts w:hint="eastAsia"/>
                <w:sz w:val="24"/>
              </w:rPr>
              <w:t xml:space="preserve">显示；</w:t>
            </w:r>
            <w:r>
              <w:rPr>
                <w:rFonts w:hint="eastAsia"/>
                <w:sz w:val="24"/>
              </w:rPr>
              <w:br/>
              <w:t xml:space="preserve">2.</w:t>
            </w:r>
            <w:r>
              <w:rPr>
                <w:rFonts w:hint="eastAsia"/>
                <w:sz w:val="24"/>
              </w:rPr>
              <w:t xml:space="preserve">输入额定电压：三相</w:t>
            </w:r>
            <w:r>
              <w:rPr>
                <w:rFonts w:hint="eastAsia"/>
                <w:sz w:val="24"/>
              </w:rPr>
              <w:t xml:space="preserve">380V</w:t>
            </w:r>
            <w:r>
              <w:rPr>
                <w:rFonts w:hint="eastAsia"/>
                <w:sz w:val="24"/>
              </w:rPr>
              <w:t xml:space="preserve">，±</w:t>
            </w:r>
            <w:r>
              <w:rPr>
                <w:rFonts w:hint="eastAsia"/>
                <w:sz w:val="24"/>
              </w:rPr>
              <w:t xml:space="preserve">15%</w:t>
            </w:r>
            <w:r>
              <w:rPr>
                <w:rFonts w:hint="eastAsia"/>
                <w:sz w:val="24"/>
              </w:rPr>
              <w:t xml:space="preserve">；</w:t>
            </w:r>
            <w:r>
              <w:rPr>
                <w:rFonts w:hint="eastAsia"/>
                <w:sz w:val="24"/>
              </w:rPr>
              <w:br/>
              <w:t xml:space="preserve">3.</w:t>
            </w:r>
            <w:r>
              <w:rPr>
                <w:rFonts w:hint="eastAsia"/>
                <w:sz w:val="24"/>
              </w:rPr>
              <w:t xml:space="preserve">输入额定频率：</w:t>
            </w:r>
            <w:r>
              <w:rPr>
                <w:rFonts w:hint="eastAsia"/>
                <w:sz w:val="24"/>
              </w:rPr>
              <w:t xml:space="preserve">50/60 HZ</w:t>
            </w:r>
            <w:r>
              <w:rPr>
                <w:rFonts w:hint="eastAsia"/>
                <w:sz w:val="24"/>
              </w:rPr>
              <w:t xml:space="preserve">；</w:t>
            </w:r>
            <w:r>
              <w:rPr>
                <w:rFonts w:hint="eastAsia"/>
                <w:sz w:val="24"/>
              </w:rPr>
              <w:br/>
              <w:t xml:space="preserve">4.</w:t>
            </w:r>
            <w:r>
              <w:rPr>
                <w:rFonts w:hint="eastAsia"/>
                <w:sz w:val="24"/>
              </w:rPr>
              <w:t xml:space="preserve">控制方式：空间电压矢量控制；</w:t>
            </w:r>
            <w:r>
              <w:rPr>
                <w:rFonts w:hint="eastAsia"/>
                <w:sz w:val="24"/>
              </w:rPr>
              <w:br/>
              <w:t xml:space="preserve">5.</w:t>
            </w:r>
            <w:r>
              <w:rPr>
                <w:rFonts w:hint="eastAsia"/>
                <w:sz w:val="24"/>
              </w:rPr>
              <w:t xml:space="preserve">输出频率：</w:t>
            </w:r>
            <w:r>
              <w:rPr>
                <w:rFonts w:hint="eastAsia"/>
                <w:sz w:val="24"/>
              </w:rPr>
              <w:t xml:space="preserve">1.00~400.0 HZ</w:t>
            </w:r>
            <w:r>
              <w:rPr>
                <w:rFonts w:hint="eastAsia"/>
                <w:sz w:val="24"/>
              </w:rPr>
              <w:t xml:space="preserve">；</w:t>
            </w:r>
            <w:r>
              <w:rPr>
                <w:rFonts w:hint="eastAsia"/>
                <w:sz w:val="24"/>
              </w:rPr>
              <w:br/>
              <w:t xml:space="preserve">6.</w:t>
            </w:r>
            <w:r>
              <w:rPr>
                <w:rFonts w:hint="eastAsia"/>
                <w:sz w:val="24"/>
              </w:rPr>
              <w:t xml:space="preserve">过载能力：</w:t>
            </w:r>
            <w:r>
              <w:rPr>
                <w:rFonts w:hint="eastAsia"/>
                <w:sz w:val="24"/>
              </w:rPr>
              <w:t xml:space="preserve">150% </w:t>
            </w:r>
            <w:r>
              <w:rPr>
                <w:rFonts w:hint="eastAsia"/>
                <w:sz w:val="24"/>
              </w:rPr>
              <w:t xml:space="preserve">额定电流；</w:t>
            </w:r>
            <w:r>
              <w:rPr>
                <w:rFonts w:hint="eastAsia"/>
                <w:sz w:val="24"/>
              </w:rPr>
              <w:br/>
              <w:t xml:space="preserve">7.</w:t>
            </w:r>
            <w:r>
              <w:rPr>
                <w:rFonts w:hint="eastAsia"/>
                <w:sz w:val="24"/>
              </w:rPr>
              <w:t xml:space="preserve">保护功能：输入缺相、输入欠压、直流过压、过载等。</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383"/>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系统工程</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室内地上给排水安装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sz w:val="24"/>
              </w:rPr>
            </w:pPr>
            <w:r>
              <w:rPr>
                <w:rFonts w:hint="eastAsia"/>
                <w:sz w:val="24"/>
              </w:rPr>
              <w:t xml:space="preserve">给水采用优质金属软连接与龙头连接，地上每套水嘴设一控制阀门。排水采用优质</w:t>
            </w:r>
            <w:r>
              <w:rPr>
                <w:rFonts w:hint="eastAsia"/>
                <w:sz w:val="24"/>
              </w:rPr>
              <w:t xml:space="preserve">PVC</w:t>
            </w:r>
            <w:r>
              <w:rPr>
                <w:rFonts w:hint="eastAsia"/>
                <w:sz w:val="24"/>
              </w:rPr>
              <w:t xml:space="preserve">管，连接处密封。</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室内地上配电安装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sz w:val="24"/>
              </w:rPr>
            </w:pPr>
            <w:r>
              <w:rPr>
                <w:rFonts w:hint="eastAsia"/>
                <w:sz w:val="24"/>
              </w:rPr>
              <w:t xml:space="preserve">地上采用铝塑护套管，有效固定，电源接线。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54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陶瓷面防静</w:t>
            </w:r>
            <w:r>
              <w:rPr>
                <w:rFonts w:hint="eastAsia"/>
                <w:sz w:val="24"/>
              </w:rPr>
              <w:t xml:space="preserve">电活动地</w:t>
            </w:r>
            <w:r>
              <w:rPr>
                <w:rFonts w:hint="eastAsia"/>
                <w:sz w:val="24"/>
              </w:rPr>
              <w:t xml:space="preserve">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产品规格：不低于</w:t>
            </w:r>
            <w:r>
              <w:rPr>
                <w:rFonts w:hint="eastAsia"/>
                <w:sz w:val="24"/>
              </w:rPr>
              <w:t xml:space="preserve">602*602*40mm</w:t>
            </w:r>
            <w:r>
              <w:rPr>
                <w:rFonts w:hint="eastAsia"/>
                <w:sz w:val="24"/>
              </w:rPr>
              <w:br/>
            </w:r>
            <w:r>
              <w:rPr>
                <w:rFonts w:hint="eastAsia"/>
                <w:sz w:val="24"/>
              </w:rPr>
              <w:t xml:space="preserve">钢板厚度：上</w:t>
            </w:r>
            <w:r>
              <w:rPr>
                <w:rFonts w:hint="eastAsia"/>
                <w:sz w:val="24"/>
              </w:rPr>
              <w:t xml:space="preserve">0.65mm</w:t>
            </w:r>
            <w:r>
              <w:rPr>
                <w:rFonts w:hint="eastAsia"/>
                <w:sz w:val="24"/>
              </w:rPr>
              <w:t xml:space="preserve">下</w:t>
            </w:r>
            <w:r>
              <w:rPr>
                <w:rFonts w:hint="eastAsia"/>
                <w:sz w:val="24"/>
              </w:rPr>
              <w:t xml:space="preserve">0.65mm</w:t>
            </w:r>
            <w:r>
              <w:rPr>
                <w:rFonts w:hint="eastAsia"/>
                <w:sz w:val="24"/>
              </w:rPr>
              <w:br/>
            </w:r>
            <w:r>
              <w:rPr>
                <w:rFonts w:hint="eastAsia"/>
                <w:sz w:val="24"/>
              </w:rPr>
              <w:t xml:space="preserve">填充材料：高强度发泡水泥</w:t>
            </w:r>
            <w:r>
              <w:rPr>
                <w:rFonts w:hint="eastAsia"/>
                <w:sz w:val="24"/>
              </w:rPr>
              <w:br/>
            </w:r>
            <w:r>
              <w:rPr>
                <w:rFonts w:hint="eastAsia"/>
                <w:sz w:val="24"/>
              </w:rPr>
              <w:t xml:space="preserve">地板贴面：</w:t>
            </w:r>
            <w:r>
              <w:rPr>
                <w:rFonts w:hint="eastAsia"/>
                <w:sz w:val="24"/>
              </w:rPr>
              <w:t xml:space="preserve">10mm</w:t>
            </w:r>
            <w:r>
              <w:rPr>
                <w:rFonts w:hint="eastAsia"/>
                <w:sz w:val="24"/>
              </w:rPr>
              <w:t xml:space="preserve">防静电瓷砖面</w:t>
            </w:r>
            <w:r>
              <w:rPr>
                <w:rFonts w:hint="eastAsia"/>
                <w:sz w:val="24"/>
              </w:rPr>
              <w:br/>
            </w:r>
            <w:r>
              <w:rPr>
                <w:rFonts w:hint="eastAsia"/>
                <w:sz w:val="24"/>
              </w:rPr>
              <w:t xml:space="preserve">系统电阻：</w:t>
            </w:r>
            <w:r>
              <w:rPr>
                <w:rFonts w:hint="eastAsia"/>
                <w:sz w:val="24"/>
              </w:rPr>
              <w:t xml:space="preserve">1*106</w:t>
            </w:r>
            <w:r>
              <w:rPr>
                <w:rFonts w:hint="eastAsia"/>
                <w:sz w:val="24"/>
              </w:rPr>
              <w:t xml:space="preserve">Ω</w:t>
            </w:r>
            <w:r>
              <w:rPr>
                <w:rFonts w:hint="eastAsia"/>
                <w:sz w:val="24"/>
              </w:rPr>
              <w:t xml:space="preserve">-1*109</w:t>
            </w:r>
            <w:r>
              <w:rPr>
                <w:rFonts w:hint="eastAsia"/>
                <w:sz w:val="24"/>
              </w:rPr>
              <w:t xml:space="preserve">Ω</w:t>
            </w:r>
            <w:r>
              <w:rPr>
                <w:rFonts w:hint="eastAsia"/>
                <w:sz w:val="24"/>
              </w:rPr>
              <w:br/>
            </w:r>
            <w:r>
              <w:rPr>
                <w:rFonts w:hint="eastAsia"/>
                <w:sz w:val="24"/>
              </w:rPr>
              <w:t xml:space="preserve">集中载荷：≥</w:t>
            </w:r>
            <w:r>
              <w:rPr>
                <w:rFonts w:hint="eastAsia"/>
                <w:sz w:val="24"/>
              </w:rPr>
              <w:t xml:space="preserve">2300N</w:t>
            </w:r>
            <w:r>
              <w:rPr>
                <w:rFonts w:hint="eastAsia"/>
                <w:sz w:val="24"/>
              </w:rPr>
              <w:br/>
            </w:r>
            <w:r>
              <w:rPr>
                <w:rFonts w:hint="eastAsia"/>
                <w:sz w:val="24"/>
              </w:rPr>
              <w:t xml:space="preserve">均布载荷：≥</w:t>
            </w:r>
            <w:r>
              <w:rPr>
                <w:rFonts w:hint="eastAsia"/>
                <w:sz w:val="24"/>
              </w:rPr>
              <w:t xml:space="preserve">16000N</w:t>
            </w:r>
            <w:r>
              <w:rPr>
                <w:rFonts w:hint="eastAsia"/>
                <w:sz w:val="24"/>
              </w:rPr>
              <w:br/>
            </w:r>
            <w:r>
              <w:rPr>
                <w:rFonts w:hint="eastAsia"/>
                <w:sz w:val="24"/>
              </w:rPr>
              <w:t xml:space="preserve">冲击载荷：≥</w:t>
            </w:r>
            <w:r>
              <w:rPr>
                <w:rFonts w:hint="eastAsia"/>
                <w:sz w:val="24"/>
              </w:rPr>
              <w:t xml:space="preserve">3000N</w:t>
            </w:r>
            <w:r>
              <w:rPr>
                <w:rFonts w:hint="eastAsia"/>
                <w:sz w:val="24"/>
              </w:rPr>
              <w:br/>
            </w:r>
            <w:r>
              <w:rPr>
                <w:rFonts w:hint="eastAsia"/>
                <w:sz w:val="24"/>
              </w:rPr>
              <w:t xml:space="preserve">滚动载荷：≥</w:t>
            </w:r>
            <w:r>
              <w:rPr>
                <w:rFonts w:hint="eastAsia"/>
                <w:sz w:val="24"/>
              </w:rPr>
              <w:t xml:space="preserve">13500N</w:t>
            </w:r>
            <w:r>
              <w:rPr>
                <w:rFonts w:hint="eastAsia"/>
                <w:sz w:val="24"/>
              </w:rPr>
              <w:br/>
            </w:r>
            <w:r>
              <w:rPr>
                <w:rFonts w:hint="eastAsia"/>
                <w:sz w:val="24"/>
              </w:rPr>
              <w:t xml:space="preserve">防火性能：</w:t>
            </w:r>
            <w:r>
              <w:rPr>
                <w:rFonts w:hint="eastAsia"/>
                <w:sz w:val="24"/>
              </w:rPr>
              <w:t xml:space="preserve">A</w:t>
            </w:r>
            <w:r>
              <w:rPr>
                <w:rFonts w:hint="eastAsia"/>
                <w:sz w:val="24"/>
              </w:rPr>
              <w:t xml:space="preserve">级</w:t>
            </w:r>
            <w:r>
              <w:rPr>
                <w:rFonts w:hint="eastAsia"/>
                <w:sz w:val="24"/>
              </w:rPr>
              <w:br/>
            </w:r>
            <w:r>
              <w:rPr>
                <w:rFonts w:hint="eastAsia"/>
                <w:sz w:val="24"/>
              </w:rPr>
              <w:t xml:space="preserve">支撑系统：</w:t>
            </w:r>
            <w:r>
              <w:rPr>
                <w:rFonts w:hint="eastAsia"/>
                <w:sz w:val="24"/>
              </w:rPr>
              <w:br/>
            </w:r>
            <w:r>
              <w:rPr>
                <w:rFonts w:hint="eastAsia"/>
                <w:sz w:val="24"/>
              </w:rPr>
              <w:t xml:space="preserve">支架：</w:t>
            </w:r>
            <w:r>
              <w:rPr>
                <w:rFonts w:hint="eastAsia"/>
                <w:sz w:val="24"/>
              </w:rPr>
              <w:t xml:space="preserve"> </w:t>
            </w:r>
            <w:r>
              <w:rPr>
                <w:rFonts w:hint="eastAsia"/>
                <w:sz w:val="24"/>
              </w:rPr>
              <w:t xml:space="preserve">由上托、螺杆、管柱、底座组成。管柱和底座为高强度铸铁或优质钢材，厚度≥</w:t>
            </w:r>
            <w:r>
              <w:rPr>
                <w:rFonts w:hint="eastAsia"/>
                <w:sz w:val="24"/>
              </w:rPr>
              <w:t xml:space="preserve">2.0mm</w:t>
            </w:r>
            <w:r>
              <w:rPr>
                <w:rFonts w:hint="eastAsia"/>
                <w:sz w:val="24"/>
              </w:rPr>
              <w:t xml:space="preserve">。并能实现不小于±</w:t>
            </w:r>
            <w:r>
              <w:rPr>
                <w:rFonts w:hint="eastAsia"/>
                <w:sz w:val="24"/>
              </w:rPr>
              <w:t xml:space="preserve">20mm</w:t>
            </w:r>
            <w:r>
              <w:rPr>
                <w:rFonts w:hint="eastAsia"/>
                <w:sz w:val="24"/>
              </w:rPr>
              <w:t xml:space="preserve">的高度调节范围，以适应地面不平整。</w:t>
            </w:r>
            <w:r>
              <w:rPr>
                <w:rFonts w:hint="eastAsia"/>
                <w:sz w:val="24"/>
              </w:rPr>
              <w:br/>
            </w:r>
            <w:r>
              <w:rPr>
                <w:rFonts w:hint="eastAsia"/>
                <w:sz w:val="24"/>
              </w:rPr>
              <w:t xml:space="preserve">横梁：</w:t>
            </w:r>
            <w:r>
              <w:rPr>
                <w:rFonts w:hint="eastAsia"/>
                <w:sz w:val="24"/>
              </w:rPr>
              <w:t xml:space="preserve"> </w:t>
            </w:r>
            <w:r>
              <w:rPr>
                <w:rFonts w:hint="eastAsia"/>
                <w:sz w:val="24"/>
              </w:rPr>
              <w:t xml:space="preserve">优质冷轧钢板制造，表面镀锌防锈。</w:t>
            </w:r>
            <w:r>
              <w:rPr>
                <w:rFonts w:hint="eastAsia"/>
                <w:sz w:val="24"/>
              </w:rPr>
              <w:br/>
            </w:r>
            <w:r>
              <w:rPr>
                <w:rFonts w:hint="eastAsia"/>
                <w:sz w:val="24"/>
              </w:rPr>
              <w:t xml:space="preserve">防腐处理：</w:t>
            </w:r>
            <w:r>
              <w:rPr>
                <w:rFonts w:hint="eastAsia"/>
                <w:sz w:val="24"/>
              </w:rPr>
              <w:t xml:space="preserve"> </w:t>
            </w:r>
            <w:r>
              <w:rPr>
                <w:rFonts w:hint="eastAsia"/>
                <w:sz w:val="24"/>
              </w:rPr>
              <w:t xml:space="preserve">所有金属支撑部件必须经过镀锌或更高标准的防锈、防腐处理，以适应实验室环境。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平方米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98</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学科专业知识窗帘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规格：（可以根据学校具体情况调整）加厚、遮光在窗帘上喷绘介绍学科知识，集教学、观赏为一体。</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rPr>
                <w:rFonts w:hint="eastAsia"/>
                <w:sz w:val="24"/>
              </w:rPr>
              <w:t xml:space="preserve">生物常规实验室</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教师演示控制</w:t>
            </w:r>
            <w:r>
              <w:rPr>
                <w:rFonts w:hint="eastAsia"/>
                <w:sz w:val="24"/>
              </w:rPr>
              <w:t xml:space="preserve">区</w:t>
            </w:r>
            <w:r/>
          </w:p>
        </w:tc>
      </w:tr>
      <w:tr>
        <w:trPr>
          <w:trHeight w:val="339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w:t>
            </w:r>
            <w:r>
              <w:rPr>
                <w:rFonts w:hint="eastAsia"/>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t xml:space="preserve">参考规格：</w:t>
            </w:r>
            <w:r>
              <w:rPr>
                <w:rFonts w:hint="eastAsia"/>
                <w:sz w:val="24"/>
              </w:rPr>
              <w:t xml:space="preserve">3000*700*900mm</w:t>
            </w:r>
            <w:r>
              <w:rPr>
                <w:rFonts w:hint="eastAsia"/>
                <w:sz w:val="24"/>
              </w:rPr>
              <w:br/>
            </w:r>
            <w:r>
              <w:rPr>
                <w:rFonts w:hint="eastAsia"/>
                <w:sz w:val="24"/>
              </w:rPr>
              <w:t xml:space="preserve">▲</w:t>
            </w:r>
            <w:r>
              <w:rPr>
                <w:rFonts w:hint="eastAsia"/>
                <w:sz w:val="24"/>
              </w:rPr>
              <w:t xml:space="preserve">1.</w:t>
            </w:r>
            <w:r>
              <w:rPr>
                <w:rFonts w:hint="eastAsia"/>
                <w:sz w:val="24"/>
              </w:rPr>
              <w:t xml:space="preserve">台面：采用≥</w:t>
            </w:r>
            <w:r>
              <w:rPr>
                <w:rFonts w:hint="eastAsia"/>
                <w:sz w:val="24"/>
              </w:rPr>
              <w:t xml:space="preserve">12.7mm</w:t>
            </w:r>
            <w:r>
              <w:rPr>
                <w:rFonts w:hint="eastAsia"/>
                <w:sz w:val="24"/>
              </w:rPr>
              <w:t xml:space="preserve">厚双面膜耐腐蚀实芯理化板制作，四角倒</w:t>
            </w:r>
            <w:r>
              <w:rPr>
                <w:rFonts w:hint="eastAsia"/>
                <w:sz w:val="24"/>
              </w:rPr>
              <w:t xml:space="preserve">R15</w:t>
            </w:r>
            <w:r>
              <w:rPr>
                <w:rFonts w:hint="eastAsia"/>
                <w:sz w:val="24"/>
              </w:rPr>
              <w:t xml:space="preserve">圆角。</w:t>
            </w:r>
            <w:r>
              <w:rPr>
                <w:rFonts w:hint="eastAsia"/>
                <w:sz w:val="24"/>
              </w:rPr>
              <w:t xml:space="preserve">含水槽及三联高低位龙头。</w:t>
            </w:r>
            <w:r>
              <w:rPr>
                <w:rFonts w:hint="eastAsia"/>
                <w:sz w:val="24"/>
              </w:rPr>
              <w:br/>
            </w:r>
            <w:r>
              <w:rPr>
                <w:rFonts w:hint="eastAsia"/>
                <w:sz w:val="24"/>
              </w:rPr>
              <w:t xml:space="preserve">★</w:t>
            </w:r>
            <w:r>
              <w:rPr>
                <w:rFonts w:hint="eastAsia"/>
                <w:sz w:val="24"/>
              </w:rPr>
              <w:t xml:space="preserve">2.</w:t>
            </w:r>
            <w:r>
              <w:rPr>
                <w:rFonts w:hint="eastAsia"/>
                <w:sz w:val="24"/>
              </w:rPr>
              <w:t xml:space="preserve">柜体：全钢结构，采用≥</w:t>
            </w:r>
            <w:r>
              <w:rPr>
                <w:rFonts w:hint="eastAsia"/>
                <w:sz w:val="24"/>
              </w:rPr>
              <w:t xml:space="preserve">1.0mm</w:t>
            </w:r>
            <w:r>
              <w:rPr>
                <w:rFonts w:hint="eastAsia"/>
                <w:sz w:val="24"/>
              </w:rPr>
              <w:t xml:space="preserve">高强度镀锌钢板，切割折弯成型，组件焊接工艺，打磨平整，表面经环氧树脂喷涂处理；</w:t>
            </w:r>
            <w:r>
              <w:rPr>
                <w:rFonts w:hint="eastAsia"/>
                <w:sz w:val="24"/>
              </w:rPr>
              <w:br/>
              <w:t xml:space="preserve">3.</w:t>
            </w:r>
            <w:r>
              <w:rPr>
                <w:rFonts w:hint="eastAsia"/>
                <w:sz w:val="24"/>
              </w:rPr>
              <w:t xml:space="preserve">整体结构设计合理，预留教师电源安装位置；</w:t>
            </w:r>
            <w:r>
              <w:rPr>
                <w:rFonts w:hint="eastAsia"/>
                <w:sz w:val="24"/>
              </w:rPr>
              <w:br/>
              <w:t xml:space="preserve">4.</w:t>
            </w:r>
            <w:r>
              <w:rPr>
                <w:rFonts w:hint="eastAsia"/>
                <w:sz w:val="24"/>
              </w:rPr>
              <w:t xml:space="preserve">门板及抽面：采用双层结构，组装式设计，保证双层钢板双面都喷涂处理。</w:t>
            </w:r>
            <w:r>
              <w:rPr>
                <w:rFonts w:hint="eastAsia"/>
                <w:sz w:val="24"/>
              </w:rPr>
              <w:br/>
              <w:t xml:space="preserve">5.</w:t>
            </w:r>
            <w:r>
              <w:rPr>
                <w:rFonts w:hint="eastAsia"/>
                <w:sz w:val="24"/>
              </w:rPr>
              <w:t xml:space="preserve">防撞胶垫：装于抽屉及门板内侧，减缓碰撞，保护柜体。</w:t>
            </w:r>
            <w:r>
              <w:rPr>
                <w:rFonts w:hint="eastAsia"/>
                <w:sz w:val="24"/>
              </w:rPr>
              <w:br/>
              <w:t xml:space="preserve">6.</w:t>
            </w:r>
            <w:r>
              <w:rPr>
                <w:rFonts w:hint="eastAsia"/>
                <w:sz w:val="24"/>
              </w:rPr>
              <w:t xml:space="preserve">不锈钢防腐合页：采用优质不锈钢模具一体成型。</w:t>
            </w:r>
            <w:r>
              <w:rPr>
                <w:rFonts w:hint="eastAsia"/>
                <w:sz w:val="24"/>
              </w:rPr>
              <w:br/>
              <w:t xml:space="preserve">7.</w:t>
            </w:r>
            <w:r>
              <w:rPr>
                <w:rFonts w:hint="eastAsia"/>
                <w:sz w:val="24"/>
              </w:rPr>
              <w:t xml:space="preserve">防腐三节静音导轨：三节滚珠滑轨，承重性强，滑动顺滑。</w:t>
            </w:r>
            <w:r>
              <w:rPr>
                <w:rFonts w:hint="eastAsia"/>
                <w:sz w:val="24"/>
              </w:rPr>
              <w:br/>
              <w:t xml:space="preserve">8.</w:t>
            </w:r>
            <w:r>
              <w:rPr>
                <w:rFonts w:hint="eastAsia"/>
                <w:sz w:val="24"/>
              </w:rPr>
              <w:t xml:space="preserve">固定桌脚：采用柜体内置可调</w:t>
            </w:r>
            <w:r>
              <w:rPr>
                <w:rFonts w:hint="eastAsia"/>
                <w:sz w:val="24"/>
              </w:rPr>
              <w:t xml:space="preserve">ABS</w:t>
            </w:r>
            <w:r>
              <w:rPr>
                <w:rFonts w:hint="eastAsia"/>
                <w:sz w:val="24"/>
              </w:rPr>
              <w:t xml:space="preserve">调整脚，保证调整脚前后都可以调节高低。</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实验室专用水槽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采用实验室专用高密度</w:t>
            </w:r>
            <w:r>
              <w:rPr>
                <w:rFonts w:hint="eastAsia"/>
                <w:sz w:val="24"/>
              </w:rPr>
              <w:t xml:space="preserve">PP</w:t>
            </w:r>
            <w:r>
              <w:rPr>
                <w:rFonts w:hint="eastAsia"/>
                <w:sz w:val="24"/>
              </w:rPr>
              <w:t xml:space="preserve">一体化成型水槽，易清洁，耐腐蚀，且利于台面残水自然回流，美观实用；具耐酸碱、耐有机溶剂、耐紫外线等特点。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三联高低位龙头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教师总控电源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装置在主控台组合柜内，采用耐磨、耐腐蚀的</w:t>
            </w:r>
            <w:r>
              <w:rPr>
                <w:rFonts w:hint="eastAsia"/>
                <w:sz w:val="24"/>
              </w:rPr>
              <w:t xml:space="preserve">PVC</w:t>
            </w:r>
            <w:r>
              <w:rPr>
                <w:rFonts w:hint="eastAsia"/>
                <w:sz w:val="24"/>
              </w:rPr>
              <w:t xml:space="preserve">薄膜面板，优质元器件，轻触按钮开关。</w:t>
            </w:r>
            <w:r>
              <w:rPr>
                <w:rFonts w:hint="eastAsia"/>
                <w:sz w:val="24"/>
              </w:rPr>
              <w:br/>
              <w:t xml:space="preserve">2.</w:t>
            </w:r>
            <w:r>
              <w:rPr>
                <w:rFonts w:hint="eastAsia"/>
                <w:sz w:val="24"/>
              </w:rPr>
              <w:t xml:space="preserve">输入电压：</w:t>
            </w:r>
            <w:r>
              <w:rPr>
                <w:rFonts w:hint="eastAsia"/>
                <w:sz w:val="24"/>
              </w:rPr>
              <w:t xml:space="preserve">220v</w:t>
            </w:r>
            <w:r>
              <w:rPr>
                <w:rFonts w:hint="eastAsia"/>
                <w:sz w:val="24"/>
              </w:rPr>
              <w:t xml:space="preserve">±</w:t>
            </w:r>
            <w:r>
              <w:rPr>
                <w:rFonts w:hint="eastAsia"/>
                <w:sz w:val="24"/>
              </w:rPr>
              <w:t xml:space="preserve">10%</w:t>
            </w:r>
            <w:r>
              <w:rPr>
                <w:rFonts w:hint="eastAsia"/>
                <w:sz w:val="24"/>
              </w:rPr>
              <w:t xml:space="preserve">；</w:t>
            </w:r>
            <w:r>
              <w:rPr>
                <w:rFonts w:hint="eastAsia"/>
                <w:sz w:val="24"/>
              </w:rPr>
              <w:br/>
              <w:t xml:space="preserve">3.</w:t>
            </w:r>
            <w:r>
              <w:rPr>
                <w:rFonts w:hint="eastAsia"/>
                <w:sz w:val="24"/>
              </w:rPr>
              <w:t xml:space="preserve">内装有教师演示电源及主控电源装置，教师能对实验室进行总体及分组控制：</w:t>
            </w:r>
            <w:r>
              <w:rPr>
                <w:rFonts w:hint="eastAsia"/>
                <w:sz w:val="24"/>
              </w:rPr>
              <w:br/>
              <w:t xml:space="preserve">4.220V</w:t>
            </w:r>
            <w:r>
              <w:rPr>
                <w:rFonts w:hint="eastAsia"/>
                <w:sz w:val="24"/>
              </w:rPr>
              <w:t xml:space="preserve">电源输出，电源总开关、漏电保护开关、工作指示灯、</w:t>
            </w:r>
            <w:r>
              <w:rPr>
                <w:rFonts w:hint="eastAsia"/>
                <w:sz w:val="24"/>
              </w:rPr>
              <w:t xml:space="preserve">220V</w:t>
            </w:r>
            <w:r>
              <w:rPr>
                <w:rFonts w:hint="eastAsia"/>
                <w:sz w:val="24"/>
              </w:rPr>
              <w:t xml:space="preserve">交流输出多用插座，数码实时显示电压电流值；电压表精度</w:t>
            </w:r>
            <w:r>
              <w:rPr>
                <w:rFonts w:hint="eastAsia"/>
                <w:sz w:val="24"/>
              </w:rPr>
              <w:t xml:space="preserve">1%</w:t>
            </w:r>
            <w:r>
              <w:rPr>
                <w:rFonts w:hint="eastAsia"/>
                <w:sz w:val="24"/>
              </w:rPr>
              <w:t xml:space="preserve">，电流表精度</w:t>
            </w:r>
            <w:r>
              <w:rPr>
                <w:rFonts w:hint="eastAsia"/>
                <w:sz w:val="24"/>
              </w:rPr>
              <w:t xml:space="preserve">1.5%</w:t>
            </w:r>
            <w:r>
              <w:rPr>
                <w:rFonts w:hint="eastAsia"/>
                <w:sz w:val="24"/>
              </w:rPr>
              <w:t xml:space="preserve">±</w:t>
            </w:r>
            <w:r>
              <w:rPr>
                <w:rFonts w:hint="eastAsia"/>
                <w:sz w:val="24"/>
              </w:rPr>
              <w:t xml:space="preserve">5</w:t>
            </w:r>
            <w:r>
              <w:rPr>
                <w:rFonts w:hint="eastAsia"/>
                <w:sz w:val="24"/>
              </w:rPr>
              <w:t xml:space="preserve">字；</w:t>
            </w:r>
            <w:r>
              <w:rPr>
                <w:rFonts w:hint="eastAsia"/>
                <w:sz w:val="24"/>
              </w:rPr>
              <w:br/>
              <w:t xml:space="preserve">5.</w:t>
            </w:r>
            <w:r>
              <w:rPr>
                <w:rFonts w:hint="eastAsia"/>
                <w:sz w:val="24"/>
              </w:rPr>
              <w:t xml:space="preserve">带老师、学生</w:t>
            </w:r>
            <w:r>
              <w:rPr>
                <w:rFonts w:hint="eastAsia"/>
                <w:sz w:val="24"/>
              </w:rPr>
              <w:t xml:space="preserve">220V</w:t>
            </w:r>
            <w:r>
              <w:rPr>
                <w:rFonts w:hint="eastAsia"/>
                <w:sz w:val="24"/>
              </w:rPr>
              <w:t xml:space="preserve">过载漏电保护。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学生实验操作及学习区</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学生实验桌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参考规格：</w:t>
            </w:r>
            <w:r>
              <w:rPr>
                <w:rFonts w:hint="eastAsia"/>
                <w:sz w:val="24"/>
              </w:rPr>
              <w:t xml:space="preserve">1200*600*780/800mm</w:t>
            </w:r>
            <w:r>
              <w:rPr>
                <w:rFonts w:hint="eastAsia"/>
                <w:sz w:val="24"/>
              </w:rPr>
              <w:br/>
            </w:r>
            <w:r>
              <w:rPr>
                <w:rFonts w:hint="eastAsia"/>
                <w:sz w:val="24"/>
              </w:rPr>
              <w:t xml:space="preserve">▲</w:t>
            </w:r>
            <w:r>
              <w:rPr>
                <w:rFonts w:hint="eastAsia"/>
                <w:sz w:val="24"/>
              </w:rPr>
              <w:t xml:space="preserve">2.</w:t>
            </w:r>
            <w:r>
              <w:rPr>
                <w:rFonts w:hint="eastAsia"/>
                <w:sz w:val="24"/>
              </w:rPr>
              <w:t xml:space="preserve">台面：采用≥</w:t>
            </w:r>
            <w:r>
              <w:rPr>
                <w:rFonts w:hint="eastAsia"/>
                <w:sz w:val="24"/>
              </w:rPr>
              <w:t xml:space="preserve">12.7mm</w:t>
            </w:r>
            <w:r>
              <w:rPr>
                <w:rFonts w:hint="eastAsia"/>
                <w:sz w:val="24"/>
              </w:rPr>
              <w:t xml:space="preserve">实芯理化板，台面前端经机械打磨，圆角处理，后部根据桌架形状铣边镶入框架中，防止台面起翘、变形、脱落；</w:t>
            </w:r>
            <w:r>
              <w:rPr>
                <w:rFonts w:hint="eastAsia"/>
                <w:sz w:val="24"/>
              </w:rPr>
              <w:br/>
              <w:t xml:space="preserve">3.</w:t>
            </w:r>
            <w:r>
              <w:rPr>
                <w:rFonts w:hint="eastAsia"/>
                <w:sz w:val="24"/>
              </w:rPr>
              <w:t xml:space="preserve">结构：镂空设计。专用书包斗，中间设挂凳卡。</w:t>
            </w:r>
            <w:r>
              <w:rPr>
                <w:rFonts w:hint="eastAsia"/>
                <w:sz w:val="24"/>
              </w:rPr>
              <w:br/>
            </w:r>
            <w:r>
              <w:rPr>
                <w:rFonts w:hint="eastAsia"/>
                <w:sz w:val="24"/>
              </w:rPr>
              <w:t xml:space="preserve">★</w:t>
            </w:r>
            <w:r>
              <w:rPr>
                <w:rFonts w:hint="eastAsia"/>
                <w:sz w:val="24"/>
              </w:rPr>
              <w:t xml:space="preserve">4.</w:t>
            </w:r>
            <w:r>
              <w:rPr>
                <w:rFonts w:hint="eastAsia"/>
                <w:sz w:val="24"/>
              </w:rPr>
              <w:t xml:space="preserve">侧脚采用高强度合金或者钢制结构，要做到承重性能强和耐酸碱、耐腐蚀。</w:t>
            </w:r>
            <w:r>
              <w:rPr>
                <w:rFonts w:hint="eastAsia"/>
                <w:sz w:val="24"/>
              </w:rPr>
              <w:br/>
            </w:r>
            <w:r>
              <w:rPr>
                <w:rFonts w:hint="eastAsia"/>
                <w:sz w:val="24"/>
              </w:rPr>
              <w:t xml:space="preserve">★</w:t>
            </w:r>
            <w:r>
              <w:rPr>
                <w:rFonts w:hint="eastAsia"/>
                <w:sz w:val="24"/>
              </w:rPr>
              <w:t xml:space="preserve">5.</w:t>
            </w:r>
            <w:r>
              <w:rPr>
                <w:rFonts w:hint="eastAsia"/>
                <w:sz w:val="24"/>
              </w:rPr>
              <w:t xml:space="preserve">后档板、前后横梁、中间横梁全部采用高强度挤出合金或者钢制模具型材。</w:t>
            </w:r>
            <w:r>
              <w:rPr>
                <w:rFonts w:hint="eastAsia"/>
                <w:sz w:val="24"/>
              </w:rPr>
              <w:br/>
              <w:t xml:space="preserve">6. </w:t>
            </w:r>
            <w:r>
              <w:rPr>
                <w:rFonts w:hint="eastAsia"/>
                <w:sz w:val="24"/>
              </w:rPr>
              <w:t xml:space="preserve">桌侧脚：桌侧脚设置专用孔位与地面固定，并配有跟台面同色</w:t>
            </w:r>
            <w:r>
              <w:rPr>
                <w:rFonts w:hint="eastAsia"/>
                <w:sz w:val="24"/>
              </w:rPr>
              <w:t xml:space="preserve">ABS</w:t>
            </w:r>
            <w:r>
              <w:rPr>
                <w:rFonts w:hint="eastAsia"/>
                <w:sz w:val="24"/>
              </w:rPr>
              <w:t xml:space="preserve">脚套装饰盖。</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多功能柱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整体采用实验室专用</w:t>
            </w:r>
            <w:r>
              <w:rPr>
                <w:rFonts w:hint="eastAsia"/>
                <w:sz w:val="24"/>
              </w:rPr>
              <w:t xml:space="preserve">PP</w:t>
            </w:r>
            <w:r>
              <w:rPr>
                <w:rFonts w:hint="eastAsia"/>
                <w:sz w:val="24"/>
              </w:rPr>
              <w:t xml:space="preserve">材质，四周圆弧处理，前后二块拼接而成，可拆装，内部隐藏实验线管及通风管道，方便检修。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生物桌面灯</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参考尺寸：</w:t>
            </w:r>
            <w:r>
              <w:rPr>
                <w:rFonts w:hint="eastAsia"/>
                <w:sz w:val="24"/>
              </w:rPr>
              <w:t xml:space="preserve">200*58*100mm</w:t>
            </w:r>
            <w:r>
              <w:rPr>
                <w:rFonts w:hint="eastAsia"/>
                <w:sz w:val="24"/>
              </w:rPr>
              <w:br/>
              <w:t xml:space="preserve">2.</w:t>
            </w:r>
            <w:r>
              <w:rPr>
                <w:rFonts w:hint="eastAsia"/>
                <w:sz w:val="24"/>
              </w:rPr>
              <w:t xml:space="preserve">主体由</w:t>
            </w:r>
            <w:r>
              <w:rPr>
                <w:rFonts w:hint="eastAsia"/>
                <w:sz w:val="24"/>
              </w:rPr>
              <w:t xml:space="preserve">ABS</w:t>
            </w:r>
            <w:r>
              <w:rPr>
                <w:rFonts w:hint="eastAsia"/>
                <w:sz w:val="24"/>
              </w:rPr>
              <w:t xml:space="preserve">框架搭配照明系统与电源面板组成。</w:t>
            </w:r>
            <w:r>
              <w:rPr>
                <w:rFonts w:hint="eastAsia"/>
                <w:sz w:val="24"/>
              </w:rPr>
              <w:br/>
              <w:t xml:space="preserve">2.1</w:t>
            </w:r>
            <w:r>
              <w:rPr>
                <w:rFonts w:hint="eastAsia"/>
                <w:sz w:val="24"/>
              </w:rPr>
              <w:t xml:space="preserve">主体框架：由</w:t>
            </w:r>
            <w:r>
              <w:rPr>
                <w:rFonts w:hint="eastAsia"/>
                <w:sz w:val="24"/>
              </w:rPr>
              <w:t xml:space="preserve">ABS</w:t>
            </w:r>
            <w:r>
              <w:rPr>
                <w:rFonts w:hint="eastAsia"/>
                <w:sz w:val="24"/>
              </w:rPr>
              <w:t xml:space="preserve">配件组合而成，整体造型圆弧处理，操作面进行</w:t>
            </w:r>
            <w:r>
              <w:rPr>
                <w:rFonts w:hint="eastAsia"/>
                <w:sz w:val="24"/>
              </w:rPr>
              <w:t xml:space="preserve">55</w:t>
            </w:r>
            <w:r>
              <w:rPr>
                <w:rFonts w:hint="eastAsia"/>
                <w:sz w:val="24"/>
              </w:rPr>
              <w:t xml:space="preserve">度倾斜，方便操作使用，表面亮光处理。</w:t>
            </w:r>
            <w:r>
              <w:rPr>
                <w:rFonts w:hint="eastAsia"/>
                <w:sz w:val="24"/>
              </w:rPr>
              <w:br/>
              <w:t xml:space="preserve">2.2</w:t>
            </w:r>
            <w:r>
              <w:rPr>
                <w:rFonts w:hint="eastAsia"/>
                <w:sz w:val="24"/>
              </w:rPr>
              <w:t xml:space="preserve">照明系统：产品顶端下沿倾斜表面安装≥</w:t>
            </w:r>
            <w:r>
              <w:rPr>
                <w:rFonts w:hint="eastAsia"/>
                <w:sz w:val="24"/>
              </w:rPr>
              <w:t xml:space="preserve">3W</w:t>
            </w:r>
            <w:r>
              <w:rPr>
                <w:rFonts w:hint="eastAsia"/>
                <w:sz w:val="24"/>
              </w:rPr>
              <w:t xml:space="preserve">的灯，安装灯条，为实验操作提供照明保障。</w:t>
            </w:r>
            <w:r>
              <w:rPr>
                <w:rFonts w:hint="eastAsia"/>
                <w:sz w:val="24"/>
              </w:rPr>
              <w:br/>
            </w:r>
            <w:r>
              <w:rPr>
                <w:rFonts w:hint="eastAsia"/>
                <w:sz w:val="24"/>
              </w:rPr>
              <w:t xml:space="preserve">3.</w:t>
            </w:r>
            <w:r>
              <w:rPr>
                <w:rFonts w:hint="eastAsia"/>
                <w:sz w:val="24"/>
              </w:rPr>
              <w:t xml:space="preserve">面板采用亚克力面板，电容感应按钮开关，微电脑控制。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实验凳</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凳脚材质：</w:t>
            </w:r>
            <w:r>
              <w:rPr>
                <w:rFonts w:hint="eastAsia"/>
                <w:sz w:val="24"/>
              </w:rPr>
              <w:t xml:space="preserve">4</w:t>
            </w:r>
            <w:r>
              <w:rPr>
                <w:rFonts w:hint="eastAsia"/>
                <w:sz w:val="24"/>
              </w:rPr>
              <w:t xml:space="preserve">个凳脚采用≥</w:t>
            </w:r>
            <w:r>
              <w:rPr>
                <w:rFonts w:hint="eastAsia"/>
                <w:sz w:val="24"/>
              </w:rPr>
              <w:t xml:space="preserve">17</w:t>
            </w:r>
            <w:r>
              <w:rPr>
                <w:rFonts w:hint="eastAsia"/>
                <w:sz w:val="24"/>
              </w:rPr>
              <w:t xml:space="preserve">×</w:t>
            </w:r>
            <w:r>
              <w:rPr>
                <w:rFonts w:hint="eastAsia"/>
                <w:sz w:val="24"/>
              </w:rPr>
              <w:t xml:space="preserve">34</w:t>
            </w:r>
            <w:r>
              <w:rPr>
                <w:rFonts w:hint="eastAsia"/>
                <w:sz w:val="24"/>
              </w:rPr>
              <w:t xml:space="preserve">×</w:t>
            </w:r>
            <w:r>
              <w:rPr>
                <w:rFonts w:hint="eastAsia"/>
                <w:sz w:val="24"/>
              </w:rPr>
              <w:t xml:space="preserve">1.7mm </w:t>
            </w:r>
            <w:r>
              <w:rPr>
                <w:rFonts w:hint="eastAsia"/>
                <w:sz w:val="24"/>
              </w:rPr>
              <w:t xml:space="preserve">无缝钢管模具一次成型。全圆满焊接完成，结构牢固，经高温粉体烤漆处理，长时间使用也不会产生表面烤漆剥落现象，升降式。Ф凳面直径</w:t>
            </w:r>
            <w:r>
              <w:rPr>
                <w:rFonts w:hint="eastAsia"/>
                <w:sz w:val="24"/>
              </w:rPr>
              <w:t xml:space="preserve">300/320</w:t>
            </w:r>
            <w:r>
              <w:rPr>
                <w:rFonts w:hint="eastAsia"/>
                <w:sz w:val="24"/>
              </w:rPr>
              <w:t xml:space="preserve">×高</w:t>
            </w:r>
            <w:r>
              <w:rPr>
                <w:rFonts w:hint="eastAsia"/>
                <w:sz w:val="24"/>
              </w:rPr>
              <w:t xml:space="preserve">450/500/510mm</w:t>
            </w:r>
            <w:r>
              <w:rPr>
                <w:rFonts w:hint="eastAsia"/>
                <w:sz w:val="24"/>
              </w:rPr>
              <w:t xml:space="preserve">。</w:t>
            </w:r>
            <w:r>
              <w:rPr>
                <w:rFonts w:hint="eastAsia"/>
                <w:sz w:val="24"/>
              </w:rPr>
              <w:br/>
              <w:t xml:space="preserve">2.</w:t>
            </w:r>
            <w:r>
              <w:rPr>
                <w:rFonts w:hint="eastAsia"/>
                <w:sz w:val="24"/>
              </w:rPr>
              <w:t xml:space="preserve">凳面材质：注塑，防滑不发光。</w:t>
            </w:r>
            <w:r>
              <w:rPr>
                <w:rFonts w:hint="eastAsia"/>
                <w:sz w:val="24"/>
              </w:rPr>
              <w:br/>
              <w:t xml:space="preserve">3.</w:t>
            </w:r>
            <w:r>
              <w:rPr>
                <w:rFonts w:hint="eastAsia"/>
                <w:sz w:val="24"/>
              </w:rPr>
              <w:t xml:space="preserve">脚垫材质：采用</w:t>
            </w:r>
            <w:r>
              <w:rPr>
                <w:rFonts w:hint="eastAsia"/>
                <w:sz w:val="24"/>
              </w:rPr>
              <w:t xml:space="preserve">PP</w:t>
            </w:r>
            <w:r>
              <w:rPr>
                <w:rFonts w:hint="eastAsia"/>
                <w:sz w:val="24"/>
              </w:rPr>
              <w:t xml:space="preserve">加耐磨纤维质塑料，实心倒勾式一体射出成型</w:t>
            </w:r>
            <w:r>
              <w:rPr>
                <w:rFonts w:hint="eastAsia"/>
                <w:sz w:val="24"/>
              </w:rPr>
              <w:t xml:space="preserve"> </w:t>
            </w:r>
            <w:r>
              <w:rPr>
                <w:rFonts w:hint="eastAsia"/>
                <w:sz w:val="24"/>
              </w:rPr>
              <w:t xml:space="preserve">凳面与凳脚留有一定的空间便于凳子挂在挂凳扣上。方便教室的打扫。</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56</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水槽柜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t xml:space="preserve">1. </w:t>
            </w:r>
            <w:r>
              <w:rPr>
                <w:rFonts w:hint="eastAsia"/>
                <w:sz w:val="24"/>
              </w:rPr>
              <w:t xml:space="preserve">参考规格：</w:t>
            </w:r>
            <w:r>
              <w:rPr>
                <w:rFonts w:hint="eastAsia"/>
                <w:sz w:val="24"/>
              </w:rPr>
              <w:t xml:space="preserve"> 438-500*600-655*788-940mm</w:t>
            </w:r>
            <w:r>
              <w:rPr>
                <w:rFonts w:hint="eastAsia"/>
                <w:sz w:val="24"/>
              </w:rPr>
              <w:t xml:space="preserve">；</w:t>
            </w:r>
            <w:r>
              <w:rPr>
                <w:rFonts w:hint="eastAsia"/>
                <w:sz w:val="24"/>
              </w:rPr>
              <w:br/>
              <w:t xml:space="preserve">2.</w:t>
            </w:r>
            <w:r>
              <w:rPr>
                <w:rFonts w:hint="eastAsia"/>
                <w:sz w:val="24"/>
              </w:rPr>
              <w:t xml:space="preserve">水槽：整体采用</w:t>
            </w:r>
            <w:r>
              <w:rPr>
                <w:rFonts w:hint="eastAsia"/>
                <w:sz w:val="24"/>
              </w:rPr>
              <w:t xml:space="preserve">PP</w:t>
            </w:r>
            <w:r>
              <w:rPr>
                <w:rFonts w:hint="eastAsia"/>
                <w:sz w:val="24"/>
              </w:rPr>
              <w:t xml:space="preserve">改性材料，壁厚≥</w:t>
            </w:r>
            <w:r>
              <w:rPr>
                <w:rFonts w:hint="eastAsia"/>
                <w:sz w:val="24"/>
              </w:rPr>
              <w:t xml:space="preserve">4mm</w:t>
            </w:r>
            <w:r>
              <w:rPr>
                <w:rFonts w:hint="eastAsia"/>
                <w:sz w:val="24"/>
              </w:rPr>
              <w:t xml:space="preserve">，一次性注塑成型；</w:t>
            </w:r>
            <w:r>
              <w:rPr>
                <w:rFonts w:hint="eastAsia"/>
                <w:sz w:val="24"/>
              </w:rPr>
              <w:t xml:space="preserve"> </w:t>
            </w:r>
            <w:r>
              <w:rPr>
                <w:rFonts w:hint="eastAsia"/>
                <w:sz w:val="24"/>
              </w:rPr>
              <w:br/>
            </w:r>
            <w:r>
              <w:rPr>
                <w:rFonts w:hint="eastAsia"/>
                <w:sz w:val="24"/>
              </w:rPr>
              <w:t xml:space="preserve">▲</w:t>
            </w:r>
            <w:r>
              <w:rPr>
                <w:rFonts w:hint="eastAsia"/>
                <w:sz w:val="24"/>
              </w:rPr>
              <w:t xml:space="preserve">3.</w:t>
            </w:r>
            <w:r>
              <w:rPr>
                <w:rFonts w:hint="eastAsia"/>
                <w:sz w:val="24"/>
              </w:rPr>
              <w:t xml:space="preserve">水槽整体分段组装，分别为水槽，柜体，底座三体组装而成。柜体采用金属件加固支撑，置物架设滴水架，水龙头安装底座，水槽台面预留通风管道、电路及网络线孔位。</w:t>
            </w:r>
            <w:r>
              <w:rPr>
                <w:rFonts w:hint="eastAsia"/>
                <w:sz w:val="24"/>
              </w:rPr>
              <w:br/>
              <w:t xml:space="preserve">4.</w:t>
            </w:r>
            <w:r>
              <w:rPr>
                <w:rFonts w:hint="eastAsia"/>
                <w:sz w:val="24"/>
              </w:rPr>
              <w:t xml:space="preserve">水槽内部前高后低设计，废水及时排出，不残留，配有防溅过滤网及不锈钢网双层过滤，防止残渣堵塞。</w:t>
            </w:r>
            <w:r>
              <w:rPr>
                <w:rFonts w:hint="eastAsia"/>
                <w:sz w:val="24"/>
              </w:rPr>
              <w:br/>
              <w:t xml:space="preserve">5.</w:t>
            </w:r>
            <w:r>
              <w:rPr>
                <w:rFonts w:hint="eastAsia"/>
                <w:sz w:val="24"/>
              </w:rPr>
              <w:t xml:space="preserve">柜门：柜体前后配有双层柜门，</w:t>
            </w:r>
            <w:r>
              <w:rPr>
                <w:rFonts w:hint="eastAsia"/>
                <w:sz w:val="24"/>
              </w:rPr>
              <w:t xml:space="preserve">ABS</w:t>
            </w:r>
            <w:r>
              <w:rPr>
                <w:rFonts w:hint="eastAsia"/>
                <w:sz w:val="24"/>
              </w:rPr>
              <w:t xml:space="preserve">材质，一体注塑成型，前后门安装不锈钢同芯锁，防止学生接触到电源及给水阀门。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三联高低位龙头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br/>
              <w:t xml:space="preserve">1.</w:t>
            </w:r>
            <w:r>
              <w:rPr>
                <w:rFonts w:hint="eastAsia"/>
                <w:sz w:val="24"/>
              </w:rPr>
              <w:t xml:space="preserve">臂弯、主体、进水管、出水管采用不锈钢或黄铜制造。</w:t>
            </w:r>
            <w:r>
              <w:rPr>
                <w:rFonts w:hint="eastAsia"/>
                <w:sz w:val="24"/>
              </w:rPr>
              <w:br/>
              <w:t xml:space="preserve">2.</w:t>
            </w:r>
            <w:r>
              <w:rPr>
                <w:rFonts w:hint="eastAsia"/>
                <w:sz w:val="24"/>
              </w:rPr>
              <w:t xml:space="preserve">涂层</w:t>
            </w:r>
            <w:r>
              <w:rPr>
                <w:rFonts w:hint="eastAsia"/>
                <w:sz w:val="24"/>
              </w:rPr>
              <w:t xml:space="preserve">: </w:t>
            </w:r>
            <w:r>
              <w:rPr>
                <w:rFonts w:hint="eastAsia"/>
                <w:sz w:val="24"/>
              </w:rPr>
              <w:t xml:space="preserve">涂层经亚光环氧树脂耐酸碱粉末涂料热固处理，耐腐蚀、耐热，防紫外线辐射。</w:t>
            </w:r>
            <w:r>
              <w:rPr>
                <w:rFonts w:hint="eastAsia"/>
                <w:sz w:val="24"/>
              </w:rPr>
              <w:br/>
              <w:t xml:space="preserve">3.</w:t>
            </w:r>
            <w:r>
              <w:rPr>
                <w:rFonts w:hint="eastAsia"/>
                <w:sz w:val="24"/>
              </w:rPr>
              <w:t xml:space="preserve">陶瓷阀芯</w:t>
            </w:r>
            <w:r>
              <w:rPr>
                <w:rFonts w:hint="eastAsia"/>
                <w:sz w:val="24"/>
              </w:rPr>
              <w:t xml:space="preserve">: 90</w:t>
            </w:r>
            <w:r>
              <w:rPr>
                <w:rFonts w:hint="eastAsia"/>
                <w:sz w:val="24"/>
              </w:rPr>
              <w:t xml:space="preserve">°旋转。</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侧面</w:t>
            </w:r>
            <w:r>
              <w:rPr>
                <w:rFonts w:hint="eastAsia"/>
                <w:sz w:val="24"/>
              </w:rPr>
              <w:t xml:space="preserve">220V</w:t>
            </w:r>
            <w:r>
              <w:rPr>
                <w:rFonts w:hint="eastAsia"/>
                <w:sz w:val="24"/>
              </w:rPr>
              <w:t xml:space="preserve">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单独安装在桌子侧边（左右可选），盒体为工程</w:t>
            </w:r>
            <w:r>
              <w:rPr>
                <w:rFonts w:hint="eastAsia"/>
                <w:sz w:val="24"/>
              </w:rPr>
              <w:t xml:space="preserve">PC</w:t>
            </w:r>
            <w:r>
              <w:rPr>
                <w:rFonts w:hint="eastAsia"/>
                <w:sz w:val="24"/>
              </w:rPr>
              <w:t xml:space="preserve">塑料模具注塑一次成型；</w:t>
            </w:r>
            <w:r>
              <w:rPr>
                <w:rFonts w:hint="eastAsia"/>
                <w:sz w:val="24"/>
              </w:rPr>
              <w:br/>
              <w:t xml:space="preserve">2.</w:t>
            </w:r>
            <w:r>
              <w:rPr>
                <w:rFonts w:hint="eastAsia"/>
                <w:sz w:val="24"/>
              </w:rPr>
              <w:t xml:space="preserve">设置</w:t>
            </w:r>
            <w:r>
              <w:rPr>
                <w:rFonts w:hint="eastAsia"/>
                <w:sz w:val="24"/>
              </w:rPr>
              <w:t xml:space="preserve">2</w:t>
            </w:r>
            <w:r>
              <w:rPr>
                <w:rFonts w:hint="eastAsia"/>
                <w:sz w:val="24"/>
              </w:rPr>
              <w:t xml:space="preserve">路多功能</w:t>
            </w:r>
            <w:r>
              <w:rPr>
                <w:rFonts w:hint="eastAsia"/>
                <w:sz w:val="24"/>
              </w:rPr>
              <w:t xml:space="preserve">220V</w:t>
            </w:r>
            <w:r>
              <w:rPr>
                <w:rFonts w:hint="eastAsia"/>
                <w:sz w:val="24"/>
              </w:rPr>
              <w:t xml:space="preserve">五孔交流插座，操作简单，安全可靠。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系统工程</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室内地上给排水安装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sz w:val="24"/>
              </w:rPr>
            </w:pPr>
            <w:r>
              <w:rPr>
                <w:rFonts w:hint="eastAsia"/>
                <w:sz w:val="24"/>
              </w:rPr>
              <w:t xml:space="preserve">给水采用优质金属软连接与龙头连接，地上每套水嘴设一控制阀门。排水采用优质</w:t>
            </w:r>
            <w:r>
              <w:rPr>
                <w:rFonts w:hint="eastAsia"/>
                <w:sz w:val="24"/>
              </w:rPr>
              <w:t xml:space="preserve">PVC</w:t>
            </w:r>
            <w:r>
              <w:rPr>
                <w:rFonts w:hint="eastAsia"/>
                <w:sz w:val="24"/>
              </w:rPr>
              <w:t xml:space="preserve">管，连接处密封。</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室内地上配电安装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sz w:val="24"/>
              </w:rPr>
            </w:pPr>
            <w:r>
              <w:rPr>
                <w:rFonts w:hint="eastAsia"/>
                <w:sz w:val="24"/>
              </w:rPr>
              <w:t xml:space="preserve">地上采用铝塑护套管，有效固定，电源接线。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23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陶瓷面防静电活动地板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产品规格：不低于</w:t>
            </w:r>
            <w:r>
              <w:rPr>
                <w:rFonts w:hint="eastAsia"/>
                <w:sz w:val="24"/>
              </w:rPr>
              <w:t xml:space="preserve">602*602*40mm</w:t>
            </w:r>
            <w:r>
              <w:rPr>
                <w:rFonts w:hint="eastAsia"/>
                <w:sz w:val="24"/>
              </w:rPr>
              <w:br/>
            </w:r>
            <w:r>
              <w:rPr>
                <w:rFonts w:hint="eastAsia"/>
                <w:sz w:val="24"/>
              </w:rPr>
              <w:t xml:space="preserve">钢板厚度：上</w:t>
            </w:r>
            <w:r>
              <w:rPr>
                <w:rFonts w:hint="eastAsia"/>
                <w:sz w:val="24"/>
              </w:rPr>
              <w:t xml:space="preserve">≥</w:t>
            </w:r>
            <w:r>
              <w:rPr>
                <w:rFonts w:hint="eastAsia"/>
                <w:sz w:val="24"/>
              </w:rPr>
              <w:t xml:space="preserve">0.65mm</w:t>
            </w:r>
            <w:r>
              <w:rPr>
                <w:rFonts w:hint="eastAsia"/>
                <w:sz w:val="24"/>
              </w:rPr>
              <w:t xml:space="preserve">下</w:t>
            </w:r>
            <w:r>
              <w:rPr>
                <w:rFonts w:hint="eastAsia"/>
                <w:sz w:val="24"/>
              </w:rPr>
              <w:t xml:space="preserve">≥</w:t>
            </w:r>
            <w:r>
              <w:rPr>
                <w:rFonts w:hint="eastAsia"/>
                <w:sz w:val="24"/>
              </w:rPr>
              <w:t xml:space="preserve">0.65mm</w:t>
            </w:r>
            <w:r>
              <w:rPr>
                <w:rFonts w:hint="eastAsia"/>
                <w:sz w:val="24"/>
              </w:rPr>
              <w:br/>
            </w:r>
            <w:r>
              <w:rPr>
                <w:rFonts w:hint="eastAsia"/>
                <w:sz w:val="24"/>
              </w:rPr>
              <w:t xml:space="preserve">填充材料：高强度发泡水泥</w:t>
            </w:r>
            <w:r>
              <w:rPr>
                <w:rFonts w:hint="eastAsia"/>
                <w:sz w:val="24"/>
              </w:rPr>
              <w:br/>
            </w:r>
            <w:r>
              <w:rPr>
                <w:rFonts w:hint="eastAsia"/>
                <w:sz w:val="24"/>
              </w:rPr>
              <w:t xml:space="preserve">地板贴面：</w:t>
            </w:r>
            <w:r>
              <w:rPr>
                <w:rFonts w:hint="eastAsia"/>
                <w:sz w:val="24"/>
              </w:rPr>
              <w:t xml:space="preserve">10mm</w:t>
            </w:r>
            <w:r>
              <w:rPr>
                <w:rFonts w:hint="eastAsia"/>
                <w:sz w:val="24"/>
              </w:rPr>
              <w:t xml:space="preserve">防静电瓷砖面</w:t>
            </w:r>
            <w:r>
              <w:rPr>
                <w:rFonts w:hint="eastAsia"/>
                <w:sz w:val="24"/>
              </w:rPr>
              <w:br/>
            </w:r>
            <w:r>
              <w:rPr>
                <w:rFonts w:hint="eastAsia"/>
                <w:sz w:val="24"/>
              </w:rPr>
              <w:t xml:space="preserve">系统电阻：</w:t>
            </w:r>
            <w:r>
              <w:rPr>
                <w:rFonts w:hint="eastAsia"/>
                <w:sz w:val="24"/>
              </w:rPr>
              <w:t xml:space="preserve">1*106</w:t>
            </w:r>
            <w:r>
              <w:rPr>
                <w:rFonts w:hint="eastAsia"/>
                <w:sz w:val="24"/>
              </w:rPr>
              <w:t xml:space="preserve">Ω</w:t>
            </w:r>
            <w:r>
              <w:rPr>
                <w:rFonts w:hint="eastAsia"/>
                <w:sz w:val="24"/>
              </w:rPr>
              <w:t xml:space="preserve">-1*109</w:t>
            </w:r>
            <w:r>
              <w:rPr>
                <w:rFonts w:hint="eastAsia"/>
                <w:sz w:val="24"/>
              </w:rPr>
              <w:t xml:space="preserve">Ω</w:t>
            </w:r>
            <w:r>
              <w:rPr>
                <w:rFonts w:hint="eastAsia"/>
                <w:sz w:val="24"/>
              </w:rPr>
              <w:br/>
            </w:r>
            <w:r>
              <w:rPr>
                <w:rFonts w:hint="eastAsia"/>
                <w:sz w:val="24"/>
              </w:rPr>
              <w:t xml:space="preserve">集中载荷：≥</w:t>
            </w:r>
            <w:r>
              <w:rPr>
                <w:rFonts w:hint="eastAsia"/>
                <w:sz w:val="24"/>
              </w:rPr>
              <w:t xml:space="preserve">2300N</w:t>
            </w:r>
            <w:r>
              <w:rPr>
                <w:rFonts w:hint="eastAsia"/>
                <w:sz w:val="24"/>
              </w:rPr>
              <w:br/>
            </w:r>
            <w:r>
              <w:rPr>
                <w:rFonts w:hint="eastAsia"/>
                <w:sz w:val="24"/>
              </w:rPr>
              <w:t xml:space="preserve">均布载荷：≥</w:t>
            </w:r>
            <w:r>
              <w:rPr>
                <w:rFonts w:hint="eastAsia"/>
                <w:sz w:val="24"/>
              </w:rPr>
              <w:t xml:space="preserve">16000N</w:t>
            </w:r>
            <w:r>
              <w:rPr>
                <w:rFonts w:hint="eastAsia"/>
                <w:sz w:val="24"/>
              </w:rPr>
              <w:br/>
            </w:r>
            <w:r>
              <w:rPr>
                <w:rFonts w:hint="eastAsia"/>
                <w:sz w:val="24"/>
              </w:rPr>
              <w:t xml:space="preserve">冲击载荷：≥</w:t>
            </w:r>
            <w:r>
              <w:rPr>
                <w:rFonts w:hint="eastAsia"/>
                <w:sz w:val="24"/>
              </w:rPr>
              <w:t xml:space="preserve">3000N</w:t>
            </w:r>
            <w:r>
              <w:rPr>
                <w:rFonts w:hint="eastAsia"/>
                <w:sz w:val="24"/>
              </w:rPr>
              <w:br/>
            </w:r>
            <w:r>
              <w:rPr>
                <w:rFonts w:hint="eastAsia"/>
                <w:sz w:val="24"/>
              </w:rPr>
              <w:t xml:space="preserve">滚动载荷：≥</w:t>
            </w:r>
            <w:r>
              <w:rPr>
                <w:rFonts w:hint="eastAsia"/>
                <w:sz w:val="24"/>
              </w:rPr>
              <w:t xml:space="preserve">13500N</w:t>
            </w:r>
            <w:r>
              <w:rPr>
                <w:rFonts w:hint="eastAsia"/>
                <w:sz w:val="24"/>
              </w:rPr>
              <w:br/>
            </w:r>
            <w:r>
              <w:rPr>
                <w:rFonts w:hint="eastAsia"/>
                <w:sz w:val="24"/>
              </w:rPr>
              <w:t xml:space="preserve">防火性能：</w:t>
            </w:r>
            <w:r>
              <w:rPr>
                <w:rFonts w:hint="eastAsia"/>
                <w:sz w:val="24"/>
              </w:rPr>
              <w:t xml:space="preserve">A</w:t>
            </w:r>
            <w:r>
              <w:rPr>
                <w:rFonts w:hint="eastAsia"/>
                <w:sz w:val="24"/>
              </w:rPr>
              <w:t xml:space="preserve">级</w:t>
            </w:r>
            <w:r>
              <w:rPr>
                <w:rFonts w:hint="eastAsia"/>
                <w:sz w:val="24"/>
              </w:rPr>
              <w:br/>
            </w:r>
            <w:r>
              <w:rPr>
                <w:rFonts w:hint="eastAsia"/>
                <w:sz w:val="24"/>
              </w:rPr>
              <w:t xml:space="preserve">支撑系统：</w:t>
            </w:r>
            <w:r>
              <w:rPr>
                <w:rFonts w:hint="eastAsia"/>
                <w:sz w:val="24"/>
              </w:rPr>
              <w:br/>
            </w:r>
            <w:r>
              <w:rPr>
                <w:rFonts w:hint="eastAsia"/>
                <w:sz w:val="24"/>
              </w:rPr>
              <w:t xml:space="preserve">支架：</w:t>
            </w:r>
            <w:r>
              <w:rPr>
                <w:rFonts w:hint="eastAsia"/>
                <w:sz w:val="24"/>
              </w:rPr>
              <w:t xml:space="preserve"> </w:t>
            </w:r>
            <w:r>
              <w:rPr>
                <w:rFonts w:hint="eastAsia"/>
                <w:sz w:val="24"/>
              </w:rPr>
              <w:t xml:space="preserve">由上托、螺杆、管柱、底座组成。管柱和底座为高强度铸铁或优质钢材，厚度≥</w:t>
            </w:r>
            <w:r>
              <w:rPr>
                <w:rFonts w:hint="eastAsia"/>
                <w:sz w:val="24"/>
              </w:rPr>
              <w:t xml:space="preserve">2.0mm</w:t>
            </w:r>
            <w:r>
              <w:rPr>
                <w:rFonts w:hint="eastAsia"/>
                <w:sz w:val="24"/>
              </w:rPr>
              <w:t xml:space="preserve">。并能实现不小于±</w:t>
            </w:r>
            <w:r>
              <w:rPr>
                <w:rFonts w:hint="eastAsia"/>
                <w:sz w:val="24"/>
              </w:rPr>
              <w:t xml:space="preserve">20mm</w:t>
            </w:r>
            <w:r>
              <w:rPr>
                <w:rFonts w:hint="eastAsia"/>
                <w:sz w:val="24"/>
              </w:rPr>
              <w:t xml:space="preserve">的高度调节范围，以适应地面不平整。</w:t>
            </w:r>
            <w:r>
              <w:rPr>
                <w:rFonts w:hint="eastAsia"/>
                <w:sz w:val="24"/>
              </w:rPr>
              <w:br/>
            </w:r>
            <w:r>
              <w:rPr>
                <w:rFonts w:hint="eastAsia"/>
                <w:sz w:val="24"/>
              </w:rPr>
              <w:t xml:space="preserve">横梁：</w:t>
            </w:r>
            <w:r>
              <w:rPr>
                <w:rFonts w:hint="eastAsia"/>
                <w:sz w:val="24"/>
              </w:rPr>
              <w:t xml:space="preserve"> </w:t>
            </w:r>
            <w:r>
              <w:rPr>
                <w:rFonts w:hint="eastAsia"/>
                <w:sz w:val="24"/>
              </w:rPr>
              <w:t xml:space="preserve">优质冷轧钢板制造，表面镀锌防锈。</w:t>
            </w:r>
            <w:r>
              <w:rPr>
                <w:rFonts w:hint="eastAsia"/>
                <w:sz w:val="24"/>
              </w:rPr>
              <w:br/>
            </w:r>
            <w:r>
              <w:rPr>
                <w:rFonts w:hint="eastAsia"/>
                <w:sz w:val="24"/>
              </w:rPr>
              <w:t xml:space="preserve">防腐处理：</w:t>
            </w:r>
            <w:r>
              <w:rPr>
                <w:rFonts w:hint="eastAsia"/>
                <w:sz w:val="24"/>
              </w:rPr>
              <w:t xml:space="preserve"> </w:t>
            </w:r>
            <w:r>
              <w:rPr>
                <w:rFonts w:hint="eastAsia"/>
                <w:sz w:val="24"/>
              </w:rPr>
              <w:t xml:space="preserve">所有金属支撑部件必须经过镀锌或更高标准的防锈、防腐处理，以适应实验室环境。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平方米</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98</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学科专业知识窗帘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规格：（可以根据学校具体情况调整）加厚、遮光在窗帘上喷绘介绍学科知识，集教学、观赏为一体。</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rPr>
                <w:rFonts w:hint="eastAsia"/>
                <w:sz w:val="24"/>
              </w:rPr>
              <w:t xml:space="preserve">物理实验室</w:t>
            </w:r>
            <w:r>
              <w:rPr>
                <w:rFonts w:hint="eastAsia"/>
                <w:sz w:val="24"/>
              </w:rPr>
              <w:t xml:space="preserve">1</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教师演示控制</w:t>
            </w:r>
            <w:r/>
          </w:p>
        </w:tc>
      </w:tr>
      <w:tr>
        <w:trPr>
          <w:trHeight w:val="295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w:t>
            </w:r>
            <w:r>
              <w:rPr>
                <w:rFonts w:hint="eastAsia"/>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参考规格：</w:t>
            </w:r>
            <w:r>
              <w:rPr>
                <w:rFonts w:hint="eastAsia"/>
                <w:sz w:val="24"/>
              </w:rPr>
              <w:t xml:space="preserve">3000*700*900mm</w:t>
            </w:r>
            <w:r>
              <w:rPr>
                <w:rFonts w:hint="eastAsia"/>
                <w:sz w:val="24"/>
              </w:rPr>
              <w:br/>
            </w:r>
            <w:r>
              <w:rPr>
                <w:rFonts w:hint="eastAsia"/>
                <w:sz w:val="24"/>
              </w:rPr>
              <w:t xml:space="preserve">▲</w:t>
            </w:r>
            <w:r>
              <w:rPr>
                <w:rFonts w:hint="eastAsia"/>
                <w:sz w:val="24"/>
              </w:rPr>
              <w:t xml:space="preserve">1.</w:t>
            </w:r>
            <w:r>
              <w:rPr>
                <w:rFonts w:hint="eastAsia"/>
                <w:sz w:val="24"/>
              </w:rPr>
              <w:t xml:space="preserve">台面：采用≥</w:t>
            </w:r>
            <w:r>
              <w:rPr>
                <w:rFonts w:hint="eastAsia"/>
                <w:sz w:val="24"/>
              </w:rPr>
              <w:t xml:space="preserve">12.7mm</w:t>
            </w:r>
            <w:r>
              <w:rPr>
                <w:rFonts w:hint="eastAsia"/>
                <w:sz w:val="24"/>
              </w:rPr>
              <w:t xml:space="preserve">厚双面膜耐腐蚀实芯理化板制作，四角倒</w:t>
            </w:r>
            <w:r>
              <w:rPr>
                <w:rFonts w:hint="eastAsia"/>
                <w:sz w:val="24"/>
              </w:rPr>
              <w:t xml:space="preserve">R15</w:t>
            </w:r>
            <w:r>
              <w:rPr>
                <w:rFonts w:hint="eastAsia"/>
                <w:sz w:val="24"/>
              </w:rPr>
              <w:t xml:space="preserve">圆角</w:t>
            </w:r>
            <w:r>
              <w:rPr>
                <w:rFonts w:hint="eastAsia"/>
                <w:sz w:val="24"/>
              </w:rPr>
              <w:t xml:space="preserve">。</w:t>
            </w:r>
            <w:r>
              <w:rPr>
                <w:rFonts w:hint="eastAsia"/>
                <w:sz w:val="24"/>
              </w:rPr>
              <w:br/>
            </w:r>
            <w:r>
              <w:rPr>
                <w:rFonts w:hint="eastAsia"/>
                <w:sz w:val="24"/>
              </w:rPr>
              <w:t xml:space="preserve">★</w:t>
            </w:r>
            <w:r>
              <w:rPr>
                <w:rFonts w:hint="eastAsia"/>
                <w:sz w:val="24"/>
              </w:rPr>
              <w:t xml:space="preserve">2.</w:t>
            </w:r>
            <w:r>
              <w:rPr>
                <w:rFonts w:hint="eastAsia"/>
                <w:sz w:val="24"/>
              </w:rPr>
              <w:t xml:space="preserve">柜体：全钢结构，采用≥</w:t>
            </w:r>
            <w:r>
              <w:rPr>
                <w:rFonts w:hint="eastAsia"/>
                <w:sz w:val="24"/>
              </w:rPr>
              <w:t xml:space="preserve">1.0mm</w:t>
            </w:r>
            <w:r>
              <w:rPr>
                <w:rFonts w:hint="eastAsia"/>
                <w:sz w:val="24"/>
              </w:rPr>
              <w:t xml:space="preserve">高强度镀锌钢板，切割折弯成型，组件焊接工艺，打磨平整，表面经环氧树脂喷涂处理；</w:t>
            </w:r>
            <w:r>
              <w:rPr>
                <w:rFonts w:hint="eastAsia"/>
                <w:sz w:val="24"/>
              </w:rPr>
              <w:br/>
              <w:t xml:space="preserve">3.</w:t>
            </w:r>
            <w:r>
              <w:rPr>
                <w:rFonts w:hint="eastAsia"/>
                <w:sz w:val="24"/>
              </w:rPr>
              <w:t xml:space="preserve">整体结构设计合理，预留教师电源安装位置；</w:t>
            </w:r>
            <w:r>
              <w:rPr>
                <w:rFonts w:hint="eastAsia"/>
                <w:sz w:val="24"/>
              </w:rPr>
              <w:br/>
              <w:t xml:space="preserve">4.</w:t>
            </w:r>
            <w:r>
              <w:rPr>
                <w:rFonts w:hint="eastAsia"/>
                <w:sz w:val="24"/>
              </w:rPr>
              <w:t xml:space="preserve">门板及抽面：采用双层结构，组装式设计，保证双层钢板双面都喷涂处理。</w:t>
            </w:r>
            <w:r>
              <w:rPr>
                <w:rFonts w:hint="eastAsia"/>
                <w:sz w:val="24"/>
              </w:rPr>
              <w:br/>
              <w:t xml:space="preserve">5.</w:t>
            </w:r>
            <w:r>
              <w:rPr>
                <w:rFonts w:hint="eastAsia"/>
                <w:sz w:val="24"/>
              </w:rPr>
              <w:t xml:space="preserve">防撞胶垫：装于抽屉及门板内侧，减缓碰撞，保护柜体。</w:t>
            </w:r>
            <w:r>
              <w:rPr>
                <w:rFonts w:hint="eastAsia"/>
                <w:sz w:val="24"/>
              </w:rPr>
              <w:br/>
              <w:t xml:space="preserve">6.</w:t>
            </w:r>
            <w:r>
              <w:rPr>
                <w:rFonts w:hint="eastAsia"/>
                <w:sz w:val="24"/>
              </w:rPr>
              <w:t xml:space="preserve">不锈钢防腐合页：采用优质不锈钢模具一体成型。</w:t>
            </w:r>
            <w:r>
              <w:rPr>
                <w:rFonts w:hint="eastAsia"/>
                <w:sz w:val="24"/>
              </w:rPr>
              <w:br/>
              <w:t xml:space="preserve">7.</w:t>
            </w:r>
            <w:r>
              <w:rPr>
                <w:rFonts w:hint="eastAsia"/>
                <w:sz w:val="24"/>
              </w:rPr>
              <w:t xml:space="preserve">防腐三节静音导轨：三节滚珠滑轨，承重性强，滑动顺滑。</w:t>
            </w:r>
            <w:r>
              <w:rPr>
                <w:rFonts w:hint="eastAsia"/>
                <w:sz w:val="24"/>
              </w:rPr>
              <w:br/>
              <w:t xml:space="preserve">8.</w:t>
            </w:r>
            <w:r>
              <w:rPr>
                <w:rFonts w:hint="eastAsia"/>
                <w:sz w:val="24"/>
              </w:rPr>
              <w:t xml:space="preserve">固定桌脚：采用柜体内置可调</w:t>
            </w:r>
            <w:r>
              <w:rPr>
                <w:rFonts w:hint="eastAsia"/>
                <w:sz w:val="24"/>
              </w:rPr>
              <w:t xml:space="preserve">ABS</w:t>
            </w:r>
            <w:r>
              <w:rPr>
                <w:rFonts w:hint="eastAsia"/>
                <w:sz w:val="24"/>
              </w:rPr>
              <w:t xml:space="preserve">调整脚，保证调整脚前后都可以调节高低。</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实验室专用</w:t>
            </w:r>
            <w:r>
              <w:rPr>
                <w:rFonts w:hint="eastAsia"/>
                <w:sz w:val="24"/>
              </w:rPr>
              <w:t xml:space="preserve">水槽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采用实验室专用高密度</w:t>
            </w:r>
            <w:r>
              <w:rPr>
                <w:rFonts w:hint="eastAsia"/>
                <w:sz w:val="24"/>
              </w:rPr>
              <w:t xml:space="preserve">PP</w:t>
            </w:r>
            <w:r>
              <w:rPr>
                <w:rFonts w:hint="eastAsia"/>
                <w:sz w:val="24"/>
              </w:rPr>
              <w:t xml:space="preserve">一体化成型水槽，易</w:t>
            </w:r>
            <w:r>
              <w:rPr>
                <w:rFonts w:hint="eastAsia"/>
                <w:sz w:val="24"/>
              </w:rPr>
              <w:t xml:space="preserve">清洁，耐腐蚀，且利于台面残水自然回流，美观实用；具耐酸碱、耐有机溶剂、耐紫外线等特点。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三联高低位龙头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教师总控电源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br/>
              <w:t xml:space="preserve">1.</w:t>
            </w:r>
            <w:r>
              <w:rPr>
                <w:rFonts w:hint="eastAsia"/>
                <w:sz w:val="24"/>
              </w:rPr>
              <w:t xml:space="preserve">装置在主控台组合柜内，采用耐磨、耐腐蚀的</w:t>
            </w:r>
            <w:r>
              <w:rPr>
                <w:rFonts w:hint="eastAsia"/>
                <w:sz w:val="24"/>
              </w:rPr>
              <w:t xml:space="preserve">PVC</w:t>
            </w:r>
            <w:r>
              <w:rPr>
                <w:rFonts w:hint="eastAsia"/>
                <w:sz w:val="24"/>
              </w:rPr>
              <w:t xml:space="preserve">薄膜面板，优质元器件，轻触按钮开关。</w:t>
            </w:r>
            <w:r>
              <w:rPr>
                <w:rFonts w:hint="eastAsia"/>
                <w:sz w:val="24"/>
              </w:rPr>
              <w:br/>
              <w:t xml:space="preserve">2.</w:t>
            </w:r>
            <w:r>
              <w:rPr>
                <w:rFonts w:hint="eastAsia"/>
                <w:sz w:val="24"/>
              </w:rPr>
              <w:t xml:space="preserve">输入电压：</w:t>
            </w:r>
            <w:r>
              <w:rPr>
                <w:rFonts w:hint="eastAsia"/>
                <w:sz w:val="24"/>
              </w:rPr>
              <w:t xml:space="preserve">220v</w:t>
            </w:r>
            <w:r>
              <w:rPr>
                <w:rFonts w:hint="eastAsia"/>
                <w:sz w:val="24"/>
              </w:rPr>
              <w:t xml:space="preserve">±</w:t>
            </w:r>
            <w:r>
              <w:rPr>
                <w:rFonts w:hint="eastAsia"/>
                <w:sz w:val="24"/>
              </w:rPr>
              <w:t xml:space="preserve">10%</w:t>
            </w:r>
            <w:r>
              <w:rPr>
                <w:rFonts w:hint="eastAsia"/>
                <w:sz w:val="24"/>
              </w:rPr>
              <w:t xml:space="preserve">；</w:t>
            </w:r>
            <w:r>
              <w:rPr>
                <w:rFonts w:hint="eastAsia"/>
                <w:sz w:val="24"/>
              </w:rPr>
              <w:br/>
              <w:t xml:space="preserve">3.</w:t>
            </w:r>
            <w:r>
              <w:rPr>
                <w:rFonts w:hint="eastAsia"/>
                <w:sz w:val="24"/>
              </w:rPr>
              <w:t xml:space="preserve">内装有教师演示电源及主控电源装置，教师能对实验室进行总体及分组控制</w:t>
            </w:r>
            <w:r>
              <w:rPr>
                <w:rFonts w:hint="eastAsia"/>
                <w:sz w:val="24"/>
              </w:rPr>
              <w:t xml:space="preserve">;</w:t>
            </w:r>
            <w:r>
              <w:rPr>
                <w:rFonts w:hint="eastAsia"/>
                <w:sz w:val="24"/>
              </w:rPr>
              <w:br/>
              <w:t xml:space="preserve">4.220V</w:t>
            </w:r>
            <w:r>
              <w:rPr>
                <w:rFonts w:hint="eastAsia"/>
                <w:sz w:val="24"/>
              </w:rPr>
              <w:t xml:space="preserve">电源输出，电源总开关、漏电保护开关、工作指示灯、</w:t>
            </w:r>
            <w:r>
              <w:rPr>
                <w:rFonts w:hint="eastAsia"/>
                <w:sz w:val="24"/>
              </w:rPr>
              <w:t xml:space="preserve">220V</w:t>
            </w:r>
            <w:r>
              <w:rPr>
                <w:rFonts w:hint="eastAsia"/>
                <w:sz w:val="24"/>
              </w:rPr>
              <w:t xml:space="preserve">交流输出多用插座，数码实时显示电压电流值；电压表精度</w:t>
            </w:r>
            <w:r>
              <w:rPr>
                <w:rFonts w:hint="eastAsia"/>
                <w:sz w:val="24"/>
              </w:rPr>
              <w:t xml:space="preserve">1%</w:t>
            </w:r>
            <w:r>
              <w:rPr>
                <w:rFonts w:hint="eastAsia"/>
                <w:sz w:val="24"/>
              </w:rPr>
              <w:t xml:space="preserve">，电流表精度</w:t>
            </w:r>
            <w:r>
              <w:rPr>
                <w:rFonts w:hint="eastAsia"/>
                <w:sz w:val="24"/>
              </w:rPr>
              <w:t xml:space="preserve">1.5%</w:t>
            </w:r>
            <w:r>
              <w:rPr>
                <w:rFonts w:hint="eastAsia"/>
                <w:sz w:val="24"/>
              </w:rPr>
              <w:t xml:space="preserve">±</w:t>
            </w:r>
            <w:r>
              <w:rPr>
                <w:rFonts w:hint="eastAsia"/>
                <w:sz w:val="24"/>
              </w:rPr>
              <w:t xml:space="preserve">5</w:t>
            </w:r>
            <w:r>
              <w:rPr>
                <w:rFonts w:hint="eastAsia"/>
                <w:sz w:val="24"/>
              </w:rPr>
              <w:t xml:space="preserve">字；</w:t>
            </w:r>
            <w:r>
              <w:rPr>
                <w:rFonts w:hint="eastAsia"/>
                <w:sz w:val="24"/>
              </w:rPr>
              <w:br/>
              <w:t xml:space="preserve">5.</w:t>
            </w:r>
            <w:r>
              <w:rPr>
                <w:rFonts w:hint="eastAsia"/>
                <w:sz w:val="24"/>
              </w:rPr>
              <w:t xml:space="preserve">带老师、学生</w:t>
            </w:r>
            <w:r>
              <w:rPr>
                <w:rFonts w:hint="eastAsia"/>
                <w:sz w:val="24"/>
              </w:rPr>
              <w:t xml:space="preserve">220V</w:t>
            </w:r>
            <w:r>
              <w:rPr>
                <w:rFonts w:hint="eastAsia"/>
                <w:sz w:val="24"/>
              </w:rPr>
              <w:t xml:space="preserve">过载漏电保护。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学生实验操作及学习区</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学生实验桌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参考规格：</w:t>
            </w:r>
            <w:r>
              <w:rPr>
                <w:rFonts w:hint="eastAsia"/>
                <w:sz w:val="24"/>
              </w:rPr>
              <w:t xml:space="preserve">1200*600*780/800mm</w:t>
            </w:r>
            <w:r>
              <w:rPr>
                <w:rFonts w:hint="eastAsia"/>
                <w:sz w:val="24"/>
              </w:rPr>
              <w:br/>
            </w:r>
            <w:r>
              <w:rPr>
                <w:rFonts w:hint="eastAsia"/>
                <w:sz w:val="24"/>
              </w:rPr>
              <w:t xml:space="preserve">▲</w:t>
            </w:r>
            <w:r>
              <w:rPr>
                <w:rFonts w:hint="eastAsia"/>
                <w:sz w:val="24"/>
              </w:rPr>
              <w:t xml:space="preserve">2.</w:t>
            </w:r>
            <w:r>
              <w:rPr>
                <w:rFonts w:hint="eastAsia"/>
                <w:sz w:val="24"/>
              </w:rPr>
              <w:t xml:space="preserve">台面：采用≥</w:t>
            </w:r>
            <w:r>
              <w:rPr>
                <w:rFonts w:hint="eastAsia"/>
                <w:sz w:val="24"/>
              </w:rPr>
              <w:t xml:space="preserve">12.7mm</w:t>
            </w:r>
            <w:r>
              <w:rPr>
                <w:rFonts w:hint="eastAsia"/>
                <w:sz w:val="24"/>
              </w:rPr>
              <w:t xml:space="preserve">实芯理化板，台面前端经机械打磨，圆角处理，后部根据桌架形状铣边镶入框架中，防止台面起翘、变形、脱落；</w:t>
            </w:r>
            <w:r>
              <w:rPr>
                <w:rFonts w:hint="eastAsia"/>
                <w:sz w:val="24"/>
              </w:rPr>
              <w:br/>
              <w:t xml:space="preserve">3.</w:t>
            </w:r>
            <w:r>
              <w:rPr>
                <w:rFonts w:hint="eastAsia"/>
                <w:sz w:val="24"/>
              </w:rPr>
              <w:t xml:space="preserve">结构：镂空设计。专用书包斗，中间设挂凳卡。</w:t>
            </w:r>
            <w:r>
              <w:rPr>
                <w:rFonts w:hint="eastAsia"/>
                <w:sz w:val="24"/>
              </w:rPr>
              <w:br/>
            </w:r>
            <w:r>
              <w:rPr>
                <w:rFonts w:hint="eastAsia"/>
                <w:sz w:val="24"/>
              </w:rPr>
              <w:t xml:space="preserve">★</w:t>
            </w:r>
            <w:r>
              <w:rPr>
                <w:rFonts w:hint="eastAsia"/>
                <w:sz w:val="24"/>
              </w:rPr>
              <w:t xml:space="preserve">4.</w:t>
            </w:r>
            <w:r>
              <w:rPr>
                <w:rFonts w:hint="eastAsia"/>
                <w:sz w:val="24"/>
              </w:rPr>
              <w:t xml:space="preserve">侧脚采用高强度合金或者钢制结构，要做到承重性能强和耐酸碱、耐腐蚀。</w:t>
            </w:r>
            <w:r>
              <w:rPr>
                <w:rFonts w:hint="eastAsia"/>
                <w:sz w:val="24"/>
              </w:rPr>
              <w:br/>
            </w:r>
            <w:r>
              <w:rPr>
                <w:rFonts w:hint="eastAsia"/>
                <w:sz w:val="24"/>
              </w:rPr>
              <w:t xml:space="preserve">★</w:t>
            </w:r>
            <w:r>
              <w:rPr>
                <w:rFonts w:hint="eastAsia"/>
                <w:sz w:val="24"/>
              </w:rPr>
              <w:t xml:space="preserve">5.</w:t>
            </w:r>
            <w:r>
              <w:rPr>
                <w:rFonts w:hint="eastAsia"/>
                <w:sz w:val="24"/>
              </w:rPr>
              <w:t xml:space="preserve">后档板、前后横梁、中间横梁全部采用高强度挤出合金或者钢制模具型材。</w:t>
            </w:r>
            <w:r>
              <w:rPr>
                <w:rFonts w:hint="eastAsia"/>
                <w:sz w:val="24"/>
              </w:rPr>
              <w:br/>
              <w:t xml:space="preserve">6. </w:t>
            </w:r>
            <w:r>
              <w:rPr>
                <w:rFonts w:hint="eastAsia"/>
                <w:sz w:val="24"/>
              </w:rPr>
              <w:t xml:space="preserve">桌侧脚：桌侧脚设置专用孔位与地面固定，并配有跟台面同色</w:t>
            </w:r>
            <w:r>
              <w:rPr>
                <w:rFonts w:hint="eastAsia"/>
                <w:sz w:val="24"/>
              </w:rPr>
              <w:t xml:space="preserve">ABS</w:t>
            </w:r>
            <w:r>
              <w:rPr>
                <w:rFonts w:hint="eastAsia"/>
                <w:sz w:val="24"/>
              </w:rPr>
              <w:t xml:space="preserve">脚套装饰盖。</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多功能柱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整体采用实验室专用</w:t>
            </w:r>
            <w:r>
              <w:rPr>
                <w:rFonts w:hint="eastAsia"/>
                <w:sz w:val="24"/>
              </w:rPr>
              <w:t xml:space="preserve">PP</w:t>
            </w:r>
            <w:r>
              <w:rPr>
                <w:rFonts w:hint="eastAsia"/>
                <w:sz w:val="24"/>
              </w:rPr>
              <w:t xml:space="preserve">材质，四周圆弧处理，前后二块拼接而成，可拆装，内部隐藏实验线管及通风管道，方便检修。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实验凳</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凳脚材质：</w:t>
            </w:r>
            <w:r>
              <w:rPr>
                <w:rFonts w:hint="eastAsia"/>
                <w:sz w:val="24"/>
              </w:rPr>
              <w:t xml:space="preserve">4</w:t>
            </w:r>
            <w:r>
              <w:rPr>
                <w:rFonts w:hint="eastAsia"/>
                <w:sz w:val="24"/>
              </w:rPr>
              <w:t xml:space="preserve">个凳脚采用≥</w:t>
            </w:r>
            <w:r>
              <w:rPr>
                <w:rFonts w:hint="eastAsia"/>
                <w:sz w:val="24"/>
              </w:rPr>
              <w:t xml:space="preserve">17</w:t>
            </w:r>
            <w:r>
              <w:rPr>
                <w:rFonts w:hint="eastAsia"/>
                <w:sz w:val="24"/>
              </w:rPr>
              <w:t xml:space="preserve">×</w:t>
            </w:r>
            <w:r>
              <w:rPr>
                <w:rFonts w:hint="eastAsia"/>
                <w:sz w:val="24"/>
              </w:rPr>
              <w:t xml:space="preserve">34</w:t>
            </w:r>
            <w:r>
              <w:rPr>
                <w:rFonts w:hint="eastAsia"/>
                <w:sz w:val="24"/>
              </w:rPr>
              <w:t xml:space="preserve">×</w:t>
            </w:r>
            <w:r>
              <w:rPr>
                <w:rFonts w:hint="eastAsia"/>
                <w:sz w:val="24"/>
              </w:rPr>
              <w:t xml:space="preserve">1.7mm </w:t>
            </w:r>
            <w:r>
              <w:rPr>
                <w:rFonts w:hint="eastAsia"/>
                <w:sz w:val="24"/>
              </w:rPr>
              <w:t xml:space="preserve">无缝钢管模具一次成型。全圆满焊接完成，结构牢固，经高温粉体烤漆处理，长时间使用也不会产生表面烤漆剥落现象，升降式。Ф凳面直径</w:t>
            </w:r>
            <w:r>
              <w:rPr>
                <w:rFonts w:hint="eastAsia"/>
                <w:sz w:val="24"/>
              </w:rPr>
              <w:t xml:space="preserve">300/320</w:t>
            </w:r>
            <w:r>
              <w:rPr>
                <w:rFonts w:hint="eastAsia"/>
                <w:sz w:val="24"/>
              </w:rPr>
              <w:t xml:space="preserve">×高</w:t>
            </w:r>
            <w:r>
              <w:rPr>
                <w:rFonts w:hint="eastAsia"/>
                <w:sz w:val="24"/>
              </w:rPr>
              <w:t xml:space="preserve">450/500/510mm</w:t>
            </w:r>
            <w:r>
              <w:rPr>
                <w:rFonts w:hint="eastAsia"/>
                <w:sz w:val="24"/>
              </w:rPr>
              <w:t xml:space="preserve">。</w:t>
            </w:r>
            <w:r>
              <w:rPr>
                <w:rFonts w:hint="eastAsia"/>
                <w:sz w:val="24"/>
              </w:rPr>
              <w:br/>
              <w:t xml:space="preserve">2.</w:t>
            </w:r>
            <w:r>
              <w:rPr>
                <w:rFonts w:hint="eastAsia"/>
                <w:sz w:val="24"/>
              </w:rPr>
              <w:t xml:space="preserve">凳面材质：注塑，防滑不发光。</w:t>
            </w:r>
            <w:r>
              <w:rPr>
                <w:rFonts w:hint="eastAsia"/>
                <w:sz w:val="24"/>
              </w:rPr>
              <w:br/>
              <w:t xml:space="preserve">3.</w:t>
            </w:r>
            <w:r>
              <w:rPr>
                <w:rFonts w:hint="eastAsia"/>
                <w:sz w:val="24"/>
              </w:rPr>
              <w:t xml:space="preserve">脚垫材质：采用</w:t>
            </w:r>
            <w:r>
              <w:rPr>
                <w:rFonts w:hint="eastAsia"/>
                <w:sz w:val="24"/>
              </w:rPr>
              <w:t xml:space="preserve">PP</w:t>
            </w:r>
            <w:r>
              <w:rPr>
                <w:rFonts w:hint="eastAsia"/>
                <w:sz w:val="24"/>
              </w:rPr>
              <w:t xml:space="preserve">加耐磨纤维质塑料，实心倒勾式一体射出成型</w:t>
            </w:r>
            <w:r>
              <w:rPr>
                <w:rFonts w:hint="eastAsia"/>
                <w:sz w:val="24"/>
              </w:rPr>
              <w:t xml:space="preserve"> </w:t>
            </w:r>
            <w:r>
              <w:rPr>
                <w:rFonts w:hint="eastAsia"/>
                <w:sz w:val="24"/>
              </w:rPr>
              <w:t xml:space="preserve">凳面与凳脚留有一定的空间便</w:t>
            </w:r>
            <w:r>
              <w:rPr>
                <w:rFonts w:hint="eastAsia"/>
                <w:sz w:val="24"/>
              </w:rPr>
              <w:t xml:space="preserve">于凳子挂在挂凳扣上。方便教室的打扫。</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56</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桌面电源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参考尺寸：</w:t>
            </w:r>
            <w:r>
              <w:rPr>
                <w:rFonts w:hint="eastAsia"/>
                <w:sz w:val="24"/>
              </w:rPr>
              <w:t xml:space="preserve">200*58*100mm</w:t>
            </w:r>
            <w:r>
              <w:rPr>
                <w:rFonts w:hint="eastAsia"/>
                <w:sz w:val="24"/>
              </w:rPr>
              <w:br/>
              <w:t xml:space="preserve">2.</w:t>
            </w:r>
            <w:r>
              <w:rPr>
                <w:rFonts w:hint="eastAsia"/>
                <w:sz w:val="24"/>
              </w:rPr>
              <w:t xml:space="preserve">主体由</w:t>
            </w:r>
            <w:r>
              <w:rPr>
                <w:rFonts w:hint="eastAsia"/>
                <w:sz w:val="24"/>
              </w:rPr>
              <w:t xml:space="preserve">ABS</w:t>
            </w:r>
            <w:r>
              <w:rPr>
                <w:rFonts w:hint="eastAsia"/>
                <w:sz w:val="24"/>
              </w:rPr>
              <w:t xml:space="preserve">框架与电源面板组成。</w:t>
            </w:r>
            <w:r>
              <w:rPr>
                <w:rFonts w:hint="eastAsia"/>
                <w:sz w:val="24"/>
              </w:rPr>
              <w:br/>
              <w:t xml:space="preserve">2.1.</w:t>
            </w:r>
            <w:r>
              <w:rPr>
                <w:rFonts w:hint="eastAsia"/>
                <w:sz w:val="24"/>
              </w:rPr>
              <w:t xml:space="preserve">主体框架：产品主体框架由</w:t>
            </w:r>
            <w:r>
              <w:rPr>
                <w:rFonts w:hint="eastAsia"/>
                <w:sz w:val="24"/>
              </w:rPr>
              <w:t xml:space="preserve">ABS</w:t>
            </w:r>
            <w:r>
              <w:rPr>
                <w:rFonts w:hint="eastAsia"/>
                <w:sz w:val="24"/>
              </w:rPr>
              <w:t xml:space="preserve">配件组合而成，整体造型圆弧处理，操作面进行</w:t>
            </w:r>
            <w:r>
              <w:rPr>
                <w:rFonts w:hint="eastAsia"/>
                <w:sz w:val="24"/>
              </w:rPr>
              <w:t xml:space="preserve">55</w:t>
            </w:r>
            <w:r>
              <w:rPr>
                <w:rFonts w:hint="eastAsia"/>
                <w:sz w:val="24"/>
              </w:rPr>
              <w:t xml:space="preserve">度倾斜，方便操作使用，产品表面亮光处理。</w:t>
            </w:r>
            <w:r>
              <w:rPr>
                <w:rFonts w:hint="eastAsia"/>
                <w:sz w:val="24"/>
              </w:rPr>
              <w:br/>
              <w:t xml:space="preserve">3.</w:t>
            </w:r>
            <w:r>
              <w:rPr>
                <w:rFonts w:hint="eastAsia"/>
                <w:sz w:val="24"/>
              </w:rPr>
              <w:t xml:space="preserve">电源操作界面：电源操作界面分别配备：</w:t>
            </w:r>
            <w:r>
              <w:rPr>
                <w:rFonts w:hint="eastAsia"/>
                <w:sz w:val="24"/>
              </w:rPr>
              <w:t xml:space="preserve">USB</w:t>
            </w:r>
            <w:r>
              <w:rPr>
                <w:rFonts w:hint="eastAsia"/>
                <w:sz w:val="24"/>
              </w:rPr>
              <w:t xml:space="preserve">接口一个，网络接口一个，低压学生电源一组等。</w:t>
            </w:r>
            <w:r>
              <w:rPr>
                <w:rFonts w:hint="eastAsia"/>
                <w:sz w:val="24"/>
              </w:rPr>
              <w:br/>
              <w:t xml:space="preserve">3.1.</w:t>
            </w:r>
            <w:r>
              <w:rPr>
                <w:rFonts w:hint="eastAsia"/>
                <w:sz w:val="24"/>
              </w:rPr>
              <w:t xml:space="preserve">面板采用亚克力面板，电容感应按钮开关，微电脑控制；</w:t>
            </w:r>
            <w:r>
              <w:rPr>
                <w:rFonts w:hint="eastAsia"/>
                <w:sz w:val="24"/>
              </w:rPr>
              <w:br/>
              <w:t xml:space="preserve">3.2.</w:t>
            </w:r>
            <w:r>
              <w:rPr>
                <w:rFonts w:hint="eastAsia"/>
                <w:sz w:val="24"/>
              </w:rPr>
              <w:t xml:space="preserve">输入电压：</w:t>
            </w:r>
            <w:r>
              <w:rPr>
                <w:rFonts w:hint="eastAsia"/>
                <w:sz w:val="24"/>
              </w:rPr>
              <w:t xml:space="preserve">220v</w:t>
            </w:r>
            <w:r>
              <w:rPr>
                <w:rFonts w:hint="eastAsia"/>
                <w:sz w:val="24"/>
              </w:rPr>
              <w:t xml:space="preserve">±</w:t>
            </w:r>
            <w:r>
              <w:rPr>
                <w:rFonts w:hint="eastAsia"/>
                <w:sz w:val="24"/>
              </w:rPr>
              <w:t xml:space="preserve">10%</w:t>
            </w:r>
            <w:r>
              <w:rPr>
                <w:rFonts w:hint="eastAsia"/>
                <w:sz w:val="24"/>
              </w:rPr>
              <w:t xml:space="preserve">；</w:t>
            </w:r>
            <w:r>
              <w:rPr>
                <w:rFonts w:hint="eastAsia"/>
                <w:sz w:val="24"/>
              </w:rPr>
              <w:br/>
              <w:t xml:space="preserve">3.3.</w:t>
            </w:r>
            <w:r>
              <w:rPr>
                <w:rFonts w:hint="eastAsia"/>
                <w:sz w:val="24"/>
              </w:rPr>
              <w:t xml:space="preserve">低压学生电源：接收教师总控电源设定交直流电压，限定交直流输出时，学生端交直流不可互换，教师限定电压值时，学生仅能在范围内调节，解除限定后可由学生端自由设定；</w:t>
            </w:r>
            <w:r>
              <w:rPr>
                <w:rFonts w:hint="eastAsia"/>
                <w:sz w:val="24"/>
              </w:rPr>
              <w:br/>
              <w:t xml:space="preserve">3.4.</w:t>
            </w:r>
            <w:r>
              <w:rPr>
                <w:rFonts w:hint="eastAsia"/>
                <w:sz w:val="24"/>
              </w:rPr>
              <w:t xml:space="preserve">交流输出：</w:t>
            </w:r>
            <w:r>
              <w:rPr>
                <w:rFonts w:hint="eastAsia"/>
                <w:sz w:val="24"/>
              </w:rPr>
              <w:t xml:space="preserve">0-24V</w:t>
            </w:r>
            <w:r>
              <w:rPr>
                <w:rFonts w:hint="eastAsia"/>
                <w:sz w:val="24"/>
              </w:rPr>
              <w:t xml:space="preserve">，</w:t>
            </w:r>
            <w:r>
              <w:rPr>
                <w:rFonts w:hint="eastAsia"/>
                <w:sz w:val="24"/>
              </w:rPr>
              <w:t xml:space="preserve">0.1V</w:t>
            </w:r>
            <w:r>
              <w:rPr>
                <w:rFonts w:hint="eastAsia"/>
                <w:sz w:val="24"/>
              </w:rPr>
              <w:t xml:space="preserve">一档连续可调，额定电流</w:t>
            </w:r>
            <w:r>
              <w:rPr>
                <w:rFonts w:hint="eastAsia"/>
                <w:sz w:val="24"/>
              </w:rPr>
              <w:t xml:space="preserve">0-24V</w:t>
            </w:r>
            <w:r>
              <w:rPr>
                <w:rFonts w:hint="eastAsia"/>
                <w:sz w:val="24"/>
              </w:rPr>
              <w:t xml:space="preserve">，</w:t>
            </w:r>
            <w:r>
              <w:rPr>
                <w:rFonts w:hint="eastAsia"/>
                <w:sz w:val="24"/>
              </w:rPr>
              <w:t xml:space="preserve">2A</w:t>
            </w:r>
            <w:r>
              <w:rPr>
                <w:rFonts w:hint="eastAsia"/>
                <w:sz w:val="24"/>
              </w:rPr>
              <w:t xml:space="preserve">，最大可输出</w:t>
            </w:r>
            <w:r>
              <w:rPr>
                <w:rFonts w:hint="eastAsia"/>
                <w:sz w:val="24"/>
              </w:rPr>
              <w:t xml:space="preserve">3A,</w:t>
            </w:r>
            <w:r>
              <w:rPr>
                <w:rFonts w:hint="eastAsia"/>
                <w:sz w:val="24"/>
              </w:rPr>
              <w:t xml:space="preserve">可设置</w:t>
            </w:r>
            <w:r>
              <w:rPr>
                <w:rFonts w:hint="eastAsia"/>
                <w:sz w:val="24"/>
              </w:rPr>
              <w:t xml:space="preserve">0-3A</w:t>
            </w:r>
            <w:r>
              <w:rPr>
                <w:rFonts w:hint="eastAsia"/>
                <w:sz w:val="24"/>
              </w:rPr>
              <w:t xml:space="preserve">恒流输出，数字电压电流表实时显示，精度正负</w:t>
            </w:r>
            <w:r>
              <w:rPr>
                <w:rFonts w:hint="eastAsia"/>
                <w:sz w:val="24"/>
              </w:rPr>
              <w:t xml:space="preserve">0.1V</w:t>
            </w:r>
            <w:r>
              <w:rPr>
                <w:rFonts w:hint="eastAsia"/>
                <w:sz w:val="24"/>
              </w:rPr>
              <w:t xml:space="preserve">，具有智能过载保护功能。</w:t>
            </w:r>
            <w:r>
              <w:rPr>
                <w:rFonts w:hint="eastAsia"/>
                <w:sz w:val="24"/>
              </w:rPr>
              <w:br/>
              <w:t xml:space="preserve">3.5.</w:t>
            </w:r>
            <w:r>
              <w:rPr>
                <w:rFonts w:hint="eastAsia"/>
                <w:sz w:val="24"/>
              </w:rPr>
              <w:t xml:space="preserve">直流输出：</w:t>
            </w:r>
            <w:r>
              <w:rPr>
                <w:rFonts w:hint="eastAsia"/>
                <w:sz w:val="24"/>
              </w:rPr>
              <w:t xml:space="preserve">0-24V</w:t>
            </w:r>
            <w:r>
              <w:rPr>
                <w:rFonts w:hint="eastAsia"/>
                <w:sz w:val="24"/>
              </w:rPr>
              <w:t xml:space="preserve">，</w:t>
            </w:r>
            <w:r>
              <w:rPr>
                <w:rFonts w:hint="eastAsia"/>
                <w:sz w:val="24"/>
              </w:rPr>
              <w:t xml:space="preserve">0.1V</w:t>
            </w:r>
            <w:r>
              <w:rPr>
                <w:rFonts w:hint="eastAsia"/>
                <w:sz w:val="24"/>
              </w:rPr>
              <w:t xml:space="preserve">一档连续可调，额定电流</w:t>
            </w:r>
            <w:r>
              <w:rPr>
                <w:rFonts w:hint="eastAsia"/>
                <w:sz w:val="24"/>
              </w:rPr>
              <w:t xml:space="preserve">0-24V</w:t>
            </w:r>
            <w:r>
              <w:rPr>
                <w:rFonts w:hint="eastAsia"/>
                <w:sz w:val="24"/>
              </w:rPr>
              <w:t xml:space="preserve">，</w:t>
            </w:r>
            <w:r>
              <w:rPr>
                <w:rFonts w:hint="eastAsia"/>
                <w:sz w:val="24"/>
              </w:rPr>
              <w:t xml:space="preserve">2A</w:t>
            </w:r>
            <w:r>
              <w:rPr>
                <w:rFonts w:hint="eastAsia"/>
                <w:sz w:val="24"/>
              </w:rPr>
              <w:t xml:space="preserve">，最大可输出</w:t>
            </w:r>
            <w:r>
              <w:rPr>
                <w:rFonts w:hint="eastAsia"/>
                <w:sz w:val="24"/>
              </w:rPr>
              <w:t xml:space="preserve">3A,</w:t>
            </w:r>
            <w:r>
              <w:rPr>
                <w:rFonts w:hint="eastAsia"/>
                <w:sz w:val="24"/>
              </w:rPr>
              <w:t xml:space="preserve">可设置</w:t>
            </w:r>
            <w:r>
              <w:rPr>
                <w:rFonts w:hint="eastAsia"/>
                <w:sz w:val="24"/>
              </w:rPr>
              <w:t xml:space="preserve">0-3A</w:t>
            </w:r>
            <w:r>
              <w:rPr>
                <w:rFonts w:hint="eastAsia"/>
                <w:sz w:val="24"/>
              </w:rPr>
              <w:t xml:space="preserve">恒流输出，数字电压电流表实时显示，精度正负</w:t>
            </w:r>
            <w:r>
              <w:rPr>
                <w:rFonts w:hint="eastAsia"/>
                <w:sz w:val="24"/>
              </w:rPr>
              <w:t xml:space="preserve">0.1V</w:t>
            </w:r>
            <w:r>
              <w:rPr>
                <w:rFonts w:hint="eastAsia"/>
                <w:sz w:val="24"/>
              </w:rPr>
              <w:t xml:space="preserve">，具有智能过载保护功能。</w:t>
            </w:r>
            <w:r>
              <w:rPr>
                <w:rFonts w:hint="eastAsia"/>
                <w:sz w:val="24"/>
              </w:rPr>
              <w:br/>
              <w:t xml:space="preserve">4.USB</w:t>
            </w:r>
            <w:r>
              <w:rPr>
                <w:rFonts w:hint="eastAsia"/>
                <w:sz w:val="24"/>
              </w:rPr>
              <w:t xml:space="preserve">接口：额定输出</w:t>
            </w:r>
            <w:r>
              <w:rPr>
                <w:rFonts w:hint="eastAsia"/>
                <w:sz w:val="24"/>
              </w:rPr>
              <w:t xml:space="preserve">5V,2A</w:t>
            </w:r>
            <w:r>
              <w:rPr>
                <w:rFonts w:hint="eastAsia"/>
                <w:sz w:val="24"/>
              </w:rPr>
              <w:t xml:space="preserve">，最大可输出</w:t>
            </w:r>
            <w:r>
              <w:rPr>
                <w:rFonts w:hint="eastAsia"/>
                <w:sz w:val="24"/>
              </w:rPr>
              <w:t xml:space="preserve">3A</w:t>
            </w:r>
            <w:r>
              <w:rPr>
                <w:rFonts w:hint="eastAsia"/>
                <w:sz w:val="24"/>
              </w:rPr>
              <w:t xml:space="preserve">。</w:t>
            </w:r>
            <w:r>
              <w:rPr>
                <w:rFonts w:hint="eastAsia"/>
                <w:sz w:val="24"/>
              </w:rPr>
              <w:br/>
              <w:t xml:space="preserve">5.</w:t>
            </w:r>
            <w:r>
              <w:rPr>
                <w:rFonts w:hint="eastAsia"/>
                <w:sz w:val="24"/>
              </w:rPr>
              <w:t xml:space="preserve">使用环境：温度</w:t>
            </w:r>
            <w:r>
              <w:rPr>
                <w:rFonts w:hint="eastAsia"/>
                <w:sz w:val="24"/>
              </w:rPr>
              <w:t xml:space="preserve">0-40</w:t>
            </w:r>
            <w:r>
              <w:rPr>
                <w:rFonts w:hint="eastAsia"/>
                <w:sz w:val="24"/>
              </w:rPr>
              <w:t xml:space="preserve">℃，湿度</w:t>
            </w:r>
            <w:r>
              <w:rPr>
                <w:rFonts w:hint="eastAsia"/>
                <w:sz w:val="24"/>
              </w:rPr>
              <w:t xml:space="preserve">&lt;90%</w:t>
            </w:r>
            <w:r>
              <w:rPr>
                <w:rFonts w:hint="eastAsia"/>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系统工程</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室内地上配电安装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sz w:val="24"/>
              </w:rPr>
            </w:pPr>
            <w:r>
              <w:rPr>
                <w:rFonts w:hint="eastAsia"/>
                <w:sz w:val="24"/>
              </w:rPr>
              <w:t xml:space="preserve">地上采用铝塑护套管，有效固定，电源接线。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3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陶瓷面防静电活动地板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产品规格：不低于</w:t>
            </w:r>
            <w:r>
              <w:rPr>
                <w:rFonts w:hint="eastAsia"/>
                <w:sz w:val="24"/>
              </w:rPr>
              <w:t xml:space="preserve">602*602*40mm</w:t>
            </w:r>
            <w:r>
              <w:rPr>
                <w:rFonts w:hint="eastAsia"/>
                <w:sz w:val="24"/>
              </w:rPr>
              <w:br/>
            </w:r>
            <w:r>
              <w:rPr>
                <w:rFonts w:hint="eastAsia"/>
                <w:sz w:val="24"/>
              </w:rPr>
              <w:t xml:space="preserve">钢板厚度：上</w:t>
            </w:r>
            <w:r>
              <w:rPr>
                <w:rFonts w:hint="eastAsia"/>
                <w:sz w:val="24"/>
              </w:rPr>
              <w:t xml:space="preserve">≥</w:t>
            </w:r>
            <w:r>
              <w:rPr>
                <w:rFonts w:hint="eastAsia"/>
                <w:sz w:val="24"/>
              </w:rPr>
              <w:t xml:space="preserve">0.65mm</w:t>
            </w:r>
            <w:r>
              <w:rPr>
                <w:rFonts w:hint="eastAsia"/>
                <w:sz w:val="24"/>
              </w:rPr>
              <w:t xml:space="preserve">下</w:t>
            </w:r>
            <w:r>
              <w:rPr>
                <w:rFonts w:hint="eastAsia"/>
                <w:sz w:val="24"/>
              </w:rPr>
              <w:t xml:space="preserve">≥</w:t>
            </w:r>
            <w:r>
              <w:rPr>
                <w:rFonts w:hint="eastAsia"/>
                <w:sz w:val="24"/>
              </w:rPr>
              <w:t xml:space="preserve">0.65mm</w:t>
            </w:r>
            <w:r>
              <w:rPr>
                <w:rFonts w:hint="eastAsia"/>
                <w:sz w:val="24"/>
              </w:rPr>
              <w:br/>
            </w:r>
            <w:r>
              <w:rPr>
                <w:rFonts w:hint="eastAsia"/>
                <w:sz w:val="24"/>
              </w:rPr>
              <w:t xml:space="preserve">填充材料：高强度发泡水泥</w:t>
            </w:r>
            <w:r>
              <w:rPr>
                <w:rFonts w:hint="eastAsia"/>
                <w:sz w:val="24"/>
              </w:rPr>
              <w:br/>
            </w:r>
            <w:r>
              <w:rPr>
                <w:rFonts w:hint="eastAsia"/>
                <w:sz w:val="24"/>
              </w:rPr>
              <w:t xml:space="preserve">地板贴面：</w:t>
            </w:r>
            <w:r>
              <w:rPr>
                <w:rFonts w:hint="eastAsia"/>
                <w:sz w:val="24"/>
              </w:rPr>
              <w:t xml:space="preserve">10mm</w:t>
            </w:r>
            <w:r>
              <w:rPr>
                <w:rFonts w:hint="eastAsia"/>
                <w:sz w:val="24"/>
              </w:rPr>
              <w:t xml:space="preserve">防静电瓷砖面</w:t>
            </w:r>
            <w:r>
              <w:rPr>
                <w:rFonts w:hint="eastAsia"/>
                <w:sz w:val="24"/>
              </w:rPr>
              <w:br/>
            </w:r>
            <w:r>
              <w:rPr>
                <w:rFonts w:hint="eastAsia"/>
                <w:sz w:val="24"/>
              </w:rPr>
              <w:t xml:space="preserve">系统电阻：</w:t>
            </w:r>
            <w:r>
              <w:rPr>
                <w:rFonts w:hint="eastAsia"/>
                <w:sz w:val="24"/>
              </w:rPr>
              <w:t xml:space="preserve">1*106</w:t>
            </w:r>
            <w:r>
              <w:rPr>
                <w:rFonts w:hint="eastAsia"/>
                <w:sz w:val="24"/>
              </w:rPr>
              <w:t xml:space="preserve">Ω</w:t>
            </w:r>
            <w:r>
              <w:rPr>
                <w:rFonts w:hint="eastAsia"/>
                <w:sz w:val="24"/>
              </w:rPr>
              <w:t xml:space="preserve">-1*109</w:t>
            </w:r>
            <w:r>
              <w:rPr>
                <w:rFonts w:hint="eastAsia"/>
                <w:sz w:val="24"/>
              </w:rPr>
              <w:t xml:space="preserve">Ω</w:t>
            </w:r>
            <w:r>
              <w:rPr>
                <w:rFonts w:hint="eastAsia"/>
                <w:sz w:val="24"/>
              </w:rPr>
              <w:br/>
            </w:r>
            <w:r>
              <w:rPr>
                <w:rFonts w:hint="eastAsia"/>
                <w:sz w:val="24"/>
              </w:rPr>
              <w:t xml:space="preserve">集中载荷：≥</w:t>
            </w:r>
            <w:r>
              <w:rPr>
                <w:rFonts w:hint="eastAsia"/>
                <w:sz w:val="24"/>
              </w:rPr>
              <w:t xml:space="preserve">2300N</w:t>
            </w:r>
            <w:r>
              <w:rPr>
                <w:rFonts w:hint="eastAsia"/>
                <w:sz w:val="24"/>
              </w:rPr>
              <w:br/>
            </w:r>
            <w:r>
              <w:rPr>
                <w:rFonts w:hint="eastAsia"/>
                <w:sz w:val="24"/>
              </w:rPr>
              <w:t xml:space="preserve">均布载荷：≥</w:t>
            </w:r>
            <w:r>
              <w:rPr>
                <w:rFonts w:hint="eastAsia"/>
                <w:sz w:val="24"/>
              </w:rPr>
              <w:t xml:space="preserve">16000N</w:t>
            </w:r>
            <w:r>
              <w:rPr>
                <w:rFonts w:hint="eastAsia"/>
                <w:sz w:val="24"/>
              </w:rPr>
              <w:br/>
            </w:r>
            <w:r>
              <w:rPr>
                <w:rFonts w:hint="eastAsia"/>
                <w:sz w:val="24"/>
              </w:rPr>
              <w:t xml:space="preserve">冲击载荷：≥</w:t>
            </w:r>
            <w:r>
              <w:rPr>
                <w:rFonts w:hint="eastAsia"/>
                <w:sz w:val="24"/>
              </w:rPr>
              <w:t xml:space="preserve">3000N</w:t>
            </w:r>
            <w:r>
              <w:rPr>
                <w:rFonts w:hint="eastAsia"/>
                <w:sz w:val="24"/>
              </w:rPr>
              <w:br/>
            </w:r>
            <w:r>
              <w:rPr>
                <w:rFonts w:hint="eastAsia"/>
                <w:sz w:val="24"/>
              </w:rPr>
              <w:t xml:space="preserve">滚动载荷：≥</w:t>
            </w:r>
            <w:r>
              <w:rPr>
                <w:rFonts w:hint="eastAsia"/>
                <w:sz w:val="24"/>
              </w:rPr>
              <w:t xml:space="preserve">13500N</w:t>
            </w:r>
            <w:r>
              <w:rPr>
                <w:rFonts w:hint="eastAsia"/>
                <w:sz w:val="24"/>
              </w:rPr>
              <w:br/>
            </w:r>
            <w:r>
              <w:rPr>
                <w:rFonts w:hint="eastAsia"/>
                <w:sz w:val="24"/>
              </w:rPr>
              <w:t xml:space="preserve">防火性能：</w:t>
            </w:r>
            <w:r>
              <w:rPr>
                <w:rFonts w:hint="eastAsia"/>
                <w:sz w:val="24"/>
              </w:rPr>
              <w:t xml:space="preserve">A</w:t>
            </w:r>
            <w:r>
              <w:rPr>
                <w:rFonts w:hint="eastAsia"/>
                <w:sz w:val="24"/>
              </w:rPr>
              <w:t xml:space="preserve">级</w:t>
            </w:r>
            <w:r>
              <w:rPr>
                <w:rFonts w:hint="eastAsia"/>
                <w:sz w:val="24"/>
              </w:rPr>
              <w:br/>
            </w:r>
            <w:r>
              <w:rPr>
                <w:rFonts w:hint="eastAsia"/>
                <w:sz w:val="24"/>
              </w:rPr>
              <w:t xml:space="preserve">支撑系统：</w:t>
            </w:r>
            <w:r>
              <w:rPr>
                <w:rFonts w:hint="eastAsia"/>
                <w:sz w:val="24"/>
              </w:rPr>
              <w:br/>
            </w:r>
            <w:r>
              <w:rPr>
                <w:rFonts w:hint="eastAsia"/>
                <w:sz w:val="24"/>
              </w:rPr>
              <w:t xml:space="preserve">支架：</w:t>
            </w:r>
            <w:r>
              <w:rPr>
                <w:rFonts w:hint="eastAsia"/>
                <w:sz w:val="24"/>
              </w:rPr>
              <w:t xml:space="preserve"> </w:t>
            </w:r>
            <w:r>
              <w:rPr>
                <w:rFonts w:hint="eastAsia"/>
                <w:sz w:val="24"/>
              </w:rPr>
              <w:t xml:space="preserve">由上托、螺杆、管柱、底座组成。管柱和底座为高强度铸铁或优质钢材，厚度≥</w:t>
            </w:r>
            <w:r>
              <w:rPr>
                <w:rFonts w:hint="eastAsia"/>
                <w:sz w:val="24"/>
              </w:rPr>
              <w:t xml:space="preserve">2.0mm</w:t>
            </w:r>
            <w:r>
              <w:rPr>
                <w:rFonts w:hint="eastAsia"/>
                <w:sz w:val="24"/>
              </w:rPr>
              <w:t xml:space="preserve">。并能实现不小于±</w:t>
            </w:r>
            <w:r>
              <w:rPr>
                <w:rFonts w:hint="eastAsia"/>
                <w:sz w:val="24"/>
              </w:rPr>
              <w:t xml:space="preserve">20mm</w:t>
            </w:r>
            <w:r>
              <w:rPr>
                <w:rFonts w:hint="eastAsia"/>
                <w:sz w:val="24"/>
              </w:rPr>
              <w:t xml:space="preserve">的高度调节范围，以适应地面不平整。</w:t>
            </w:r>
            <w:r>
              <w:rPr>
                <w:rFonts w:hint="eastAsia"/>
                <w:sz w:val="24"/>
              </w:rPr>
              <w:br/>
            </w:r>
            <w:r>
              <w:rPr>
                <w:rFonts w:hint="eastAsia"/>
                <w:sz w:val="24"/>
              </w:rPr>
              <w:t xml:space="preserve">横梁：</w:t>
            </w:r>
            <w:r>
              <w:rPr>
                <w:rFonts w:hint="eastAsia"/>
                <w:sz w:val="24"/>
              </w:rPr>
              <w:t xml:space="preserve"> </w:t>
            </w:r>
            <w:r>
              <w:rPr>
                <w:rFonts w:hint="eastAsia"/>
                <w:sz w:val="24"/>
              </w:rPr>
              <w:t xml:space="preserve">优质冷轧钢板制造，表面镀锌防锈。</w:t>
            </w:r>
            <w:r>
              <w:rPr>
                <w:rFonts w:hint="eastAsia"/>
                <w:sz w:val="24"/>
              </w:rPr>
              <w:br/>
            </w:r>
            <w:r>
              <w:rPr>
                <w:rFonts w:hint="eastAsia"/>
                <w:sz w:val="24"/>
              </w:rPr>
              <w:t xml:space="preserve">防腐处理：</w:t>
            </w:r>
            <w:r>
              <w:rPr>
                <w:rFonts w:hint="eastAsia"/>
                <w:sz w:val="24"/>
              </w:rPr>
              <w:t xml:space="preserve"> </w:t>
            </w:r>
            <w:r>
              <w:rPr>
                <w:rFonts w:hint="eastAsia"/>
                <w:sz w:val="24"/>
              </w:rPr>
              <w:t xml:space="preserve">所有金属支撑部件必须经过镀锌或更高标准的防锈、防腐处理，以适应实验室环境。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80</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学科专业知识窗帘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规格：（可以根据学校具体情况调整）加厚、遮光在窗帘上喷绘介绍学科知识，集教学、观赏为一体。</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rPr>
                <w:rFonts w:hint="eastAsia"/>
                <w:sz w:val="24"/>
              </w:rPr>
              <w:t xml:space="preserve">物理实验室</w:t>
            </w:r>
            <w:r>
              <w:rPr>
                <w:rFonts w:hint="eastAsia"/>
                <w:sz w:val="24"/>
              </w:rPr>
              <w:t xml:space="preserve">2</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教师演示控制</w:t>
            </w:r>
            <w:r/>
          </w:p>
        </w:tc>
      </w:tr>
      <w:tr>
        <w:trPr>
          <w:trHeight w:val="310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w:t>
            </w:r>
            <w:r>
              <w:rPr>
                <w:rFonts w:hint="eastAsia"/>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参考规格：</w:t>
            </w:r>
            <w:r>
              <w:rPr>
                <w:rFonts w:hint="eastAsia"/>
                <w:sz w:val="24"/>
              </w:rPr>
              <w:t xml:space="preserve">2400*700*900mm</w:t>
            </w:r>
            <w:r>
              <w:rPr>
                <w:rFonts w:hint="eastAsia"/>
                <w:sz w:val="24"/>
              </w:rPr>
              <w:br/>
            </w:r>
            <w:r>
              <w:rPr>
                <w:rFonts w:hint="eastAsia"/>
                <w:sz w:val="24"/>
              </w:rPr>
              <w:br/>
            </w:r>
            <w:r>
              <w:rPr>
                <w:rFonts w:hint="eastAsia"/>
                <w:sz w:val="24"/>
              </w:rPr>
              <w:t xml:space="preserve">▲</w:t>
            </w:r>
            <w:r>
              <w:rPr>
                <w:rFonts w:hint="eastAsia"/>
                <w:sz w:val="24"/>
              </w:rPr>
              <w:t xml:space="preserve">1.</w:t>
            </w:r>
            <w:r>
              <w:rPr>
                <w:rFonts w:hint="eastAsia"/>
                <w:sz w:val="24"/>
              </w:rPr>
              <w:t xml:space="preserve">台面：采用≥</w:t>
            </w:r>
            <w:r>
              <w:rPr>
                <w:rFonts w:hint="eastAsia"/>
                <w:sz w:val="24"/>
              </w:rPr>
              <w:t xml:space="preserve">12.7mm</w:t>
            </w:r>
            <w:r>
              <w:rPr>
                <w:rFonts w:hint="eastAsia"/>
                <w:sz w:val="24"/>
              </w:rPr>
              <w:t xml:space="preserve">厚双面膜耐腐蚀实芯理化板制作，四角倒</w:t>
            </w:r>
            <w:r>
              <w:rPr>
                <w:rFonts w:hint="eastAsia"/>
                <w:sz w:val="24"/>
              </w:rPr>
              <w:t xml:space="preserve">R15</w:t>
            </w:r>
            <w:r>
              <w:rPr>
                <w:rFonts w:hint="eastAsia"/>
                <w:sz w:val="24"/>
              </w:rPr>
              <w:t xml:space="preserve">圆角。</w:t>
            </w:r>
            <w:r>
              <w:rPr>
                <w:rFonts w:hint="eastAsia"/>
                <w:sz w:val="24"/>
              </w:rPr>
              <w:br/>
            </w:r>
            <w:r>
              <w:rPr>
                <w:rFonts w:hint="eastAsia"/>
                <w:sz w:val="24"/>
              </w:rPr>
              <w:t xml:space="preserve">★</w:t>
            </w:r>
            <w:r>
              <w:rPr>
                <w:rFonts w:hint="eastAsia"/>
                <w:sz w:val="24"/>
              </w:rPr>
              <w:t xml:space="preserve">2.</w:t>
            </w:r>
            <w:r>
              <w:rPr>
                <w:rFonts w:hint="eastAsia"/>
                <w:sz w:val="24"/>
              </w:rPr>
              <w:t xml:space="preserve">柜体：全钢结构，采用≥</w:t>
            </w:r>
            <w:r>
              <w:rPr>
                <w:rFonts w:hint="eastAsia"/>
                <w:sz w:val="24"/>
              </w:rPr>
              <w:t xml:space="preserve">1.0mm</w:t>
            </w:r>
            <w:r>
              <w:rPr>
                <w:rFonts w:hint="eastAsia"/>
                <w:sz w:val="24"/>
              </w:rPr>
              <w:t xml:space="preserve">高强度镀锌钢板，切割折弯成型，组件焊接工艺，打磨平整，表面经环氧树脂喷涂处理；</w:t>
            </w:r>
            <w:r>
              <w:rPr>
                <w:rFonts w:hint="eastAsia"/>
                <w:sz w:val="24"/>
              </w:rPr>
              <w:br/>
              <w:t xml:space="preserve">3.</w:t>
            </w:r>
            <w:r>
              <w:rPr>
                <w:rFonts w:hint="eastAsia"/>
                <w:sz w:val="24"/>
              </w:rPr>
              <w:t xml:space="preserve">整体结构设计合理，预留教师电源安装位置；</w:t>
            </w:r>
            <w:r>
              <w:rPr>
                <w:rFonts w:hint="eastAsia"/>
                <w:sz w:val="24"/>
              </w:rPr>
              <w:br/>
              <w:t xml:space="preserve">4.</w:t>
            </w:r>
            <w:r>
              <w:rPr>
                <w:rFonts w:hint="eastAsia"/>
                <w:sz w:val="24"/>
              </w:rPr>
              <w:t xml:space="preserve">门板及抽面：采用双层结构，组装式设计，保证双层钢板双面都喷涂处理。</w:t>
            </w:r>
            <w:r>
              <w:rPr>
                <w:rFonts w:hint="eastAsia"/>
                <w:sz w:val="24"/>
              </w:rPr>
              <w:br/>
              <w:t xml:space="preserve">5.</w:t>
            </w:r>
            <w:r>
              <w:rPr>
                <w:rFonts w:hint="eastAsia"/>
                <w:sz w:val="24"/>
              </w:rPr>
              <w:t xml:space="preserve">防撞胶垫：装于抽屉及门板内侧，减缓碰撞，保护柜体。</w:t>
            </w:r>
            <w:r>
              <w:rPr>
                <w:rFonts w:hint="eastAsia"/>
                <w:sz w:val="24"/>
              </w:rPr>
              <w:br/>
              <w:t xml:space="preserve">6.</w:t>
            </w:r>
            <w:r>
              <w:rPr>
                <w:rFonts w:hint="eastAsia"/>
                <w:sz w:val="24"/>
              </w:rPr>
              <w:t xml:space="preserve">不锈钢防腐合页：采用优质不锈钢模具一体成型。</w:t>
            </w:r>
            <w:r>
              <w:rPr>
                <w:rFonts w:hint="eastAsia"/>
                <w:sz w:val="24"/>
              </w:rPr>
              <w:br/>
              <w:t xml:space="preserve">7.</w:t>
            </w:r>
            <w:r>
              <w:rPr>
                <w:rFonts w:hint="eastAsia"/>
                <w:sz w:val="24"/>
              </w:rPr>
              <w:t xml:space="preserve">防腐三节静音导轨：三节滚珠滑轨，承重性强，滑动顺滑。</w:t>
            </w:r>
            <w:r>
              <w:rPr>
                <w:rFonts w:hint="eastAsia"/>
                <w:sz w:val="24"/>
              </w:rPr>
              <w:br/>
              <w:t xml:space="preserve">8.</w:t>
            </w:r>
            <w:r>
              <w:rPr>
                <w:rFonts w:hint="eastAsia"/>
                <w:sz w:val="24"/>
              </w:rPr>
              <w:t xml:space="preserve">固定桌脚：采用柜体内置可调</w:t>
            </w:r>
            <w:r>
              <w:rPr>
                <w:rFonts w:hint="eastAsia"/>
                <w:sz w:val="24"/>
              </w:rPr>
              <w:t xml:space="preserve">ABS</w:t>
            </w:r>
            <w:r>
              <w:rPr>
                <w:rFonts w:hint="eastAsia"/>
                <w:sz w:val="24"/>
              </w:rPr>
              <w:t xml:space="preserve">调整脚，保证调整脚前后都可以调节高低。</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196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教师总控电源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装置在主控台组合柜内，采用耐磨、耐腐蚀的</w:t>
            </w:r>
            <w:r>
              <w:rPr>
                <w:rFonts w:hint="eastAsia"/>
                <w:sz w:val="24"/>
              </w:rPr>
              <w:t xml:space="preserve">PVC</w:t>
            </w:r>
            <w:r>
              <w:rPr>
                <w:rFonts w:hint="eastAsia"/>
                <w:sz w:val="24"/>
              </w:rPr>
              <w:t xml:space="preserve">薄膜面板，优质元器件，轻触按钮开关。</w:t>
            </w:r>
            <w:r>
              <w:rPr>
                <w:rFonts w:hint="eastAsia"/>
                <w:sz w:val="24"/>
              </w:rPr>
              <w:br/>
              <w:t xml:space="preserve">2.</w:t>
            </w:r>
            <w:r>
              <w:rPr>
                <w:rFonts w:hint="eastAsia"/>
                <w:sz w:val="24"/>
              </w:rPr>
              <w:t xml:space="preserve">输入电压：</w:t>
            </w:r>
            <w:r>
              <w:rPr>
                <w:rFonts w:hint="eastAsia"/>
                <w:sz w:val="24"/>
              </w:rPr>
              <w:t xml:space="preserve">220v</w:t>
            </w:r>
            <w:r>
              <w:rPr>
                <w:rFonts w:hint="eastAsia"/>
                <w:sz w:val="24"/>
              </w:rPr>
              <w:t xml:space="preserve">±</w:t>
            </w:r>
            <w:r>
              <w:rPr>
                <w:rFonts w:hint="eastAsia"/>
                <w:sz w:val="24"/>
              </w:rPr>
              <w:t xml:space="preserve">10%</w:t>
            </w:r>
            <w:r>
              <w:rPr>
                <w:rFonts w:hint="eastAsia"/>
                <w:sz w:val="24"/>
              </w:rPr>
              <w:t xml:space="preserve">；</w:t>
            </w:r>
            <w:r>
              <w:rPr>
                <w:rFonts w:hint="eastAsia"/>
                <w:sz w:val="24"/>
              </w:rPr>
              <w:br/>
              <w:t xml:space="preserve">3.</w:t>
            </w:r>
            <w:r>
              <w:rPr>
                <w:rFonts w:hint="eastAsia"/>
                <w:sz w:val="24"/>
              </w:rPr>
              <w:t xml:space="preserve">内装有教师演示电源及主控电源装置，教师能对实验室进行总体及分组控制：</w:t>
            </w:r>
            <w:r>
              <w:rPr>
                <w:rFonts w:hint="eastAsia"/>
                <w:sz w:val="24"/>
              </w:rPr>
              <w:br/>
              <w:t xml:space="preserve">4.220V</w:t>
            </w:r>
            <w:r>
              <w:rPr>
                <w:rFonts w:hint="eastAsia"/>
                <w:sz w:val="24"/>
              </w:rPr>
              <w:t xml:space="preserve">电源输出，电源总开关、漏电保护开关、工作指示灯、</w:t>
            </w:r>
            <w:r>
              <w:rPr>
                <w:rFonts w:hint="eastAsia"/>
                <w:sz w:val="24"/>
              </w:rPr>
              <w:t xml:space="preserve">220V</w:t>
            </w:r>
            <w:r>
              <w:rPr>
                <w:rFonts w:hint="eastAsia"/>
                <w:sz w:val="24"/>
              </w:rPr>
              <w:t xml:space="preserve">交流输出多用插座，数码实时显示电压电流值；电压表精度</w:t>
            </w:r>
            <w:r>
              <w:rPr>
                <w:rFonts w:hint="eastAsia"/>
                <w:sz w:val="24"/>
              </w:rPr>
              <w:t xml:space="preserve">1%</w:t>
            </w:r>
            <w:r>
              <w:rPr>
                <w:rFonts w:hint="eastAsia"/>
                <w:sz w:val="24"/>
              </w:rPr>
              <w:t xml:space="preserve">，电流表精度</w:t>
            </w:r>
            <w:r>
              <w:rPr>
                <w:rFonts w:hint="eastAsia"/>
                <w:sz w:val="24"/>
              </w:rPr>
              <w:t xml:space="preserve">1.5%</w:t>
            </w:r>
            <w:r>
              <w:rPr>
                <w:rFonts w:hint="eastAsia"/>
                <w:sz w:val="24"/>
              </w:rPr>
              <w:t xml:space="preserve">±</w:t>
            </w:r>
            <w:r>
              <w:rPr>
                <w:rFonts w:hint="eastAsia"/>
                <w:sz w:val="24"/>
              </w:rPr>
              <w:t xml:space="preserve">5</w:t>
            </w:r>
            <w:r>
              <w:rPr>
                <w:rFonts w:hint="eastAsia"/>
                <w:sz w:val="24"/>
              </w:rPr>
              <w:t xml:space="preserve">字；</w:t>
            </w:r>
            <w:r>
              <w:rPr>
                <w:rFonts w:hint="eastAsia"/>
                <w:sz w:val="24"/>
              </w:rPr>
              <w:br/>
              <w:t xml:space="preserve">5.</w:t>
            </w:r>
            <w:r>
              <w:rPr>
                <w:rFonts w:hint="eastAsia"/>
                <w:sz w:val="24"/>
              </w:rPr>
              <w:t xml:space="preserve">带老师、学生</w:t>
            </w:r>
            <w:r>
              <w:rPr>
                <w:rFonts w:hint="eastAsia"/>
                <w:sz w:val="24"/>
              </w:rPr>
              <w:t xml:space="preserve">220V</w:t>
            </w:r>
            <w:r>
              <w:rPr>
                <w:rFonts w:hint="eastAsia"/>
                <w:sz w:val="24"/>
              </w:rPr>
              <w:t xml:space="preserve">过载漏电保护。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学生实验操作及学习区</w:t>
            </w:r>
            <w:r/>
          </w:p>
        </w:tc>
      </w:tr>
      <w:tr>
        <w:trPr>
          <w:trHeight w:val="196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学生实验桌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参考规格：</w:t>
            </w:r>
            <w:r>
              <w:rPr>
                <w:rFonts w:hint="eastAsia"/>
                <w:sz w:val="24"/>
              </w:rPr>
              <w:t xml:space="preserve">1200*600*780/800mm</w:t>
            </w:r>
            <w:r>
              <w:rPr>
                <w:rFonts w:hint="eastAsia"/>
                <w:sz w:val="24"/>
              </w:rPr>
              <w:br/>
            </w:r>
            <w:r>
              <w:rPr>
                <w:rFonts w:hint="eastAsia"/>
                <w:sz w:val="24"/>
              </w:rPr>
              <w:t xml:space="preserve">▲</w:t>
            </w:r>
            <w:r>
              <w:rPr>
                <w:rFonts w:hint="eastAsia"/>
                <w:sz w:val="24"/>
              </w:rPr>
              <w:t xml:space="preserve">2.</w:t>
            </w:r>
            <w:r>
              <w:rPr>
                <w:rFonts w:hint="eastAsia"/>
                <w:sz w:val="24"/>
              </w:rPr>
              <w:t xml:space="preserve">台面：采用</w:t>
            </w:r>
            <w:r>
              <w:rPr>
                <w:rFonts w:hint="eastAsia"/>
                <w:sz w:val="24"/>
              </w:rPr>
              <w:t xml:space="preserve">12.7mm</w:t>
            </w:r>
            <w:r>
              <w:rPr>
                <w:rFonts w:hint="eastAsia"/>
                <w:sz w:val="24"/>
              </w:rPr>
              <w:t xml:space="preserve">实芯理化板，台面前端经机械打磨，圆角处理，后部根据桌架形状铣边镶入框架中，防止台面起翘、变形、脱落；</w:t>
            </w:r>
            <w:r>
              <w:rPr>
                <w:rFonts w:hint="eastAsia"/>
                <w:sz w:val="24"/>
              </w:rPr>
              <w:br/>
              <w:t xml:space="preserve">3.</w:t>
            </w:r>
            <w:r>
              <w:rPr>
                <w:rFonts w:hint="eastAsia"/>
                <w:sz w:val="24"/>
              </w:rPr>
              <w:t xml:space="preserve">结构：镂空设计。专用书包斗，中间设挂凳卡。</w:t>
            </w:r>
            <w:r>
              <w:rPr>
                <w:rFonts w:hint="eastAsia"/>
                <w:sz w:val="24"/>
              </w:rPr>
              <w:br/>
            </w:r>
            <w:r>
              <w:rPr>
                <w:rFonts w:hint="eastAsia"/>
                <w:sz w:val="24"/>
              </w:rPr>
              <w:t xml:space="preserve">★</w:t>
            </w:r>
            <w:r>
              <w:rPr>
                <w:rFonts w:hint="eastAsia"/>
                <w:sz w:val="24"/>
              </w:rPr>
              <w:t xml:space="preserve">4.</w:t>
            </w:r>
            <w:r>
              <w:rPr>
                <w:rFonts w:hint="eastAsia"/>
                <w:sz w:val="24"/>
              </w:rPr>
              <w:t xml:space="preserve">侧脚采用高强度合金或者钢制结构，要做到承重性能强和耐酸碱、耐腐蚀。</w:t>
            </w:r>
            <w:r>
              <w:rPr>
                <w:rFonts w:hint="eastAsia"/>
                <w:sz w:val="24"/>
              </w:rPr>
              <w:br/>
            </w:r>
            <w:r>
              <w:rPr>
                <w:rFonts w:hint="eastAsia"/>
                <w:sz w:val="24"/>
              </w:rPr>
              <w:t xml:space="preserve">★</w:t>
            </w:r>
            <w:r>
              <w:rPr>
                <w:rFonts w:hint="eastAsia"/>
                <w:sz w:val="24"/>
              </w:rPr>
              <w:t xml:space="preserve">5.</w:t>
            </w:r>
            <w:r>
              <w:rPr>
                <w:rFonts w:hint="eastAsia"/>
                <w:sz w:val="24"/>
              </w:rPr>
              <w:t xml:space="preserve">后档板、前后横梁、中间横梁全部采用高强度挤出合金或者钢制模具型材。</w:t>
            </w:r>
            <w:r>
              <w:rPr>
                <w:rFonts w:hint="eastAsia"/>
                <w:sz w:val="24"/>
              </w:rPr>
              <w:br/>
              <w:t xml:space="preserve">6. </w:t>
            </w:r>
            <w:r>
              <w:rPr>
                <w:rFonts w:hint="eastAsia"/>
                <w:sz w:val="24"/>
              </w:rPr>
              <w:t xml:space="preserve">桌侧脚：桌侧脚设置专用孔位与地面固定，并配有跟台面同色</w:t>
            </w:r>
            <w:r>
              <w:rPr>
                <w:rFonts w:hint="eastAsia"/>
                <w:sz w:val="24"/>
              </w:rPr>
              <w:t xml:space="preserve">ABS</w:t>
            </w:r>
            <w:r>
              <w:rPr>
                <w:rFonts w:hint="eastAsia"/>
                <w:sz w:val="24"/>
              </w:rPr>
              <w:t xml:space="preserve">脚套装饰盖。</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多功能柱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整体采用实验室专用</w:t>
            </w:r>
            <w:r>
              <w:rPr>
                <w:rFonts w:hint="eastAsia"/>
                <w:sz w:val="24"/>
              </w:rPr>
              <w:t xml:space="preserve">PP</w:t>
            </w:r>
            <w:r>
              <w:rPr>
                <w:rFonts w:hint="eastAsia"/>
                <w:sz w:val="24"/>
              </w:rPr>
              <w:t xml:space="preserve">材质，四周圆弧处理，前后二块拼接而成，可拆装，内部隐藏实验线管及通风管道，方便检修。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18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实验凳</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凳脚材质：</w:t>
            </w:r>
            <w:r>
              <w:rPr>
                <w:rFonts w:hint="eastAsia"/>
                <w:sz w:val="24"/>
              </w:rPr>
              <w:t xml:space="preserve">4</w:t>
            </w:r>
            <w:r>
              <w:rPr>
                <w:rFonts w:hint="eastAsia"/>
                <w:sz w:val="24"/>
              </w:rPr>
              <w:t xml:space="preserve">个凳脚采用≥</w:t>
            </w:r>
            <w:r>
              <w:rPr>
                <w:rFonts w:hint="eastAsia"/>
                <w:sz w:val="24"/>
              </w:rPr>
              <w:t xml:space="preserve">17</w:t>
            </w:r>
            <w:r>
              <w:rPr>
                <w:rFonts w:hint="eastAsia"/>
                <w:sz w:val="24"/>
              </w:rPr>
              <w:t xml:space="preserve">×</w:t>
            </w:r>
            <w:r>
              <w:rPr>
                <w:rFonts w:hint="eastAsia"/>
                <w:sz w:val="24"/>
              </w:rPr>
              <w:t xml:space="preserve">34</w:t>
            </w:r>
            <w:r>
              <w:rPr>
                <w:rFonts w:hint="eastAsia"/>
                <w:sz w:val="24"/>
              </w:rPr>
              <w:t xml:space="preserve">×</w:t>
            </w:r>
            <w:r>
              <w:rPr>
                <w:rFonts w:hint="eastAsia"/>
                <w:sz w:val="24"/>
              </w:rPr>
              <w:t xml:space="preserve">1.7mm </w:t>
            </w:r>
            <w:r>
              <w:rPr>
                <w:rFonts w:hint="eastAsia"/>
                <w:sz w:val="24"/>
              </w:rPr>
              <w:t xml:space="preserve">无缝钢管模具一次成型。全圆满焊接完成，结构牢固，经高温粉体烤漆处理，长时间使用也不会产生表面烤漆剥落现象，升降式。Ф凳面直径</w:t>
            </w:r>
            <w:r>
              <w:rPr>
                <w:rFonts w:hint="eastAsia"/>
                <w:sz w:val="24"/>
              </w:rPr>
              <w:t xml:space="preserve">300/320</w:t>
            </w:r>
            <w:r>
              <w:rPr>
                <w:rFonts w:hint="eastAsia"/>
                <w:sz w:val="24"/>
              </w:rPr>
              <w:t xml:space="preserve">×高</w:t>
            </w:r>
            <w:r>
              <w:rPr>
                <w:rFonts w:hint="eastAsia"/>
                <w:sz w:val="24"/>
              </w:rPr>
              <w:t xml:space="preserve">450/500/510mm</w:t>
            </w:r>
            <w:r>
              <w:rPr>
                <w:rFonts w:hint="eastAsia"/>
                <w:sz w:val="24"/>
              </w:rPr>
              <w:t xml:space="preserve">。</w:t>
            </w:r>
            <w:r>
              <w:rPr>
                <w:rFonts w:hint="eastAsia"/>
                <w:sz w:val="24"/>
              </w:rPr>
              <w:br/>
              <w:t xml:space="preserve">2.</w:t>
            </w:r>
            <w:r>
              <w:rPr>
                <w:rFonts w:hint="eastAsia"/>
                <w:sz w:val="24"/>
              </w:rPr>
              <w:t xml:space="preserve">凳面材质：注塑，防滑不发光。</w:t>
            </w:r>
            <w:r>
              <w:rPr>
                <w:rFonts w:hint="eastAsia"/>
                <w:sz w:val="24"/>
              </w:rPr>
              <w:br/>
              <w:t xml:space="preserve">3.</w:t>
            </w:r>
            <w:r>
              <w:rPr>
                <w:rFonts w:hint="eastAsia"/>
                <w:sz w:val="24"/>
              </w:rPr>
              <w:t xml:space="preserve">脚垫材质：采用</w:t>
            </w:r>
            <w:r>
              <w:rPr>
                <w:rFonts w:hint="eastAsia"/>
                <w:sz w:val="24"/>
              </w:rPr>
              <w:t xml:space="preserve">PP</w:t>
            </w:r>
            <w:r>
              <w:rPr>
                <w:rFonts w:hint="eastAsia"/>
                <w:sz w:val="24"/>
              </w:rPr>
              <w:t xml:space="preserve">加耐磨纤维质塑料，实心倒勾式一体射出成型</w:t>
            </w:r>
            <w:r>
              <w:rPr>
                <w:rFonts w:hint="eastAsia"/>
                <w:sz w:val="24"/>
              </w:rPr>
              <w:t xml:space="preserve"> </w:t>
            </w:r>
            <w:r>
              <w:rPr>
                <w:rFonts w:hint="eastAsia"/>
                <w:sz w:val="24"/>
              </w:rPr>
              <w:t xml:space="preserve">凳面与凳脚留有一定的空间便于凳子挂在挂凳扣上。方便教室的打扫。</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56</w:t>
            </w:r>
            <w:r/>
          </w:p>
        </w:tc>
      </w:tr>
      <w:tr>
        <w:trPr>
          <w:trHeight w:val="36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桌面电源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w:t>
            </w:r>
            <w:r>
              <w:rPr>
                <w:rFonts w:hint="eastAsia"/>
                <w:sz w:val="24"/>
              </w:rPr>
              <w:t xml:space="preserve">参考尺寸：</w:t>
            </w:r>
            <w:r>
              <w:rPr>
                <w:rFonts w:hint="eastAsia"/>
                <w:sz w:val="24"/>
              </w:rPr>
              <w:t xml:space="preserve">200*58*100mm</w:t>
            </w:r>
            <w:r>
              <w:rPr>
                <w:rFonts w:hint="eastAsia"/>
                <w:sz w:val="24"/>
              </w:rPr>
              <w:br/>
              <w:t xml:space="preserve">2.</w:t>
            </w:r>
            <w:r>
              <w:rPr>
                <w:rFonts w:hint="eastAsia"/>
                <w:sz w:val="24"/>
              </w:rPr>
              <w:t xml:space="preserve">主体由</w:t>
            </w:r>
            <w:r>
              <w:rPr>
                <w:rFonts w:hint="eastAsia"/>
                <w:sz w:val="24"/>
              </w:rPr>
              <w:t xml:space="preserve">ABS</w:t>
            </w:r>
            <w:r>
              <w:rPr>
                <w:rFonts w:hint="eastAsia"/>
                <w:sz w:val="24"/>
              </w:rPr>
              <w:t xml:space="preserve">框架与电源面板组成。</w:t>
            </w:r>
            <w:r>
              <w:rPr>
                <w:rFonts w:hint="eastAsia"/>
                <w:sz w:val="24"/>
              </w:rPr>
              <w:br/>
              <w:t xml:space="preserve">2.1.</w:t>
            </w:r>
            <w:r>
              <w:rPr>
                <w:rFonts w:hint="eastAsia"/>
                <w:sz w:val="24"/>
              </w:rPr>
              <w:t xml:space="preserve">主体框架：由</w:t>
            </w:r>
            <w:r>
              <w:rPr>
                <w:rFonts w:hint="eastAsia"/>
                <w:sz w:val="24"/>
              </w:rPr>
              <w:t xml:space="preserve">ABS</w:t>
            </w:r>
            <w:r>
              <w:rPr>
                <w:rFonts w:hint="eastAsia"/>
                <w:sz w:val="24"/>
              </w:rPr>
              <w:t xml:space="preserve">配件组合而成，整体造型圆弧处理，操作面进行</w:t>
            </w:r>
            <w:r>
              <w:rPr>
                <w:rFonts w:hint="eastAsia"/>
                <w:sz w:val="24"/>
              </w:rPr>
              <w:t xml:space="preserve">55</w:t>
            </w:r>
            <w:r>
              <w:rPr>
                <w:rFonts w:hint="eastAsia"/>
                <w:sz w:val="24"/>
              </w:rPr>
              <w:t xml:space="preserve">度倾斜，方便操作使用，产品表面亮光处理。</w:t>
            </w:r>
            <w:r>
              <w:rPr>
                <w:rFonts w:hint="eastAsia"/>
                <w:sz w:val="24"/>
              </w:rPr>
              <w:br/>
              <w:t xml:space="preserve">3.</w:t>
            </w:r>
            <w:r>
              <w:rPr>
                <w:rFonts w:hint="eastAsia"/>
                <w:sz w:val="24"/>
              </w:rPr>
              <w:t xml:space="preserve">电源操作界面：电源操作界面分别配备：</w:t>
            </w:r>
            <w:r>
              <w:rPr>
                <w:rFonts w:hint="eastAsia"/>
                <w:sz w:val="24"/>
              </w:rPr>
              <w:t xml:space="preserve">USB</w:t>
            </w:r>
            <w:r>
              <w:rPr>
                <w:rFonts w:hint="eastAsia"/>
                <w:sz w:val="24"/>
              </w:rPr>
              <w:t xml:space="preserve">接口一个，网络接口一个，低压学生电源一组等。</w:t>
            </w:r>
            <w:r>
              <w:rPr>
                <w:rFonts w:hint="eastAsia"/>
                <w:sz w:val="24"/>
              </w:rPr>
              <w:br/>
              <w:t xml:space="preserve">3.1.</w:t>
            </w:r>
            <w:r>
              <w:rPr>
                <w:rFonts w:hint="eastAsia"/>
                <w:sz w:val="24"/>
              </w:rPr>
              <w:t xml:space="preserve">面板采用亚克力面板，电容感应按钮开关，微电脑控制；</w:t>
            </w:r>
            <w:r>
              <w:rPr>
                <w:rFonts w:hint="eastAsia"/>
                <w:sz w:val="24"/>
              </w:rPr>
              <w:br/>
              <w:t xml:space="preserve">3.2.</w:t>
            </w:r>
            <w:r>
              <w:rPr>
                <w:rFonts w:hint="eastAsia"/>
                <w:sz w:val="24"/>
              </w:rPr>
              <w:t xml:space="preserve">输入电压：</w:t>
            </w:r>
            <w:r>
              <w:rPr>
                <w:rFonts w:hint="eastAsia"/>
                <w:sz w:val="24"/>
              </w:rPr>
              <w:t xml:space="preserve">220v</w:t>
            </w:r>
            <w:r>
              <w:rPr>
                <w:rFonts w:hint="eastAsia"/>
                <w:sz w:val="24"/>
              </w:rPr>
              <w:t xml:space="preserve">±</w:t>
            </w:r>
            <w:r>
              <w:rPr>
                <w:rFonts w:hint="eastAsia"/>
                <w:sz w:val="24"/>
              </w:rPr>
              <w:t xml:space="preserve">10%</w:t>
            </w:r>
            <w:r>
              <w:rPr>
                <w:rFonts w:hint="eastAsia"/>
                <w:sz w:val="24"/>
              </w:rPr>
              <w:t xml:space="preserve">；</w:t>
            </w:r>
            <w:r>
              <w:rPr>
                <w:rFonts w:hint="eastAsia"/>
                <w:sz w:val="24"/>
              </w:rPr>
              <w:br/>
              <w:t xml:space="preserve">3.3.</w:t>
            </w:r>
            <w:r>
              <w:rPr>
                <w:rFonts w:hint="eastAsia"/>
                <w:sz w:val="24"/>
              </w:rPr>
              <w:t xml:space="preserve">低压学生电源：接收教师总控电源设定交直流电压，限定交直流输出时，学生端交直流不可互换，教师限定电压值时，学生仅能在范围内调节，解除限定后可由学生端自由设定；</w:t>
            </w:r>
            <w:r>
              <w:rPr>
                <w:rFonts w:hint="eastAsia"/>
                <w:sz w:val="24"/>
              </w:rPr>
              <w:br/>
              <w:t xml:space="preserve">3.4.</w:t>
            </w:r>
            <w:r>
              <w:rPr>
                <w:rFonts w:hint="eastAsia"/>
                <w:sz w:val="24"/>
              </w:rPr>
              <w:t xml:space="preserve">交流输出：</w:t>
            </w:r>
            <w:r>
              <w:rPr>
                <w:rFonts w:hint="eastAsia"/>
                <w:sz w:val="24"/>
              </w:rPr>
              <w:t xml:space="preserve">0-24V</w:t>
            </w:r>
            <w:r>
              <w:rPr>
                <w:rFonts w:hint="eastAsia"/>
                <w:sz w:val="24"/>
              </w:rPr>
              <w:t xml:space="preserve">，</w:t>
            </w:r>
            <w:r>
              <w:rPr>
                <w:rFonts w:hint="eastAsia"/>
                <w:sz w:val="24"/>
              </w:rPr>
              <w:t xml:space="preserve">0.1V</w:t>
            </w:r>
            <w:r>
              <w:rPr>
                <w:rFonts w:hint="eastAsia"/>
                <w:sz w:val="24"/>
              </w:rPr>
              <w:t xml:space="preserve">一档连续可调，额定电流</w:t>
            </w:r>
            <w:r>
              <w:rPr>
                <w:rFonts w:hint="eastAsia"/>
                <w:sz w:val="24"/>
              </w:rPr>
              <w:t xml:space="preserve">0-24V</w:t>
            </w:r>
            <w:r>
              <w:rPr>
                <w:rFonts w:hint="eastAsia"/>
                <w:sz w:val="24"/>
              </w:rPr>
              <w:t xml:space="preserve">，</w:t>
            </w:r>
            <w:r>
              <w:rPr>
                <w:rFonts w:hint="eastAsia"/>
                <w:sz w:val="24"/>
              </w:rPr>
              <w:t xml:space="preserve">2A</w:t>
            </w:r>
            <w:r>
              <w:rPr>
                <w:rFonts w:hint="eastAsia"/>
                <w:sz w:val="24"/>
              </w:rPr>
              <w:t xml:space="preserve">，最大可输出</w:t>
            </w:r>
            <w:r>
              <w:rPr>
                <w:rFonts w:hint="eastAsia"/>
                <w:sz w:val="24"/>
              </w:rPr>
              <w:t xml:space="preserve">3A,</w:t>
            </w:r>
            <w:r>
              <w:rPr>
                <w:rFonts w:hint="eastAsia"/>
                <w:sz w:val="24"/>
              </w:rPr>
              <w:t xml:space="preserve">可设置</w:t>
            </w:r>
            <w:r>
              <w:rPr>
                <w:rFonts w:hint="eastAsia"/>
                <w:sz w:val="24"/>
              </w:rPr>
              <w:t xml:space="preserve">0-3A</w:t>
            </w:r>
            <w:r>
              <w:rPr>
                <w:rFonts w:hint="eastAsia"/>
                <w:sz w:val="24"/>
              </w:rPr>
              <w:t xml:space="preserve">恒流输出，数字电压电流表实时显示，精度正负</w:t>
            </w:r>
            <w:r>
              <w:rPr>
                <w:rFonts w:hint="eastAsia"/>
                <w:sz w:val="24"/>
              </w:rPr>
              <w:t xml:space="preserve">0.1V</w:t>
            </w:r>
            <w:r>
              <w:rPr>
                <w:rFonts w:hint="eastAsia"/>
                <w:sz w:val="24"/>
              </w:rPr>
              <w:t xml:space="preserve">，具有智能过载保护功能。</w:t>
            </w:r>
            <w:r>
              <w:rPr>
                <w:rFonts w:hint="eastAsia"/>
                <w:sz w:val="24"/>
              </w:rPr>
              <w:br/>
              <w:t xml:space="preserve">3.5.</w:t>
            </w:r>
            <w:r>
              <w:rPr>
                <w:rFonts w:hint="eastAsia"/>
                <w:sz w:val="24"/>
              </w:rPr>
              <w:t xml:space="preserve">直流输出：</w:t>
            </w:r>
            <w:r>
              <w:rPr>
                <w:rFonts w:hint="eastAsia"/>
                <w:sz w:val="24"/>
              </w:rPr>
              <w:t xml:space="preserve">0-24V</w:t>
            </w:r>
            <w:r>
              <w:rPr>
                <w:rFonts w:hint="eastAsia"/>
                <w:sz w:val="24"/>
              </w:rPr>
              <w:t xml:space="preserve">，</w:t>
            </w:r>
            <w:r>
              <w:rPr>
                <w:rFonts w:hint="eastAsia"/>
                <w:sz w:val="24"/>
              </w:rPr>
              <w:t xml:space="preserve">0.1V</w:t>
            </w:r>
            <w:r>
              <w:rPr>
                <w:rFonts w:hint="eastAsia"/>
                <w:sz w:val="24"/>
              </w:rPr>
              <w:t xml:space="preserve">一档连续可调，额定电流</w:t>
            </w:r>
            <w:r>
              <w:rPr>
                <w:rFonts w:hint="eastAsia"/>
                <w:sz w:val="24"/>
              </w:rPr>
              <w:t xml:space="preserve">0-24V</w:t>
            </w:r>
            <w:r>
              <w:rPr>
                <w:rFonts w:hint="eastAsia"/>
                <w:sz w:val="24"/>
              </w:rPr>
              <w:t xml:space="preserve">，</w:t>
            </w:r>
            <w:r>
              <w:rPr>
                <w:rFonts w:hint="eastAsia"/>
                <w:sz w:val="24"/>
              </w:rPr>
              <w:t xml:space="preserve">2A</w:t>
            </w:r>
            <w:r>
              <w:rPr>
                <w:rFonts w:hint="eastAsia"/>
                <w:sz w:val="24"/>
              </w:rPr>
              <w:t xml:space="preserve">，最大可输出</w:t>
            </w:r>
            <w:r>
              <w:rPr>
                <w:rFonts w:hint="eastAsia"/>
                <w:sz w:val="24"/>
              </w:rPr>
              <w:t xml:space="preserve">3A,</w:t>
            </w:r>
            <w:r>
              <w:rPr>
                <w:rFonts w:hint="eastAsia"/>
                <w:sz w:val="24"/>
              </w:rPr>
              <w:t xml:space="preserve">可设置</w:t>
            </w:r>
            <w:r>
              <w:rPr>
                <w:rFonts w:hint="eastAsia"/>
                <w:sz w:val="24"/>
              </w:rPr>
              <w:t xml:space="preserve">0-3A</w:t>
            </w:r>
            <w:r>
              <w:rPr>
                <w:rFonts w:hint="eastAsia"/>
                <w:sz w:val="24"/>
              </w:rPr>
              <w:t xml:space="preserve">恒流输出，数字电压电流表实时显示，精度正负</w:t>
            </w:r>
            <w:r>
              <w:rPr>
                <w:rFonts w:hint="eastAsia"/>
                <w:sz w:val="24"/>
              </w:rPr>
              <w:t xml:space="preserve">0.1V</w:t>
            </w:r>
            <w:r>
              <w:rPr>
                <w:rFonts w:hint="eastAsia"/>
                <w:sz w:val="24"/>
              </w:rPr>
              <w:t xml:space="preserve">，具有智能过载保护功能。</w:t>
            </w:r>
            <w:r>
              <w:rPr>
                <w:rFonts w:hint="eastAsia"/>
                <w:sz w:val="24"/>
              </w:rPr>
              <w:br/>
              <w:t xml:space="preserve">4.USB</w:t>
            </w:r>
            <w:r>
              <w:rPr>
                <w:rFonts w:hint="eastAsia"/>
                <w:sz w:val="24"/>
              </w:rPr>
              <w:t xml:space="preserve">接口：额定输出</w:t>
            </w:r>
            <w:r>
              <w:rPr>
                <w:rFonts w:hint="eastAsia"/>
                <w:sz w:val="24"/>
              </w:rPr>
              <w:t xml:space="preserve">5V,2A</w:t>
            </w:r>
            <w:r>
              <w:rPr>
                <w:rFonts w:hint="eastAsia"/>
                <w:sz w:val="24"/>
              </w:rPr>
              <w:t xml:space="preserve">，最大可输出</w:t>
            </w:r>
            <w:r>
              <w:rPr>
                <w:rFonts w:hint="eastAsia"/>
                <w:sz w:val="24"/>
              </w:rPr>
              <w:t xml:space="preserve">3A</w:t>
            </w:r>
            <w:r>
              <w:rPr>
                <w:rFonts w:hint="eastAsia"/>
                <w:sz w:val="24"/>
              </w:rPr>
              <w:t xml:space="preserve">。</w:t>
            </w:r>
            <w:r>
              <w:rPr>
                <w:rFonts w:hint="eastAsia"/>
                <w:sz w:val="24"/>
              </w:rPr>
              <w:br/>
              <w:t xml:space="preserve">5.</w:t>
            </w:r>
            <w:r>
              <w:rPr>
                <w:rFonts w:hint="eastAsia"/>
                <w:sz w:val="24"/>
              </w:rPr>
              <w:t xml:space="preserve">使用环境：温度</w:t>
            </w:r>
            <w:r>
              <w:rPr>
                <w:rFonts w:hint="eastAsia"/>
                <w:sz w:val="24"/>
              </w:rPr>
              <w:t xml:space="preserve">0-40</w:t>
            </w:r>
            <w:r>
              <w:rPr>
                <w:rFonts w:hint="eastAsia"/>
                <w:sz w:val="24"/>
              </w:rPr>
              <w:t xml:space="preserve">℃，湿度</w:t>
            </w:r>
            <w:r>
              <w:rPr>
                <w:rFonts w:hint="eastAsia"/>
                <w:sz w:val="24"/>
              </w:rPr>
              <w:t xml:space="preserve">&lt;90%</w:t>
            </w:r>
            <w:r>
              <w:rPr>
                <w:rFonts w:hint="eastAsia"/>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系统工程</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室内地上配电安装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sz w:val="24"/>
              </w:rPr>
            </w:pPr>
            <w:r>
              <w:rPr>
                <w:rFonts w:hint="eastAsia"/>
                <w:sz w:val="24"/>
              </w:rPr>
              <w:t xml:space="preserve">地上采用铝塑护套管，内穿塑铜线，有效固定。</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r>
      <w:tr>
        <w:trPr>
          <w:trHeight w:val="400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陶瓷面防静电活动地板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产品规格：不低于</w:t>
            </w:r>
            <w:r>
              <w:rPr>
                <w:rFonts w:hint="eastAsia"/>
                <w:sz w:val="24"/>
              </w:rPr>
              <w:t xml:space="preserve">602*602*40mm</w:t>
            </w:r>
            <w:r>
              <w:rPr>
                <w:rFonts w:hint="eastAsia"/>
                <w:sz w:val="24"/>
              </w:rPr>
              <w:br/>
            </w:r>
            <w:r>
              <w:rPr>
                <w:rFonts w:hint="eastAsia"/>
                <w:sz w:val="24"/>
              </w:rPr>
              <w:t xml:space="preserve">钢板厚度：上</w:t>
            </w:r>
            <w:r>
              <w:rPr>
                <w:rFonts w:hint="eastAsia"/>
                <w:sz w:val="24"/>
              </w:rPr>
              <w:t xml:space="preserve">≥</w:t>
            </w:r>
            <w:r>
              <w:rPr>
                <w:rFonts w:hint="eastAsia"/>
                <w:sz w:val="24"/>
              </w:rPr>
              <w:t xml:space="preserve">0.65mm</w:t>
            </w:r>
            <w:r>
              <w:rPr>
                <w:rFonts w:hint="eastAsia"/>
                <w:sz w:val="24"/>
              </w:rPr>
              <w:t xml:space="preserve">下</w:t>
            </w:r>
            <w:r>
              <w:rPr>
                <w:rFonts w:hint="eastAsia"/>
                <w:sz w:val="24"/>
              </w:rPr>
              <w:t xml:space="preserve">≥</w:t>
            </w:r>
            <w:r>
              <w:rPr>
                <w:rFonts w:hint="eastAsia"/>
                <w:sz w:val="24"/>
              </w:rPr>
              <w:t xml:space="preserve">0.65mm</w:t>
            </w:r>
            <w:r>
              <w:rPr>
                <w:rFonts w:hint="eastAsia"/>
                <w:sz w:val="24"/>
              </w:rPr>
              <w:br/>
            </w:r>
            <w:r>
              <w:rPr>
                <w:rFonts w:hint="eastAsia"/>
                <w:sz w:val="24"/>
              </w:rPr>
              <w:t xml:space="preserve">填充材料：高强度发泡水泥</w:t>
            </w:r>
            <w:r>
              <w:rPr>
                <w:rFonts w:hint="eastAsia"/>
                <w:sz w:val="24"/>
              </w:rPr>
              <w:br/>
            </w:r>
            <w:r>
              <w:rPr>
                <w:rFonts w:hint="eastAsia"/>
                <w:sz w:val="24"/>
              </w:rPr>
              <w:t xml:space="preserve">地板贴面：</w:t>
            </w:r>
            <w:r>
              <w:rPr>
                <w:rFonts w:hint="eastAsia"/>
                <w:sz w:val="24"/>
              </w:rPr>
              <w:t xml:space="preserve">10mm</w:t>
            </w:r>
            <w:r>
              <w:rPr>
                <w:rFonts w:hint="eastAsia"/>
                <w:sz w:val="24"/>
              </w:rPr>
              <w:t xml:space="preserve">防静电瓷砖面</w:t>
            </w:r>
            <w:r>
              <w:rPr>
                <w:rFonts w:hint="eastAsia"/>
                <w:sz w:val="24"/>
              </w:rPr>
              <w:br/>
            </w:r>
            <w:r>
              <w:rPr>
                <w:rFonts w:hint="eastAsia"/>
                <w:sz w:val="24"/>
              </w:rPr>
              <w:t xml:space="preserve">系统电阻：</w:t>
            </w:r>
            <w:r>
              <w:rPr>
                <w:rFonts w:hint="eastAsia"/>
                <w:sz w:val="24"/>
              </w:rPr>
              <w:t xml:space="preserve">1*106</w:t>
            </w:r>
            <w:r>
              <w:rPr>
                <w:rFonts w:hint="eastAsia"/>
                <w:sz w:val="24"/>
              </w:rPr>
              <w:t xml:space="preserve">Ω</w:t>
            </w:r>
            <w:r>
              <w:rPr>
                <w:rFonts w:hint="eastAsia"/>
                <w:sz w:val="24"/>
              </w:rPr>
              <w:t xml:space="preserve">-1*109</w:t>
            </w:r>
            <w:r>
              <w:rPr>
                <w:rFonts w:hint="eastAsia"/>
                <w:sz w:val="24"/>
              </w:rPr>
              <w:t xml:space="preserve">Ω</w:t>
            </w:r>
            <w:r>
              <w:rPr>
                <w:rFonts w:hint="eastAsia"/>
                <w:sz w:val="24"/>
              </w:rPr>
              <w:br/>
            </w:r>
            <w:r>
              <w:rPr>
                <w:rFonts w:hint="eastAsia"/>
                <w:sz w:val="24"/>
              </w:rPr>
              <w:t xml:space="preserve">集中载荷：≥</w:t>
            </w:r>
            <w:r>
              <w:rPr>
                <w:rFonts w:hint="eastAsia"/>
                <w:sz w:val="24"/>
              </w:rPr>
              <w:t xml:space="preserve">2300N</w:t>
            </w:r>
            <w:r>
              <w:rPr>
                <w:rFonts w:hint="eastAsia"/>
                <w:sz w:val="24"/>
              </w:rPr>
              <w:br/>
            </w:r>
            <w:r>
              <w:rPr>
                <w:rFonts w:hint="eastAsia"/>
                <w:sz w:val="24"/>
              </w:rPr>
              <w:t xml:space="preserve">均布载荷：≥</w:t>
            </w:r>
            <w:r>
              <w:rPr>
                <w:rFonts w:hint="eastAsia"/>
                <w:sz w:val="24"/>
              </w:rPr>
              <w:t xml:space="preserve">16000N</w:t>
            </w:r>
            <w:r>
              <w:rPr>
                <w:rFonts w:hint="eastAsia"/>
                <w:sz w:val="24"/>
              </w:rPr>
              <w:br/>
            </w:r>
            <w:r>
              <w:rPr>
                <w:rFonts w:hint="eastAsia"/>
                <w:sz w:val="24"/>
              </w:rPr>
              <w:t xml:space="preserve">冲击载荷：≥</w:t>
            </w:r>
            <w:r>
              <w:rPr>
                <w:rFonts w:hint="eastAsia"/>
                <w:sz w:val="24"/>
              </w:rPr>
              <w:t xml:space="preserve">3000N</w:t>
            </w:r>
            <w:r>
              <w:rPr>
                <w:rFonts w:hint="eastAsia"/>
                <w:sz w:val="24"/>
              </w:rPr>
              <w:br/>
            </w:r>
            <w:r>
              <w:rPr>
                <w:rFonts w:hint="eastAsia"/>
                <w:sz w:val="24"/>
              </w:rPr>
              <w:t xml:space="preserve">滚动载荷：≥</w:t>
            </w:r>
            <w:r>
              <w:rPr>
                <w:rFonts w:hint="eastAsia"/>
                <w:sz w:val="24"/>
              </w:rPr>
              <w:t xml:space="preserve">13500N</w:t>
            </w:r>
            <w:r>
              <w:rPr>
                <w:rFonts w:hint="eastAsia"/>
                <w:sz w:val="24"/>
              </w:rPr>
              <w:br/>
            </w:r>
            <w:r>
              <w:rPr>
                <w:rFonts w:hint="eastAsia"/>
                <w:sz w:val="24"/>
              </w:rPr>
              <w:t xml:space="preserve">防火性能：</w:t>
            </w:r>
            <w:r>
              <w:rPr>
                <w:rFonts w:hint="eastAsia"/>
                <w:sz w:val="24"/>
              </w:rPr>
              <w:t xml:space="preserve">A</w:t>
            </w:r>
            <w:r>
              <w:rPr>
                <w:rFonts w:hint="eastAsia"/>
                <w:sz w:val="24"/>
              </w:rPr>
              <w:t xml:space="preserve">级</w:t>
            </w:r>
            <w:r>
              <w:rPr>
                <w:rFonts w:hint="eastAsia"/>
                <w:sz w:val="24"/>
              </w:rPr>
              <w:br/>
            </w:r>
            <w:r>
              <w:rPr>
                <w:rFonts w:hint="eastAsia"/>
                <w:sz w:val="24"/>
              </w:rPr>
              <w:t xml:space="preserve">支撑系统：</w:t>
            </w:r>
            <w:r>
              <w:rPr>
                <w:rFonts w:hint="eastAsia"/>
                <w:sz w:val="24"/>
              </w:rPr>
              <w:br/>
            </w:r>
            <w:r>
              <w:rPr>
                <w:rFonts w:hint="eastAsia"/>
                <w:sz w:val="24"/>
              </w:rPr>
              <w:t xml:space="preserve">支架：</w:t>
            </w:r>
            <w:r>
              <w:rPr>
                <w:rFonts w:hint="eastAsia"/>
                <w:sz w:val="24"/>
              </w:rPr>
              <w:t xml:space="preserve"> </w:t>
            </w:r>
            <w:r>
              <w:rPr>
                <w:rFonts w:hint="eastAsia"/>
                <w:sz w:val="24"/>
              </w:rPr>
              <w:t xml:space="preserve">由上托、螺杆、管柱、底座组成。管柱和底座为高强度铸铁或优质钢材，厚度≥</w:t>
            </w:r>
            <w:r>
              <w:rPr>
                <w:rFonts w:hint="eastAsia"/>
                <w:sz w:val="24"/>
              </w:rPr>
              <w:t xml:space="preserve">2.0mm</w:t>
            </w:r>
            <w:r>
              <w:rPr>
                <w:rFonts w:hint="eastAsia"/>
                <w:sz w:val="24"/>
              </w:rPr>
              <w:t xml:space="preserve">。并能实现不小于±</w:t>
            </w:r>
            <w:r>
              <w:rPr>
                <w:rFonts w:hint="eastAsia"/>
                <w:sz w:val="24"/>
              </w:rPr>
              <w:t xml:space="preserve">20mm</w:t>
            </w:r>
            <w:r>
              <w:rPr>
                <w:rFonts w:hint="eastAsia"/>
                <w:sz w:val="24"/>
              </w:rPr>
              <w:t xml:space="preserve">的高度调节范围，以适应地面不平整。</w:t>
            </w:r>
            <w:r>
              <w:rPr>
                <w:rFonts w:hint="eastAsia"/>
                <w:sz w:val="24"/>
              </w:rPr>
              <w:br/>
            </w:r>
            <w:r>
              <w:rPr>
                <w:rFonts w:hint="eastAsia"/>
                <w:sz w:val="24"/>
              </w:rPr>
              <w:t xml:space="preserve">横梁：</w:t>
            </w:r>
            <w:r>
              <w:rPr>
                <w:rFonts w:hint="eastAsia"/>
                <w:sz w:val="24"/>
              </w:rPr>
              <w:t xml:space="preserve"> </w:t>
            </w:r>
            <w:r>
              <w:rPr>
                <w:rFonts w:hint="eastAsia"/>
                <w:sz w:val="24"/>
              </w:rPr>
              <w:t xml:space="preserve">优质冷轧钢板制造，表面镀锌防锈。</w:t>
            </w:r>
            <w:r>
              <w:rPr>
                <w:rFonts w:hint="eastAsia"/>
                <w:sz w:val="24"/>
              </w:rPr>
              <w:br/>
            </w:r>
            <w:r>
              <w:rPr>
                <w:rFonts w:hint="eastAsia"/>
                <w:sz w:val="24"/>
              </w:rPr>
              <w:t xml:space="preserve">防腐处理：</w:t>
            </w:r>
            <w:r>
              <w:rPr>
                <w:rFonts w:hint="eastAsia"/>
                <w:sz w:val="24"/>
              </w:rPr>
              <w:t xml:space="preserve"> </w:t>
            </w:r>
            <w:r>
              <w:rPr>
                <w:rFonts w:hint="eastAsia"/>
                <w:sz w:val="24"/>
              </w:rPr>
              <w:t xml:space="preserve">所有金属支撑部件必须经过镀锌或更高标准的防锈、防腐处理，以适应实验室环境。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98</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学科专业知识窗帘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规格：（可以根据学校具体情况调整）加厚、遮光在窗帘上喷绘介绍学科知识，集教学、观赏为一体。</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w:t>
            </w:r>
            <w:r/>
          </w:p>
        </w:tc>
      </w:tr>
    </w:tbl>
    <w:p>
      <w:pPr>
        <w:pStyle w:val="787"/>
        <w:rPr>
          <w:szCs w:val="24"/>
        </w:rPr>
      </w:pPr>
      <w:r>
        <w:rPr>
          <w:szCs w:val="24"/>
        </w:rPr>
      </w:r>
      <w:r/>
    </w:p>
    <w:p>
      <w:pPr>
        <w:pStyle w:val="787"/>
        <w:ind w:firstLine="0"/>
        <w:rPr>
          <w:szCs w:val="24"/>
        </w:rPr>
      </w:pPr>
      <w:r>
        <w:rPr>
          <w:rFonts w:hint="eastAsia" w:asciiTheme="minorEastAsia" w:hAnsiTheme="minorEastAsia" w:eastAsiaTheme="minorEastAsia" w:cstheme="minorEastAsia"/>
          <w:spacing w:val="9"/>
          <w:szCs w:val="24"/>
        </w:rPr>
        <w:t xml:space="preserve">包二：</w:t>
      </w:r>
      <w:r/>
    </w:p>
    <w:tbl>
      <w:tblPr>
        <w:tblW w:w="0" w:type="auto"/>
        <w:tblInd w:w="103" w:type="dxa"/>
        <w:tblLook w:val="04A0" w:firstRow="1" w:lastRow="0" w:firstColumn="1" w:lastColumn="0" w:noHBand="0" w:noVBand="1"/>
      </w:tblPr>
      <w:tblGrid>
        <w:gridCol w:w="485"/>
        <w:gridCol w:w="1135"/>
        <w:gridCol w:w="5772"/>
        <w:gridCol w:w="484"/>
        <w:gridCol w:w="543"/>
      </w:tblGrid>
      <w:tr>
        <w:trPr>
          <w:trHeight w:val="762"/>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rPr>
                <w:rFonts w:hint="eastAsia"/>
                <w:sz w:val="24"/>
              </w:rPr>
              <w:t xml:space="preserve">化学常规实验室</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技术参数、规格、功能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单位</w:t>
            </w:r>
            <w:r/>
          </w:p>
        </w:tc>
      </w:tr>
      <w:tr>
        <w:trPr>
          <w:trHeight w:val="514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参考规格：</w:t>
            </w:r>
            <w:r>
              <w:rPr>
                <w:rFonts w:hint="eastAsia"/>
                <w:sz w:val="24"/>
              </w:rPr>
              <w:t xml:space="preserve">2400mm*700mm*850mm</w:t>
            </w:r>
            <w:r>
              <w:rPr>
                <w:rFonts w:hint="eastAsia"/>
                <w:sz w:val="24"/>
              </w:rPr>
              <w:br/>
            </w:r>
            <w:r>
              <w:rPr>
                <w:rFonts w:hint="eastAsia"/>
                <w:sz w:val="24"/>
              </w:rPr>
              <w:t xml:space="preserve">▲</w:t>
            </w:r>
            <w:r>
              <w:rPr>
                <w:rFonts w:hint="eastAsia"/>
                <w:sz w:val="24"/>
              </w:rPr>
              <w:t xml:space="preserve">1.</w:t>
            </w:r>
            <w:r>
              <w:rPr>
                <w:rFonts w:hint="eastAsia"/>
                <w:sz w:val="24"/>
              </w:rPr>
              <w:t xml:space="preserve">台面：采用≥</w:t>
            </w:r>
            <w:r>
              <w:rPr>
                <w:rFonts w:hint="eastAsia"/>
                <w:sz w:val="24"/>
              </w:rPr>
              <w:t xml:space="preserve">25mm</w:t>
            </w:r>
            <w:r>
              <w:rPr>
                <w:rFonts w:hint="eastAsia"/>
                <w:sz w:val="24"/>
              </w:rPr>
              <w:t xml:space="preserve">厚金属树脂高能理化板。</w:t>
            </w:r>
            <w:r>
              <w:rPr>
                <w:rFonts w:hint="eastAsia"/>
                <w:sz w:val="24"/>
              </w:rPr>
              <w:br/>
            </w:r>
            <w:r>
              <w:rPr>
                <w:rFonts w:hint="eastAsia"/>
                <w:sz w:val="24"/>
              </w:rPr>
              <w:t xml:space="preserve">★</w:t>
            </w:r>
            <w:r>
              <w:rPr>
                <w:rFonts w:hint="eastAsia"/>
                <w:sz w:val="24"/>
              </w:rPr>
              <w:t xml:space="preserve">2.</w:t>
            </w:r>
            <w:r>
              <w:rPr>
                <w:rFonts w:hint="eastAsia"/>
                <w:sz w:val="24"/>
              </w:rPr>
              <w:t xml:space="preserve">桌身：整体采用≥</w:t>
            </w:r>
            <w:r>
              <w:rPr>
                <w:rFonts w:hint="eastAsia"/>
                <w:sz w:val="24"/>
              </w:rPr>
              <w:t xml:space="preserve">1.0mm</w:t>
            </w:r>
            <w:r>
              <w:rPr>
                <w:rFonts w:hint="eastAsia"/>
                <w:sz w:val="24"/>
              </w:rPr>
              <w:t xml:space="preserve">厚优质冷轧钢板，全部钢制件镀膜防锈处理。</w:t>
            </w:r>
            <w:r>
              <w:rPr>
                <w:rFonts w:hint="eastAsia"/>
                <w:sz w:val="24"/>
              </w:rPr>
              <w:t xml:space="preserve">                                                                        </w:t>
            </w:r>
            <w:r>
              <w:rPr>
                <w:rFonts w:hint="eastAsia"/>
                <w:sz w:val="24"/>
              </w:rPr>
              <w:br/>
              <w:t xml:space="preserve">3.</w:t>
            </w:r>
            <w:r>
              <w:rPr>
                <w:rFonts w:hint="eastAsia"/>
                <w:sz w:val="24"/>
              </w:rPr>
              <w:t xml:space="preserve">结构：演示台设有储物柜，中间为演示台</w:t>
            </w:r>
            <w:r>
              <w:rPr>
                <w:rFonts w:hint="eastAsia"/>
                <w:sz w:val="24"/>
              </w:rPr>
              <w:t xml:space="preserve">,</w:t>
            </w:r>
            <w:r>
              <w:rPr>
                <w:rFonts w:hint="eastAsia"/>
                <w:sz w:val="24"/>
              </w:rPr>
              <w:t xml:space="preserve">设置电源主控系统、多媒体设备（主机、显示器、中控、功放、交换机）的位置预留。含水槽、下水管及三联水嘴。</w:t>
            </w:r>
            <w:r>
              <w:rPr>
                <w:rFonts w:hint="eastAsia"/>
                <w:sz w:val="24"/>
              </w:rPr>
              <w:t xml:space="preserve">                                                     4.</w:t>
            </w:r>
            <w:r>
              <w:rPr>
                <w:rFonts w:hint="eastAsia"/>
                <w:sz w:val="24"/>
              </w:rPr>
              <w:t xml:space="preserve">柜门：门板加衬板双层结构，内含填充物。</w:t>
            </w:r>
            <w:r>
              <w:rPr>
                <w:rFonts w:hint="eastAsia"/>
                <w:sz w:val="24"/>
              </w:rPr>
              <w:br/>
              <w:t xml:space="preserve">5.</w:t>
            </w:r>
            <w:r>
              <w:rPr>
                <w:rFonts w:hint="eastAsia"/>
                <w:sz w:val="24"/>
              </w:rPr>
              <w:t xml:space="preserve">滑道：三节滚珠滑轨，承重性强，滑动顺滑。</w:t>
            </w:r>
            <w:r>
              <w:rPr>
                <w:rFonts w:hint="eastAsia"/>
                <w:sz w:val="24"/>
              </w:rPr>
              <w:br/>
              <w:t xml:space="preserve">6.</w:t>
            </w:r>
            <w:r>
              <w:rPr>
                <w:rFonts w:hint="eastAsia"/>
                <w:sz w:val="24"/>
              </w:rPr>
              <w:t xml:space="preserve">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张</w:t>
            </w:r>
            <w:r/>
          </w:p>
        </w:tc>
      </w:tr>
      <w:tr>
        <w:trPr>
          <w:trHeight w:val="28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学生实验桌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br/>
              <w:t xml:space="preserve">1. </w:t>
            </w:r>
            <w:r>
              <w:rPr>
                <w:rFonts w:hint="eastAsia"/>
                <w:sz w:val="24"/>
              </w:rPr>
              <w:t xml:space="preserve">参考规格：</w:t>
            </w:r>
            <w:r>
              <w:rPr>
                <w:rFonts w:hint="eastAsia"/>
                <w:sz w:val="24"/>
              </w:rPr>
              <w:t xml:space="preserve">1200*600*780mm</w:t>
            </w:r>
            <w:r>
              <w:rPr>
                <w:rFonts w:hint="eastAsia"/>
                <w:sz w:val="24"/>
              </w:rPr>
              <w:br/>
            </w:r>
            <w:r>
              <w:rPr>
                <w:rFonts w:hint="eastAsia"/>
                <w:sz w:val="24"/>
              </w:rPr>
              <w:t xml:space="preserve">▲</w:t>
            </w:r>
            <w:r>
              <w:rPr>
                <w:rFonts w:hint="eastAsia"/>
                <w:sz w:val="24"/>
              </w:rPr>
              <w:t xml:space="preserve">2.</w:t>
            </w:r>
            <w:r>
              <w:rPr>
                <w:rFonts w:hint="eastAsia"/>
                <w:sz w:val="24"/>
              </w:rPr>
              <w:t xml:space="preserve">台面：采用实验室专用</w:t>
            </w:r>
            <w:r>
              <w:rPr>
                <w:rFonts w:hint="eastAsia"/>
                <w:sz w:val="24"/>
              </w:rPr>
              <w:t xml:space="preserve">20mm</w:t>
            </w:r>
            <w:r>
              <w:rPr>
                <w:rFonts w:hint="eastAsia"/>
                <w:sz w:val="24"/>
              </w:rPr>
              <w:t xml:space="preserve">厚陶瓷复合板，台面耐腐蚀、耐刻刮、耐污染。台面带有防水边，能有效防止实验物品滚落。</w:t>
            </w:r>
            <w:r>
              <w:rPr>
                <w:rFonts w:hint="eastAsia"/>
                <w:sz w:val="24"/>
              </w:rPr>
              <w:br/>
              <w:t xml:space="preserve">3.</w:t>
            </w:r>
            <w:r>
              <w:rPr>
                <w:rFonts w:hint="eastAsia"/>
                <w:sz w:val="24"/>
              </w:rPr>
              <w:t xml:space="preserve">结构：镂空设计。专用书包斗，中间设挂凳卡。</w:t>
            </w:r>
            <w:r>
              <w:rPr>
                <w:rFonts w:hint="eastAsia"/>
                <w:sz w:val="24"/>
              </w:rPr>
              <w:br/>
            </w:r>
            <w:r>
              <w:rPr>
                <w:rFonts w:hint="eastAsia"/>
                <w:sz w:val="24"/>
              </w:rPr>
              <w:t xml:space="preserve">★</w:t>
            </w:r>
            <w:r>
              <w:rPr>
                <w:rFonts w:hint="eastAsia"/>
                <w:sz w:val="24"/>
              </w:rPr>
              <w:t xml:space="preserve">4.</w:t>
            </w:r>
            <w:r>
              <w:rPr>
                <w:rFonts w:hint="eastAsia"/>
                <w:sz w:val="24"/>
              </w:rPr>
              <w:t xml:space="preserve">侧脚采用高强度合金或者钢制结构，要做到承重性能强和耐酸碱、耐腐蚀。</w:t>
            </w:r>
            <w:r>
              <w:rPr>
                <w:rFonts w:hint="eastAsia"/>
                <w:sz w:val="24"/>
              </w:rPr>
              <w:br/>
            </w:r>
            <w:r>
              <w:rPr>
                <w:rFonts w:hint="eastAsia"/>
                <w:sz w:val="24"/>
              </w:rPr>
              <w:t xml:space="preserve">★</w:t>
            </w:r>
            <w:r>
              <w:rPr>
                <w:rFonts w:hint="eastAsia"/>
                <w:sz w:val="24"/>
              </w:rPr>
              <w:t xml:space="preserve">5.</w:t>
            </w:r>
            <w:r>
              <w:rPr>
                <w:rFonts w:hint="eastAsia"/>
                <w:sz w:val="24"/>
              </w:rPr>
              <w:t xml:space="preserve">后档板、前后横梁、中间横梁全部采用高强度挤出合金或者钢制模具型材。</w:t>
            </w:r>
            <w:r>
              <w:rPr>
                <w:rFonts w:hint="eastAsia"/>
                <w:sz w:val="24"/>
              </w:rPr>
              <w:br/>
              <w:t xml:space="preserve">6. </w:t>
            </w:r>
            <w:r>
              <w:rPr>
                <w:rFonts w:hint="eastAsia"/>
                <w:sz w:val="24"/>
              </w:rPr>
              <w:t xml:space="preserve">桌侧脚：桌侧脚设置专用孔位与地面固定，并配有跟台面同色</w:t>
            </w:r>
            <w:r>
              <w:rPr>
                <w:rFonts w:hint="eastAsia"/>
                <w:sz w:val="24"/>
              </w:rPr>
              <w:t xml:space="preserve">ABS</w:t>
            </w:r>
            <w:r>
              <w:rPr>
                <w:rFonts w:hint="eastAsia"/>
                <w:sz w:val="24"/>
              </w:rPr>
              <w:t xml:space="preserve">脚套装饰盖。</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张</w:t>
            </w:r>
            <w:r/>
          </w:p>
        </w:tc>
      </w:tr>
      <w:tr>
        <w:trPr>
          <w:trHeight w:val="16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功能柱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采用</w:t>
            </w:r>
            <w:r>
              <w:rPr>
                <w:rFonts w:hint="eastAsia"/>
                <w:sz w:val="24"/>
              </w:rPr>
              <w:t xml:space="preserve">ABS</w:t>
            </w:r>
            <w:r>
              <w:rPr>
                <w:rFonts w:hint="eastAsia"/>
                <w:sz w:val="24"/>
              </w:rPr>
              <w:t xml:space="preserve">注塑成型，分为桶体和底座两部份，表面沙面和光面相结合处理，以齿合槽配以螺丝连接。</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个</w:t>
            </w:r>
            <w:r/>
          </w:p>
        </w:tc>
      </w:tr>
      <w:tr>
        <w:trPr>
          <w:trHeight w:val="579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水槽柜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参考规格：</w:t>
            </w:r>
            <w:r>
              <w:rPr>
                <w:rFonts w:hint="eastAsia"/>
                <w:sz w:val="24"/>
              </w:rPr>
              <w:t xml:space="preserve"> 438-500*600-655*788-940mm</w:t>
            </w:r>
            <w:r>
              <w:rPr>
                <w:rFonts w:hint="eastAsia"/>
                <w:sz w:val="24"/>
              </w:rPr>
              <w:t xml:space="preserve">；</w:t>
            </w:r>
            <w:r>
              <w:rPr>
                <w:rFonts w:hint="eastAsia"/>
                <w:sz w:val="24"/>
              </w:rPr>
              <w:br/>
              <w:t xml:space="preserve">1.</w:t>
            </w:r>
            <w:r>
              <w:rPr>
                <w:rFonts w:hint="eastAsia"/>
                <w:sz w:val="24"/>
              </w:rPr>
              <w:t xml:space="preserve">水槽：采用</w:t>
            </w:r>
            <w:r>
              <w:rPr>
                <w:rFonts w:hint="eastAsia"/>
                <w:sz w:val="24"/>
              </w:rPr>
              <w:t xml:space="preserve">PP</w:t>
            </w:r>
            <w:r>
              <w:rPr>
                <w:rFonts w:hint="eastAsia"/>
                <w:sz w:val="24"/>
              </w:rPr>
              <w:t xml:space="preserve">改性材料，塑料注塑一次性成型，具有防溢出功能。</w:t>
            </w:r>
            <w:r>
              <w:rPr>
                <w:rFonts w:hint="eastAsia"/>
                <w:sz w:val="24"/>
              </w:rPr>
              <w:br/>
            </w:r>
            <w:r>
              <w:rPr>
                <w:rFonts w:hint="eastAsia"/>
                <w:sz w:val="24"/>
              </w:rPr>
              <w:t xml:space="preserve">▲</w:t>
            </w:r>
            <w:r>
              <w:rPr>
                <w:rFonts w:hint="eastAsia"/>
                <w:sz w:val="24"/>
              </w:rPr>
              <w:t xml:space="preserve">2.</w:t>
            </w:r>
            <w:r>
              <w:rPr>
                <w:rFonts w:hint="eastAsia"/>
                <w:sz w:val="24"/>
              </w:rPr>
              <w:t xml:space="preserve">水槽托架：采用≥</w:t>
            </w:r>
            <w:r>
              <w:rPr>
                <w:rFonts w:hint="eastAsia"/>
                <w:sz w:val="24"/>
              </w:rPr>
              <w:t xml:space="preserve">1.0mm</w:t>
            </w:r>
            <w:r>
              <w:rPr>
                <w:rFonts w:hint="eastAsia"/>
                <w:sz w:val="24"/>
              </w:rPr>
              <w:t xml:space="preserve">冷轧钢板，表面经高压静电喷涂环氧树脂防护层，耐酸碱，耐腐蚀处理。</w:t>
            </w:r>
            <w:r>
              <w:rPr>
                <w:rFonts w:hint="eastAsia"/>
                <w:sz w:val="24"/>
              </w:rPr>
              <w:br/>
              <w:t xml:space="preserve">3.</w:t>
            </w:r>
            <w:r>
              <w:rPr>
                <w:rFonts w:hint="eastAsia"/>
                <w:sz w:val="24"/>
              </w:rPr>
              <w:t xml:space="preserve">水槽柜体：水槽柜体由侧板、前门板、后门板及底座组成，前后各设置一个柜门。</w:t>
            </w:r>
            <w:r>
              <w:rPr>
                <w:rFonts w:hint="eastAsia"/>
                <w:sz w:val="24"/>
              </w:rPr>
              <w:br/>
            </w:r>
            <w:r>
              <w:rPr>
                <w:rFonts w:hint="eastAsia"/>
                <w:sz w:val="24"/>
              </w:rPr>
              <w:t xml:space="preserve">▲</w:t>
            </w:r>
            <w:r>
              <w:rPr>
                <w:rFonts w:hint="eastAsia"/>
                <w:sz w:val="24"/>
              </w:rPr>
              <w:t xml:space="preserve">4.</w:t>
            </w:r>
            <w:r>
              <w:rPr>
                <w:rFonts w:hint="eastAsia"/>
                <w:sz w:val="24"/>
              </w:rPr>
              <w:t xml:space="preserve">侧板、前后门板、底座采用≥</w:t>
            </w:r>
            <w:r>
              <w:rPr>
                <w:rFonts w:hint="eastAsia"/>
                <w:sz w:val="24"/>
              </w:rPr>
              <w:t xml:space="preserve">1.0mm</w:t>
            </w:r>
            <w:r>
              <w:rPr>
                <w:rFonts w:hint="eastAsia"/>
                <w:sz w:val="24"/>
              </w:rPr>
              <w:t xml:space="preserve">冷轧钢板，表面经高压静电喷涂环氧树脂防护层，耐酸碱，耐腐蚀处理。</w:t>
            </w:r>
            <w:r>
              <w:rPr>
                <w:rFonts w:hint="eastAsia"/>
                <w:sz w:val="24"/>
              </w:rPr>
              <w:br/>
              <w:t xml:space="preserve">5.</w:t>
            </w:r>
            <w:r>
              <w:rPr>
                <w:rFonts w:hint="eastAsia"/>
                <w:sz w:val="24"/>
              </w:rPr>
              <w:t xml:space="preserve">底部配置调节脚，减少与地面摩擦。</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个</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上水装置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用于连接地面水管及水龙头，上水管两端接头采用不锈钢螺帽铜芯，外管是</w:t>
            </w:r>
            <w:r>
              <w:rPr>
                <w:rFonts w:hint="eastAsia"/>
                <w:sz w:val="24"/>
              </w:rPr>
              <w:t xml:space="preserve">304</w:t>
            </w:r>
            <w:r>
              <w:rPr>
                <w:rFonts w:hint="eastAsia"/>
                <w:sz w:val="24"/>
              </w:rPr>
              <w:t xml:space="preserve">钢丝</w:t>
            </w:r>
            <w:r>
              <w:rPr>
                <w:rFonts w:hint="eastAsia"/>
                <w:sz w:val="24"/>
              </w:rPr>
              <w:t xml:space="preserve">+</w:t>
            </w:r>
            <w:r>
              <w:rPr>
                <w:rFonts w:hint="eastAsia"/>
                <w:sz w:val="24"/>
              </w:rPr>
              <w:t xml:space="preserve">尼龙丝混编的、内管采用三元内管、角阀是钻石轮（塑料包铁）、阀芯和阀体均为铜制。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下水装置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采用</w:t>
            </w:r>
            <w:r>
              <w:rPr>
                <w:rFonts w:hint="eastAsia"/>
                <w:sz w:val="24"/>
              </w:rPr>
              <w:t xml:space="preserve">PP</w:t>
            </w:r>
            <w:r>
              <w:rPr>
                <w:rFonts w:hint="eastAsia"/>
                <w:sz w:val="24"/>
              </w:rPr>
              <w:t xml:space="preserve">材质专用连接管，配有防虹吸，防阻塞装置，不锈钢卡扣连接，安装方便不渗漏。</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15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三联水嘴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br/>
              <w:t xml:space="preserve">1.</w:t>
            </w:r>
            <w:r>
              <w:rPr>
                <w:rFonts w:hint="eastAsia"/>
                <w:sz w:val="24"/>
              </w:rPr>
              <w:t xml:space="preserve">臂弯、主体、进水管、出水管采用不锈钢或黄铜制造。</w:t>
            </w:r>
            <w:r>
              <w:rPr>
                <w:rFonts w:hint="eastAsia"/>
                <w:sz w:val="24"/>
              </w:rPr>
              <w:br/>
              <w:t xml:space="preserve">2.</w:t>
            </w:r>
            <w:r>
              <w:rPr>
                <w:rFonts w:hint="eastAsia"/>
                <w:sz w:val="24"/>
              </w:rPr>
              <w:t xml:space="preserve">涂层</w:t>
            </w:r>
            <w:r>
              <w:rPr>
                <w:rFonts w:hint="eastAsia"/>
                <w:sz w:val="24"/>
              </w:rPr>
              <w:t xml:space="preserve">: </w:t>
            </w:r>
            <w:r>
              <w:rPr>
                <w:rFonts w:hint="eastAsia"/>
                <w:sz w:val="24"/>
              </w:rPr>
              <w:t xml:space="preserve">涂层经亚光环氧树脂耐酸碱粉末涂料热固处理，耐腐蚀、耐热，防紫外线辐射。</w:t>
            </w:r>
            <w:r>
              <w:rPr>
                <w:rFonts w:hint="eastAsia"/>
                <w:sz w:val="24"/>
              </w:rPr>
              <w:br/>
              <w:t xml:space="preserve">3.</w:t>
            </w:r>
            <w:r>
              <w:rPr>
                <w:rFonts w:hint="eastAsia"/>
                <w:sz w:val="24"/>
              </w:rPr>
              <w:t xml:space="preserve">陶瓷阀芯</w:t>
            </w:r>
            <w:r>
              <w:rPr>
                <w:rFonts w:hint="eastAsia"/>
                <w:sz w:val="24"/>
              </w:rPr>
              <w:t xml:space="preserve">: 90</w:t>
            </w:r>
            <w:r>
              <w:rPr>
                <w:rFonts w:hint="eastAsia"/>
                <w:sz w:val="24"/>
              </w:rPr>
              <w:t xml:space="preserve">°旋转。</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124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1.ABS</w:t>
            </w:r>
            <w:r>
              <w:rPr>
                <w:rFonts w:hint="eastAsia"/>
                <w:sz w:val="24"/>
              </w:rPr>
              <w:t xml:space="preserve">嵌入式电源盒，可放置在实验台两侧，书包盒中间，也可置于台面，实验和安装都非常方便。</w:t>
            </w:r>
            <w:r>
              <w:rPr>
                <w:rFonts w:hint="eastAsia"/>
                <w:sz w:val="24"/>
              </w:rPr>
              <w:br/>
              <w:t xml:space="preserve">2.</w:t>
            </w:r>
            <w:r>
              <w:rPr>
                <w:rFonts w:hint="eastAsia"/>
                <w:sz w:val="24"/>
              </w:rPr>
              <w:t xml:space="preserve">学生低压电源由教师集中供电，具有过载保护，过载指示灯点亮，自动复位功能。</w:t>
            </w:r>
            <w:r>
              <w:rPr>
                <w:rFonts w:hint="eastAsia"/>
                <w:sz w:val="24"/>
              </w:rPr>
              <w:br/>
              <w:t xml:space="preserve">3.</w:t>
            </w:r>
            <w:r>
              <w:rPr>
                <w:rFonts w:hint="eastAsia"/>
                <w:sz w:val="24"/>
              </w:rPr>
              <w:t xml:space="preserve">交流低压电源输出</w:t>
            </w:r>
            <w:r>
              <w:rPr>
                <w:rFonts w:hint="eastAsia"/>
                <w:sz w:val="24"/>
              </w:rPr>
              <w:t xml:space="preserve">:2V</w:t>
            </w:r>
            <w:r>
              <w:rPr>
                <w:rFonts w:hint="eastAsia"/>
                <w:sz w:val="24"/>
              </w:rPr>
              <w:t xml:space="preserve">到</w:t>
            </w:r>
            <w:r>
              <w:rPr>
                <w:rFonts w:hint="eastAsia"/>
                <w:sz w:val="24"/>
              </w:rPr>
              <w:t xml:space="preserve">24V</w:t>
            </w:r>
            <w:r>
              <w:rPr>
                <w:rFonts w:hint="eastAsia"/>
                <w:sz w:val="24"/>
              </w:rPr>
              <w:t xml:space="preserve">，由教师分档调节送给。学生直流输出的电压为学生交流全桥整流方式。</w:t>
            </w:r>
            <w:r>
              <w:rPr>
                <w:rFonts w:hint="eastAsia"/>
                <w:sz w:val="24"/>
              </w:rPr>
              <w:br/>
              <w:t xml:space="preserve">4.</w:t>
            </w:r>
            <w:r>
              <w:rPr>
                <w:rFonts w:hint="eastAsia"/>
                <w:sz w:val="24"/>
              </w:rPr>
              <w:t xml:space="preserve">国标</w:t>
            </w:r>
            <w:r>
              <w:rPr>
                <w:rFonts w:hint="eastAsia"/>
                <w:sz w:val="24"/>
              </w:rPr>
              <w:t xml:space="preserve">220V</w:t>
            </w:r>
            <w:r>
              <w:rPr>
                <w:rFonts w:hint="eastAsia"/>
                <w:sz w:val="24"/>
              </w:rPr>
              <w:t xml:space="preserve">电源插座，由教师集中控制</w:t>
            </w:r>
            <w:r>
              <w:rPr>
                <w:rFonts w:hint="eastAsia"/>
                <w:sz w:val="24"/>
              </w:rPr>
              <w:t xml:space="preserve">220V</w:t>
            </w:r>
            <w:r>
              <w:rPr>
                <w:rFonts w:hint="eastAsia"/>
                <w:sz w:val="24"/>
              </w:rPr>
              <w:t xml:space="preserve">，安全可靠。保险丝保护，</w:t>
            </w:r>
            <w:r>
              <w:rPr>
                <w:rFonts w:hint="eastAsia"/>
                <w:sz w:val="24"/>
              </w:rPr>
              <w:t xml:space="preserve">220V</w:t>
            </w:r>
            <w:r>
              <w:rPr>
                <w:rFonts w:hint="eastAsia"/>
                <w:sz w:val="24"/>
              </w:rPr>
              <w:t xml:space="preserve">电源指示灯，电源开关控制。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385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教师总控电源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br/>
              <w:t xml:space="preserve">1.</w:t>
            </w:r>
            <w:r>
              <w:rPr>
                <w:rFonts w:hint="eastAsia"/>
                <w:sz w:val="24"/>
              </w:rPr>
              <w:t xml:space="preserve">采用火线，零线双组开管的漏电保护器。</w:t>
            </w:r>
            <w:r>
              <w:rPr>
                <w:rFonts w:hint="eastAsia"/>
                <w:sz w:val="24"/>
              </w:rPr>
              <w:br/>
              <w:t xml:space="preserve">2.</w:t>
            </w:r>
            <w:r>
              <w:rPr>
                <w:rFonts w:hint="eastAsia"/>
                <w:sz w:val="24"/>
              </w:rPr>
              <w:t xml:space="preserve">具有定时自动关机功能。</w:t>
            </w:r>
            <w:r>
              <w:rPr>
                <w:rFonts w:hint="eastAsia"/>
                <w:sz w:val="24"/>
              </w:rPr>
              <w:br/>
              <w:t xml:space="preserve">3.</w:t>
            </w:r>
            <w:r>
              <w:rPr>
                <w:rFonts w:hint="eastAsia"/>
                <w:sz w:val="24"/>
              </w:rPr>
              <w:t xml:space="preserve">采用触摸屏控制、显示教师和学生交直流电压，电流。</w:t>
            </w:r>
            <w:r>
              <w:rPr>
                <w:rFonts w:hint="eastAsia"/>
                <w:sz w:val="24"/>
              </w:rPr>
              <w:br/>
              <w:t xml:space="preserve">4.</w:t>
            </w:r>
            <w:r>
              <w:rPr>
                <w:rFonts w:hint="eastAsia"/>
                <w:sz w:val="24"/>
              </w:rPr>
              <w:t xml:space="preserve">分</w:t>
            </w:r>
            <w:r>
              <w:rPr>
                <w:rFonts w:hint="eastAsia"/>
                <w:sz w:val="24"/>
              </w:rPr>
              <w:t xml:space="preserve">4</w:t>
            </w:r>
            <w:r>
              <w:rPr>
                <w:rFonts w:hint="eastAsia"/>
                <w:sz w:val="24"/>
              </w:rPr>
              <w:t xml:space="preserve">组向学生实验桌输出安全的</w:t>
            </w:r>
            <w:r>
              <w:rPr>
                <w:rFonts w:hint="eastAsia"/>
                <w:sz w:val="24"/>
              </w:rPr>
              <w:t xml:space="preserve">220V</w:t>
            </w:r>
            <w:r>
              <w:rPr>
                <w:rFonts w:hint="eastAsia"/>
                <w:sz w:val="24"/>
              </w:rPr>
              <w:t xml:space="preserve">交流电源。</w:t>
            </w:r>
            <w:r>
              <w:rPr>
                <w:rFonts w:hint="eastAsia"/>
                <w:sz w:val="24"/>
              </w:rPr>
              <w:t xml:space="preserve">                                 </w:t>
            </w:r>
            <w:r>
              <w:rPr>
                <w:rFonts w:hint="eastAsia"/>
                <w:sz w:val="24"/>
              </w:rPr>
              <w:br/>
              <w:t xml:space="preserve">5.</w:t>
            </w:r>
            <w:r>
              <w:rPr>
                <w:rFonts w:hint="eastAsia"/>
                <w:sz w:val="24"/>
              </w:rPr>
              <w:t xml:space="preserve">教师集中供电控制学生低压。分四组控制，且有电流监控功能。</w:t>
            </w:r>
            <w:r>
              <w:rPr>
                <w:rFonts w:hint="eastAsia"/>
                <w:sz w:val="24"/>
              </w:rPr>
              <w:br/>
              <w:t xml:space="preserve">6.</w:t>
            </w:r>
            <w:r>
              <w:rPr>
                <w:rFonts w:hint="eastAsia"/>
                <w:sz w:val="24"/>
              </w:rPr>
              <w:t xml:space="preserve">教师自用低压交流电源电压为</w:t>
            </w:r>
            <w:r>
              <w:rPr>
                <w:rFonts w:hint="eastAsia"/>
                <w:sz w:val="24"/>
              </w:rPr>
              <w:t xml:space="preserve">0V-18V/3A</w:t>
            </w:r>
            <w:r>
              <w:rPr>
                <w:rFonts w:hint="eastAsia"/>
                <w:sz w:val="24"/>
              </w:rPr>
              <w:t xml:space="preserve">、</w:t>
            </w:r>
            <w:r>
              <w:rPr>
                <w:rFonts w:hint="eastAsia"/>
                <w:sz w:val="24"/>
              </w:rPr>
              <w:t xml:space="preserve">19V-30V/2A</w:t>
            </w:r>
            <w:r>
              <w:rPr>
                <w:rFonts w:hint="eastAsia"/>
                <w:sz w:val="24"/>
              </w:rPr>
              <w:t xml:space="preserve">，分辩率为</w:t>
            </w:r>
            <w:r>
              <w:rPr>
                <w:rFonts w:hint="eastAsia"/>
                <w:sz w:val="24"/>
              </w:rPr>
              <w:t xml:space="preserve">1V</w:t>
            </w:r>
            <w:r>
              <w:rPr>
                <w:rFonts w:hint="eastAsia"/>
                <w:sz w:val="24"/>
              </w:rPr>
              <w:t xml:space="preserve">。具备自动过载保护功能。</w:t>
            </w:r>
            <w:r>
              <w:rPr>
                <w:rFonts w:hint="eastAsia"/>
                <w:sz w:val="24"/>
              </w:rPr>
              <w:br/>
              <w:t xml:space="preserve">7.</w:t>
            </w:r>
            <w:r>
              <w:rPr>
                <w:rFonts w:hint="eastAsia"/>
                <w:sz w:val="24"/>
              </w:rPr>
              <w:t xml:space="preserve">教师自用低压直流电源电压为</w:t>
            </w:r>
            <w:r>
              <w:rPr>
                <w:rFonts w:hint="eastAsia"/>
                <w:sz w:val="24"/>
              </w:rPr>
              <w:t xml:space="preserve">0V-18.0V/2A</w:t>
            </w:r>
            <w:r>
              <w:rPr>
                <w:rFonts w:hint="eastAsia"/>
                <w:sz w:val="24"/>
              </w:rPr>
              <w:t xml:space="preserve">、</w:t>
            </w:r>
            <w:r>
              <w:rPr>
                <w:rFonts w:hint="eastAsia"/>
                <w:sz w:val="24"/>
              </w:rPr>
              <w:t xml:space="preserve">18.1V-30.0V/1.5A</w:t>
            </w:r>
            <w:r>
              <w:rPr>
                <w:rFonts w:hint="eastAsia"/>
                <w:sz w:val="24"/>
              </w:rPr>
              <w:t xml:space="preserve">，分辩率为</w:t>
            </w:r>
            <w:r>
              <w:rPr>
                <w:rFonts w:hint="eastAsia"/>
                <w:sz w:val="24"/>
              </w:rPr>
              <w:t xml:space="preserve">0.1V</w:t>
            </w:r>
            <w:r>
              <w:rPr>
                <w:rFonts w:hint="eastAsia"/>
                <w:sz w:val="24"/>
              </w:rPr>
              <w:t xml:space="preserve">。具备自动过载保护功能</w:t>
            </w:r>
            <w:r>
              <w:rPr>
                <w:rFonts w:hint="eastAsia"/>
                <w:sz w:val="24"/>
              </w:rPr>
              <w:br/>
              <w:t xml:space="preserve">8.</w:t>
            </w:r>
            <w:r>
              <w:rPr>
                <w:rFonts w:hint="eastAsia"/>
                <w:sz w:val="24"/>
              </w:rPr>
              <w:t xml:space="preserve">大电流短时输出。</w:t>
            </w:r>
            <w:r>
              <w:rPr>
                <w:rFonts w:hint="eastAsia"/>
                <w:sz w:val="24"/>
              </w:rPr>
              <w:t xml:space="preserve">8</w:t>
            </w:r>
            <w:r>
              <w:rPr>
                <w:rFonts w:hint="eastAsia"/>
                <w:sz w:val="24"/>
              </w:rPr>
              <w:t xml:space="preserve">秒自动关断。</w:t>
            </w:r>
            <w:r>
              <w:rPr>
                <w:rFonts w:hint="eastAsia"/>
                <w:sz w:val="24"/>
              </w:rPr>
              <w:t xml:space="preserve">                                                            </w:t>
            </w:r>
            <w:r>
              <w:rPr>
                <w:rFonts w:hint="eastAsia"/>
                <w:sz w:val="24"/>
              </w:rPr>
              <w:br/>
              <w:t xml:space="preserve">9.</w:t>
            </w:r>
            <w:r>
              <w:rPr>
                <w:rFonts w:hint="eastAsia"/>
                <w:sz w:val="24"/>
              </w:rPr>
              <w:t xml:space="preserve">直流高压：输出</w:t>
            </w:r>
            <w:r>
              <w:rPr>
                <w:rFonts w:hint="eastAsia"/>
                <w:sz w:val="24"/>
              </w:rPr>
              <w:t xml:space="preserve">240V</w:t>
            </w:r>
            <w:r>
              <w:rPr>
                <w:rFonts w:hint="eastAsia"/>
                <w:sz w:val="24"/>
              </w:rPr>
              <w:t xml:space="preserve">或</w:t>
            </w:r>
            <w:r>
              <w:rPr>
                <w:rFonts w:hint="eastAsia"/>
                <w:sz w:val="24"/>
              </w:rPr>
              <w:t xml:space="preserve">300V</w:t>
            </w:r>
            <w:r>
              <w:rPr>
                <w:rFonts w:hint="eastAsia"/>
                <w:sz w:val="24"/>
              </w:rPr>
              <w:t xml:space="preserve">的高压，输出电流为</w:t>
            </w:r>
            <w:r>
              <w:rPr>
                <w:rFonts w:hint="eastAsia"/>
                <w:sz w:val="24"/>
              </w:rPr>
              <w:t xml:space="preserve">100mA,</w:t>
            </w:r>
            <w:r>
              <w:rPr>
                <w:rFonts w:hint="eastAsia"/>
                <w:sz w:val="24"/>
              </w:rPr>
              <w:t xml:space="preserve">具备过载保护功能。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106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实验凳</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jc w:val="left"/>
              <w:widowControl/>
              <w:rPr>
                <w:sz w:val="24"/>
              </w:rPr>
            </w:pPr>
            <w:r>
              <w:rPr>
                <w:rFonts w:hint="eastAsia"/>
                <w:sz w:val="24"/>
              </w:rPr>
              <w:t xml:space="preserve">1.</w:t>
            </w:r>
            <w:r>
              <w:rPr>
                <w:rFonts w:hint="eastAsia"/>
                <w:sz w:val="24"/>
              </w:rPr>
              <w:t xml:space="preserve">规格：Ф凳面直径</w:t>
            </w:r>
            <w:r>
              <w:rPr>
                <w:rFonts w:hint="eastAsia"/>
                <w:sz w:val="24"/>
              </w:rPr>
              <w:t xml:space="preserve">300/315/320</w:t>
            </w:r>
            <w:r>
              <w:rPr>
                <w:rFonts w:hint="eastAsia"/>
                <w:sz w:val="24"/>
              </w:rPr>
              <w:t xml:space="preserve">×高</w:t>
            </w:r>
            <w:r>
              <w:rPr>
                <w:rFonts w:hint="eastAsia"/>
                <w:sz w:val="24"/>
              </w:rPr>
              <w:t xml:space="preserve">450/500/510mm</w:t>
            </w:r>
            <w:r>
              <w:rPr>
                <w:rFonts w:hint="eastAsia"/>
                <w:sz w:val="24"/>
              </w:rPr>
              <w:t xml:space="preserve">。</w:t>
            </w:r>
            <w:r>
              <w:rPr>
                <w:rFonts w:hint="eastAsia"/>
                <w:sz w:val="24"/>
              </w:rPr>
              <w:br/>
              <w:t xml:space="preserve">2.</w:t>
            </w:r>
            <w:r>
              <w:rPr>
                <w:rFonts w:hint="eastAsia"/>
                <w:sz w:val="24"/>
              </w:rPr>
              <w:t xml:space="preserve">全新注塑凳面。</w:t>
            </w:r>
            <w:r>
              <w:rPr>
                <w:rFonts w:hint="eastAsia"/>
                <w:sz w:val="24"/>
              </w:rPr>
              <w:br/>
              <w:t xml:space="preserve">3. </w:t>
            </w:r>
            <w:r>
              <w:rPr>
                <w:rFonts w:hint="eastAsia"/>
                <w:sz w:val="24"/>
              </w:rPr>
              <w:t xml:space="preserve">钢管≥</w:t>
            </w:r>
            <w:r>
              <w:rPr>
                <w:rFonts w:hint="eastAsia"/>
                <w:sz w:val="24"/>
              </w:rPr>
              <w:t xml:space="preserve">40*20*1.2mm</w:t>
            </w:r>
            <w:r>
              <w:rPr>
                <w:rFonts w:hint="eastAsia"/>
                <w:sz w:val="24"/>
              </w:rPr>
              <w:t xml:space="preserve">一体折弯成型，钢制四脚，下带</w:t>
            </w:r>
            <w:r>
              <w:rPr>
                <w:rFonts w:hint="eastAsia"/>
                <w:sz w:val="24"/>
              </w:rPr>
              <w:t xml:space="preserve">ABS</w:t>
            </w:r>
            <w:r>
              <w:rPr>
                <w:rFonts w:hint="eastAsia"/>
                <w:sz w:val="24"/>
              </w:rPr>
              <w:t xml:space="preserve">防水脚垫。外喷环氧树脂涂层，耐腐蚀耐酸碱。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条</w:t>
            </w:r>
            <w:r/>
          </w:p>
        </w:tc>
      </w:tr>
      <w:tr>
        <w:trPr>
          <w:trHeight w:val="11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实验光源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台灯采用内置</w:t>
            </w:r>
            <w:r>
              <w:rPr>
                <w:rFonts w:hint="eastAsia"/>
                <w:sz w:val="24"/>
              </w:rPr>
              <w:t xml:space="preserve">LED</w:t>
            </w:r>
            <w:r>
              <w:rPr>
                <w:rFonts w:hint="eastAsia"/>
                <w:sz w:val="24"/>
              </w:rPr>
              <w:t xml:space="preserve">灯条，台灯整体功率不大于</w:t>
            </w:r>
            <w:r>
              <w:rPr>
                <w:rFonts w:hint="eastAsia"/>
                <w:sz w:val="24"/>
              </w:rPr>
              <w:t xml:space="preserve">7w</w:t>
            </w:r>
            <w:r>
              <w:rPr>
                <w:rFonts w:hint="eastAsia"/>
                <w:sz w:val="24"/>
              </w:rPr>
              <w:t xml:space="preserve">，台灯外壳采用</w:t>
            </w:r>
            <w:r>
              <w:rPr>
                <w:rFonts w:hint="eastAsia"/>
                <w:sz w:val="24"/>
              </w:rPr>
              <w:t xml:space="preserve">ABS</w:t>
            </w:r>
            <w:r>
              <w:rPr>
                <w:rFonts w:hint="eastAsia"/>
                <w:sz w:val="24"/>
              </w:rPr>
              <w:t xml:space="preserve">工程塑料注塑成型，光线柔和无频闪；照明角度可调节，调节的支撑脚内置不锈钢阻尼转轴。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822"/>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洗眼器</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jc w:val="left"/>
              <w:widowControl/>
              <w:rPr>
                <w:sz w:val="24"/>
              </w:rPr>
            </w:pPr>
            <w:r>
              <w:rPr>
                <w:rFonts w:hint="eastAsia"/>
                <w:sz w:val="24"/>
              </w:rPr>
              <w:t xml:space="preserve">洗眼喷头：采用不助燃</w:t>
            </w:r>
            <w:r>
              <w:rPr>
                <w:rFonts w:hint="eastAsia"/>
                <w:sz w:val="24"/>
              </w:rPr>
              <w:t xml:space="preserve">PC</w:t>
            </w:r>
            <w:r>
              <w:rPr>
                <w:rFonts w:hint="eastAsia"/>
                <w:sz w:val="24"/>
              </w:rPr>
              <w:t xml:space="preserve">材质模铸一体成形制作，具有过滤泡棉及防尘功能，上面防尘盖平常可防尘，使用时可随时被水冲开，并降低突然打开时短暂的高</w:t>
            </w:r>
            <w:r>
              <w:rPr>
                <w:rFonts w:hint="eastAsia"/>
                <w:sz w:val="24"/>
              </w:rPr>
              <w:t xml:space="preserve">水压，避免冲伤眼睛。</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822"/>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室内地上下给排水设备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给水采用优质金属软连接与龙头连接，地上每套水嘴设一控制阀门。排水采用优质</w:t>
            </w:r>
            <w:r>
              <w:rPr>
                <w:rFonts w:hint="eastAsia"/>
                <w:sz w:val="24"/>
              </w:rPr>
              <w:t xml:space="preserve">PVC</w:t>
            </w:r>
            <w:r>
              <w:rPr>
                <w:rFonts w:hint="eastAsia"/>
                <w:sz w:val="24"/>
              </w:rPr>
              <w:t xml:space="preserve">管，连接处密封，给水采用优质专用</w:t>
            </w:r>
            <w:r>
              <w:rPr>
                <w:rFonts w:hint="eastAsia"/>
                <w:sz w:val="24"/>
              </w:rPr>
              <w:t xml:space="preserve">PPR</w:t>
            </w:r>
            <w:r>
              <w:rPr>
                <w:rFonts w:hint="eastAsia"/>
                <w:sz w:val="24"/>
              </w:rPr>
              <w:t xml:space="preserve">管铺设，排水采用优质</w:t>
            </w:r>
            <w:r>
              <w:rPr>
                <w:rFonts w:hint="eastAsia"/>
                <w:sz w:val="24"/>
              </w:rPr>
              <w:t xml:space="preserve">PVC</w:t>
            </w:r>
            <w:r>
              <w:rPr>
                <w:rFonts w:hint="eastAsia"/>
                <w:sz w:val="24"/>
              </w:rPr>
              <w:t xml:space="preserve">管铺设，含辅材和安装。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室</w:t>
            </w:r>
            <w:r/>
          </w:p>
        </w:tc>
      </w:tr>
      <w:tr>
        <w:trPr>
          <w:trHeight w:val="8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室内地上下配电设备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地上采用铝塑护套管，内穿塑铜线，有效固定，按国标施工。地下采用</w:t>
            </w:r>
            <w:r>
              <w:rPr>
                <w:rFonts w:hint="eastAsia"/>
                <w:sz w:val="24"/>
              </w:rPr>
              <w:t xml:space="preserve">PVC</w:t>
            </w:r>
            <w:r>
              <w:rPr>
                <w:rFonts w:hint="eastAsia"/>
                <w:sz w:val="24"/>
              </w:rPr>
              <w:t xml:space="preserve">阻燃塑料管，内穿国标</w:t>
            </w:r>
            <w:r>
              <w:rPr>
                <w:rFonts w:hint="eastAsia"/>
                <w:sz w:val="24"/>
              </w:rPr>
              <w:t xml:space="preserve">BV</w:t>
            </w:r>
            <w:r>
              <w:rPr>
                <w:rFonts w:hint="eastAsia"/>
                <w:sz w:val="24"/>
              </w:rPr>
              <w:t xml:space="preserve">线，含辅材和安装。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室</w:t>
            </w:r>
            <w:r/>
          </w:p>
        </w:tc>
      </w:tr>
      <w:tr>
        <w:trPr>
          <w:trHeight w:val="625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静电地板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参考规格：</w:t>
            </w:r>
            <w:r>
              <w:rPr>
                <w:rFonts w:hint="eastAsia"/>
                <w:sz w:val="24"/>
              </w:rPr>
              <w:t xml:space="preserve"> 600mm </w:t>
            </w:r>
            <w:r>
              <w:rPr>
                <w:rFonts w:hint="eastAsia"/>
                <w:sz w:val="24"/>
              </w:rPr>
              <w:t xml:space="preserve">×</w:t>
            </w:r>
            <w:r>
              <w:rPr>
                <w:rFonts w:hint="eastAsia"/>
                <w:sz w:val="24"/>
              </w:rPr>
              <w:t xml:space="preserve"> 600mm </w:t>
            </w:r>
            <w:r>
              <w:rPr>
                <w:rFonts w:hint="eastAsia"/>
                <w:sz w:val="24"/>
              </w:rPr>
              <w:t xml:space="preserve">×</w:t>
            </w:r>
            <w:r>
              <w:rPr>
                <w:rFonts w:hint="eastAsia"/>
                <w:sz w:val="24"/>
              </w:rPr>
              <w:t xml:space="preserve"> 35mm</w:t>
            </w:r>
            <w:r>
              <w:rPr>
                <w:rFonts w:hint="eastAsia"/>
                <w:sz w:val="24"/>
              </w:rPr>
              <w:t xml:space="preserve">（长×宽×厚）。</w:t>
            </w:r>
            <w:r>
              <w:rPr>
                <w:rFonts w:hint="eastAsia"/>
                <w:sz w:val="24"/>
              </w:rPr>
              <w:br/>
            </w:r>
            <w:r>
              <w:rPr>
                <w:rFonts w:hint="eastAsia"/>
                <w:sz w:val="24"/>
              </w:rPr>
              <w:t xml:space="preserve">系统结构：架空活动地板系统，包含防静电地板、支架、横梁。</w:t>
            </w:r>
            <w:r>
              <w:rPr>
                <w:rFonts w:hint="eastAsia"/>
                <w:sz w:val="24"/>
              </w:rPr>
              <w:br/>
            </w:r>
            <w:r>
              <w:rPr>
                <w:rFonts w:hint="eastAsia"/>
                <w:sz w:val="24"/>
              </w:rPr>
              <w:t xml:space="preserve">面层材料：</w:t>
            </w:r>
            <w:r>
              <w:rPr>
                <w:rFonts w:hint="eastAsia"/>
                <w:sz w:val="24"/>
              </w:rPr>
              <w:t xml:space="preserve"> </w:t>
            </w:r>
            <w:r>
              <w:rPr>
                <w:rFonts w:hint="eastAsia"/>
                <w:sz w:val="24"/>
              </w:rPr>
              <w:t xml:space="preserve">高性能防静电陶瓷耐磨层。表面耐磨层厚度</w:t>
            </w:r>
            <w:r>
              <w:rPr>
                <w:rFonts w:hint="eastAsia"/>
                <w:sz w:val="24"/>
              </w:rPr>
              <w:t xml:space="preserve"> </w:t>
            </w:r>
            <w:r>
              <w:rPr>
                <w:rFonts w:hint="eastAsia"/>
                <w:sz w:val="24"/>
              </w:rPr>
              <w:t xml:space="preserve">≥</w:t>
            </w:r>
            <w:r>
              <w:rPr>
                <w:rFonts w:hint="eastAsia"/>
                <w:sz w:val="24"/>
              </w:rPr>
              <w:t xml:space="preserve"> 1.2mm</w:t>
            </w:r>
            <w:r>
              <w:rPr>
                <w:rFonts w:hint="eastAsia"/>
                <w:sz w:val="24"/>
              </w:rPr>
              <w:t xml:space="preserve">。</w:t>
            </w:r>
            <w:r>
              <w:rPr>
                <w:rFonts w:hint="eastAsia"/>
                <w:sz w:val="24"/>
              </w:rPr>
              <w:br/>
            </w:r>
            <w:r>
              <w:rPr>
                <w:rFonts w:hint="eastAsia"/>
                <w:sz w:val="24"/>
              </w:rPr>
              <w:t xml:space="preserve">具备防静电性能，集中载荷：≥</w:t>
            </w:r>
            <w:r>
              <w:rPr>
                <w:rFonts w:hint="eastAsia"/>
                <w:sz w:val="24"/>
              </w:rPr>
              <w:t xml:space="preserve"> 3560 N </w:t>
            </w:r>
            <w:r>
              <w:rPr>
                <w:rFonts w:hint="eastAsia"/>
                <w:sz w:val="24"/>
              </w:rPr>
              <w:t xml:space="preserve">，变形量</w:t>
            </w:r>
            <w:r>
              <w:rPr>
                <w:rFonts w:hint="eastAsia"/>
                <w:sz w:val="24"/>
              </w:rPr>
              <w:t xml:space="preserve"> </w:t>
            </w:r>
            <w:r>
              <w:rPr>
                <w:rFonts w:hint="eastAsia"/>
                <w:sz w:val="24"/>
              </w:rPr>
              <w:t xml:space="preserve">≤</w:t>
            </w:r>
            <w:r>
              <w:rPr>
                <w:rFonts w:hint="eastAsia"/>
                <w:sz w:val="24"/>
              </w:rPr>
              <w:t xml:space="preserve"> 2mm</w:t>
            </w:r>
            <w:r>
              <w:rPr>
                <w:rFonts w:hint="eastAsia"/>
                <w:sz w:val="24"/>
              </w:rPr>
              <w:t xml:space="preserve">。</w:t>
            </w:r>
            <w:r>
              <w:rPr>
                <w:rFonts w:hint="eastAsia"/>
                <w:sz w:val="24"/>
              </w:rPr>
              <w:br/>
            </w:r>
            <w:r>
              <w:rPr>
                <w:rFonts w:hint="eastAsia"/>
                <w:sz w:val="24"/>
              </w:rPr>
              <w:t xml:space="preserve">均布载荷：</w:t>
            </w:r>
            <w:r>
              <w:rPr>
                <w:rFonts w:hint="eastAsia"/>
                <w:sz w:val="24"/>
              </w:rPr>
              <w:t xml:space="preserve"> </w:t>
            </w:r>
            <w:r>
              <w:rPr>
                <w:rFonts w:hint="eastAsia"/>
                <w:sz w:val="24"/>
              </w:rPr>
              <w:t xml:space="preserve">≥</w:t>
            </w:r>
            <w:r>
              <w:rPr>
                <w:rFonts w:hint="eastAsia"/>
                <w:sz w:val="24"/>
              </w:rPr>
              <w:t xml:space="preserve"> 23600 N/</w:t>
            </w:r>
            <w:r>
              <w:rPr>
                <w:rFonts w:hint="eastAsia"/>
                <w:sz w:val="24"/>
              </w:rPr>
              <w:t xml:space="preserve">㎡。</w:t>
            </w:r>
            <w:r>
              <w:rPr>
                <w:rFonts w:hint="eastAsia"/>
                <w:sz w:val="24"/>
              </w:rPr>
              <w:br/>
            </w:r>
            <w:r>
              <w:rPr>
                <w:rFonts w:hint="eastAsia"/>
                <w:sz w:val="24"/>
              </w:rPr>
              <w:t xml:space="preserve">防火等级：</w:t>
            </w:r>
            <w:r>
              <w:rPr>
                <w:rFonts w:hint="eastAsia"/>
                <w:sz w:val="24"/>
              </w:rPr>
              <w:t xml:space="preserve"> </w:t>
            </w:r>
            <w:r>
              <w:rPr>
                <w:rFonts w:hint="eastAsia"/>
                <w:sz w:val="24"/>
              </w:rPr>
              <w:t xml:space="preserve">国家</w:t>
            </w:r>
            <w:r>
              <w:rPr>
                <w:rFonts w:hint="eastAsia"/>
                <w:sz w:val="24"/>
              </w:rPr>
              <w:t xml:space="preserve">A</w:t>
            </w:r>
            <w:r>
              <w:rPr>
                <w:rFonts w:hint="eastAsia"/>
                <w:sz w:val="24"/>
              </w:rPr>
              <w:t xml:space="preserve">级（不燃材料）。</w:t>
            </w:r>
            <w:r>
              <w:rPr>
                <w:rFonts w:hint="eastAsia"/>
                <w:sz w:val="24"/>
              </w:rPr>
              <w:br/>
            </w:r>
            <w:r>
              <w:rPr>
                <w:rFonts w:hint="eastAsia"/>
                <w:sz w:val="24"/>
              </w:rPr>
              <w:t xml:space="preserve">耐磨性：</w:t>
            </w:r>
            <w:r>
              <w:rPr>
                <w:rFonts w:hint="eastAsia"/>
                <w:sz w:val="24"/>
              </w:rPr>
              <w:t xml:space="preserve"> </w:t>
            </w:r>
            <w:r>
              <w:rPr>
                <w:rFonts w:hint="eastAsia"/>
                <w:sz w:val="24"/>
              </w:rPr>
              <w:t xml:space="preserve">陶瓷面层耐磨转数</w:t>
            </w:r>
            <w:r>
              <w:rPr>
                <w:rFonts w:hint="eastAsia"/>
                <w:sz w:val="24"/>
              </w:rPr>
              <w:t xml:space="preserve"> </w:t>
            </w:r>
            <w:r>
              <w:rPr>
                <w:rFonts w:hint="eastAsia"/>
                <w:sz w:val="24"/>
              </w:rPr>
              <w:t xml:space="preserve">≥</w:t>
            </w:r>
            <w:r>
              <w:rPr>
                <w:rFonts w:hint="eastAsia"/>
                <w:sz w:val="24"/>
              </w:rPr>
              <w:t xml:space="preserve"> 1500</w:t>
            </w:r>
            <w:r>
              <w:rPr>
                <w:rFonts w:hint="eastAsia"/>
                <w:sz w:val="24"/>
              </w:rPr>
              <w:t xml:space="preserve">转。</w:t>
            </w:r>
            <w:r>
              <w:rPr>
                <w:rFonts w:hint="eastAsia"/>
                <w:sz w:val="24"/>
              </w:rPr>
              <w:br/>
            </w:r>
            <w:r>
              <w:rPr>
                <w:rFonts w:hint="eastAsia"/>
                <w:sz w:val="24"/>
              </w:rPr>
              <w:t xml:space="preserve">耐腐蚀性：</w:t>
            </w:r>
            <w:r>
              <w:rPr>
                <w:rFonts w:hint="eastAsia"/>
                <w:sz w:val="24"/>
              </w:rPr>
              <w:t xml:space="preserve"> </w:t>
            </w:r>
            <w:r>
              <w:rPr>
                <w:rFonts w:hint="eastAsia"/>
                <w:sz w:val="24"/>
              </w:rPr>
              <w:t xml:space="preserve">陶瓷面层能抵抗实验室常见酸碱化学试剂的轻微溅洒，易于清洁且不留痕迹。</w:t>
            </w:r>
            <w:r>
              <w:rPr>
                <w:rFonts w:hint="eastAsia"/>
                <w:sz w:val="24"/>
              </w:rPr>
              <w:br/>
            </w:r>
            <w:r>
              <w:rPr>
                <w:rFonts w:hint="eastAsia"/>
                <w:sz w:val="24"/>
              </w:rPr>
              <w:br/>
            </w:r>
            <w:r>
              <w:rPr>
                <w:rFonts w:hint="eastAsia"/>
                <w:sz w:val="24"/>
              </w:rPr>
              <w:t xml:space="preserve">吸水率：</w:t>
            </w:r>
            <w:r>
              <w:rPr>
                <w:rFonts w:hint="eastAsia"/>
                <w:sz w:val="24"/>
              </w:rPr>
              <w:t xml:space="preserve"> </w:t>
            </w:r>
            <w:r>
              <w:rPr>
                <w:rFonts w:hint="eastAsia"/>
                <w:sz w:val="24"/>
              </w:rPr>
              <w:t xml:space="preserve">陶瓷面层吸水率应</w:t>
            </w:r>
            <w:r>
              <w:rPr>
                <w:rFonts w:hint="eastAsia"/>
                <w:sz w:val="24"/>
              </w:rPr>
              <w:t xml:space="preserve"> &lt; 0.5%</w:t>
            </w:r>
            <w:r>
              <w:rPr>
                <w:rFonts w:hint="eastAsia"/>
                <w:sz w:val="24"/>
              </w:rPr>
              <w:t xml:space="preserve">。</w:t>
            </w:r>
            <w:r>
              <w:rPr>
                <w:rFonts w:hint="eastAsia"/>
                <w:sz w:val="24"/>
              </w:rPr>
              <w:br/>
            </w:r>
            <w:r>
              <w:rPr>
                <w:rFonts w:hint="eastAsia"/>
                <w:sz w:val="24"/>
              </w:rPr>
              <w:t xml:space="preserve">翘曲度：</w:t>
            </w:r>
            <w:r>
              <w:rPr>
                <w:rFonts w:hint="eastAsia"/>
                <w:sz w:val="24"/>
              </w:rPr>
              <w:t xml:space="preserve"> </w:t>
            </w:r>
            <w:r>
              <w:rPr>
                <w:rFonts w:hint="eastAsia"/>
                <w:sz w:val="24"/>
              </w:rPr>
              <w:t xml:space="preserve">地板板面翘曲度</w:t>
            </w:r>
            <w:r>
              <w:rPr>
                <w:rFonts w:hint="eastAsia"/>
                <w:sz w:val="24"/>
              </w:rPr>
              <w:t xml:space="preserve"> </w:t>
            </w:r>
            <w:r>
              <w:rPr>
                <w:rFonts w:hint="eastAsia"/>
                <w:sz w:val="24"/>
              </w:rPr>
              <w:t xml:space="preserve">≤</w:t>
            </w:r>
            <w:r>
              <w:rPr>
                <w:rFonts w:hint="eastAsia"/>
                <w:sz w:val="24"/>
              </w:rPr>
              <w:t xml:space="preserve"> 0.5%</w:t>
            </w:r>
            <w:r>
              <w:rPr>
                <w:rFonts w:hint="eastAsia"/>
                <w:sz w:val="24"/>
              </w:rPr>
              <w:t xml:space="preserve">。</w:t>
            </w:r>
            <w:r>
              <w:rPr>
                <w:rFonts w:hint="eastAsia"/>
                <w:sz w:val="24"/>
              </w:rPr>
              <w:br/>
            </w:r>
            <w:r>
              <w:rPr>
                <w:rFonts w:hint="eastAsia"/>
                <w:sz w:val="24"/>
              </w:rPr>
              <w:t xml:space="preserve">支撑系统：</w:t>
            </w:r>
            <w:r>
              <w:rPr>
                <w:rFonts w:hint="eastAsia"/>
                <w:sz w:val="24"/>
              </w:rPr>
              <w:br/>
            </w:r>
            <w:r>
              <w:rPr>
                <w:rFonts w:hint="eastAsia"/>
                <w:sz w:val="24"/>
              </w:rPr>
              <w:t xml:space="preserve">支架：</w:t>
            </w:r>
            <w:r>
              <w:rPr>
                <w:rFonts w:hint="eastAsia"/>
                <w:sz w:val="24"/>
              </w:rPr>
              <w:t xml:space="preserve"> </w:t>
            </w:r>
            <w:r>
              <w:rPr>
                <w:rFonts w:hint="eastAsia"/>
                <w:sz w:val="24"/>
              </w:rPr>
              <w:t xml:space="preserve">由上托、螺杆、管柱、底座组成。管柱和底座为高强度铸铁或优质钢材，厚度≥</w:t>
            </w:r>
            <w:r>
              <w:rPr>
                <w:rFonts w:hint="eastAsia"/>
                <w:sz w:val="24"/>
              </w:rPr>
              <w:t xml:space="preserve">2.0mm</w:t>
            </w:r>
            <w:r>
              <w:rPr>
                <w:rFonts w:hint="eastAsia"/>
                <w:sz w:val="24"/>
              </w:rPr>
              <w:t xml:space="preserve">。并能实现不小于±</w:t>
            </w:r>
            <w:r>
              <w:rPr>
                <w:rFonts w:hint="eastAsia"/>
                <w:sz w:val="24"/>
              </w:rPr>
              <w:t xml:space="preserve">20mm</w:t>
            </w:r>
            <w:r>
              <w:rPr>
                <w:rFonts w:hint="eastAsia"/>
                <w:sz w:val="24"/>
              </w:rPr>
              <w:t xml:space="preserve">的高度调节范围，以适应地面不平整。</w:t>
            </w:r>
            <w:r>
              <w:rPr>
                <w:rFonts w:hint="eastAsia"/>
                <w:sz w:val="24"/>
              </w:rPr>
              <w:br/>
            </w:r>
            <w:r>
              <w:rPr>
                <w:rFonts w:hint="eastAsia"/>
                <w:sz w:val="24"/>
              </w:rPr>
              <w:t xml:space="preserve">横梁：</w:t>
            </w:r>
            <w:r>
              <w:rPr>
                <w:rFonts w:hint="eastAsia"/>
                <w:sz w:val="24"/>
              </w:rPr>
              <w:t xml:space="preserve"> </w:t>
            </w:r>
            <w:r>
              <w:rPr>
                <w:rFonts w:hint="eastAsia"/>
                <w:sz w:val="24"/>
              </w:rPr>
              <w:t xml:space="preserve">优质冷轧钢板制造，表面镀锌防锈。</w:t>
            </w:r>
            <w:r>
              <w:rPr>
                <w:rFonts w:hint="eastAsia"/>
                <w:sz w:val="24"/>
              </w:rPr>
              <w:br/>
            </w:r>
            <w:r>
              <w:rPr>
                <w:rFonts w:hint="eastAsia"/>
                <w:sz w:val="24"/>
              </w:rPr>
              <w:t xml:space="preserve">防腐处理：</w:t>
            </w:r>
            <w:r>
              <w:rPr>
                <w:rFonts w:hint="eastAsia"/>
                <w:sz w:val="24"/>
              </w:rPr>
              <w:t xml:space="preserve"> </w:t>
            </w:r>
            <w:r>
              <w:rPr>
                <w:rFonts w:hint="eastAsia"/>
                <w:sz w:val="24"/>
              </w:rPr>
              <w:t xml:space="preserve">所有金属支撑部件必须经过镀锌或更高标准的防锈、防腐处理，以适应实验室环境。</w:t>
            </w:r>
            <w:r>
              <w:rPr>
                <w:rFonts w:hint="eastAsia"/>
                <w:sz w:val="24"/>
              </w:rPr>
              <w:b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m</w:t>
            </w:r>
            <w:r>
              <w:rPr>
                <w:rFonts w:hint="eastAsia"/>
                <w:sz w:val="24"/>
              </w:rPr>
              <w:t xml:space="preserve">²</w:t>
            </w:r>
            <w:r/>
          </w:p>
        </w:tc>
      </w:tr>
      <w:tr>
        <w:trPr>
          <w:trHeight w:val="1215"/>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rPr>
                <w:rFonts w:hint="eastAsia"/>
                <w:sz w:val="24"/>
              </w:rPr>
              <w:t xml:space="preserve">生物常规实验室</w:t>
            </w:r>
            <w:r/>
          </w:p>
        </w:tc>
      </w:tr>
      <w:tr>
        <w:trPr>
          <w:trHeight w:val="26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参考规格：</w:t>
            </w:r>
            <w:r>
              <w:rPr>
                <w:rFonts w:hint="eastAsia"/>
                <w:sz w:val="24"/>
              </w:rPr>
              <w:t xml:space="preserve">2400mm*700mm*850mm</w:t>
            </w:r>
            <w:r>
              <w:rPr>
                <w:rFonts w:hint="eastAsia"/>
                <w:sz w:val="24"/>
              </w:rPr>
              <w:br/>
            </w:r>
            <w:r>
              <w:rPr>
                <w:rFonts w:hint="eastAsia"/>
                <w:sz w:val="24"/>
              </w:rPr>
              <w:t xml:space="preserve">▲</w:t>
            </w:r>
            <w:r>
              <w:rPr>
                <w:rFonts w:hint="eastAsia"/>
                <w:sz w:val="24"/>
              </w:rPr>
              <w:t xml:space="preserve">1.</w:t>
            </w:r>
            <w:r>
              <w:rPr>
                <w:rFonts w:hint="eastAsia"/>
                <w:sz w:val="24"/>
              </w:rPr>
              <w:t xml:space="preserve">台面：采用≥</w:t>
            </w:r>
            <w:r>
              <w:rPr>
                <w:rFonts w:hint="eastAsia"/>
                <w:sz w:val="24"/>
              </w:rPr>
              <w:t xml:space="preserve">25mm</w:t>
            </w:r>
            <w:r>
              <w:rPr>
                <w:rFonts w:hint="eastAsia"/>
                <w:sz w:val="24"/>
              </w:rPr>
              <w:t xml:space="preserve">厚金属树脂高能理化板。</w:t>
            </w:r>
            <w:r>
              <w:rPr>
                <w:rFonts w:hint="eastAsia"/>
                <w:sz w:val="24"/>
              </w:rPr>
              <w:br/>
            </w:r>
            <w:r>
              <w:rPr>
                <w:rFonts w:hint="eastAsia"/>
                <w:sz w:val="24"/>
              </w:rPr>
              <w:t xml:space="preserve">★</w:t>
            </w:r>
            <w:r>
              <w:rPr>
                <w:rFonts w:hint="eastAsia"/>
                <w:sz w:val="24"/>
              </w:rPr>
              <w:t xml:space="preserve">2.</w:t>
            </w:r>
            <w:r>
              <w:rPr>
                <w:rFonts w:hint="eastAsia"/>
                <w:sz w:val="24"/>
              </w:rPr>
              <w:t xml:space="preserve">桌身：整体采用≥</w:t>
            </w:r>
            <w:r>
              <w:rPr>
                <w:rFonts w:hint="eastAsia"/>
                <w:sz w:val="24"/>
              </w:rPr>
              <w:t xml:space="preserve">1.0mm</w:t>
            </w:r>
            <w:r>
              <w:rPr>
                <w:rFonts w:hint="eastAsia"/>
                <w:sz w:val="24"/>
              </w:rPr>
              <w:t xml:space="preserve">厚优质冷轧钢板，全部钢制件镀膜防锈处理。</w:t>
            </w:r>
            <w:r>
              <w:rPr>
                <w:rFonts w:hint="eastAsia"/>
                <w:sz w:val="24"/>
              </w:rPr>
              <w:t xml:space="preserve">                                                                        </w:t>
            </w:r>
            <w:r>
              <w:rPr>
                <w:rFonts w:hint="eastAsia"/>
                <w:sz w:val="24"/>
              </w:rPr>
              <w:br/>
              <w:t xml:space="preserve">3.</w:t>
            </w:r>
            <w:r>
              <w:rPr>
                <w:rFonts w:hint="eastAsia"/>
                <w:sz w:val="24"/>
              </w:rPr>
              <w:t xml:space="preserve">结构：演示台设有储物柜，中间为演示台</w:t>
            </w:r>
            <w:r>
              <w:rPr>
                <w:rFonts w:hint="eastAsia"/>
                <w:sz w:val="24"/>
              </w:rPr>
              <w:t xml:space="preserve">,</w:t>
            </w:r>
            <w:r>
              <w:rPr>
                <w:rFonts w:hint="eastAsia"/>
                <w:sz w:val="24"/>
              </w:rPr>
              <w:t xml:space="preserve">设置电源主控系统、多媒体设备（主机、显示器、中控、功放、交换机）的位置预留。含水槽、下水管及三联水嘴。</w:t>
            </w:r>
            <w:r>
              <w:rPr>
                <w:rFonts w:hint="eastAsia"/>
                <w:sz w:val="24"/>
              </w:rPr>
              <w:t xml:space="preserve">                                                     4.</w:t>
            </w:r>
            <w:r>
              <w:rPr>
                <w:rFonts w:hint="eastAsia"/>
                <w:sz w:val="24"/>
              </w:rPr>
              <w:t xml:space="preserve">柜门：门板加衬板双层结构，内含填充物。</w:t>
            </w:r>
            <w:r>
              <w:rPr>
                <w:rFonts w:hint="eastAsia"/>
                <w:sz w:val="24"/>
              </w:rPr>
              <w:br/>
              <w:t xml:space="preserve">5.</w:t>
            </w:r>
            <w:r>
              <w:rPr>
                <w:rFonts w:hint="eastAsia"/>
                <w:sz w:val="24"/>
              </w:rPr>
              <w:t xml:space="preserve">滑道：三节滚珠滑轨，承重性强，滑动顺滑。</w:t>
            </w:r>
            <w:r>
              <w:rPr>
                <w:rFonts w:hint="eastAsia"/>
                <w:sz w:val="24"/>
              </w:rPr>
              <w:br/>
              <w:t xml:space="preserve">6.</w:t>
            </w:r>
            <w:r>
              <w:rPr>
                <w:rFonts w:hint="eastAsia"/>
                <w:sz w:val="24"/>
              </w:rPr>
              <w:t xml:space="preserve">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张</w:t>
            </w:r>
            <w:r/>
          </w:p>
        </w:tc>
      </w:tr>
      <w:tr>
        <w:trPr>
          <w:trHeight w:val="24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br/>
              <w:t xml:space="preserve">1. </w:t>
            </w:r>
            <w:r>
              <w:rPr>
                <w:rFonts w:hint="eastAsia"/>
                <w:sz w:val="24"/>
              </w:rPr>
              <w:t xml:space="preserve">参考规格：</w:t>
            </w:r>
            <w:r>
              <w:rPr>
                <w:rFonts w:hint="eastAsia"/>
                <w:sz w:val="24"/>
              </w:rPr>
              <w:t xml:space="preserve">1200*600*780mm</w:t>
            </w:r>
            <w:r>
              <w:rPr>
                <w:rFonts w:hint="eastAsia"/>
                <w:sz w:val="24"/>
              </w:rPr>
              <w:br/>
            </w:r>
            <w:r>
              <w:rPr>
                <w:rFonts w:hint="eastAsia"/>
                <w:sz w:val="24"/>
              </w:rPr>
              <w:t xml:space="preserve">▲</w:t>
            </w:r>
            <w:r>
              <w:rPr>
                <w:rFonts w:hint="eastAsia"/>
                <w:sz w:val="24"/>
              </w:rPr>
              <w:t xml:space="preserve">2.</w:t>
            </w:r>
            <w:r>
              <w:rPr>
                <w:rFonts w:hint="eastAsia"/>
                <w:sz w:val="24"/>
              </w:rPr>
              <w:t xml:space="preserve">台面：采用实验室专用</w:t>
            </w:r>
            <w:r>
              <w:rPr>
                <w:rFonts w:hint="eastAsia"/>
                <w:sz w:val="24"/>
              </w:rPr>
              <w:t xml:space="preserve">20mm</w:t>
            </w:r>
            <w:r>
              <w:rPr>
                <w:rFonts w:hint="eastAsia"/>
                <w:sz w:val="24"/>
              </w:rPr>
              <w:t xml:space="preserve">厚陶瓷复合板，台面耐腐蚀、耐刻刮、耐污染。台面带有防水边，能有效防止实验物品滚落。</w:t>
            </w:r>
            <w:r>
              <w:rPr>
                <w:rFonts w:hint="eastAsia"/>
                <w:sz w:val="24"/>
              </w:rPr>
              <w:br/>
              <w:t xml:space="preserve">3.</w:t>
            </w:r>
            <w:r>
              <w:rPr>
                <w:rFonts w:hint="eastAsia"/>
                <w:sz w:val="24"/>
              </w:rPr>
              <w:t xml:space="preserve">结构：镂空设计。专用书包斗，中间设挂凳卡。</w:t>
            </w:r>
            <w:r>
              <w:rPr>
                <w:rFonts w:hint="eastAsia"/>
                <w:sz w:val="24"/>
              </w:rPr>
              <w:br/>
            </w:r>
            <w:r>
              <w:rPr>
                <w:rFonts w:hint="eastAsia"/>
                <w:sz w:val="24"/>
              </w:rPr>
              <w:t xml:space="preserve">★</w:t>
            </w:r>
            <w:r>
              <w:rPr>
                <w:rFonts w:hint="eastAsia"/>
                <w:sz w:val="24"/>
              </w:rPr>
              <w:t xml:space="preserve">4.</w:t>
            </w:r>
            <w:r>
              <w:rPr>
                <w:rFonts w:hint="eastAsia"/>
                <w:sz w:val="24"/>
              </w:rPr>
              <w:t xml:space="preserve">侧脚采用高强度合金或者钢制结构，要做到承重性能强和耐酸碱、耐腐蚀。</w:t>
            </w:r>
            <w:r>
              <w:rPr>
                <w:rFonts w:hint="eastAsia"/>
                <w:sz w:val="24"/>
              </w:rPr>
              <w:br/>
            </w:r>
            <w:r>
              <w:rPr>
                <w:rFonts w:hint="eastAsia"/>
                <w:sz w:val="24"/>
              </w:rPr>
              <w:t xml:space="preserve">★</w:t>
            </w:r>
            <w:r>
              <w:rPr>
                <w:rFonts w:hint="eastAsia"/>
                <w:sz w:val="24"/>
              </w:rPr>
              <w:t xml:space="preserve">5.</w:t>
            </w:r>
            <w:r>
              <w:rPr>
                <w:rFonts w:hint="eastAsia"/>
                <w:sz w:val="24"/>
              </w:rPr>
              <w:t xml:space="preserve">后档板、前后横梁、中间横梁全部采用高强度挤出合金或者钢制模具型材。</w:t>
            </w:r>
            <w:r>
              <w:rPr>
                <w:rFonts w:hint="eastAsia"/>
                <w:sz w:val="24"/>
              </w:rPr>
              <w:br/>
              <w:t xml:space="preserve">6. </w:t>
            </w:r>
            <w:r>
              <w:rPr>
                <w:rFonts w:hint="eastAsia"/>
                <w:sz w:val="24"/>
              </w:rPr>
              <w:t xml:space="preserve">桌侧脚：桌侧脚设置专用孔位与地面固定，并配有跟台面同色</w:t>
            </w:r>
            <w:r>
              <w:rPr>
                <w:rFonts w:hint="eastAsia"/>
                <w:sz w:val="24"/>
              </w:rPr>
              <w:t xml:space="preserve">ABS</w:t>
            </w:r>
            <w:r>
              <w:rPr>
                <w:rFonts w:hint="eastAsia"/>
                <w:sz w:val="24"/>
              </w:rPr>
              <w:t xml:space="preserve">脚套装饰盖。</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张</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功能柱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采用</w:t>
            </w:r>
            <w:r>
              <w:rPr>
                <w:rFonts w:hint="eastAsia"/>
                <w:sz w:val="24"/>
              </w:rPr>
              <w:t xml:space="preserve">ABS</w:t>
            </w:r>
            <w:r>
              <w:rPr>
                <w:rFonts w:hint="eastAsia"/>
                <w:sz w:val="24"/>
              </w:rPr>
              <w:t xml:space="preserve">注塑成型，分为桶体和底座两部份，表面沙面和光面相结合处理，以齿合槽配以螺丝连接。</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个</w:t>
            </w:r>
            <w:r/>
          </w:p>
        </w:tc>
      </w:tr>
      <w:tr>
        <w:trPr>
          <w:trHeight w:val="19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水槽柜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参考规格：</w:t>
            </w:r>
            <w:r>
              <w:rPr>
                <w:rFonts w:hint="eastAsia"/>
                <w:sz w:val="24"/>
              </w:rPr>
              <w:t xml:space="preserve"> 438-500*600-655*788-940mm</w:t>
            </w:r>
            <w:r>
              <w:rPr>
                <w:rFonts w:hint="eastAsia"/>
                <w:sz w:val="24"/>
              </w:rPr>
              <w:t xml:space="preserve">；</w:t>
            </w:r>
            <w:r>
              <w:rPr>
                <w:rFonts w:hint="eastAsia"/>
                <w:sz w:val="24"/>
              </w:rPr>
              <w:br/>
              <w:t xml:space="preserve">1.</w:t>
            </w:r>
            <w:r>
              <w:rPr>
                <w:rFonts w:hint="eastAsia"/>
                <w:sz w:val="24"/>
              </w:rPr>
              <w:t xml:space="preserve">水槽：采用</w:t>
            </w:r>
            <w:r>
              <w:rPr>
                <w:rFonts w:hint="eastAsia"/>
                <w:sz w:val="24"/>
              </w:rPr>
              <w:t xml:space="preserve">PP</w:t>
            </w:r>
            <w:r>
              <w:rPr>
                <w:rFonts w:hint="eastAsia"/>
                <w:sz w:val="24"/>
              </w:rPr>
              <w:t xml:space="preserve">改性材料，塑料注塑一次性成型，具有防溢出功能。</w:t>
            </w:r>
            <w:r>
              <w:rPr>
                <w:rFonts w:hint="eastAsia"/>
                <w:sz w:val="24"/>
              </w:rPr>
              <w:br/>
            </w:r>
            <w:r>
              <w:rPr>
                <w:rFonts w:hint="eastAsia"/>
                <w:sz w:val="24"/>
              </w:rPr>
              <w:t xml:space="preserve">▲</w:t>
            </w:r>
            <w:r>
              <w:rPr>
                <w:rFonts w:hint="eastAsia"/>
                <w:sz w:val="24"/>
              </w:rPr>
              <w:t xml:space="preserve">2.</w:t>
            </w:r>
            <w:r>
              <w:rPr>
                <w:rFonts w:hint="eastAsia"/>
                <w:sz w:val="24"/>
              </w:rPr>
              <w:t xml:space="preserve">水槽托架：采用≥</w:t>
            </w:r>
            <w:r>
              <w:rPr>
                <w:rFonts w:hint="eastAsia"/>
                <w:sz w:val="24"/>
              </w:rPr>
              <w:t xml:space="preserve">1.0mm</w:t>
            </w:r>
            <w:r>
              <w:rPr>
                <w:rFonts w:hint="eastAsia"/>
                <w:sz w:val="24"/>
              </w:rPr>
              <w:t xml:space="preserve">冷轧钢板，表面经高压静电喷涂环氧树脂防护层，耐酸碱，耐腐蚀处理。</w:t>
            </w:r>
            <w:r>
              <w:rPr>
                <w:rFonts w:hint="eastAsia"/>
                <w:sz w:val="24"/>
              </w:rPr>
              <w:br/>
              <w:t xml:space="preserve">3.</w:t>
            </w:r>
            <w:r>
              <w:rPr>
                <w:rFonts w:hint="eastAsia"/>
                <w:sz w:val="24"/>
              </w:rPr>
              <w:t xml:space="preserve">水槽柜体：水槽柜体由侧板、前门板、后门板及底座组成，前后各设置一个柜门。</w:t>
            </w:r>
            <w:r>
              <w:rPr>
                <w:rFonts w:hint="eastAsia"/>
                <w:sz w:val="24"/>
              </w:rPr>
              <w:br/>
            </w:r>
            <w:r>
              <w:rPr>
                <w:rFonts w:hint="eastAsia"/>
                <w:sz w:val="24"/>
              </w:rPr>
              <w:t xml:space="preserve">▲</w:t>
            </w:r>
            <w:r>
              <w:rPr>
                <w:rFonts w:hint="eastAsia"/>
                <w:sz w:val="24"/>
              </w:rPr>
              <w:t xml:space="preserve">4.</w:t>
            </w:r>
            <w:r>
              <w:rPr>
                <w:rFonts w:hint="eastAsia"/>
                <w:sz w:val="24"/>
              </w:rPr>
              <w:t xml:space="preserve">侧板、前后门板、底座采用≥</w:t>
            </w:r>
            <w:r>
              <w:rPr>
                <w:rFonts w:hint="eastAsia"/>
                <w:sz w:val="24"/>
              </w:rPr>
              <w:t xml:space="preserve">1.0mm</w:t>
            </w:r>
            <w:r>
              <w:rPr>
                <w:rFonts w:hint="eastAsia"/>
                <w:sz w:val="24"/>
              </w:rPr>
              <w:t xml:space="preserve">冷轧钢板，表面经高压静电喷涂环氧树脂防护层，耐酸碱，耐腐蚀处理。</w:t>
            </w:r>
            <w:r>
              <w:rPr>
                <w:rFonts w:hint="eastAsia"/>
                <w:sz w:val="24"/>
              </w:rPr>
              <w:br/>
              <w:t xml:space="preserve">5.</w:t>
            </w:r>
            <w:r>
              <w:rPr>
                <w:rFonts w:hint="eastAsia"/>
                <w:sz w:val="24"/>
              </w:rPr>
              <w:t xml:space="preserve">底部配置调节脚，减少与地面摩擦。</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个</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上水装置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用于连接地面水管及水龙头，上水管两端接头采用不锈钢螺帽铜芯，外管是</w:t>
            </w:r>
            <w:r>
              <w:rPr>
                <w:rFonts w:hint="eastAsia"/>
                <w:sz w:val="24"/>
              </w:rPr>
              <w:t xml:space="preserve">304</w:t>
            </w:r>
            <w:r>
              <w:rPr>
                <w:rFonts w:hint="eastAsia"/>
                <w:sz w:val="24"/>
              </w:rPr>
              <w:t xml:space="preserve">钢丝</w:t>
            </w:r>
            <w:r>
              <w:rPr>
                <w:rFonts w:hint="eastAsia"/>
                <w:sz w:val="24"/>
              </w:rPr>
              <w:t xml:space="preserve">+</w:t>
            </w:r>
            <w:r>
              <w:rPr>
                <w:rFonts w:hint="eastAsia"/>
                <w:sz w:val="24"/>
              </w:rPr>
              <w:t xml:space="preserve">尼龙丝混编的、内管采用三元内管、角阀是钻石轮（塑料包铁）、阀芯</w:t>
            </w:r>
            <w:r>
              <w:rPr>
                <w:rFonts w:hint="eastAsia"/>
                <w:sz w:val="24"/>
              </w:rPr>
              <w:t xml:space="preserve">和阀体均为铜制。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下水装置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采用</w:t>
            </w:r>
            <w:r>
              <w:rPr>
                <w:rFonts w:hint="eastAsia"/>
                <w:sz w:val="24"/>
              </w:rPr>
              <w:t xml:space="preserve">PP</w:t>
            </w:r>
            <w:r>
              <w:rPr>
                <w:rFonts w:hint="eastAsia"/>
                <w:sz w:val="24"/>
              </w:rPr>
              <w:t xml:space="preserve">材质专用连接管，配有防虹吸，防阻塞装置，不锈钢卡扣连接，安装方便不渗漏。</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三联水嘴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br/>
              <w:t xml:space="preserve">1.</w:t>
            </w:r>
            <w:r>
              <w:rPr>
                <w:rFonts w:hint="eastAsia"/>
                <w:sz w:val="24"/>
              </w:rPr>
              <w:t xml:space="preserve">臂弯、主体、进水管、出水管采用不锈钢或黄铜制造。</w:t>
            </w:r>
            <w:r>
              <w:rPr>
                <w:rFonts w:hint="eastAsia"/>
                <w:sz w:val="24"/>
              </w:rPr>
              <w:br/>
              <w:t xml:space="preserve">2.</w:t>
            </w:r>
            <w:r>
              <w:rPr>
                <w:rFonts w:hint="eastAsia"/>
                <w:sz w:val="24"/>
              </w:rPr>
              <w:t xml:space="preserve">涂层</w:t>
            </w:r>
            <w:r>
              <w:rPr>
                <w:rFonts w:hint="eastAsia"/>
                <w:sz w:val="24"/>
              </w:rPr>
              <w:t xml:space="preserve">: </w:t>
            </w:r>
            <w:r>
              <w:rPr>
                <w:rFonts w:hint="eastAsia"/>
                <w:sz w:val="24"/>
              </w:rPr>
              <w:t xml:space="preserve">涂层经亚光环氧树脂耐酸碱粉末涂料热固处理，耐腐蚀、耐热，防紫外线辐射。</w:t>
            </w:r>
            <w:r>
              <w:rPr>
                <w:rFonts w:hint="eastAsia"/>
                <w:sz w:val="24"/>
              </w:rPr>
              <w:br/>
              <w:t xml:space="preserve">3.</w:t>
            </w:r>
            <w:r>
              <w:rPr>
                <w:rFonts w:hint="eastAsia"/>
                <w:sz w:val="24"/>
              </w:rPr>
              <w:t xml:space="preserve">陶瓷阀芯</w:t>
            </w:r>
            <w:r>
              <w:rPr>
                <w:rFonts w:hint="eastAsia"/>
                <w:sz w:val="24"/>
              </w:rPr>
              <w:t xml:space="preserve">: 90</w:t>
            </w:r>
            <w:r>
              <w:rPr>
                <w:rFonts w:hint="eastAsia"/>
                <w:sz w:val="24"/>
              </w:rPr>
              <w:t xml:space="preserve">°旋转。</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1.ABS</w:t>
            </w:r>
            <w:r>
              <w:rPr>
                <w:rFonts w:hint="eastAsia"/>
                <w:sz w:val="24"/>
              </w:rPr>
              <w:t xml:space="preserve">嵌入式电源盒，可放置在实验台两侧，书包盒中间，也可置于台面，实验和安装都非常方便。</w:t>
            </w:r>
            <w:r>
              <w:rPr>
                <w:rFonts w:hint="eastAsia"/>
                <w:sz w:val="24"/>
              </w:rPr>
              <w:br/>
              <w:t xml:space="preserve">2.</w:t>
            </w:r>
            <w:r>
              <w:rPr>
                <w:rFonts w:hint="eastAsia"/>
                <w:sz w:val="24"/>
              </w:rPr>
              <w:t xml:space="preserve">学生低压电源由教师集中供电，具有过载保护，过载指示灯点亮，自动复位功能。</w:t>
            </w:r>
            <w:r>
              <w:rPr>
                <w:rFonts w:hint="eastAsia"/>
                <w:sz w:val="24"/>
              </w:rPr>
              <w:br/>
              <w:t xml:space="preserve">3.</w:t>
            </w:r>
            <w:r>
              <w:rPr>
                <w:rFonts w:hint="eastAsia"/>
                <w:sz w:val="24"/>
              </w:rPr>
              <w:t xml:space="preserve">交流低压电源输出</w:t>
            </w:r>
            <w:r>
              <w:rPr>
                <w:rFonts w:hint="eastAsia"/>
                <w:sz w:val="24"/>
              </w:rPr>
              <w:t xml:space="preserve">:2V</w:t>
            </w:r>
            <w:r>
              <w:rPr>
                <w:rFonts w:hint="eastAsia"/>
                <w:sz w:val="24"/>
              </w:rPr>
              <w:t xml:space="preserve">到</w:t>
            </w:r>
            <w:r>
              <w:rPr>
                <w:rFonts w:hint="eastAsia"/>
                <w:sz w:val="24"/>
              </w:rPr>
              <w:t xml:space="preserve">24V</w:t>
            </w:r>
            <w:r>
              <w:rPr>
                <w:rFonts w:hint="eastAsia"/>
                <w:sz w:val="24"/>
              </w:rPr>
              <w:t xml:space="preserve">，由教师分档调节送给。学生直流输出的电压为学生交流全桥整流方式。</w:t>
            </w:r>
            <w:r>
              <w:rPr>
                <w:rFonts w:hint="eastAsia"/>
                <w:sz w:val="24"/>
              </w:rPr>
              <w:br/>
              <w:t xml:space="preserve">4.</w:t>
            </w:r>
            <w:r>
              <w:rPr>
                <w:rFonts w:hint="eastAsia"/>
                <w:sz w:val="24"/>
              </w:rPr>
              <w:t xml:space="preserve">国标</w:t>
            </w:r>
            <w:r>
              <w:rPr>
                <w:rFonts w:hint="eastAsia"/>
                <w:sz w:val="24"/>
              </w:rPr>
              <w:t xml:space="preserve">220V</w:t>
            </w:r>
            <w:r>
              <w:rPr>
                <w:rFonts w:hint="eastAsia"/>
                <w:sz w:val="24"/>
              </w:rPr>
              <w:t xml:space="preserve">电源插座，由教师集中控制</w:t>
            </w:r>
            <w:r>
              <w:rPr>
                <w:rFonts w:hint="eastAsia"/>
                <w:sz w:val="24"/>
              </w:rPr>
              <w:t xml:space="preserve">220V</w:t>
            </w:r>
            <w:r>
              <w:rPr>
                <w:rFonts w:hint="eastAsia"/>
                <w:sz w:val="24"/>
              </w:rPr>
              <w:t xml:space="preserve">，安全可靠。保险丝保护，</w:t>
            </w:r>
            <w:r>
              <w:rPr>
                <w:rFonts w:hint="eastAsia"/>
                <w:sz w:val="24"/>
              </w:rPr>
              <w:t xml:space="preserve">220V</w:t>
            </w:r>
            <w:r>
              <w:rPr>
                <w:rFonts w:hint="eastAsia"/>
                <w:sz w:val="24"/>
              </w:rPr>
              <w:t xml:space="preserve">电源指示灯，电源开关控制。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26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教师总控电源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br/>
              <w:t xml:space="preserve">1.</w:t>
            </w:r>
            <w:r>
              <w:rPr>
                <w:rFonts w:hint="eastAsia"/>
                <w:sz w:val="24"/>
              </w:rPr>
              <w:t xml:space="preserve">采用火线，零线双组开管的漏电保护器。</w:t>
            </w:r>
            <w:r>
              <w:rPr>
                <w:rFonts w:hint="eastAsia"/>
                <w:sz w:val="24"/>
              </w:rPr>
              <w:br/>
              <w:t xml:space="preserve">2.</w:t>
            </w:r>
            <w:r>
              <w:rPr>
                <w:rFonts w:hint="eastAsia"/>
                <w:sz w:val="24"/>
              </w:rPr>
              <w:t xml:space="preserve">具有定时自动关机功能。</w:t>
            </w:r>
            <w:r>
              <w:rPr>
                <w:rFonts w:hint="eastAsia"/>
                <w:sz w:val="24"/>
              </w:rPr>
              <w:br/>
              <w:t xml:space="preserve">3.</w:t>
            </w:r>
            <w:r>
              <w:rPr>
                <w:rFonts w:hint="eastAsia"/>
                <w:sz w:val="24"/>
              </w:rPr>
              <w:t xml:space="preserve">采用触摸屏控制、显示教师和学生交直流电压，电流。</w:t>
            </w:r>
            <w:r>
              <w:rPr>
                <w:rFonts w:hint="eastAsia"/>
                <w:sz w:val="24"/>
              </w:rPr>
              <w:br/>
              <w:t xml:space="preserve">4.</w:t>
            </w:r>
            <w:r>
              <w:rPr>
                <w:rFonts w:hint="eastAsia"/>
                <w:sz w:val="24"/>
              </w:rPr>
              <w:t xml:space="preserve">分</w:t>
            </w:r>
            <w:r>
              <w:rPr>
                <w:rFonts w:hint="eastAsia"/>
                <w:sz w:val="24"/>
              </w:rPr>
              <w:t xml:space="preserve">4</w:t>
            </w:r>
            <w:r>
              <w:rPr>
                <w:rFonts w:hint="eastAsia"/>
                <w:sz w:val="24"/>
              </w:rPr>
              <w:t xml:space="preserve">组向学生实验桌输出安全的</w:t>
            </w:r>
            <w:r>
              <w:rPr>
                <w:rFonts w:hint="eastAsia"/>
                <w:sz w:val="24"/>
              </w:rPr>
              <w:t xml:space="preserve">220V</w:t>
            </w:r>
            <w:r>
              <w:rPr>
                <w:rFonts w:hint="eastAsia"/>
                <w:sz w:val="24"/>
              </w:rPr>
              <w:t xml:space="preserve">交流电源。</w:t>
            </w:r>
            <w:r>
              <w:rPr>
                <w:rFonts w:hint="eastAsia"/>
                <w:sz w:val="24"/>
              </w:rPr>
              <w:t xml:space="preserve">                                 </w:t>
            </w:r>
            <w:r>
              <w:rPr>
                <w:rFonts w:hint="eastAsia"/>
                <w:sz w:val="24"/>
              </w:rPr>
              <w:br/>
              <w:t xml:space="preserve">5.</w:t>
            </w:r>
            <w:r>
              <w:rPr>
                <w:rFonts w:hint="eastAsia"/>
                <w:sz w:val="24"/>
              </w:rPr>
              <w:t xml:space="preserve">教师集中供电控制学生低压。分四组控制，且有电流监控功能。</w:t>
            </w:r>
            <w:r>
              <w:rPr>
                <w:rFonts w:hint="eastAsia"/>
                <w:sz w:val="24"/>
              </w:rPr>
              <w:br/>
              <w:t xml:space="preserve">6.</w:t>
            </w:r>
            <w:r>
              <w:rPr>
                <w:rFonts w:hint="eastAsia"/>
                <w:sz w:val="24"/>
              </w:rPr>
              <w:t xml:space="preserve">教师自用低压交流电源电压为</w:t>
            </w:r>
            <w:r>
              <w:rPr>
                <w:rFonts w:hint="eastAsia"/>
                <w:sz w:val="24"/>
              </w:rPr>
              <w:t xml:space="preserve">0V-18V/3A</w:t>
            </w:r>
            <w:r>
              <w:rPr>
                <w:rFonts w:hint="eastAsia"/>
                <w:sz w:val="24"/>
              </w:rPr>
              <w:t xml:space="preserve">、</w:t>
            </w:r>
            <w:r>
              <w:rPr>
                <w:rFonts w:hint="eastAsia"/>
                <w:sz w:val="24"/>
              </w:rPr>
              <w:t xml:space="preserve">19V-30V/2A</w:t>
            </w:r>
            <w:r>
              <w:rPr>
                <w:rFonts w:hint="eastAsia"/>
                <w:sz w:val="24"/>
              </w:rPr>
              <w:t xml:space="preserve">，分辩率为</w:t>
            </w:r>
            <w:r>
              <w:rPr>
                <w:rFonts w:hint="eastAsia"/>
                <w:sz w:val="24"/>
              </w:rPr>
              <w:t xml:space="preserve">1V</w:t>
            </w:r>
            <w:r>
              <w:rPr>
                <w:rFonts w:hint="eastAsia"/>
                <w:sz w:val="24"/>
              </w:rPr>
              <w:t xml:space="preserve">。具备自动过载保护功能。</w:t>
            </w:r>
            <w:r>
              <w:rPr>
                <w:rFonts w:hint="eastAsia"/>
                <w:sz w:val="24"/>
              </w:rPr>
              <w:br/>
              <w:t xml:space="preserve">7.</w:t>
            </w:r>
            <w:r>
              <w:rPr>
                <w:rFonts w:hint="eastAsia"/>
                <w:sz w:val="24"/>
              </w:rPr>
              <w:t xml:space="preserve">教师自用低压直流电源电压为</w:t>
            </w:r>
            <w:r>
              <w:rPr>
                <w:rFonts w:hint="eastAsia"/>
                <w:sz w:val="24"/>
              </w:rPr>
              <w:t xml:space="preserve">0V-18.0V/2A</w:t>
            </w:r>
            <w:r>
              <w:rPr>
                <w:rFonts w:hint="eastAsia"/>
                <w:sz w:val="24"/>
              </w:rPr>
              <w:t xml:space="preserve">、</w:t>
            </w:r>
            <w:r>
              <w:rPr>
                <w:rFonts w:hint="eastAsia"/>
                <w:sz w:val="24"/>
              </w:rPr>
              <w:t xml:space="preserve">18.1V-30.0V/1.5A</w:t>
            </w:r>
            <w:r>
              <w:rPr>
                <w:rFonts w:hint="eastAsia"/>
                <w:sz w:val="24"/>
              </w:rPr>
              <w:t xml:space="preserve">，分辩率为</w:t>
            </w:r>
            <w:r>
              <w:rPr>
                <w:rFonts w:hint="eastAsia"/>
                <w:sz w:val="24"/>
              </w:rPr>
              <w:t xml:space="preserve">0.1V</w:t>
            </w:r>
            <w:r>
              <w:rPr>
                <w:rFonts w:hint="eastAsia"/>
                <w:sz w:val="24"/>
              </w:rPr>
              <w:t xml:space="preserve">。具备自动过载保护功能</w:t>
            </w:r>
            <w:r>
              <w:rPr>
                <w:rFonts w:hint="eastAsia"/>
                <w:sz w:val="24"/>
              </w:rPr>
              <w:br/>
              <w:t xml:space="preserve">8.</w:t>
            </w:r>
            <w:r>
              <w:rPr>
                <w:rFonts w:hint="eastAsia"/>
                <w:sz w:val="24"/>
              </w:rPr>
              <w:t xml:space="preserve">大电流短时输出。</w:t>
            </w:r>
            <w:r>
              <w:rPr>
                <w:rFonts w:hint="eastAsia"/>
                <w:sz w:val="24"/>
              </w:rPr>
              <w:t xml:space="preserve">8</w:t>
            </w:r>
            <w:r>
              <w:rPr>
                <w:rFonts w:hint="eastAsia"/>
                <w:sz w:val="24"/>
              </w:rPr>
              <w:t xml:space="preserve">秒自动关断。</w:t>
            </w:r>
            <w:r>
              <w:rPr>
                <w:rFonts w:hint="eastAsia"/>
                <w:sz w:val="24"/>
              </w:rPr>
              <w:t xml:space="preserve">                                                            </w:t>
            </w:r>
            <w:r>
              <w:rPr>
                <w:rFonts w:hint="eastAsia"/>
                <w:sz w:val="24"/>
              </w:rPr>
              <w:br/>
              <w:t xml:space="preserve">9.</w:t>
            </w:r>
            <w:r>
              <w:rPr>
                <w:rFonts w:hint="eastAsia"/>
                <w:sz w:val="24"/>
              </w:rPr>
              <w:t xml:space="preserve">直流高压：输出</w:t>
            </w:r>
            <w:r>
              <w:rPr>
                <w:rFonts w:hint="eastAsia"/>
                <w:sz w:val="24"/>
              </w:rPr>
              <w:t xml:space="preserve">240V</w:t>
            </w:r>
            <w:r>
              <w:rPr>
                <w:rFonts w:hint="eastAsia"/>
                <w:sz w:val="24"/>
              </w:rPr>
              <w:t xml:space="preserve">或</w:t>
            </w:r>
            <w:r>
              <w:rPr>
                <w:rFonts w:hint="eastAsia"/>
                <w:sz w:val="24"/>
              </w:rPr>
              <w:t xml:space="preserve">300V</w:t>
            </w:r>
            <w:r>
              <w:rPr>
                <w:rFonts w:hint="eastAsia"/>
                <w:sz w:val="24"/>
              </w:rPr>
              <w:t xml:space="preserve">的高压，输出电流为</w:t>
            </w:r>
            <w:r>
              <w:rPr>
                <w:rFonts w:hint="eastAsia"/>
                <w:sz w:val="24"/>
              </w:rPr>
              <w:t xml:space="preserve">100mA,</w:t>
            </w:r>
            <w:r>
              <w:rPr>
                <w:rFonts w:hint="eastAsia"/>
                <w:sz w:val="24"/>
              </w:rPr>
              <w:t xml:space="preserve">具备过载保护功能。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实验凳</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jc w:val="left"/>
              <w:widowControl/>
              <w:rPr>
                <w:sz w:val="24"/>
              </w:rPr>
            </w:pPr>
            <w:r>
              <w:rPr>
                <w:rFonts w:hint="eastAsia"/>
                <w:sz w:val="24"/>
              </w:rPr>
              <w:t xml:space="preserve">1.</w:t>
            </w:r>
            <w:r>
              <w:rPr>
                <w:rFonts w:hint="eastAsia"/>
                <w:sz w:val="24"/>
              </w:rPr>
              <w:t xml:space="preserve">规格：Ф凳面直径</w:t>
            </w:r>
            <w:r>
              <w:rPr>
                <w:rFonts w:hint="eastAsia"/>
                <w:sz w:val="24"/>
              </w:rPr>
              <w:t xml:space="preserve">300/315/320</w:t>
            </w:r>
            <w:r>
              <w:rPr>
                <w:rFonts w:hint="eastAsia"/>
                <w:sz w:val="24"/>
              </w:rPr>
              <w:t xml:space="preserve">×高</w:t>
            </w:r>
            <w:r>
              <w:rPr>
                <w:rFonts w:hint="eastAsia"/>
                <w:sz w:val="24"/>
              </w:rPr>
              <w:t xml:space="preserve">450/500/510mm</w:t>
            </w:r>
            <w:r>
              <w:rPr>
                <w:rFonts w:hint="eastAsia"/>
                <w:sz w:val="24"/>
              </w:rPr>
              <w:t xml:space="preserve">。</w:t>
            </w:r>
            <w:r>
              <w:rPr>
                <w:rFonts w:hint="eastAsia"/>
                <w:sz w:val="24"/>
              </w:rPr>
              <w:br/>
              <w:t xml:space="preserve">2.</w:t>
            </w:r>
            <w:r>
              <w:rPr>
                <w:rFonts w:hint="eastAsia"/>
                <w:sz w:val="24"/>
              </w:rPr>
              <w:t xml:space="preserve">全新注塑凳面。</w:t>
            </w:r>
            <w:r>
              <w:rPr>
                <w:rFonts w:hint="eastAsia"/>
                <w:sz w:val="24"/>
              </w:rPr>
              <w:br/>
              <w:t xml:space="preserve">3. </w:t>
            </w:r>
            <w:r>
              <w:rPr>
                <w:rFonts w:hint="eastAsia"/>
                <w:sz w:val="24"/>
              </w:rPr>
              <w:t xml:space="preserve">钢管≥</w:t>
            </w:r>
            <w:r>
              <w:rPr>
                <w:rFonts w:hint="eastAsia"/>
                <w:sz w:val="24"/>
              </w:rPr>
              <w:t xml:space="preserve">40*20*1.2mm</w:t>
            </w:r>
            <w:r>
              <w:rPr>
                <w:rFonts w:hint="eastAsia"/>
                <w:sz w:val="24"/>
              </w:rPr>
              <w:t xml:space="preserve">一体折弯成型，钢制四脚，下带</w:t>
            </w:r>
            <w:r>
              <w:rPr>
                <w:rFonts w:hint="eastAsia"/>
                <w:sz w:val="24"/>
              </w:rPr>
              <w:t xml:space="preserve">ABS</w:t>
            </w:r>
            <w:r>
              <w:rPr>
                <w:rFonts w:hint="eastAsia"/>
                <w:sz w:val="24"/>
              </w:rPr>
              <w:t xml:space="preserve">防水脚垫。外喷环氧树脂涂层，耐腐蚀耐酸碱。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条</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实验光源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台灯采用内置</w:t>
            </w:r>
            <w:r>
              <w:rPr>
                <w:rFonts w:hint="eastAsia"/>
                <w:sz w:val="24"/>
              </w:rPr>
              <w:t xml:space="preserve">LED</w:t>
            </w:r>
            <w:r>
              <w:rPr>
                <w:rFonts w:hint="eastAsia"/>
                <w:sz w:val="24"/>
              </w:rPr>
              <w:t xml:space="preserve">灯条，台灯整体功率不大于</w:t>
            </w:r>
            <w:r>
              <w:rPr>
                <w:rFonts w:hint="eastAsia"/>
                <w:sz w:val="24"/>
              </w:rPr>
              <w:t xml:space="preserve">7w</w:t>
            </w:r>
            <w:r>
              <w:rPr>
                <w:rFonts w:hint="eastAsia"/>
                <w:sz w:val="24"/>
              </w:rPr>
              <w:t xml:space="preserve">，台灯外壳采用</w:t>
            </w:r>
            <w:r>
              <w:rPr>
                <w:rFonts w:hint="eastAsia"/>
                <w:sz w:val="24"/>
              </w:rPr>
              <w:t xml:space="preserve">ABS</w:t>
            </w:r>
            <w:r>
              <w:rPr>
                <w:rFonts w:hint="eastAsia"/>
                <w:sz w:val="24"/>
              </w:rPr>
              <w:t xml:space="preserve">工程塑料注塑成型，光线柔和无频闪；照明角度可调节，调节的支撑脚内置不锈钢阻</w:t>
            </w:r>
            <w:r>
              <w:rPr>
                <w:rFonts w:hint="eastAsia"/>
                <w:sz w:val="24"/>
              </w:rPr>
              <w:t xml:space="preserve">尼转轴。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洗眼器</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jc w:val="left"/>
              <w:widowControl/>
              <w:rPr>
                <w:sz w:val="24"/>
              </w:rPr>
            </w:pPr>
            <w:r>
              <w:rPr>
                <w:rFonts w:hint="eastAsia"/>
                <w:sz w:val="24"/>
              </w:rPr>
              <w:t xml:space="preserve">洗眼喷头：采用不助燃</w:t>
            </w:r>
            <w:r>
              <w:rPr>
                <w:rFonts w:hint="eastAsia"/>
                <w:sz w:val="24"/>
              </w:rPr>
              <w:t xml:space="preserve">PC</w:t>
            </w:r>
            <w:r>
              <w:rPr>
                <w:rFonts w:hint="eastAsia"/>
                <w:sz w:val="24"/>
              </w:rPr>
              <w:t xml:space="preserve">材质模铸一体成形制作，具有过滤泡棉及防尘功能，上面防尘盖平常可防尘，使用时可随时被水冲开，并降低突然打开时短暂的高水压，避免冲伤眼睛。</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室内地上下给排水设备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给水采用优质金属软连接与龙头连接，地上每套水嘴设一控制阀门。排水采用优质</w:t>
            </w:r>
            <w:r>
              <w:rPr>
                <w:rFonts w:hint="eastAsia"/>
                <w:sz w:val="24"/>
              </w:rPr>
              <w:t xml:space="preserve">PVC</w:t>
            </w:r>
            <w:r>
              <w:rPr>
                <w:rFonts w:hint="eastAsia"/>
                <w:sz w:val="24"/>
              </w:rPr>
              <w:t xml:space="preserve">管，连接处密封，给水采用优质专用</w:t>
            </w:r>
            <w:r>
              <w:rPr>
                <w:rFonts w:hint="eastAsia"/>
                <w:sz w:val="24"/>
              </w:rPr>
              <w:t xml:space="preserve">PPR</w:t>
            </w:r>
            <w:r>
              <w:rPr>
                <w:rFonts w:hint="eastAsia"/>
                <w:sz w:val="24"/>
              </w:rPr>
              <w:t xml:space="preserve">管铺设，排水采用优质</w:t>
            </w:r>
            <w:r>
              <w:rPr>
                <w:rFonts w:hint="eastAsia"/>
                <w:sz w:val="24"/>
              </w:rPr>
              <w:t xml:space="preserve">PVC</w:t>
            </w:r>
            <w:r>
              <w:rPr>
                <w:rFonts w:hint="eastAsia"/>
                <w:sz w:val="24"/>
              </w:rPr>
              <w:t xml:space="preserve">管铺设，含辅材和安装。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室</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室内地上下配电设备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地上采用铝塑护套管，内穿塑铜线，有效固定，按国标施工。地下采用</w:t>
            </w:r>
            <w:r>
              <w:rPr>
                <w:rFonts w:hint="eastAsia"/>
                <w:sz w:val="24"/>
              </w:rPr>
              <w:t xml:space="preserve">PVC</w:t>
            </w:r>
            <w:r>
              <w:rPr>
                <w:rFonts w:hint="eastAsia"/>
                <w:sz w:val="24"/>
              </w:rPr>
              <w:t xml:space="preserve">阻燃塑料管，内穿国标</w:t>
            </w:r>
            <w:r>
              <w:rPr>
                <w:rFonts w:hint="eastAsia"/>
                <w:sz w:val="24"/>
              </w:rPr>
              <w:t xml:space="preserve">BV</w:t>
            </w:r>
            <w:r>
              <w:rPr>
                <w:rFonts w:hint="eastAsia"/>
                <w:sz w:val="24"/>
              </w:rPr>
              <w:t xml:space="preserve">线，含辅材和安装。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室</w:t>
            </w:r>
            <w:r/>
          </w:p>
        </w:tc>
      </w:tr>
      <w:tr>
        <w:trPr>
          <w:trHeight w:val="40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静电地板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参考规格：</w:t>
            </w:r>
            <w:r>
              <w:rPr>
                <w:rFonts w:hint="eastAsia"/>
                <w:sz w:val="24"/>
              </w:rPr>
              <w:t xml:space="preserve"> 600mm </w:t>
            </w:r>
            <w:r>
              <w:rPr>
                <w:rFonts w:hint="eastAsia"/>
                <w:sz w:val="24"/>
              </w:rPr>
              <w:t xml:space="preserve">×</w:t>
            </w:r>
            <w:r>
              <w:rPr>
                <w:rFonts w:hint="eastAsia"/>
                <w:sz w:val="24"/>
              </w:rPr>
              <w:t xml:space="preserve"> 600mm </w:t>
            </w:r>
            <w:r>
              <w:rPr>
                <w:rFonts w:hint="eastAsia"/>
                <w:sz w:val="24"/>
              </w:rPr>
              <w:t xml:space="preserve">×</w:t>
            </w:r>
            <w:r>
              <w:rPr>
                <w:rFonts w:hint="eastAsia"/>
                <w:sz w:val="24"/>
              </w:rPr>
              <w:t xml:space="preserve"> 35mm</w:t>
            </w:r>
            <w:r>
              <w:rPr>
                <w:rFonts w:hint="eastAsia"/>
                <w:sz w:val="24"/>
              </w:rPr>
              <w:t xml:space="preserve">（长×宽×厚）。</w:t>
            </w:r>
            <w:r>
              <w:rPr>
                <w:rFonts w:hint="eastAsia"/>
                <w:sz w:val="24"/>
              </w:rPr>
              <w:br/>
            </w:r>
            <w:r>
              <w:rPr>
                <w:rFonts w:hint="eastAsia"/>
                <w:sz w:val="24"/>
              </w:rPr>
              <w:t xml:space="preserve">系统结构：架空活动地板系统，包含防静电地板、支架、横梁。</w:t>
            </w:r>
            <w:r>
              <w:rPr>
                <w:rFonts w:hint="eastAsia"/>
                <w:sz w:val="24"/>
              </w:rPr>
              <w:br/>
            </w:r>
            <w:r>
              <w:rPr>
                <w:rFonts w:hint="eastAsia"/>
                <w:sz w:val="24"/>
              </w:rPr>
              <w:t xml:space="preserve">面层材料：</w:t>
            </w:r>
            <w:r>
              <w:rPr>
                <w:rFonts w:hint="eastAsia"/>
                <w:sz w:val="24"/>
              </w:rPr>
              <w:t xml:space="preserve"> </w:t>
            </w:r>
            <w:r>
              <w:rPr>
                <w:rFonts w:hint="eastAsia"/>
                <w:sz w:val="24"/>
              </w:rPr>
              <w:t xml:space="preserve">高性能防静电陶瓷耐磨层。表面耐磨层厚度</w:t>
            </w:r>
            <w:r>
              <w:rPr>
                <w:rFonts w:hint="eastAsia"/>
                <w:sz w:val="24"/>
              </w:rPr>
              <w:t xml:space="preserve"> </w:t>
            </w:r>
            <w:r>
              <w:rPr>
                <w:rFonts w:hint="eastAsia"/>
                <w:sz w:val="24"/>
              </w:rPr>
              <w:t xml:space="preserve">≥</w:t>
            </w:r>
            <w:r>
              <w:rPr>
                <w:rFonts w:hint="eastAsia"/>
                <w:sz w:val="24"/>
              </w:rPr>
              <w:t xml:space="preserve"> 1.2mm</w:t>
            </w:r>
            <w:r>
              <w:rPr>
                <w:rFonts w:hint="eastAsia"/>
                <w:sz w:val="24"/>
              </w:rPr>
              <w:t xml:space="preserve">。</w:t>
            </w:r>
            <w:r>
              <w:rPr>
                <w:rFonts w:hint="eastAsia"/>
                <w:sz w:val="24"/>
              </w:rPr>
              <w:br/>
            </w:r>
            <w:r>
              <w:rPr>
                <w:rFonts w:hint="eastAsia"/>
                <w:sz w:val="24"/>
              </w:rPr>
              <w:t xml:space="preserve">具备防静电性能，集中载荷：≥</w:t>
            </w:r>
            <w:r>
              <w:rPr>
                <w:rFonts w:hint="eastAsia"/>
                <w:sz w:val="24"/>
              </w:rPr>
              <w:t xml:space="preserve"> 3560 N </w:t>
            </w:r>
            <w:r>
              <w:rPr>
                <w:rFonts w:hint="eastAsia"/>
                <w:sz w:val="24"/>
              </w:rPr>
              <w:t xml:space="preserve">，变形量</w:t>
            </w:r>
            <w:r>
              <w:rPr>
                <w:rFonts w:hint="eastAsia"/>
                <w:sz w:val="24"/>
              </w:rPr>
              <w:t xml:space="preserve"> </w:t>
            </w:r>
            <w:r>
              <w:rPr>
                <w:rFonts w:hint="eastAsia"/>
                <w:sz w:val="24"/>
              </w:rPr>
              <w:t xml:space="preserve">≤</w:t>
            </w:r>
            <w:r>
              <w:rPr>
                <w:rFonts w:hint="eastAsia"/>
                <w:sz w:val="24"/>
              </w:rPr>
              <w:t xml:space="preserve"> 2mm</w:t>
            </w:r>
            <w:r>
              <w:rPr>
                <w:rFonts w:hint="eastAsia"/>
                <w:sz w:val="24"/>
              </w:rPr>
              <w:t xml:space="preserve">。</w:t>
            </w:r>
            <w:r>
              <w:rPr>
                <w:rFonts w:hint="eastAsia"/>
                <w:sz w:val="24"/>
              </w:rPr>
              <w:br/>
            </w:r>
            <w:r>
              <w:rPr>
                <w:rFonts w:hint="eastAsia"/>
                <w:sz w:val="24"/>
              </w:rPr>
              <w:t xml:space="preserve">均布载荷：</w:t>
            </w:r>
            <w:r>
              <w:rPr>
                <w:rFonts w:hint="eastAsia"/>
                <w:sz w:val="24"/>
              </w:rPr>
              <w:t xml:space="preserve"> </w:t>
            </w:r>
            <w:r>
              <w:rPr>
                <w:rFonts w:hint="eastAsia"/>
                <w:sz w:val="24"/>
              </w:rPr>
              <w:t xml:space="preserve">≥</w:t>
            </w:r>
            <w:r>
              <w:rPr>
                <w:rFonts w:hint="eastAsia"/>
                <w:sz w:val="24"/>
              </w:rPr>
              <w:t xml:space="preserve"> 23600 N/</w:t>
            </w:r>
            <w:r>
              <w:rPr>
                <w:rFonts w:hint="eastAsia"/>
                <w:sz w:val="24"/>
              </w:rPr>
              <w:t xml:space="preserve">㎡。</w:t>
            </w:r>
            <w:r>
              <w:rPr>
                <w:rFonts w:hint="eastAsia"/>
                <w:sz w:val="24"/>
              </w:rPr>
              <w:br/>
            </w:r>
            <w:r>
              <w:rPr>
                <w:rFonts w:hint="eastAsia"/>
                <w:sz w:val="24"/>
              </w:rPr>
              <w:t xml:space="preserve">防火等级：</w:t>
            </w:r>
            <w:r>
              <w:rPr>
                <w:rFonts w:hint="eastAsia"/>
                <w:sz w:val="24"/>
              </w:rPr>
              <w:t xml:space="preserve"> </w:t>
            </w:r>
            <w:r>
              <w:rPr>
                <w:rFonts w:hint="eastAsia"/>
                <w:sz w:val="24"/>
              </w:rPr>
              <w:t xml:space="preserve">国家</w:t>
            </w:r>
            <w:r>
              <w:rPr>
                <w:rFonts w:hint="eastAsia"/>
                <w:sz w:val="24"/>
              </w:rPr>
              <w:t xml:space="preserve">A</w:t>
            </w:r>
            <w:r>
              <w:rPr>
                <w:rFonts w:hint="eastAsia"/>
                <w:sz w:val="24"/>
              </w:rPr>
              <w:t xml:space="preserve">级（不燃材料）。</w:t>
            </w:r>
            <w:r>
              <w:rPr>
                <w:rFonts w:hint="eastAsia"/>
                <w:sz w:val="24"/>
              </w:rPr>
              <w:br/>
            </w:r>
            <w:r>
              <w:rPr>
                <w:rFonts w:hint="eastAsia"/>
                <w:sz w:val="24"/>
              </w:rPr>
              <w:t xml:space="preserve">耐磨性：</w:t>
            </w:r>
            <w:r>
              <w:rPr>
                <w:rFonts w:hint="eastAsia"/>
                <w:sz w:val="24"/>
              </w:rPr>
              <w:t xml:space="preserve"> </w:t>
            </w:r>
            <w:r>
              <w:rPr>
                <w:rFonts w:hint="eastAsia"/>
                <w:sz w:val="24"/>
              </w:rPr>
              <w:t xml:space="preserve">陶瓷面层耐磨转数</w:t>
            </w:r>
            <w:r>
              <w:rPr>
                <w:rFonts w:hint="eastAsia"/>
                <w:sz w:val="24"/>
              </w:rPr>
              <w:t xml:space="preserve"> </w:t>
            </w:r>
            <w:r>
              <w:rPr>
                <w:rFonts w:hint="eastAsia"/>
                <w:sz w:val="24"/>
              </w:rPr>
              <w:t xml:space="preserve">≥</w:t>
            </w:r>
            <w:r>
              <w:rPr>
                <w:rFonts w:hint="eastAsia"/>
                <w:sz w:val="24"/>
              </w:rPr>
              <w:t xml:space="preserve"> 1500</w:t>
            </w:r>
            <w:r>
              <w:rPr>
                <w:rFonts w:hint="eastAsia"/>
                <w:sz w:val="24"/>
              </w:rPr>
              <w:t xml:space="preserve">转。</w:t>
            </w:r>
            <w:r>
              <w:rPr>
                <w:rFonts w:hint="eastAsia"/>
                <w:sz w:val="24"/>
              </w:rPr>
              <w:br/>
            </w:r>
            <w:r>
              <w:rPr>
                <w:rFonts w:hint="eastAsia"/>
                <w:sz w:val="24"/>
              </w:rPr>
              <w:t xml:space="preserve">耐腐蚀性：</w:t>
            </w:r>
            <w:r>
              <w:rPr>
                <w:rFonts w:hint="eastAsia"/>
                <w:sz w:val="24"/>
              </w:rPr>
              <w:t xml:space="preserve"> </w:t>
            </w:r>
            <w:r>
              <w:rPr>
                <w:rFonts w:hint="eastAsia"/>
                <w:sz w:val="24"/>
              </w:rPr>
              <w:t xml:space="preserve">陶瓷面层能抵抗实验室常见酸碱化学试剂的轻微溅洒，易于清洁且不留痕迹。</w:t>
            </w:r>
            <w:r>
              <w:rPr>
                <w:rFonts w:hint="eastAsia"/>
                <w:sz w:val="24"/>
              </w:rPr>
              <w:br/>
            </w:r>
            <w:r>
              <w:rPr>
                <w:rFonts w:hint="eastAsia"/>
                <w:sz w:val="24"/>
              </w:rPr>
              <w:br/>
            </w:r>
            <w:r>
              <w:rPr>
                <w:rFonts w:hint="eastAsia"/>
                <w:sz w:val="24"/>
              </w:rPr>
              <w:t xml:space="preserve">吸水率：</w:t>
            </w:r>
            <w:r>
              <w:rPr>
                <w:rFonts w:hint="eastAsia"/>
                <w:sz w:val="24"/>
              </w:rPr>
              <w:t xml:space="preserve"> </w:t>
            </w:r>
            <w:r>
              <w:rPr>
                <w:rFonts w:hint="eastAsia"/>
                <w:sz w:val="24"/>
              </w:rPr>
              <w:t xml:space="preserve">陶瓷面层吸水率应</w:t>
            </w:r>
            <w:r>
              <w:rPr>
                <w:rFonts w:hint="eastAsia"/>
                <w:sz w:val="24"/>
              </w:rPr>
              <w:t xml:space="preserve"> &lt; 0.5%</w:t>
            </w:r>
            <w:r>
              <w:rPr>
                <w:rFonts w:hint="eastAsia"/>
                <w:sz w:val="24"/>
              </w:rPr>
              <w:t xml:space="preserve">。</w:t>
            </w:r>
            <w:r>
              <w:rPr>
                <w:rFonts w:hint="eastAsia"/>
                <w:sz w:val="24"/>
              </w:rPr>
              <w:br/>
            </w:r>
            <w:r>
              <w:rPr>
                <w:rFonts w:hint="eastAsia"/>
                <w:sz w:val="24"/>
              </w:rPr>
              <w:t xml:space="preserve">翘曲度：</w:t>
            </w:r>
            <w:r>
              <w:rPr>
                <w:rFonts w:hint="eastAsia"/>
                <w:sz w:val="24"/>
              </w:rPr>
              <w:t xml:space="preserve"> </w:t>
            </w:r>
            <w:r>
              <w:rPr>
                <w:rFonts w:hint="eastAsia"/>
                <w:sz w:val="24"/>
              </w:rPr>
              <w:t xml:space="preserve">地板板面翘曲度</w:t>
            </w:r>
            <w:r>
              <w:rPr>
                <w:rFonts w:hint="eastAsia"/>
                <w:sz w:val="24"/>
              </w:rPr>
              <w:t xml:space="preserve"> </w:t>
            </w:r>
            <w:r>
              <w:rPr>
                <w:rFonts w:hint="eastAsia"/>
                <w:sz w:val="24"/>
              </w:rPr>
              <w:t xml:space="preserve">≤</w:t>
            </w:r>
            <w:r>
              <w:rPr>
                <w:rFonts w:hint="eastAsia"/>
                <w:sz w:val="24"/>
              </w:rPr>
              <w:t xml:space="preserve"> 0.5%</w:t>
            </w:r>
            <w:r>
              <w:rPr>
                <w:rFonts w:hint="eastAsia"/>
                <w:sz w:val="24"/>
              </w:rPr>
              <w:t xml:space="preserve">。</w:t>
            </w:r>
            <w:r>
              <w:rPr>
                <w:rFonts w:hint="eastAsia"/>
                <w:sz w:val="24"/>
              </w:rPr>
              <w:br/>
            </w:r>
            <w:r>
              <w:rPr>
                <w:rFonts w:hint="eastAsia"/>
                <w:sz w:val="24"/>
              </w:rPr>
              <w:t xml:space="preserve">支撑系统：</w:t>
            </w:r>
            <w:r>
              <w:rPr>
                <w:rFonts w:hint="eastAsia"/>
                <w:sz w:val="24"/>
              </w:rPr>
              <w:br/>
            </w:r>
            <w:r>
              <w:rPr>
                <w:rFonts w:hint="eastAsia"/>
                <w:sz w:val="24"/>
              </w:rPr>
              <w:t xml:space="preserve">支架：</w:t>
            </w:r>
            <w:r>
              <w:rPr>
                <w:rFonts w:hint="eastAsia"/>
                <w:sz w:val="24"/>
              </w:rPr>
              <w:t xml:space="preserve"> </w:t>
            </w:r>
            <w:r>
              <w:rPr>
                <w:rFonts w:hint="eastAsia"/>
                <w:sz w:val="24"/>
              </w:rPr>
              <w:t xml:space="preserve">由上托、螺杆、管柱、底座组成。管柱和底座为高强度铸铁或优质钢材，厚度≥</w:t>
            </w:r>
            <w:r>
              <w:rPr>
                <w:rFonts w:hint="eastAsia"/>
                <w:sz w:val="24"/>
              </w:rPr>
              <w:t xml:space="preserve">2.0mm</w:t>
            </w:r>
            <w:r>
              <w:rPr>
                <w:rFonts w:hint="eastAsia"/>
                <w:sz w:val="24"/>
              </w:rPr>
              <w:t xml:space="preserve">。并能实现不小于±</w:t>
            </w:r>
            <w:r>
              <w:rPr>
                <w:rFonts w:hint="eastAsia"/>
                <w:sz w:val="24"/>
              </w:rPr>
              <w:t xml:space="preserve">20mm</w:t>
            </w:r>
            <w:r>
              <w:rPr>
                <w:rFonts w:hint="eastAsia"/>
                <w:sz w:val="24"/>
              </w:rPr>
              <w:t xml:space="preserve">的高度调节范围，以适应地面不平整。</w:t>
            </w:r>
            <w:r>
              <w:rPr>
                <w:rFonts w:hint="eastAsia"/>
                <w:sz w:val="24"/>
              </w:rPr>
              <w:br/>
            </w:r>
            <w:r>
              <w:rPr>
                <w:rFonts w:hint="eastAsia"/>
                <w:sz w:val="24"/>
              </w:rPr>
              <w:t xml:space="preserve">横梁：</w:t>
            </w:r>
            <w:r>
              <w:rPr>
                <w:rFonts w:hint="eastAsia"/>
                <w:sz w:val="24"/>
              </w:rPr>
              <w:t xml:space="preserve"> </w:t>
            </w:r>
            <w:r>
              <w:rPr>
                <w:rFonts w:hint="eastAsia"/>
                <w:sz w:val="24"/>
              </w:rPr>
              <w:t xml:space="preserve">优质冷轧钢板制造，表面镀锌防锈。</w:t>
            </w:r>
            <w:r>
              <w:rPr>
                <w:rFonts w:hint="eastAsia"/>
                <w:sz w:val="24"/>
              </w:rPr>
              <w:br/>
            </w:r>
            <w:r>
              <w:rPr>
                <w:rFonts w:hint="eastAsia"/>
                <w:sz w:val="24"/>
              </w:rPr>
              <w:t xml:space="preserve">防腐处理：</w:t>
            </w:r>
            <w:r>
              <w:rPr>
                <w:rFonts w:hint="eastAsia"/>
                <w:sz w:val="24"/>
              </w:rPr>
              <w:t xml:space="preserve"> </w:t>
            </w:r>
            <w:r>
              <w:rPr>
                <w:rFonts w:hint="eastAsia"/>
                <w:sz w:val="24"/>
              </w:rPr>
              <w:t xml:space="preserve">所有金属支撑部件必须经过镀锌或更高标准的防锈、防腐处理，以适应实验室环境。</w:t>
            </w:r>
            <w:r>
              <w:rPr>
                <w:rFonts w:hint="eastAsia"/>
                <w:sz w:val="24"/>
              </w:rPr>
              <w:b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m</w:t>
            </w:r>
            <w:r>
              <w:rPr>
                <w:rFonts w:hint="eastAsia"/>
                <w:sz w:val="24"/>
              </w:rPr>
              <w:t xml:space="preserve">²</w:t>
            </w:r>
            <w:r/>
          </w:p>
        </w:tc>
      </w:tr>
      <w:tr>
        <w:trPr>
          <w:trHeight w:val="1290"/>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rPr>
                <w:rFonts w:hint="eastAsia"/>
                <w:sz w:val="24"/>
              </w:rPr>
              <w:t xml:space="preserve">物理光学实验室</w:t>
            </w:r>
            <w:r/>
          </w:p>
        </w:tc>
      </w:tr>
      <w:tr>
        <w:trPr>
          <w:trHeight w:val="235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教师演示台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参考规格：</w:t>
            </w:r>
            <w:r>
              <w:rPr>
                <w:rFonts w:hint="eastAsia"/>
                <w:sz w:val="24"/>
              </w:rPr>
              <w:t xml:space="preserve">2400mm*700mm*850mm</w:t>
            </w:r>
            <w:r>
              <w:rPr>
                <w:rFonts w:hint="eastAsia"/>
                <w:sz w:val="24"/>
              </w:rPr>
              <w:br/>
            </w:r>
            <w:r>
              <w:rPr>
                <w:rFonts w:hint="eastAsia"/>
                <w:sz w:val="24"/>
              </w:rPr>
              <w:t xml:space="preserve">▲</w:t>
            </w:r>
            <w:r>
              <w:rPr>
                <w:rFonts w:hint="eastAsia"/>
                <w:sz w:val="24"/>
              </w:rPr>
              <w:t xml:space="preserve">1.</w:t>
            </w:r>
            <w:r>
              <w:rPr>
                <w:rFonts w:hint="eastAsia"/>
                <w:sz w:val="24"/>
              </w:rPr>
              <w:t xml:space="preserve">台面：采用≥</w:t>
            </w:r>
            <w:r>
              <w:rPr>
                <w:rFonts w:hint="eastAsia"/>
                <w:sz w:val="24"/>
              </w:rPr>
              <w:t xml:space="preserve">25mm</w:t>
            </w:r>
            <w:r>
              <w:rPr>
                <w:rFonts w:hint="eastAsia"/>
                <w:sz w:val="24"/>
              </w:rPr>
              <w:t xml:space="preserve">厚金属树脂高能理化板。</w:t>
            </w:r>
            <w:r>
              <w:rPr>
                <w:rFonts w:hint="eastAsia"/>
                <w:sz w:val="24"/>
              </w:rPr>
              <w:br/>
            </w:r>
            <w:r>
              <w:rPr>
                <w:rFonts w:hint="eastAsia"/>
                <w:sz w:val="24"/>
              </w:rPr>
              <w:t xml:space="preserve">★</w:t>
            </w:r>
            <w:r>
              <w:rPr>
                <w:rFonts w:hint="eastAsia"/>
                <w:sz w:val="24"/>
              </w:rPr>
              <w:t xml:space="preserve">2.</w:t>
            </w:r>
            <w:r>
              <w:rPr>
                <w:rFonts w:hint="eastAsia"/>
                <w:sz w:val="24"/>
              </w:rPr>
              <w:t xml:space="preserve">桌身：整体采用≥</w:t>
            </w:r>
            <w:r>
              <w:rPr>
                <w:rFonts w:hint="eastAsia"/>
                <w:sz w:val="24"/>
              </w:rPr>
              <w:t xml:space="preserve">1.0mm</w:t>
            </w:r>
            <w:r>
              <w:rPr>
                <w:rFonts w:hint="eastAsia"/>
                <w:sz w:val="24"/>
              </w:rPr>
              <w:t xml:space="preserve">厚优质冷轧钢板，全部钢制件镀膜防锈处理。</w:t>
            </w:r>
            <w:r>
              <w:rPr>
                <w:rFonts w:hint="eastAsia"/>
                <w:sz w:val="24"/>
              </w:rPr>
              <w:t xml:space="preserve">                                                                        </w:t>
            </w:r>
            <w:r>
              <w:rPr>
                <w:rFonts w:hint="eastAsia"/>
                <w:sz w:val="24"/>
              </w:rPr>
              <w:br/>
              <w:t xml:space="preserve">3.</w:t>
            </w:r>
            <w:r>
              <w:rPr>
                <w:rFonts w:hint="eastAsia"/>
                <w:sz w:val="24"/>
              </w:rPr>
              <w:t xml:space="preserve">结构：演示台设有储物柜，中间为演示台</w:t>
            </w:r>
            <w:r>
              <w:rPr>
                <w:rFonts w:hint="eastAsia"/>
                <w:sz w:val="24"/>
              </w:rPr>
              <w:t xml:space="preserve">,</w:t>
            </w:r>
            <w:r>
              <w:rPr>
                <w:rFonts w:hint="eastAsia"/>
                <w:sz w:val="24"/>
              </w:rPr>
              <w:t xml:space="preserve">设置电源主控系统、多媒体设备（主机、显示器、中控、功放、交换机）的位置预留。</w:t>
            </w:r>
            <w:r>
              <w:rPr>
                <w:rFonts w:hint="eastAsia"/>
                <w:sz w:val="24"/>
              </w:rPr>
              <w:br/>
              <w:t xml:space="preserve">4.</w:t>
            </w:r>
            <w:r>
              <w:rPr>
                <w:rFonts w:hint="eastAsia"/>
                <w:sz w:val="24"/>
              </w:rPr>
              <w:t xml:space="preserve">柜门：门板加衬板双层结构，内含填充物。</w:t>
            </w:r>
            <w:r>
              <w:rPr>
                <w:rFonts w:hint="eastAsia"/>
                <w:sz w:val="24"/>
              </w:rPr>
              <w:br/>
              <w:t xml:space="preserve">5.</w:t>
            </w:r>
            <w:r>
              <w:rPr>
                <w:rFonts w:hint="eastAsia"/>
                <w:sz w:val="24"/>
              </w:rPr>
              <w:t xml:space="preserve">滑道：三节滚珠滑轨，承重性强，滑动顺滑。</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张</w:t>
            </w:r>
            <w:r/>
          </w:p>
        </w:tc>
      </w:tr>
      <w:tr>
        <w:trPr>
          <w:trHeight w:val="24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sz w:val="24"/>
              </w:rPr>
            </w:pPr>
            <w:r>
              <w:rPr>
                <w:rFonts w:hint="eastAsia"/>
                <w:sz w:val="24"/>
              </w:rPr>
              <w:br/>
              <w:t xml:space="preserve">1. </w:t>
            </w:r>
            <w:r>
              <w:rPr>
                <w:rFonts w:hint="eastAsia"/>
                <w:sz w:val="24"/>
              </w:rPr>
              <w:t xml:space="preserve">参考规格：</w:t>
            </w:r>
            <w:r>
              <w:rPr>
                <w:rFonts w:hint="eastAsia"/>
                <w:sz w:val="24"/>
              </w:rPr>
              <w:t xml:space="preserve">1200*600*780mm</w:t>
            </w:r>
            <w:r>
              <w:rPr>
                <w:rFonts w:hint="eastAsia"/>
                <w:sz w:val="24"/>
              </w:rPr>
              <w:br/>
            </w:r>
            <w:r>
              <w:rPr>
                <w:rFonts w:hint="eastAsia"/>
                <w:sz w:val="24"/>
              </w:rPr>
              <w:t xml:space="preserve">▲</w:t>
            </w:r>
            <w:r>
              <w:rPr>
                <w:rFonts w:hint="eastAsia"/>
                <w:sz w:val="24"/>
              </w:rPr>
              <w:t xml:space="preserve">2.</w:t>
            </w:r>
            <w:r>
              <w:rPr>
                <w:rFonts w:hint="eastAsia"/>
                <w:sz w:val="24"/>
              </w:rPr>
              <w:t xml:space="preserve">台面：采用实验室专用</w:t>
            </w:r>
            <w:r>
              <w:rPr>
                <w:rFonts w:hint="eastAsia"/>
                <w:sz w:val="24"/>
              </w:rPr>
              <w:t xml:space="preserve">20mm</w:t>
            </w:r>
            <w:r>
              <w:rPr>
                <w:rFonts w:hint="eastAsia"/>
                <w:sz w:val="24"/>
              </w:rPr>
              <w:t xml:space="preserve">厚陶瓷复合板，台面耐腐蚀、耐刻刮、耐污染。台面带有防水边，能有效防止实验物品滚落。</w:t>
            </w:r>
            <w:r>
              <w:rPr>
                <w:rFonts w:hint="eastAsia"/>
                <w:sz w:val="24"/>
              </w:rPr>
              <w:br/>
              <w:t xml:space="preserve">3.</w:t>
            </w:r>
            <w:r>
              <w:rPr>
                <w:rFonts w:hint="eastAsia"/>
                <w:sz w:val="24"/>
              </w:rPr>
              <w:t xml:space="preserve">结构：镂空设计。专用书包斗，中间设挂凳卡。</w:t>
            </w:r>
            <w:r>
              <w:rPr>
                <w:rFonts w:hint="eastAsia"/>
                <w:sz w:val="24"/>
              </w:rPr>
              <w:br/>
            </w:r>
            <w:r>
              <w:rPr>
                <w:rFonts w:hint="eastAsia"/>
                <w:sz w:val="24"/>
              </w:rPr>
              <w:t xml:space="preserve">★</w:t>
            </w:r>
            <w:r>
              <w:rPr>
                <w:rFonts w:hint="eastAsia"/>
                <w:sz w:val="24"/>
              </w:rPr>
              <w:t xml:space="preserve">4.</w:t>
            </w:r>
            <w:r>
              <w:rPr>
                <w:rFonts w:hint="eastAsia"/>
                <w:sz w:val="24"/>
              </w:rPr>
              <w:t xml:space="preserve">侧脚采用高强度合金或者钢制结构，要做到承重性能强和耐酸碱、耐腐蚀。</w:t>
            </w:r>
            <w:r>
              <w:rPr>
                <w:rFonts w:hint="eastAsia"/>
                <w:sz w:val="24"/>
              </w:rPr>
              <w:br/>
            </w:r>
            <w:r>
              <w:rPr>
                <w:rFonts w:hint="eastAsia"/>
                <w:sz w:val="24"/>
              </w:rPr>
              <w:t xml:space="preserve">★</w:t>
            </w:r>
            <w:r>
              <w:rPr>
                <w:rFonts w:hint="eastAsia"/>
                <w:sz w:val="24"/>
              </w:rPr>
              <w:t xml:space="preserve">5.</w:t>
            </w:r>
            <w:r>
              <w:rPr>
                <w:rFonts w:hint="eastAsia"/>
                <w:sz w:val="24"/>
              </w:rPr>
              <w:t xml:space="preserve">后档板、前后横梁、中间横梁全部采用高强度挤出合金或者钢制模具型材。</w:t>
            </w:r>
            <w:r>
              <w:rPr>
                <w:rFonts w:hint="eastAsia"/>
                <w:sz w:val="24"/>
              </w:rPr>
              <w:br/>
              <w:t xml:space="preserve">6. </w:t>
            </w:r>
            <w:r>
              <w:rPr>
                <w:rFonts w:hint="eastAsia"/>
                <w:sz w:val="24"/>
              </w:rPr>
              <w:t xml:space="preserve">桌侧脚：桌侧脚设置专用孔位与地面固定，并配有跟台面同色</w:t>
            </w:r>
            <w:r>
              <w:rPr>
                <w:rFonts w:hint="eastAsia"/>
                <w:sz w:val="24"/>
              </w:rPr>
              <w:t xml:space="preserve">ABS</w:t>
            </w:r>
            <w:r>
              <w:rPr>
                <w:rFonts w:hint="eastAsia"/>
                <w:sz w:val="24"/>
              </w:rPr>
              <w:t xml:space="preserve">脚套装饰盖。</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张</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功能柱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采用</w:t>
            </w:r>
            <w:r>
              <w:rPr>
                <w:rFonts w:hint="eastAsia"/>
                <w:sz w:val="24"/>
              </w:rPr>
              <w:t xml:space="preserve">ABS</w:t>
            </w:r>
            <w:r>
              <w:rPr>
                <w:rFonts w:hint="eastAsia"/>
                <w:sz w:val="24"/>
              </w:rPr>
              <w:t xml:space="preserve">注塑成型，分为桶体和底座两部份，表面沙面和光面相结合处理，以齿合槽配以螺丝连接。</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个</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学生电源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1.ABS</w:t>
            </w:r>
            <w:r>
              <w:rPr>
                <w:rFonts w:hint="eastAsia"/>
                <w:sz w:val="24"/>
              </w:rPr>
              <w:t xml:space="preserve">嵌入式电源盒，可放置在实验台两侧，书包盒中间，也可置于台面，实验和安装都非常方便。</w:t>
            </w:r>
            <w:r>
              <w:rPr>
                <w:rFonts w:hint="eastAsia"/>
                <w:sz w:val="24"/>
              </w:rPr>
              <w:br/>
              <w:t xml:space="preserve">2.</w:t>
            </w:r>
            <w:r>
              <w:rPr>
                <w:rFonts w:hint="eastAsia"/>
                <w:sz w:val="24"/>
              </w:rPr>
              <w:t xml:space="preserve">学生低压电源由教师集中供电，具有过载保护，过载指示灯点亮，自动复位功能。</w:t>
            </w:r>
            <w:r>
              <w:rPr>
                <w:rFonts w:hint="eastAsia"/>
                <w:sz w:val="24"/>
              </w:rPr>
              <w:br/>
              <w:t xml:space="preserve">3.</w:t>
            </w:r>
            <w:r>
              <w:rPr>
                <w:rFonts w:hint="eastAsia"/>
                <w:sz w:val="24"/>
              </w:rPr>
              <w:t xml:space="preserve">交流低压电源输出</w:t>
            </w:r>
            <w:r>
              <w:rPr>
                <w:rFonts w:hint="eastAsia"/>
                <w:sz w:val="24"/>
              </w:rPr>
              <w:t xml:space="preserve">:2V</w:t>
            </w:r>
            <w:r>
              <w:rPr>
                <w:rFonts w:hint="eastAsia"/>
                <w:sz w:val="24"/>
              </w:rPr>
              <w:t xml:space="preserve">到</w:t>
            </w:r>
            <w:r>
              <w:rPr>
                <w:rFonts w:hint="eastAsia"/>
                <w:sz w:val="24"/>
              </w:rPr>
              <w:t xml:space="preserve">24V</w:t>
            </w:r>
            <w:r>
              <w:rPr>
                <w:rFonts w:hint="eastAsia"/>
                <w:sz w:val="24"/>
              </w:rPr>
              <w:t xml:space="preserve">，由教师分档调节送给。学生直流输出的电压为学生交流全桥整流方式。</w:t>
            </w:r>
            <w:r>
              <w:rPr>
                <w:rFonts w:hint="eastAsia"/>
                <w:sz w:val="24"/>
              </w:rPr>
              <w:br/>
              <w:t xml:space="preserve">4.</w:t>
            </w:r>
            <w:r>
              <w:rPr>
                <w:rFonts w:hint="eastAsia"/>
                <w:sz w:val="24"/>
              </w:rPr>
              <w:t xml:space="preserve">国标</w:t>
            </w:r>
            <w:r>
              <w:rPr>
                <w:rFonts w:hint="eastAsia"/>
                <w:sz w:val="24"/>
              </w:rPr>
              <w:t xml:space="preserve">220V</w:t>
            </w:r>
            <w:r>
              <w:rPr>
                <w:rFonts w:hint="eastAsia"/>
                <w:sz w:val="24"/>
              </w:rPr>
              <w:t xml:space="preserve">电源插座，由教师集中控制</w:t>
            </w:r>
            <w:r>
              <w:rPr>
                <w:rFonts w:hint="eastAsia"/>
                <w:sz w:val="24"/>
              </w:rPr>
              <w:t xml:space="preserve">220V</w:t>
            </w:r>
            <w:r>
              <w:rPr>
                <w:rFonts w:hint="eastAsia"/>
                <w:sz w:val="24"/>
              </w:rPr>
              <w:t xml:space="preserve">，安全可靠。保险丝保护，</w:t>
            </w:r>
            <w:r>
              <w:rPr>
                <w:rFonts w:hint="eastAsia"/>
                <w:sz w:val="24"/>
              </w:rPr>
              <w:t xml:space="preserve">220V</w:t>
            </w:r>
            <w:r>
              <w:rPr>
                <w:rFonts w:hint="eastAsia"/>
                <w:sz w:val="24"/>
              </w:rPr>
              <w:t xml:space="preserve">电源指示灯，电源开关控制。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个</w:t>
            </w:r>
            <w:r/>
          </w:p>
        </w:tc>
      </w:tr>
      <w:tr>
        <w:trPr>
          <w:trHeight w:val="26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教师总控电源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br/>
              <w:t xml:space="preserve">1.</w:t>
            </w:r>
            <w:r>
              <w:rPr>
                <w:rFonts w:hint="eastAsia"/>
                <w:sz w:val="24"/>
              </w:rPr>
              <w:t xml:space="preserve">采用火线，零线双组开管的漏电保护器。</w:t>
            </w:r>
            <w:r>
              <w:rPr>
                <w:rFonts w:hint="eastAsia"/>
                <w:sz w:val="24"/>
              </w:rPr>
              <w:br/>
              <w:t xml:space="preserve">2.</w:t>
            </w:r>
            <w:r>
              <w:rPr>
                <w:rFonts w:hint="eastAsia"/>
                <w:sz w:val="24"/>
              </w:rPr>
              <w:t xml:space="preserve">具有定时自动关机功能。</w:t>
            </w:r>
            <w:r>
              <w:rPr>
                <w:rFonts w:hint="eastAsia"/>
                <w:sz w:val="24"/>
              </w:rPr>
              <w:br/>
              <w:t xml:space="preserve">3.</w:t>
            </w:r>
            <w:r>
              <w:rPr>
                <w:rFonts w:hint="eastAsia"/>
                <w:sz w:val="24"/>
              </w:rPr>
              <w:t xml:space="preserve">采用触摸屏控制、显示教师和学生交直流电压，电流。</w:t>
            </w:r>
            <w:r>
              <w:rPr>
                <w:rFonts w:hint="eastAsia"/>
                <w:sz w:val="24"/>
              </w:rPr>
              <w:br/>
              <w:t xml:space="preserve">4.</w:t>
            </w:r>
            <w:r>
              <w:rPr>
                <w:rFonts w:hint="eastAsia"/>
                <w:sz w:val="24"/>
              </w:rPr>
              <w:t xml:space="preserve">分</w:t>
            </w:r>
            <w:r>
              <w:rPr>
                <w:rFonts w:hint="eastAsia"/>
                <w:sz w:val="24"/>
              </w:rPr>
              <w:t xml:space="preserve">4</w:t>
            </w:r>
            <w:r>
              <w:rPr>
                <w:rFonts w:hint="eastAsia"/>
                <w:sz w:val="24"/>
              </w:rPr>
              <w:t xml:space="preserve">组向学生实验桌输出安全的</w:t>
            </w:r>
            <w:r>
              <w:rPr>
                <w:rFonts w:hint="eastAsia"/>
                <w:sz w:val="24"/>
              </w:rPr>
              <w:t xml:space="preserve">220V</w:t>
            </w:r>
            <w:r>
              <w:rPr>
                <w:rFonts w:hint="eastAsia"/>
                <w:sz w:val="24"/>
              </w:rPr>
              <w:t xml:space="preserve">交流电源。</w:t>
            </w:r>
            <w:r>
              <w:rPr>
                <w:rFonts w:hint="eastAsia"/>
                <w:sz w:val="24"/>
              </w:rPr>
              <w:t xml:space="preserve">                                 </w:t>
            </w:r>
            <w:r>
              <w:rPr>
                <w:rFonts w:hint="eastAsia"/>
                <w:sz w:val="24"/>
              </w:rPr>
              <w:br/>
              <w:t xml:space="preserve">5.</w:t>
            </w:r>
            <w:r>
              <w:rPr>
                <w:rFonts w:hint="eastAsia"/>
                <w:sz w:val="24"/>
              </w:rPr>
              <w:t xml:space="preserve">教师集中供电控制学生低压。分四组控制，且有电流监控功能。</w:t>
            </w:r>
            <w:r>
              <w:rPr>
                <w:rFonts w:hint="eastAsia"/>
                <w:sz w:val="24"/>
              </w:rPr>
              <w:br/>
              <w:t xml:space="preserve">6.</w:t>
            </w:r>
            <w:r>
              <w:rPr>
                <w:rFonts w:hint="eastAsia"/>
                <w:sz w:val="24"/>
              </w:rPr>
              <w:t xml:space="preserve">教师自用低压交流电源电压为</w:t>
            </w:r>
            <w:r>
              <w:rPr>
                <w:rFonts w:hint="eastAsia"/>
                <w:sz w:val="24"/>
              </w:rPr>
              <w:t xml:space="preserve">0V-18V/3A</w:t>
            </w:r>
            <w:r>
              <w:rPr>
                <w:rFonts w:hint="eastAsia"/>
                <w:sz w:val="24"/>
              </w:rPr>
              <w:t xml:space="preserve">、</w:t>
            </w:r>
            <w:r>
              <w:rPr>
                <w:rFonts w:hint="eastAsia"/>
                <w:sz w:val="24"/>
              </w:rPr>
              <w:t xml:space="preserve">19V-30V/2A</w:t>
            </w:r>
            <w:r>
              <w:rPr>
                <w:rFonts w:hint="eastAsia"/>
                <w:sz w:val="24"/>
              </w:rPr>
              <w:t xml:space="preserve">，分辩率为</w:t>
            </w:r>
            <w:r>
              <w:rPr>
                <w:rFonts w:hint="eastAsia"/>
                <w:sz w:val="24"/>
              </w:rPr>
              <w:t xml:space="preserve">1V</w:t>
            </w:r>
            <w:r>
              <w:rPr>
                <w:rFonts w:hint="eastAsia"/>
                <w:sz w:val="24"/>
              </w:rPr>
              <w:t xml:space="preserve">。具备自动过载保护功能。</w:t>
            </w:r>
            <w:r>
              <w:rPr>
                <w:rFonts w:hint="eastAsia"/>
                <w:sz w:val="24"/>
              </w:rPr>
              <w:br/>
              <w:t xml:space="preserve">7.</w:t>
            </w:r>
            <w:r>
              <w:rPr>
                <w:rFonts w:hint="eastAsia"/>
                <w:sz w:val="24"/>
              </w:rPr>
              <w:t xml:space="preserve">教师自用低压直流电源电压为</w:t>
            </w:r>
            <w:r>
              <w:rPr>
                <w:rFonts w:hint="eastAsia"/>
                <w:sz w:val="24"/>
              </w:rPr>
              <w:t xml:space="preserve">0V-18.0V/2A</w:t>
            </w:r>
            <w:r>
              <w:rPr>
                <w:rFonts w:hint="eastAsia"/>
                <w:sz w:val="24"/>
              </w:rPr>
              <w:t xml:space="preserve">、</w:t>
            </w:r>
            <w:r>
              <w:rPr>
                <w:rFonts w:hint="eastAsia"/>
                <w:sz w:val="24"/>
              </w:rPr>
              <w:t xml:space="preserve">18.1V-30.0V/1.5A</w:t>
            </w:r>
            <w:r>
              <w:rPr>
                <w:rFonts w:hint="eastAsia"/>
                <w:sz w:val="24"/>
              </w:rPr>
              <w:t xml:space="preserve">，分辩率为</w:t>
            </w:r>
            <w:r>
              <w:rPr>
                <w:rFonts w:hint="eastAsia"/>
                <w:sz w:val="24"/>
              </w:rPr>
              <w:t xml:space="preserve">0.1V</w:t>
            </w:r>
            <w:r>
              <w:rPr>
                <w:rFonts w:hint="eastAsia"/>
                <w:sz w:val="24"/>
              </w:rPr>
              <w:t xml:space="preserve">。具备自动过载保护功能</w:t>
            </w:r>
            <w:r>
              <w:rPr>
                <w:rFonts w:hint="eastAsia"/>
                <w:sz w:val="24"/>
              </w:rPr>
              <w:br/>
              <w:t xml:space="preserve">8.</w:t>
            </w:r>
            <w:r>
              <w:rPr>
                <w:rFonts w:hint="eastAsia"/>
                <w:sz w:val="24"/>
              </w:rPr>
              <w:t xml:space="preserve">大电流短时输出。</w:t>
            </w:r>
            <w:r>
              <w:rPr>
                <w:rFonts w:hint="eastAsia"/>
                <w:sz w:val="24"/>
              </w:rPr>
              <w:t xml:space="preserve">8</w:t>
            </w:r>
            <w:r>
              <w:rPr>
                <w:rFonts w:hint="eastAsia"/>
                <w:sz w:val="24"/>
              </w:rPr>
              <w:t xml:space="preserve">秒自动关断。</w:t>
            </w:r>
            <w:r>
              <w:rPr>
                <w:rFonts w:hint="eastAsia"/>
                <w:sz w:val="24"/>
              </w:rPr>
              <w:t xml:space="preserve">                                                            </w:t>
            </w:r>
            <w:r>
              <w:rPr>
                <w:rFonts w:hint="eastAsia"/>
                <w:sz w:val="24"/>
              </w:rPr>
              <w:br/>
              <w:t xml:space="preserve">9.</w:t>
            </w:r>
            <w:r>
              <w:rPr>
                <w:rFonts w:hint="eastAsia"/>
                <w:sz w:val="24"/>
              </w:rPr>
              <w:t xml:space="preserve">直流高压：输出</w:t>
            </w:r>
            <w:r>
              <w:rPr>
                <w:rFonts w:hint="eastAsia"/>
                <w:sz w:val="24"/>
              </w:rPr>
              <w:t xml:space="preserve">240V</w:t>
            </w:r>
            <w:r>
              <w:rPr>
                <w:rFonts w:hint="eastAsia"/>
                <w:sz w:val="24"/>
              </w:rPr>
              <w:t xml:space="preserve">或</w:t>
            </w:r>
            <w:r>
              <w:rPr>
                <w:rFonts w:hint="eastAsia"/>
                <w:sz w:val="24"/>
              </w:rPr>
              <w:t xml:space="preserve">300V</w:t>
            </w:r>
            <w:r>
              <w:rPr>
                <w:rFonts w:hint="eastAsia"/>
                <w:sz w:val="24"/>
              </w:rPr>
              <w:t xml:space="preserve">的高压，输出电流为</w:t>
            </w:r>
            <w:r>
              <w:rPr>
                <w:rFonts w:hint="eastAsia"/>
                <w:sz w:val="24"/>
              </w:rPr>
              <w:t xml:space="preserve">100mA,</w:t>
            </w:r>
            <w:r>
              <w:rPr>
                <w:rFonts w:hint="eastAsia"/>
                <w:sz w:val="24"/>
              </w:rPr>
              <w:t xml:space="preserve">具备过载保护功能。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台</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实验凳</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jc w:val="left"/>
              <w:widowControl/>
              <w:rPr>
                <w:sz w:val="24"/>
              </w:rPr>
            </w:pPr>
            <w:r>
              <w:rPr>
                <w:rFonts w:hint="eastAsia"/>
                <w:sz w:val="24"/>
              </w:rPr>
              <w:t xml:space="preserve">1.</w:t>
            </w:r>
            <w:r>
              <w:rPr>
                <w:rFonts w:hint="eastAsia"/>
                <w:sz w:val="24"/>
              </w:rPr>
              <w:t xml:space="preserve">规格：Ф凳面直径</w:t>
            </w:r>
            <w:r>
              <w:rPr>
                <w:rFonts w:hint="eastAsia"/>
                <w:sz w:val="24"/>
              </w:rPr>
              <w:t xml:space="preserve">300/315/320</w:t>
            </w:r>
            <w:r>
              <w:rPr>
                <w:rFonts w:hint="eastAsia"/>
                <w:sz w:val="24"/>
              </w:rPr>
              <w:t xml:space="preserve">×高</w:t>
            </w:r>
            <w:r>
              <w:rPr>
                <w:rFonts w:hint="eastAsia"/>
                <w:sz w:val="24"/>
              </w:rPr>
              <w:t xml:space="preserve">450/500/510mm</w:t>
            </w:r>
            <w:r>
              <w:rPr>
                <w:rFonts w:hint="eastAsia"/>
                <w:sz w:val="24"/>
              </w:rPr>
              <w:t xml:space="preserve">。</w:t>
            </w:r>
            <w:r>
              <w:rPr>
                <w:rFonts w:hint="eastAsia"/>
                <w:sz w:val="24"/>
              </w:rPr>
              <w:br/>
              <w:t xml:space="preserve">2.</w:t>
            </w:r>
            <w:r>
              <w:rPr>
                <w:rFonts w:hint="eastAsia"/>
                <w:sz w:val="24"/>
              </w:rPr>
              <w:t xml:space="preserve">全新注塑凳面。</w:t>
            </w:r>
            <w:r>
              <w:rPr>
                <w:rFonts w:hint="eastAsia"/>
                <w:sz w:val="24"/>
              </w:rPr>
              <w:br/>
              <w:t xml:space="preserve">3. </w:t>
            </w:r>
            <w:r>
              <w:rPr>
                <w:rFonts w:hint="eastAsia"/>
                <w:sz w:val="24"/>
              </w:rPr>
              <w:t xml:space="preserve">钢管≥</w:t>
            </w:r>
            <w:r>
              <w:rPr>
                <w:rFonts w:hint="eastAsia"/>
                <w:sz w:val="24"/>
              </w:rPr>
              <w:t xml:space="preserve">40*20*1.2mm</w:t>
            </w:r>
            <w:r>
              <w:rPr>
                <w:rFonts w:hint="eastAsia"/>
                <w:sz w:val="24"/>
              </w:rPr>
              <w:t xml:space="preserve">一体折弯成型，钢制四脚，下带</w:t>
            </w:r>
            <w:r>
              <w:rPr>
                <w:rFonts w:hint="eastAsia"/>
                <w:sz w:val="24"/>
              </w:rPr>
              <w:t xml:space="preserve">ABS</w:t>
            </w:r>
            <w:r>
              <w:rPr>
                <w:rFonts w:hint="eastAsia"/>
                <w:sz w:val="24"/>
              </w:rPr>
              <w:t xml:space="preserve">防水脚垫。外喷环氧树脂涂层，耐腐蚀耐酸碱。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条</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室内地上下配电设备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地上采用铝塑护套管，内穿塑铜线，有效固定，按国标施工。地下采用</w:t>
            </w:r>
            <w:r>
              <w:rPr>
                <w:rFonts w:hint="eastAsia"/>
                <w:sz w:val="24"/>
              </w:rPr>
              <w:t xml:space="preserve">PVC</w:t>
            </w:r>
            <w:r>
              <w:rPr>
                <w:rFonts w:hint="eastAsia"/>
                <w:sz w:val="24"/>
              </w:rPr>
              <w:t xml:space="preserve">阻燃塑料管，内穿国标</w:t>
            </w:r>
            <w:r>
              <w:rPr>
                <w:rFonts w:hint="eastAsia"/>
                <w:sz w:val="24"/>
              </w:rPr>
              <w:t xml:space="preserve">BV</w:t>
            </w:r>
            <w:r>
              <w:rPr>
                <w:rFonts w:hint="eastAsia"/>
                <w:sz w:val="24"/>
              </w:rPr>
              <w:t xml:space="preserve">线，含辅材和安装。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室</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地胶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sz w:val="24"/>
              </w:rPr>
            </w:pPr>
            <w:r>
              <w:rPr>
                <w:rFonts w:hint="eastAsia"/>
                <w:sz w:val="24"/>
              </w:rPr>
              <w:t xml:space="preserve">国产优质地胶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sz w:val="24"/>
              </w:rPr>
            </w:pPr>
            <w:r>
              <w:rPr>
                <w:rFonts w:hint="eastAsia"/>
                <w:sz w:val="24"/>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4"/>
              </w:rPr>
            </w:pPr>
            <w:r>
              <w:rPr>
                <w:rFonts w:hint="eastAsia"/>
                <w:sz w:val="24"/>
              </w:rPr>
              <w:t xml:space="preserve">m</w:t>
            </w:r>
            <w:r>
              <w:rPr>
                <w:rFonts w:hint="eastAsia"/>
                <w:sz w:val="24"/>
              </w:rPr>
              <w:t xml:space="preserve">²</w:t>
            </w:r>
            <w:r/>
          </w:p>
        </w:tc>
      </w:tr>
    </w:tbl>
    <w:p>
      <w:pPr>
        <w:pStyle w:val="787"/>
        <w:rPr>
          <w:szCs w:val="24"/>
        </w:rPr>
      </w:pPr>
      <w:r>
        <w:rPr>
          <w:szCs w:val="24"/>
        </w:rPr>
      </w:r>
      <w:r/>
    </w:p>
    <w:p>
      <w:pPr>
        <w:pStyle w:val="787"/>
        <w:ind w:firstLine="0"/>
        <w:rPr>
          <w:szCs w:val="24"/>
        </w:rPr>
      </w:pPr>
      <w:r>
        <w:rPr>
          <w:rFonts w:hint="eastAsia" w:asciiTheme="minorEastAsia" w:hAnsiTheme="minorEastAsia" w:eastAsiaTheme="minorEastAsia" w:cstheme="minorEastAsia"/>
          <w:spacing w:val="9"/>
          <w:szCs w:val="24"/>
        </w:rPr>
        <w:t xml:space="preserve">包三：</w:t>
      </w:r>
      <w:r/>
    </w:p>
    <w:tbl>
      <w:tblPr>
        <w:tblW w:w="0" w:type="auto"/>
        <w:tblInd w:w="97" w:type="dxa"/>
        <w:tblLook w:val="04A0" w:firstRow="1" w:lastRow="0" w:firstColumn="1" w:lastColumn="0" w:noHBand="0" w:noVBand="1"/>
      </w:tblPr>
      <w:tblGrid>
        <w:gridCol w:w="486"/>
        <w:gridCol w:w="717"/>
        <w:gridCol w:w="6252"/>
        <w:gridCol w:w="485"/>
        <w:gridCol w:w="485"/>
      </w:tblGrid>
      <w:tr>
        <w:trPr>
          <w:trHeight w:val="285"/>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1.物理数字化实验室</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技术参数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数量</w:t>
            </w:r>
            <w:r/>
          </w:p>
        </w:tc>
      </w:tr>
      <w:tr>
        <w:trPr>
          <w:trHeight w:val="471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教师演示台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参考规格：3000*700*900mm</w:t>
            </w:r>
            <w:r>
              <w:rPr>
                <w:rFonts w:hint="eastAsia" w:ascii="宋体" w:hAnsi="宋体" w:cs="宋体"/>
                <w:sz w:val="24"/>
                <w:szCs w:val="24"/>
              </w:rPr>
              <w:br/>
              <w:t xml:space="preserve">▲1.台面：采用≥12.7mm厚双面膜耐腐蚀实芯理化板制作，四角倒R15圆角。</w:t>
            </w:r>
            <w:r>
              <w:rPr>
                <w:rFonts w:hint="eastAsia" w:ascii="宋体" w:hAnsi="宋体" w:cs="宋体"/>
                <w:sz w:val="24"/>
                <w:szCs w:val="24"/>
              </w:rPr>
              <w:br/>
              <w:t xml:space="preserve">★2.柜体：全钢结构，采用≥1.0mm高强度镀锌钢板，切割折弯成型，组件焊接工艺，打磨平整，表面经环氧树脂喷涂处理；</w:t>
            </w:r>
            <w:r>
              <w:rPr>
                <w:rFonts w:hint="eastAsia" w:ascii="宋体" w:hAnsi="宋体" w:cs="宋体"/>
                <w:sz w:val="24"/>
                <w:szCs w:val="24"/>
              </w:rPr>
              <w:br/>
              <w:t xml:space="preserve">3.整体结构设计合理，预留教师电源安装位置；</w:t>
            </w:r>
            <w:r>
              <w:rPr>
                <w:rFonts w:hint="eastAsia" w:ascii="宋体" w:hAnsi="宋体" w:cs="宋体"/>
                <w:sz w:val="24"/>
                <w:szCs w:val="24"/>
              </w:rPr>
              <w:br/>
              <w:t xml:space="preserve">4.门板及抽面：采用双层结构，组装式设计，保证双层钢板双面都喷涂处理。</w:t>
            </w:r>
            <w:r>
              <w:rPr>
                <w:rFonts w:hint="eastAsia" w:ascii="宋体" w:hAnsi="宋体" w:cs="宋体"/>
                <w:sz w:val="24"/>
                <w:szCs w:val="24"/>
              </w:rPr>
              <w:br/>
              <w:t xml:space="preserve">5.防撞胶垫：装于抽屉及门板内侧，减缓碰撞，保护柜体。</w:t>
            </w:r>
            <w:r>
              <w:rPr>
                <w:rFonts w:hint="eastAsia" w:ascii="宋体" w:hAnsi="宋体" w:cs="宋体"/>
                <w:sz w:val="24"/>
                <w:szCs w:val="24"/>
              </w:rPr>
              <w:br/>
              <w:t xml:space="preserve">6.不锈钢防腐合页：采用优质不锈钢模具一体成型。</w:t>
            </w:r>
            <w:r>
              <w:rPr>
                <w:rFonts w:hint="eastAsia" w:ascii="宋体" w:hAnsi="宋体" w:cs="宋体"/>
                <w:sz w:val="24"/>
                <w:szCs w:val="24"/>
              </w:rPr>
              <w:br/>
              <w:t xml:space="preserve">7.防腐三节静音导轨：三节滚珠滑轨，承重性强，滑动顺滑。</w:t>
            </w:r>
            <w:r>
              <w:rPr>
                <w:rFonts w:hint="eastAsia" w:ascii="宋体" w:hAnsi="宋体" w:cs="宋体"/>
                <w:sz w:val="24"/>
                <w:szCs w:val="24"/>
              </w:rPr>
              <w:br/>
              <w:t xml:space="preserve">8.固定桌脚：采用柜体内置可调ABS调整脚，保证调整脚前后都可以调节高低。</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实验室专用水</w:t>
            </w:r>
            <w:r>
              <w:rPr>
                <w:rFonts w:hint="eastAsia" w:ascii="宋体" w:hAnsi="宋体" w:cs="宋体"/>
                <w:sz w:val="24"/>
                <w:szCs w:val="24"/>
              </w:rPr>
              <w:t xml:space="preserve">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采用实验室专用高密度PP一体化成型水槽，易清洁，耐腐蚀，且利于台面残水自然回流，美观实用；具耐酸碱、耐有机溶剂、耐紫外线等特点。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11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实验室专用龙头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28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教师总控电源</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br/>
              <w:t xml:space="preserve">1.装置在主控台组合柜内，采用耐磨、耐腐蚀的PVC薄膜面板，优质元器件，轻触按钮开关。</w:t>
            </w:r>
            <w:r>
              <w:rPr>
                <w:rFonts w:hint="eastAsia" w:ascii="宋体" w:hAnsi="宋体" w:cs="宋体"/>
                <w:sz w:val="24"/>
                <w:szCs w:val="24"/>
              </w:rPr>
              <w:br/>
              <w:t xml:space="preserve">2.输入电压：220v±10%；</w:t>
            </w:r>
            <w:r>
              <w:rPr>
                <w:rFonts w:hint="eastAsia" w:ascii="宋体" w:hAnsi="宋体" w:cs="宋体"/>
                <w:sz w:val="24"/>
                <w:szCs w:val="24"/>
              </w:rPr>
              <w:br/>
              <w:t xml:space="preserve">3.内装有教师演示电源及主控电源装置，教师能对实验室进行总体及分组控制;</w:t>
            </w:r>
            <w:r>
              <w:rPr>
                <w:rFonts w:hint="eastAsia" w:ascii="宋体" w:hAnsi="宋体" w:cs="宋体"/>
                <w:sz w:val="24"/>
                <w:szCs w:val="24"/>
              </w:rPr>
              <w:br/>
              <w:t xml:space="preserve">4.220V电源输出，电源总开关、漏电保护开关、工作指示灯、220V交流输出多用插座，数码实时显示电压电流值；电压表精度1%，电流表精度1.5%±5字；</w:t>
            </w:r>
            <w:r>
              <w:rPr>
                <w:rFonts w:hint="eastAsia" w:ascii="宋体" w:hAnsi="宋体" w:cs="宋体"/>
                <w:sz w:val="24"/>
                <w:szCs w:val="24"/>
              </w:rPr>
              <w:br/>
              <w:t xml:space="preserve">5.带老师、学生220V过载漏电保护。</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33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探究操作台一</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参考规格：2400*1200*780mm</w:t>
            </w:r>
            <w:r>
              <w:rPr>
                <w:rFonts w:hint="eastAsia" w:ascii="宋体" w:hAnsi="宋体" w:cs="宋体"/>
                <w:sz w:val="24"/>
                <w:szCs w:val="24"/>
              </w:rPr>
              <w:br/>
              <w:t xml:space="preserve">▲1.台面：采用≥12.7mm厚双面膜耐腐蚀实芯理化板制作，四角倒R15圆角；</w:t>
            </w:r>
            <w:r>
              <w:rPr>
                <w:rFonts w:hint="eastAsia" w:ascii="宋体" w:hAnsi="宋体" w:cs="宋体"/>
                <w:sz w:val="24"/>
                <w:szCs w:val="24"/>
              </w:rPr>
              <w:br/>
              <w:t xml:space="preserve">★2.柜体：全钢结构。采用≥1.0mm优质镀锌钢板，组件焊接工艺，打磨平整，表面经环氧树脂喷涂处理；</w:t>
            </w:r>
            <w:r>
              <w:rPr>
                <w:rFonts w:hint="eastAsia" w:ascii="宋体" w:hAnsi="宋体" w:cs="宋体"/>
                <w:sz w:val="24"/>
                <w:szCs w:val="24"/>
              </w:rPr>
              <w:br/>
              <w:t xml:space="preserve">3.防撞胶垫：装于抽屉及门板内侧，减缓碰撞，保护柜体；</w:t>
            </w:r>
            <w:r>
              <w:rPr>
                <w:rFonts w:hint="eastAsia" w:ascii="宋体" w:hAnsi="宋体" w:cs="宋体"/>
                <w:sz w:val="24"/>
                <w:szCs w:val="24"/>
              </w:rPr>
              <w:br/>
              <w:t xml:space="preserve">4.门板：采用双层钢板，必须两层组装是设计，保证两层双面都喷涂处理，中间采用隔音材料，保证关门减少噪音；</w:t>
            </w:r>
            <w:r>
              <w:rPr>
                <w:rFonts w:hint="eastAsia" w:ascii="宋体" w:hAnsi="宋体" w:cs="宋体"/>
                <w:sz w:val="24"/>
                <w:szCs w:val="24"/>
              </w:rPr>
              <w:br/>
              <w:t xml:space="preserve">5.连接件：采用ABS专用连接组装件；</w:t>
            </w:r>
            <w:r>
              <w:rPr>
                <w:rFonts w:hint="eastAsia" w:ascii="宋体" w:hAnsi="宋体" w:cs="宋体"/>
                <w:sz w:val="24"/>
                <w:szCs w:val="24"/>
              </w:rPr>
              <w:br/>
              <w:t xml:space="preserve">6.合页：采用优质不锈钢模具一体成型；</w:t>
            </w:r>
            <w:r>
              <w:rPr>
                <w:rFonts w:hint="eastAsia" w:ascii="宋体" w:hAnsi="宋体" w:cs="宋体"/>
                <w:sz w:val="24"/>
                <w:szCs w:val="24"/>
              </w:rPr>
              <w:br/>
              <w:t xml:space="preserve">7.固定桌脚：采用柜体内置可调ABS调整脚，保证调整脚前后都可以调节高低。</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r>
      <w:tr>
        <w:trPr>
          <w:trHeight w:val="84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探究操作台二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参考规格：1200*1200*780mm</w:t>
            </w:r>
            <w:r>
              <w:rPr>
                <w:rFonts w:hint="eastAsia" w:ascii="宋体" w:hAnsi="宋体" w:cs="宋体"/>
                <w:sz w:val="24"/>
                <w:szCs w:val="24"/>
              </w:rPr>
              <w:br/>
              <w:t xml:space="preserve">▲1.台面：采用≥12.7mm厚双面膜耐腐蚀实芯理化板制作，四角倒R15圆角；</w:t>
            </w:r>
            <w:r>
              <w:rPr>
                <w:rFonts w:hint="eastAsia" w:ascii="宋体" w:hAnsi="宋体" w:cs="宋体"/>
                <w:sz w:val="24"/>
                <w:szCs w:val="24"/>
              </w:rPr>
              <w:br/>
              <w:t xml:space="preserve">★2.柜体：全钢结构。采用≥1.0mm优质镀锌钢板，组件焊接工艺，打磨平整，表面经环氧树脂喷涂处理；</w:t>
            </w:r>
            <w:r>
              <w:rPr>
                <w:rFonts w:hint="eastAsia" w:ascii="宋体" w:hAnsi="宋体" w:cs="宋体"/>
                <w:sz w:val="24"/>
                <w:szCs w:val="24"/>
              </w:rPr>
              <w:br/>
              <w:t xml:space="preserve">3.防撞胶垫：装于抽屉及门板内侧，减缓碰撞，保护柜体；</w:t>
            </w:r>
            <w:r>
              <w:rPr>
                <w:rFonts w:hint="eastAsia" w:ascii="宋体" w:hAnsi="宋体" w:cs="宋体"/>
                <w:sz w:val="24"/>
                <w:szCs w:val="24"/>
              </w:rPr>
              <w:br/>
              <w:t xml:space="preserve">4.门板：采用双层钢板，必须两层组装是设计，保证两层双面都喷涂处理，中间采用隔音材料，保证关门减少噪音；</w:t>
            </w:r>
            <w:r>
              <w:rPr>
                <w:rFonts w:hint="eastAsia" w:ascii="宋体" w:hAnsi="宋体" w:cs="宋体"/>
                <w:sz w:val="24"/>
                <w:szCs w:val="24"/>
              </w:rPr>
              <w:br/>
              <w:t xml:space="preserve">5.连接件：采用ABS专用连接组装件；</w:t>
            </w:r>
            <w:r>
              <w:rPr>
                <w:rFonts w:hint="eastAsia" w:ascii="宋体" w:hAnsi="宋体" w:cs="宋体"/>
                <w:sz w:val="24"/>
                <w:szCs w:val="24"/>
              </w:rPr>
              <w:br/>
              <w:t xml:space="preserve">6.合页：采用优质不锈钢模具一体成型；</w:t>
            </w:r>
            <w:r>
              <w:rPr>
                <w:rFonts w:hint="eastAsia" w:ascii="宋体" w:hAnsi="宋体" w:cs="宋体"/>
                <w:sz w:val="24"/>
                <w:szCs w:val="24"/>
              </w:rPr>
              <w:br/>
              <w:t xml:space="preserve">7.固定桌脚：采用柜体内置可调ABS调整脚，保证调整脚</w:t>
            </w:r>
            <w:r>
              <w:rPr>
                <w:rFonts w:hint="eastAsia" w:ascii="宋体" w:hAnsi="宋体" w:cs="宋体"/>
                <w:sz w:val="24"/>
                <w:szCs w:val="24"/>
              </w:rPr>
              <w:t xml:space="preserve">前后都可以调节高低。</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22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学生凳</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1.凳脚材质：4个凳脚采用≥17×34×1.7mm 无缝钢管模具一次成型。全圆满焊接完成，结构牢固，经高温粉体烤漆处理，长时间使用也不会产生表面烤漆剥落现象，升降式。Ф凳面直径300/320×高450/500/510mm。</w:t>
            </w:r>
            <w:r>
              <w:rPr>
                <w:rFonts w:hint="eastAsia" w:ascii="宋体" w:hAnsi="宋体" w:cs="宋体"/>
                <w:sz w:val="24"/>
                <w:szCs w:val="24"/>
              </w:rPr>
              <w:br/>
              <w:t xml:space="preserve">2.凳面材质：注塑，防滑不发光。</w:t>
            </w:r>
            <w:r>
              <w:rPr>
                <w:rFonts w:hint="eastAsia" w:ascii="宋体" w:hAnsi="宋体" w:cs="宋体"/>
                <w:sz w:val="24"/>
                <w:szCs w:val="24"/>
              </w:rPr>
              <w:br/>
              <w:t xml:space="preserve">3.脚垫材质：采用PP加耐磨纤维质塑料，实心倒勾式一体射出成型 凳面与凳脚留有一定的空间便于凳子挂在挂凳扣上。方便教室的打扫。</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56</w:t>
            </w:r>
            <w:r/>
          </w:p>
        </w:tc>
      </w:tr>
      <w:tr>
        <w:trPr>
          <w:trHeight w:val="13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操作台插座</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1.钢制线盒，主框架采用裸板实际厚度≥1.0mm厚优质镀锌钢板制作，表面经磷化处理、环氧树脂静电粉末涂装处理。</w:t>
            </w:r>
            <w:r>
              <w:rPr>
                <w:rFonts w:hint="eastAsia" w:ascii="宋体" w:hAnsi="宋体" w:cs="宋体"/>
                <w:sz w:val="24"/>
                <w:szCs w:val="24"/>
              </w:rPr>
              <w:br/>
              <w:t xml:space="preserve">2. 220V交流输出为新国标五孔插座。</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w:t>
            </w:r>
            <w:r/>
          </w:p>
        </w:tc>
      </w:tr>
      <w:tr>
        <w:trPr>
          <w:trHeight w:val="94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学科专业知识窗帘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规格：（可以根据学校具体情况调整）加厚、遮光在窗帘上喷绘介绍学科知识，集教学、观赏为一体。</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r>
      <w:tr>
        <w:trPr>
          <w:trHeight w:val="40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陶瓷面防静电活动地板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产品规格：不低于602*602*40mm</w:t>
            </w:r>
            <w:r>
              <w:rPr>
                <w:rFonts w:hint="eastAsia" w:ascii="宋体" w:hAnsi="宋体" w:cs="宋体"/>
                <w:sz w:val="24"/>
                <w:szCs w:val="24"/>
              </w:rPr>
              <w:br/>
              <w:t xml:space="preserve">钢板厚度：上0.65mm下0.65mm</w:t>
            </w:r>
            <w:r>
              <w:rPr>
                <w:rFonts w:hint="eastAsia" w:ascii="宋体" w:hAnsi="宋体" w:cs="宋体"/>
                <w:sz w:val="24"/>
                <w:szCs w:val="24"/>
              </w:rPr>
              <w:br/>
              <w:t xml:space="preserve">填充材料：高强度发泡水泥</w:t>
            </w:r>
            <w:r>
              <w:rPr>
                <w:rFonts w:hint="eastAsia" w:ascii="宋体" w:hAnsi="宋体" w:cs="宋体"/>
                <w:sz w:val="24"/>
                <w:szCs w:val="24"/>
              </w:rPr>
              <w:br/>
              <w:t xml:space="preserve">地板贴面：10mm防静电瓷砖面</w:t>
            </w:r>
            <w:r>
              <w:rPr>
                <w:rFonts w:hint="eastAsia" w:ascii="宋体" w:hAnsi="宋体" w:cs="宋体"/>
                <w:sz w:val="24"/>
                <w:szCs w:val="24"/>
              </w:rPr>
              <w:br/>
              <w:t xml:space="preserve">系统电阻：1*106Ω-1*109Ω</w:t>
            </w:r>
            <w:r>
              <w:rPr>
                <w:rFonts w:hint="eastAsia" w:ascii="宋体" w:hAnsi="宋体" w:cs="宋体"/>
                <w:sz w:val="24"/>
                <w:szCs w:val="24"/>
              </w:rPr>
              <w:br/>
              <w:t xml:space="preserve">集中载荷：≥2300N</w:t>
            </w:r>
            <w:r>
              <w:rPr>
                <w:rFonts w:hint="eastAsia" w:ascii="宋体" w:hAnsi="宋体" w:cs="宋体"/>
                <w:sz w:val="24"/>
                <w:szCs w:val="24"/>
              </w:rPr>
              <w:br/>
              <w:t xml:space="preserve">均布载荷：≥16000N</w:t>
            </w:r>
            <w:r>
              <w:rPr>
                <w:rFonts w:hint="eastAsia" w:ascii="宋体" w:hAnsi="宋体" w:cs="宋体"/>
                <w:sz w:val="24"/>
                <w:szCs w:val="24"/>
              </w:rPr>
              <w:br/>
              <w:t xml:space="preserve">冲击载荷：≥3000N</w:t>
            </w:r>
            <w:r>
              <w:rPr>
                <w:rFonts w:hint="eastAsia" w:ascii="宋体" w:hAnsi="宋体" w:cs="宋体"/>
                <w:sz w:val="24"/>
                <w:szCs w:val="24"/>
              </w:rPr>
              <w:br/>
              <w:t xml:space="preserve">滚动载荷：≥13500N</w:t>
            </w:r>
            <w:r>
              <w:rPr>
                <w:rFonts w:hint="eastAsia" w:ascii="宋体" w:hAnsi="宋体" w:cs="宋体"/>
                <w:sz w:val="24"/>
                <w:szCs w:val="24"/>
              </w:rPr>
              <w:br/>
              <w:t xml:space="preserve">防火性能：A级</w:t>
            </w:r>
            <w:r>
              <w:rPr>
                <w:rFonts w:hint="eastAsia" w:ascii="宋体" w:hAnsi="宋体" w:cs="宋体"/>
                <w:sz w:val="24"/>
                <w:szCs w:val="24"/>
              </w:rPr>
              <w:br/>
              <w:t xml:space="preserve">支撑系统：</w:t>
            </w:r>
            <w:r>
              <w:rPr>
                <w:rFonts w:hint="eastAsia" w:ascii="宋体" w:hAnsi="宋体" w:cs="宋体"/>
                <w:sz w:val="24"/>
                <w:szCs w:val="24"/>
              </w:rPr>
              <w:br/>
              <w:t xml:space="preserve">支架： 由上托、螺杆、管柱、底座组成。管柱和底座为高强度铸铁或优质钢材，厚度≥2.0mm。并能实现不小于±20mm的高度调节范围，以适应地面不平整。</w:t>
            </w:r>
            <w:r>
              <w:rPr>
                <w:rFonts w:hint="eastAsia" w:ascii="宋体" w:hAnsi="宋体" w:cs="宋体"/>
                <w:sz w:val="24"/>
                <w:szCs w:val="24"/>
              </w:rPr>
              <w:br/>
              <w:t xml:space="preserve">横梁： 优质冷轧钢板制造，表面镀锌防锈。</w:t>
            </w:r>
            <w:r>
              <w:rPr>
                <w:rFonts w:hint="eastAsia" w:ascii="宋体" w:hAnsi="宋体" w:cs="宋体"/>
                <w:sz w:val="24"/>
                <w:szCs w:val="24"/>
              </w:rPr>
              <w:br/>
              <w:t xml:space="preserve">防腐处理： 所有金属支撑部件必须经过镀锌或更高标准的防锈、防腐处理，以适应实验室环境。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室内配套给排水改造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给水采用优质金属软连接与龙头连接，地上每套水嘴设一控制阀门。排水采用优质PVC管，连接处密封。</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46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室内配套电路</w:t>
            </w:r>
            <w:r>
              <w:rPr>
                <w:rFonts w:hint="eastAsia" w:ascii="宋体" w:hAnsi="宋体" w:cs="宋体"/>
                <w:sz w:val="24"/>
                <w:szCs w:val="24"/>
              </w:rPr>
              <w:t xml:space="preserve">改造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按国标施工。地下采用PVC阻燃塑料管，内穿国标BV线。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2.生物基础实验室</w:t>
            </w:r>
            <w:r/>
          </w:p>
        </w:tc>
      </w:tr>
      <w:tr>
        <w:trPr>
          <w:trHeight w:val="306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教师演示讲台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参考尺寸：2400*600*850㎜ </w:t>
            </w:r>
            <w:r>
              <w:rPr>
                <w:rFonts w:hint="eastAsia" w:ascii="宋体" w:hAnsi="宋体" w:cs="宋体"/>
                <w:sz w:val="24"/>
                <w:szCs w:val="24"/>
              </w:rPr>
              <w:br/>
              <w:t xml:space="preserve">▲1.台面：采用≥12.7mm实芯理化板，四周加厚处理，四角圆角,四边磨边。</w:t>
            </w:r>
            <w:r>
              <w:rPr>
                <w:rFonts w:hint="eastAsia" w:ascii="宋体" w:hAnsi="宋体" w:cs="宋体"/>
                <w:sz w:val="24"/>
                <w:szCs w:val="24"/>
              </w:rPr>
              <w:br/>
              <w:t xml:space="preserve">2.箱体：采用≥16mm厚E1级中密度三聚氰胺双饰面板，断面采用厚≥2mmPVC热熔封边并作防水处理。四角包边：采用PP改性材料，塑料注塑模一次性成型，曲面弧形造型，可以有效避免碰撞对人体产生的伤害。</w:t>
            </w:r>
            <w:r>
              <w:rPr>
                <w:rFonts w:hint="eastAsia" w:ascii="宋体" w:hAnsi="宋体" w:cs="宋体"/>
                <w:sz w:val="24"/>
                <w:szCs w:val="24"/>
              </w:rPr>
              <w:br/>
              <w:t xml:space="preserve">3.层板：采用≥16mm厚E1级中密度三聚氰胺饰面板，周边及断面采用厚≥2mmPVC热熔封边并作防水处理；</w:t>
            </w:r>
            <w:r>
              <w:rPr>
                <w:rFonts w:hint="eastAsia" w:ascii="宋体" w:hAnsi="宋体" w:cs="宋体"/>
                <w:sz w:val="24"/>
                <w:szCs w:val="24"/>
              </w:rPr>
              <w:br/>
              <w:t xml:space="preserve">4.每个箱体配四个优质的实验室仪器专用地脚，具有防腐防锈减震等特点。 </w:t>
            </w:r>
            <w:r>
              <w:rPr>
                <w:rFonts w:hint="eastAsia" w:ascii="宋体" w:hAnsi="宋体" w:cs="宋体"/>
                <w:sz w:val="24"/>
                <w:szCs w:val="24"/>
              </w:rPr>
              <w:br/>
              <w:t xml:space="preserve">5.柜门，抽屉：采用≥16mm厚E1级中密度三聚氰胺饰面板，柜门和抽屉面板四周注塑模注塑包边成型。</w:t>
            </w:r>
            <w:r>
              <w:rPr>
                <w:rFonts w:hint="eastAsia" w:ascii="宋体" w:hAnsi="宋体" w:cs="宋体"/>
                <w:sz w:val="24"/>
                <w:szCs w:val="24"/>
              </w:rPr>
              <w:br/>
              <w:t xml:space="preserve">6.讲台预留教师电源安装位置。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421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水槽柜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参考规格：438/450/500*580/600*750/850mm</w:t>
            </w:r>
            <w:r>
              <w:rPr>
                <w:rFonts w:hint="eastAsia" w:ascii="宋体" w:hAnsi="宋体" w:cs="宋体"/>
                <w:sz w:val="24"/>
                <w:szCs w:val="24"/>
              </w:rPr>
              <w:br/>
              <w:t xml:space="preserve">1.水槽：采用环保型PP材料一次性注塑成型，耐强酸碱及有机溶剂，具有防溢出功能。</w:t>
            </w:r>
            <w:r>
              <w:rPr>
                <w:rFonts w:hint="eastAsia" w:ascii="宋体" w:hAnsi="宋体" w:cs="宋体"/>
                <w:sz w:val="24"/>
                <w:szCs w:val="24"/>
              </w:rPr>
              <w:br/>
            </w:r>
            <w:r>
              <w:rPr>
                <w:rFonts w:hint="eastAsia"/>
                <w:sz w:val="24"/>
              </w:rPr>
              <w:t xml:space="preserve">▲</w:t>
            </w:r>
            <w:r>
              <w:rPr>
                <w:rFonts w:hint="eastAsia" w:ascii="宋体" w:hAnsi="宋体" w:cs="宋体"/>
                <w:sz w:val="24"/>
                <w:szCs w:val="24"/>
              </w:rPr>
              <w:t xml:space="preserve">2.箱体支撑件：箱体四周采用铝型材支撑，表面经过纯环氧树脂塑粉高温固化处理，具有较强的耐蚀性及承重性。</w:t>
            </w:r>
            <w:r>
              <w:rPr>
                <w:rFonts w:hint="eastAsia" w:ascii="宋体" w:hAnsi="宋体" w:cs="宋体"/>
                <w:sz w:val="24"/>
                <w:szCs w:val="24"/>
              </w:rPr>
              <w:br/>
              <w:t xml:space="preserve">3.水柜前后门：采用pp改性材料塑料注塑模一次性成型，表面沙面与光面相结合处理。内部置铝型材为加强筋。</w:t>
            </w:r>
            <w:r>
              <w:rPr>
                <w:rFonts w:hint="eastAsia" w:ascii="宋体" w:hAnsi="宋体" w:cs="宋体"/>
                <w:sz w:val="24"/>
                <w:szCs w:val="24"/>
              </w:rPr>
              <w:br/>
              <w:t xml:space="preserve">4.水嘴: 采用实验室专用二联水嘴90度瓷质阀芯，出水嘴为铜质尖嘴，可拆卸，内有螺纹，可方便连接循环等特殊用水，水管管体部分为黄铜合金制品，铜质表面经过烤漆喷涂处理，增强耐酸碱防腐蚀以及防锈性能，可360度旋转。</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r>
      <w:tr>
        <w:trPr>
          <w:trHeight w:val="5519"/>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学生实验桌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参考尺寸：1200*600*780mm，</w:t>
            </w:r>
            <w:r>
              <w:rPr>
                <w:rFonts w:hint="eastAsia" w:ascii="宋体" w:hAnsi="宋体" w:cs="宋体"/>
                <w:sz w:val="24"/>
                <w:szCs w:val="24"/>
              </w:rPr>
              <w:br/>
              <w:t xml:space="preserve">▲1.台面：采用≥12.7mm实芯理化板，耐酸碱，表面哑光，不反光防滑；热弯加工成型，使台面前端呈半圆弧形。</w:t>
            </w:r>
            <w:r>
              <w:rPr>
                <w:rFonts w:hint="eastAsia" w:ascii="宋体" w:hAnsi="宋体" w:cs="宋体"/>
                <w:sz w:val="24"/>
                <w:szCs w:val="24"/>
              </w:rPr>
              <w:br/>
              <w:t xml:space="preserve">★2.侧脚采用高强度合金或者钢制结构。后端配备加固支撑梁，各部分连接设置专用定位件。左右侧脚上连接梁采用合金型材连接，所有金属表面经环氧树脂粉末喷涂高温固化处理。要做到承重性能强和耐酸碱、耐腐蚀。</w:t>
            </w:r>
            <w:r>
              <w:rPr>
                <w:rFonts w:hint="eastAsia" w:ascii="宋体" w:hAnsi="宋体" w:cs="宋体"/>
                <w:sz w:val="24"/>
                <w:szCs w:val="24"/>
              </w:rPr>
              <w:br/>
              <w:t xml:space="preserve">★3.背部档水板、前横梁、中间横梁全部采用高强度金属模具型材，各部分连接设置专用定位件。</w:t>
            </w:r>
            <w:r>
              <w:rPr>
                <w:rFonts w:hint="eastAsia" w:ascii="宋体" w:hAnsi="宋体" w:cs="宋体"/>
                <w:sz w:val="24"/>
                <w:szCs w:val="24"/>
              </w:rPr>
              <w:br/>
              <w:t xml:space="preserve">4.专用书包斗ABS注塑一体注塑成型，中间设挂凳卡。</w:t>
            </w:r>
            <w:r>
              <w:rPr>
                <w:rFonts w:hint="eastAsia" w:ascii="宋体" w:hAnsi="宋体" w:cs="宋体"/>
                <w:sz w:val="24"/>
                <w:szCs w:val="24"/>
              </w:rPr>
              <w:br/>
              <w:t xml:space="preserve">5.桌脚：采用一体注塑模具成型，可以与地面固定，防止桌移动。并用专用注塑模具件装饰。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w:t>
            </w:r>
            <w:r/>
          </w:p>
        </w:tc>
      </w:tr>
      <w:tr>
        <w:trPr>
          <w:trHeight w:val="202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多功能柱</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整体采用实验室专用PP材质，四周圆弧处理，前后二块拼接而成，可拆装，内部隐藏实验线管及通风管道，方便检修。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w:t>
            </w:r>
            <w:r/>
          </w:p>
        </w:tc>
      </w:tr>
      <w:tr>
        <w:trPr>
          <w:trHeight w:val="190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抽斗电源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参考尺寸：120*120*400mm</w:t>
            </w:r>
            <w:r>
              <w:rPr>
                <w:rFonts w:hint="eastAsia" w:ascii="宋体" w:hAnsi="宋体" w:cs="宋体"/>
                <w:sz w:val="24"/>
                <w:szCs w:val="24"/>
              </w:rPr>
              <w:br/>
              <w:t xml:space="preserve">1.单独安装在桌面下方两抽斗中间，箱体由三组工程PC塑料模具一次成型,工作操作台为翻转式。</w:t>
            </w:r>
            <w:r>
              <w:rPr>
                <w:rFonts w:hint="eastAsia" w:ascii="宋体" w:hAnsi="宋体" w:cs="宋体"/>
                <w:sz w:val="24"/>
                <w:szCs w:val="24"/>
              </w:rPr>
              <w:br/>
              <w:t xml:space="preserve">2.面板采用耐磨、耐腐蚀的PVC薄膜面板。微电脑控制，数码实时显示电压电流值；电压表精度1%，电流表精度1.5%±5字。</w:t>
            </w:r>
            <w:r>
              <w:rPr>
                <w:rFonts w:hint="eastAsia" w:ascii="宋体" w:hAnsi="宋体" w:cs="宋体"/>
                <w:sz w:val="24"/>
                <w:szCs w:val="24"/>
              </w:rPr>
              <w:br/>
              <w:t xml:space="preserve">3.有电源开关，零火线可同时关断。</w:t>
            </w:r>
            <w:r>
              <w:rPr>
                <w:rFonts w:hint="eastAsia" w:ascii="宋体" w:hAnsi="宋体" w:cs="宋体"/>
                <w:sz w:val="24"/>
                <w:szCs w:val="24"/>
              </w:rPr>
              <w:br/>
              <w:t xml:space="preserve">4.设置2路多功能220V五孔交流插座。</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w:t>
            </w:r>
            <w:r/>
          </w:p>
        </w:tc>
      </w:tr>
      <w:tr>
        <w:trPr>
          <w:trHeight w:val="3450"/>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教师总控电源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spacing w:after="240"/>
              <w:widowControl/>
              <w:rPr>
                <w:rFonts w:ascii="宋体" w:hAnsi="宋体" w:cs="宋体"/>
                <w:sz w:val="24"/>
                <w:szCs w:val="24"/>
              </w:rPr>
            </w:pPr>
            <w:r>
              <w:rPr>
                <w:rFonts w:hint="eastAsia" w:ascii="宋体" w:hAnsi="宋体" w:cs="宋体"/>
                <w:sz w:val="24"/>
                <w:szCs w:val="24"/>
              </w:rPr>
              <w:t xml:space="preserve">1.装置在主控台组合柜内，采用耐磨、耐腐蚀的PVC薄膜面板，优质元器件，轻触按钮开关。</w:t>
            </w:r>
            <w:r>
              <w:rPr>
                <w:rFonts w:hint="eastAsia" w:ascii="宋体" w:hAnsi="宋体" w:cs="宋体"/>
                <w:sz w:val="24"/>
                <w:szCs w:val="24"/>
              </w:rPr>
              <w:br/>
              <w:t xml:space="preserve">2.输入电压：220v±10%；</w:t>
            </w:r>
            <w:r>
              <w:rPr>
                <w:rFonts w:hint="eastAsia" w:ascii="宋体" w:hAnsi="宋体" w:cs="宋体"/>
                <w:sz w:val="24"/>
                <w:szCs w:val="24"/>
              </w:rPr>
              <w:br/>
              <w:t xml:space="preserve">3.内装有教师演示电源及主控电源装置，教师能对实验室进行总体及分组控制：</w:t>
            </w:r>
            <w:r>
              <w:rPr>
                <w:rFonts w:hint="eastAsia" w:ascii="宋体" w:hAnsi="宋体" w:cs="宋体"/>
                <w:sz w:val="24"/>
                <w:szCs w:val="24"/>
              </w:rPr>
              <w:br/>
              <w:t xml:space="preserve">4.220V电源输出，电源总开关、漏电保护开关、工作指示灯、220V交流输出多用插座，数码实时显示电压电流值；电压表精度1%，电流表精度1.5%±5字；</w:t>
            </w:r>
            <w:r>
              <w:rPr>
                <w:rFonts w:hint="eastAsia" w:ascii="宋体" w:hAnsi="宋体" w:cs="宋体"/>
                <w:sz w:val="24"/>
                <w:szCs w:val="24"/>
              </w:rPr>
              <w:br/>
              <w:t xml:space="preserve">5.带老师、学生220V过载漏电保护。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241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实验凳</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1.凳脚材质：4个凳脚采用≥17×34×1.7mm 无缝钢管模具一次成型。全圆满焊接完成，结构牢固，经高温粉体烤漆处理，长时间使用也不会产生表面烤漆剥落现象，升降式。Ф凳面直径300/320×高450/500/510mm。</w:t>
            </w:r>
            <w:r>
              <w:rPr>
                <w:rFonts w:hint="eastAsia" w:ascii="宋体" w:hAnsi="宋体" w:cs="宋体"/>
                <w:sz w:val="24"/>
                <w:szCs w:val="24"/>
              </w:rPr>
              <w:br/>
              <w:t xml:space="preserve">2.凳面材质：注塑，防滑不发光。</w:t>
            </w:r>
            <w:r>
              <w:rPr>
                <w:rFonts w:hint="eastAsia" w:ascii="宋体" w:hAnsi="宋体" w:cs="宋体"/>
                <w:sz w:val="24"/>
                <w:szCs w:val="24"/>
              </w:rPr>
              <w:br/>
              <w:t xml:space="preserve">3.脚垫材质：采用PP加耐磨纤维质塑料，实心倒勾式一体射出成型 凳面与凳脚留有一定的空间便于凳子挂在挂凳扣上。方便教室的打扫。</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56</w:t>
            </w:r>
            <w:r/>
          </w:p>
        </w:tc>
      </w:tr>
      <w:tr>
        <w:trPr>
          <w:trHeight w:val="106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安全光源</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不锈钢LED灯，支架采用不锈钢材质，灯管角度可以自由调节，灯管采用LED灯，光照亮度温和，使用寿命长。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w:t>
            </w:r>
            <w:r/>
          </w:p>
        </w:tc>
      </w:tr>
      <w:tr>
        <w:trPr>
          <w:trHeight w:val="499"/>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2.生物准备室</w:t>
            </w:r>
            <w:r/>
          </w:p>
        </w:tc>
      </w:tr>
      <w:tr>
        <w:trPr>
          <w:trHeight w:val="41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准备台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参考规格：3000*1200*800mm</w:t>
            </w:r>
            <w:r>
              <w:rPr>
                <w:rFonts w:hint="eastAsia" w:ascii="宋体" w:hAnsi="宋体" w:cs="宋体"/>
                <w:sz w:val="24"/>
                <w:szCs w:val="24"/>
              </w:rPr>
              <w:br/>
              <w:t xml:space="preserve">▲1.台面：采用≥12.7mm厚双面膜耐腐蚀实芯理化板制作，四角倒R15圆角。</w:t>
            </w:r>
            <w:r>
              <w:rPr>
                <w:rFonts w:hint="eastAsia" w:ascii="宋体" w:hAnsi="宋体" w:cs="宋体"/>
                <w:sz w:val="24"/>
                <w:szCs w:val="24"/>
              </w:rPr>
              <w:br/>
              <w:t xml:space="preserve">★2.柜体：全钢结构，采用≥1.0mm高强度镀锌钢板，切割折弯成型，组件焊接工艺，打磨平整，表面经环氧树脂喷涂处理；</w:t>
            </w:r>
            <w:r>
              <w:rPr>
                <w:rFonts w:hint="eastAsia" w:ascii="宋体" w:hAnsi="宋体" w:cs="宋体"/>
                <w:sz w:val="24"/>
                <w:szCs w:val="24"/>
              </w:rPr>
              <w:br/>
              <w:t xml:space="preserve">3.整体结构设计合理，预留教师电源安装位置；</w:t>
            </w:r>
            <w:r>
              <w:rPr>
                <w:rFonts w:hint="eastAsia" w:ascii="宋体" w:hAnsi="宋体" w:cs="宋体"/>
                <w:sz w:val="24"/>
                <w:szCs w:val="24"/>
              </w:rPr>
              <w:br/>
              <w:t xml:space="preserve">4.门板及抽面：采用双层结构，组装式设计，保证双层钢板双面都喷涂处理。</w:t>
            </w:r>
            <w:r>
              <w:rPr>
                <w:rFonts w:hint="eastAsia" w:ascii="宋体" w:hAnsi="宋体" w:cs="宋体"/>
                <w:sz w:val="24"/>
                <w:szCs w:val="24"/>
              </w:rPr>
              <w:br/>
              <w:t xml:space="preserve">5.防撞胶垫：装于抽屉及门板内侧，减缓碰撞，保护柜体。</w:t>
            </w:r>
            <w:r>
              <w:rPr>
                <w:rFonts w:hint="eastAsia" w:ascii="宋体" w:hAnsi="宋体" w:cs="宋体"/>
                <w:sz w:val="24"/>
                <w:szCs w:val="24"/>
              </w:rPr>
              <w:br/>
              <w:t xml:space="preserve">6.不锈钢防腐合页：采用优质不锈钢模具一体成型。</w:t>
            </w:r>
            <w:r>
              <w:rPr>
                <w:rFonts w:hint="eastAsia" w:ascii="宋体" w:hAnsi="宋体" w:cs="宋体"/>
                <w:sz w:val="24"/>
                <w:szCs w:val="24"/>
              </w:rPr>
              <w:br/>
              <w:t xml:space="preserve">7.防腐三节静音导轨：三节滚珠滑轨，承重性强，滑动顺滑。</w:t>
            </w:r>
            <w:r>
              <w:rPr>
                <w:rFonts w:hint="eastAsia" w:ascii="宋体" w:hAnsi="宋体" w:cs="宋体"/>
                <w:sz w:val="24"/>
                <w:szCs w:val="24"/>
              </w:rPr>
              <w:br/>
              <w:t xml:space="preserve">8.固定桌脚：采用柜体内置可调ABS调整脚，保证调整脚前后都可以调节高低。</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93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实验室专用水槽</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采用实验室专用高密度PP一体化成型水槽，易清洁，耐腐蚀，且利于台面残水自然回流；具耐酸碱、耐有机溶剂、耐紫外线等特点。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三联高低位龙头</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573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仪器柜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参考规格：1000/1020*500*2000/2040mm</w:t>
            </w:r>
            <w:r>
              <w:rPr>
                <w:rFonts w:hint="eastAsia" w:ascii="宋体" w:hAnsi="宋体" w:cs="宋体"/>
                <w:sz w:val="24"/>
                <w:szCs w:val="24"/>
              </w:rPr>
              <w:br/>
              <w:t xml:space="preserve">▲1.采用全PP材质注塑成型，层板内置钢管，四立柱贯穿铝合金圆柱加强整体承重，柜体内部无任何外露金属件和紧固螺丝。</w:t>
            </w:r>
            <w:r>
              <w:rPr>
                <w:rFonts w:hint="eastAsia" w:ascii="宋体" w:hAnsi="宋体" w:cs="宋体"/>
                <w:sz w:val="24"/>
                <w:szCs w:val="24"/>
              </w:rPr>
              <w:br/>
              <w:t xml:space="preserve">▲2.主框架：侧板为整体注塑成型，侧板内贯穿铝合金圆柱，加强整体的承重性与稳固性。预设可调节式通风口。</w:t>
            </w:r>
            <w:r>
              <w:rPr>
                <w:rFonts w:hint="eastAsia" w:ascii="宋体" w:hAnsi="宋体" w:cs="宋体"/>
                <w:sz w:val="24"/>
                <w:szCs w:val="24"/>
              </w:rPr>
              <w:br/>
              <w:t xml:space="preserve">▲3.柜门:内嵌≥4mm厚钢化玻璃。（钢化玻璃提供由国家确定的认证机构出具的、处于有效期之内的CCC认证证书扫描件）</w:t>
            </w:r>
            <w:r>
              <w:rPr>
                <w:rFonts w:hint="eastAsia" w:ascii="宋体" w:hAnsi="宋体" w:cs="宋体"/>
                <w:sz w:val="24"/>
                <w:szCs w:val="24"/>
              </w:rPr>
              <w:br/>
              <w:t xml:space="preserve">4.层板:每块层板应内置不少于两根隐藏式钢质抗弯加固条。层板可以抽取，自由组合各层空间。</w:t>
            </w:r>
            <w:r>
              <w:rPr>
                <w:rFonts w:hint="eastAsia" w:ascii="宋体" w:hAnsi="宋体" w:cs="宋体"/>
                <w:sz w:val="24"/>
                <w:szCs w:val="24"/>
              </w:rPr>
              <w:br/>
              <w:t xml:space="preserve">5.柜子顶部和底部都预留通风系统接口，与通风管路连接；接口处配有手动调节装置，可以打开或关闭通风口。</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r>
    </w:tbl>
    <w:p>
      <w:pPr>
        <w:pStyle w:val="787"/>
        <w:ind w:left="840" w:firstLine="0"/>
      </w:pPr>
      <w:r/>
      <w:r/>
    </w:p>
    <w:p>
      <w:pPr>
        <w:pStyle w:val="1064"/>
        <w:ind w:left="0" w:firstLine="354"/>
        <w:jc w:val="both"/>
        <w:spacing w:line="480" w:lineRule="exact"/>
        <w:widowControl w:val="off"/>
        <w:rPr>
          <w:rFonts w:ascii="Times New Roman" w:hAnsi="Times New Roman"/>
          <w:b/>
        </w:rPr>
      </w:pPr>
      <w:r>
        <w:rPr>
          <w:rFonts w:hint="eastAsia" w:ascii="Times New Roman" w:hAnsi="Times New Roman"/>
          <w:b/>
          <w:lang w:eastAsia="zh-CN"/>
        </w:rPr>
        <w:t xml:space="preserve">六、</w:t>
      </w:r>
      <w:r>
        <w:rPr>
          <w:rFonts w:ascii="Times New Roman" w:hAnsi="Times New Roman"/>
          <w:b/>
          <w:lang w:eastAsia="zh-CN"/>
        </w:rPr>
        <w:t xml:space="preserve">商务要求</w:t>
      </w:r>
      <w:r/>
    </w:p>
    <w:tbl>
      <w:tblPr>
        <w:tblW w:w="86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6"/>
        <w:gridCol w:w="1360"/>
        <w:gridCol w:w="6445"/>
      </w:tblGrid>
      <w:tr>
        <w:trPr>
          <w:trHeight w:val="284"/>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80" w:lineRule="exact"/>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80" w:lineRule="exact"/>
              <w:rPr>
                <w:rFonts w:ascii="宋体" w:hAnsi="宋体" w:cs="宋体"/>
                <w:sz w:val="24"/>
              </w:rPr>
            </w:pPr>
            <w:r>
              <w:rPr>
                <w:rFonts w:hint="eastAsia" w:ascii="宋体" w:hAnsi="宋体" w:cs="宋体"/>
                <w:sz w:val="24"/>
              </w:rPr>
              <w:t xml:space="preserve">条款名称</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jc w:val="center"/>
              <w:spacing w:line="480" w:lineRule="exact"/>
              <w:rPr>
                <w:rFonts w:ascii="宋体" w:hAnsi="宋体" w:cs="宋体"/>
                <w:sz w:val="24"/>
              </w:rPr>
            </w:pPr>
            <w:r>
              <w:rPr>
                <w:rFonts w:hint="eastAsia" w:ascii="宋体" w:hAnsi="宋体" w:cs="宋体"/>
                <w:sz w:val="24"/>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合同主体</w:t>
            </w:r>
            <w:r/>
          </w:p>
          <w:p>
            <w:pPr>
              <w:jc w:val="center"/>
              <w:spacing w:line="400" w:lineRule="exact"/>
              <w:rPr>
                <w:rFonts w:ascii="宋体" w:hAnsi="宋体" w:cs="宋体"/>
                <w:sz w:val="24"/>
              </w:rPr>
            </w:pPr>
            <w:r>
              <w:rPr>
                <w:rFonts w:hint="eastAsia" w:ascii="宋体" w:hAnsi="宋体" w:cs="宋体"/>
                <w:sz w:val="24"/>
              </w:rPr>
              <w:t xml:space="preserve">与付款单位</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本项目合同主体与付款单位为：</w:t>
            </w:r>
            <w:r>
              <w:rPr>
                <w:rFonts w:hint="eastAsia" w:ascii="宋体" w:hAnsi="宋体" w:cs="宋体"/>
                <w:sz w:val="24"/>
                <w:szCs w:val="24"/>
              </w:rPr>
              <w:t xml:space="preserve">常州市</w:t>
            </w:r>
            <w:r>
              <w:rPr>
                <w:rFonts w:hint="eastAsia" w:ascii="宋体" w:hAnsi="宋体" w:cs="宋体"/>
                <w:sz w:val="24"/>
                <w:szCs w:val="24"/>
              </w:rPr>
              <w:t xml:space="preserve">龙城</w:t>
            </w:r>
            <w:r>
              <w:rPr>
                <w:rFonts w:hint="eastAsia" w:ascii="宋体" w:hAnsi="宋体" w:cs="宋体"/>
                <w:sz w:val="24"/>
                <w:szCs w:val="24"/>
              </w:rPr>
              <w:t xml:space="preserve">高级中学、</w:t>
            </w:r>
            <w:r>
              <w:rPr>
                <w:rFonts w:ascii="宋体" w:hAnsi="宋体" w:cs="宋体"/>
                <w:sz w:val="24"/>
                <w:szCs w:val="24"/>
              </w:rPr>
              <w:t xml:space="preserve">常州市教科院附属高级中学、</w:t>
            </w:r>
            <w:r>
              <w:rPr>
                <w:rFonts w:hint="eastAsia" w:ascii="宋体" w:hAnsi="宋体" w:cs="宋体"/>
                <w:sz w:val="24"/>
                <w:szCs w:val="24"/>
              </w:rPr>
              <w:t xml:space="preserve">常州市北郊高级中学</w:t>
            </w:r>
            <w:r>
              <w:rPr>
                <w:rFonts w:hint="eastAsia" w:ascii="宋体" w:hAnsi="宋体" w:cs="宋体"/>
                <w:sz w:val="24"/>
              </w:rPr>
              <w:t xml:space="preserve">。</w:t>
            </w:r>
            <w:r/>
          </w:p>
        </w:tc>
      </w:tr>
      <w:tr>
        <w:trPr>
          <w:trHeight w:val="132"/>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项目质保要求</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pStyle w:val="815"/>
              <w:ind w:firstLine="0"/>
              <w:rPr>
                <w:rFonts w:ascii="宋体" w:hAnsi="宋体" w:eastAsia="宋体" w:cs="宋体"/>
                <w:sz w:val="24"/>
                <w:szCs w:val="24"/>
              </w:rPr>
            </w:pPr>
            <w:r>
              <w:rPr>
                <w:rFonts w:hint="eastAsia" w:ascii="宋体" w:hAnsi="宋体" w:eastAsia="宋体" w:cs="宋体"/>
                <w:sz w:val="24"/>
                <w:szCs w:val="24"/>
              </w:rPr>
              <w:t xml:space="preserve">1. 项目免费质保期：桌椅类产品免费质保不低于5年，其他（除耗材外）</w:t>
            </w:r>
            <w:r>
              <w:rPr>
                <w:rFonts w:ascii="宋体" w:hAnsi="宋体" w:eastAsia="宋体" w:cs="宋体"/>
                <w:sz w:val="24"/>
                <w:szCs w:val="24"/>
              </w:rPr>
              <w:t xml:space="preserve">免费质保</w:t>
            </w:r>
            <w:r>
              <w:rPr>
                <w:rFonts w:hint="eastAsia" w:ascii="宋体" w:hAnsi="宋体" w:eastAsia="宋体" w:cs="宋体"/>
                <w:sz w:val="24"/>
                <w:szCs w:val="24"/>
              </w:rPr>
              <w:t xml:space="preserve">不低于3</w:t>
            </w:r>
            <w:r>
              <w:rPr>
                <w:rFonts w:ascii="宋体" w:hAnsi="宋体" w:eastAsia="宋体" w:cs="宋体"/>
                <w:sz w:val="24"/>
                <w:szCs w:val="24"/>
              </w:rPr>
              <w:t xml:space="preserve">年</w:t>
            </w:r>
            <w:r>
              <w:rPr>
                <w:rFonts w:hint="eastAsia" w:ascii="宋体" w:hAnsi="宋体" w:eastAsia="宋体" w:cs="宋体"/>
                <w:sz w:val="24"/>
                <w:szCs w:val="24"/>
              </w:rPr>
              <w:t xml:space="preserve">。具体质保年限与投标文件承诺一致，质保时间自采购人验收合格之日起算。</w:t>
            </w:r>
            <w:r/>
          </w:p>
          <w:p>
            <w:pPr>
              <w:spacing w:line="400" w:lineRule="exact"/>
              <w:rPr>
                <w:rFonts w:ascii="宋体" w:hAnsi="宋体" w:cs="宋体"/>
                <w:sz w:val="24"/>
              </w:rPr>
            </w:pPr>
            <w:r>
              <w:rPr>
                <w:rFonts w:hint="eastAsia" w:ascii="宋体" w:hAnsi="宋体" w:cs="宋体"/>
                <w:sz w:val="24"/>
              </w:rPr>
              <w:t xml:space="preserve">2.质保条款：</w:t>
            </w:r>
            <w:r/>
          </w:p>
          <w:p>
            <w:pPr>
              <w:spacing w:line="400" w:lineRule="exact"/>
              <w:rPr>
                <w:rFonts w:ascii="宋体" w:hAnsi="宋体" w:cs="宋体"/>
                <w:sz w:val="24"/>
              </w:rPr>
            </w:pPr>
            <w:r>
              <w:rPr>
                <w:rFonts w:hint="eastAsia" w:ascii="宋体" w:hAnsi="宋体" w:cs="宋体"/>
                <w:sz w:val="24"/>
              </w:rPr>
              <w:t xml:space="preserve">（1）在质保期内，中标人应免费提供货物正常使用情况下的维修及保养服务，在非人为因素情况下，一切维护费用均由中标人负责。质保期内货物本身质量出现问题或由于货物本身质量原因造成的任何损伤或损坏，中标人应及时给予免费维修或免费更换，由此引起的施工费、人工费、材料费等一切费用由中标人负责。</w:t>
            </w:r>
            <w:r/>
          </w:p>
          <w:p>
            <w:pPr>
              <w:pStyle w:val="815"/>
              <w:ind w:firstLine="0"/>
              <w:rPr>
                <w:rFonts w:ascii="宋体" w:hAnsi="宋体" w:eastAsia="宋体" w:cs="宋体"/>
                <w:sz w:val="24"/>
                <w:szCs w:val="24"/>
              </w:rPr>
            </w:pPr>
            <w:r>
              <w:rPr>
                <w:rFonts w:hint="eastAsia" w:ascii="宋体" w:hAnsi="宋体" w:eastAsia="宋体" w:cs="宋体"/>
                <w:sz w:val="24"/>
                <w:szCs w:val="24"/>
              </w:rPr>
              <w:t xml:space="preserve">（2）中标人提供免费上门服务，接到用户通报故障的电话2小时之内响应服务，4小时内能到现场解决问题；若货物故障在检修8 工作小时后仍无法排除，中标人应在48 小</w:t>
            </w:r>
            <w:r>
              <w:rPr>
                <w:rFonts w:hint="eastAsia" w:ascii="宋体" w:hAnsi="宋体" w:eastAsia="宋体" w:cs="宋体"/>
                <w:sz w:val="24"/>
                <w:szCs w:val="24"/>
              </w:rPr>
              <w:t xml:space="preserve">时内免费提供不低于故障货物规格型号档次的备用货物供学校使用，直至故障货物修复。</w:t>
            </w:r>
            <w:r/>
          </w:p>
          <w:p>
            <w:pPr>
              <w:pStyle w:val="815"/>
              <w:ind w:firstLine="0"/>
              <w:rPr>
                <w:rFonts w:ascii="宋体" w:hAnsi="宋体" w:eastAsia="宋体" w:cs="宋体"/>
                <w:sz w:val="24"/>
                <w:szCs w:val="24"/>
              </w:rPr>
            </w:pPr>
            <w:r>
              <w:rPr>
                <w:rFonts w:hint="eastAsia" w:ascii="宋体" w:hAnsi="宋体" w:eastAsia="宋体" w:cs="宋体"/>
                <w:sz w:val="24"/>
                <w:szCs w:val="24"/>
              </w:rPr>
              <w:t xml:space="preserve">（3）质保期后，中标人提供全生命周期服务，在设备的设计使用寿命周期内，中标人应能保证采购人更换到原厂的备件材料，确保设备的正常使用。</w:t>
            </w:r>
            <w:r/>
          </w:p>
        </w:tc>
      </w:tr>
      <w:tr>
        <w:trPr>
          <w:trHeight w:val="185"/>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合同签订</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spacing w:line="40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项目招标结束后，中标（成交）供应商应于30日内完成合同签订。</w:t>
            </w:r>
            <w:r/>
          </w:p>
          <w:p>
            <w:pPr>
              <w:spacing w:line="400" w:lineRule="exact"/>
              <w:rPr>
                <w:rFonts w:ascii="宋体" w:hAnsi="宋体" w:cs="宋体"/>
                <w:sz w:val="24"/>
              </w:rPr>
            </w:pPr>
            <w:r>
              <w:rPr>
                <w:rFonts w:hint="eastAsia" w:ascii="宋体" w:hAnsi="宋体" w:cs="宋体"/>
                <w:sz w:val="24"/>
              </w:rPr>
              <w:t xml:space="preserve">2.投标人中标后须与采购人在投标产品的“功能配置、技术要求等”方面及时交底沟通，并开始现场勘测和深化设计，确保技术细节与采购人确认；产品颜色需经采购人认可并通知投标人，投标人不得擅自更改项目内容。</w:t>
            </w:r>
            <w:r/>
          </w:p>
          <w:p>
            <w:pPr>
              <w:spacing w:line="400" w:lineRule="exact"/>
              <w:rPr>
                <w:rFonts w:ascii="宋体" w:hAnsi="宋体" w:cs="宋体"/>
                <w:sz w:val="24"/>
              </w:rPr>
            </w:pPr>
            <w:r>
              <w:rPr>
                <w:rFonts w:hint="eastAsia" w:ascii="宋体" w:hAnsi="宋体" w:cs="宋体"/>
                <w:sz w:val="24"/>
              </w:rPr>
              <w:t xml:space="preserve">3.中标（成交）供应商在收到中标（成交）通知书后，最晚于法定签订合同截止时间前，应将下列材料送达采购人：提供所投产品原厂质保函原件(加盖原厂鲜章，同时应提供原厂联系人姓名和联系电话)。</w:t>
            </w:r>
            <w:r/>
          </w:p>
          <w:p>
            <w:pPr>
              <w:spacing w:line="400" w:lineRule="exact"/>
              <w:rPr>
                <w:rFonts w:ascii="宋体" w:hAnsi="宋体" w:cs="宋体"/>
                <w:sz w:val="24"/>
              </w:rPr>
            </w:pPr>
            <w:r>
              <w:rPr>
                <w:rFonts w:hint="eastAsia" w:ascii="宋体" w:hAnsi="宋体" w:cs="宋体"/>
                <w:sz w:val="24"/>
              </w:rPr>
              <w:t xml:space="preserve">若在合同签订前核查发现中标（成交）供应商未按要求提供材料，或所提供材料存在以下情形之一的，视为不具备履约能力，采购人应及时报相关部门处置。</w:t>
            </w:r>
            <w:r/>
          </w:p>
          <w:p>
            <w:pPr>
              <w:ind w:firstLine="240"/>
              <w:spacing w:line="400" w:lineRule="exact"/>
              <w:rPr>
                <w:rFonts w:ascii="宋体" w:hAnsi="宋体" w:cs="宋体"/>
                <w:sz w:val="24"/>
              </w:rPr>
            </w:pPr>
            <w:r>
              <w:rPr>
                <w:rFonts w:hint="eastAsia" w:ascii="宋体" w:hAnsi="宋体" w:cs="宋体"/>
                <w:sz w:val="24"/>
              </w:rPr>
              <w:t xml:space="preserve">（1）材料形式有瑕疵，但内容真实、可补正的，采购人书面通知中标（成交）候选供应商在法定签订合同截止时间前一次性补正，逾期未补正或补正仍不符合要求的。</w:t>
            </w:r>
            <w:r/>
          </w:p>
          <w:p>
            <w:pPr>
              <w:ind w:firstLine="240"/>
              <w:spacing w:line="400" w:lineRule="exact"/>
              <w:rPr>
                <w:rFonts w:ascii="宋体" w:hAnsi="宋体" w:cs="宋体"/>
                <w:sz w:val="24"/>
              </w:rPr>
            </w:pPr>
            <w:r>
              <w:rPr>
                <w:rFonts w:hint="eastAsia" w:ascii="宋体" w:hAnsi="宋体" w:cs="宋体"/>
                <w:sz w:val="24"/>
              </w:rPr>
              <w:t xml:space="preserve">（2）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r/>
          </w:p>
          <w:p>
            <w:pPr>
              <w:ind w:firstLine="240"/>
              <w:spacing w:line="400" w:lineRule="exact"/>
              <w:rPr>
                <w:rFonts w:ascii="宋体" w:hAnsi="宋体" w:cs="宋体"/>
                <w:sz w:val="24"/>
              </w:rPr>
            </w:pPr>
            <w:r>
              <w:rPr>
                <w:rFonts w:hint="eastAsia" w:ascii="宋体" w:hAnsi="宋体" w:cs="宋体"/>
                <w:sz w:val="24"/>
              </w:rPr>
              <w:t xml:space="preserve">4.若提交的材料不符合要求的，应在三个工作日内进行补正。</w:t>
            </w:r>
            <w:r/>
          </w:p>
          <w:p>
            <w:pPr>
              <w:ind w:firstLine="240"/>
              <w:spacing w:line="400" w:lineRule="exact"/>
              <w:rPr>
                <w:rFonts w:ascii="宋体" w:hAnsi="宋体" w:cs="宋体"/>
                <w:sz w:val="24"/>
              </w:rPr>
            </w:pPr>
            <w:r>
              <w:rPr>
                <w:rFonts w:hint="eastAsia" w:ascii="宋体" w:hAnsi="宋体" w:cs="宋体"/>
                <w:sz w:val="24"/>
              </w:rPr>
              <w:t xml:space="preserve">5.采购人可按以下流程进行核查：</w:t>
            </w:r>
            <w:r>
              <w:rPr>
                <w:rFonts w:hint="eastAsia" w:ascii="宋体" w:hAnsi="宋体" w:cs="宋体"/>
                <w:sz w:val="24"/>
              </w:rPr>
              <w:tab/>
            </w:r>
            <w:r/>
          </w:p>
          <w:p>
            <w:pPr>
              <w:ind w:firstLine="240"/>
              <w:spacing w:line="400" w:lineRule="exact"/>
              <w:rPr>
                <w:rFonts w:ascii="宋体" w:hAnsi="宋体" w:cs="宋体"/>
                <w:sz w:val="24"/>
              </w:rPr>
            </w:pPr>
            <w:r>
              <w:rPr>
                <w:rFonts w:hint="eastAsia" w:ascii="宋体" w:hAnsi="宋体" w:cs="宋体"/>
                <w:sz w:val="24"/>
              </w:rPr>
              <w:t xml:space="preserve">（1）查询。登录全国认证认可信息公共服务平台（http://cx.cnca.cn/）或省级监管服务平台（如苏检通），查询的内容包括但不限于以下内容：检测机构的CMA资质证书及与检测项目相对应的检测能力范围、检测报告编号等。</w:t>
            </w:r>
            <w:r/>
          </w:p>
          <w:p>
            <w:pPr>
              <w:ind w:firstLine="240"/>
              <w:spacing w:line="400" w:lineRule="exact"/>
              <w:rPr>
                <w:rFonts w:ascii="宋体" w:hAnsi="宋体" w:cs="宋体"/>
                <w:sz w:val="24"/>
              </w:rPr>
            </w:pPr>
            <w:r>
              <w:rPr>
                <w:rFonts w:hint="eastAsia" w:ascii="宋体" w:hAnsi="宋体" w:cs="宋体"/>
                <w:sz w:val="24"/>
              </w:rPr>
              <w:t xml:space="preserve">（2）验证。扫描检测报告首页或封面带有 CMA 标志二维码、电话咨询发证机关，或提请本地市场监管部门协助验证。</w:t>
            </w:r>
            <w:r/>
          </w:p>
          <w:p>
            <w:pPr>
              <w:ind w:firstLine="240"/>
              <w:spacing w:line="400" w:lineRule="exact"/>
              <w:rPr>
                <w:rFonts w:ascii="宋体" w:hAnsi="宋体" w:cs="宋体"/>
                <w:sz w:val="24"/>
              </w:rPr>
            </w:pPr>
            <w:r>
              <w:rPr>
                <w:rFonts w:hint="eastAsia" w:ascii="宋体" w:hAnsi="宋体" w:cs="宋体"/>
                <w:sz w:val="24"/>
              </w:rPr>
              <w:t xml:space="preserve">（3）协查。当采购人发现检测报告超出检测机构检测能力范围，或怀疑检测报告真实性，及时向本地市场监管部门提供线索并请求协查，并得到协查结果。</w:t>
            </w:r>
            <w:r/>
          </w:p>
          <w:p>
            <w:pPr>
              <w:ind w:firstLine="240"/>
              <w:spacing w:line="400" w:lineRule="exact"/>
              <w:rPr>
                <w:rFonts w:ascii="宋体" w:hAnsi="宋体" w:cs="宋体"/>
                <w:sz w:val="24"/>
              </w:rPr>
            </w:pPr>
            <w:r>
              <w:rPr>
                <w:rFonts w:hint="eastAsia" w:ascii="宋体" w:hAnsi="宋体" w:cs="宋体"/>
                <w:sz w:val="24"/>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p>
          <w:p>
            <w:pPr>
              <w:ind w:firstLine="240"/>
              <w:spacing w:line="400" w:lineRule="exact"/>
              <w:rPr>
                <w:rFonts w:ascii="宋体" w:hAnsi="宋体" w:cs="宋体"/>
                <w:sz w:val="24"/>
              </w:rPr>
            </w:pPr>
            <w:r>
              <w:rPr>
                <w:rFonts w:hint="eastAsia" w:ascii="宋体" w:hAnsi="宋体" w:cs="宋体"/>
                <w:sz w:val="24"/>
              </w:rPr>
              <w:t xml:space="preserve">补正内容不能超出投标文件所提供材料的范围。</w:t>
            </w:r>
            <w:r/>
          </w:p>
          <w:p>
            <w:pPr>
              <w:ind w:firstLine="240"/>
              <w:spacing w:line="400" w:lineRule="exact"/>
              <w:rPr>
                <w:rFonts w:ascii="宋体" w:hAnsi="宋体" w:cs="宋体"/>
                <w:sz w:val="24"/>
              </w:rPr>
            </w:pPr>
            <w:r>
              <w:rPr>
                <w:rFonts w:hint="eastAsia" w:ascii="宋体" w:hAnsi="宋体" w:cs="宋体"/>
                <w:sz w:val="24"/>
              </w:rPr>
              <w:t xml:space="preserve">检验检测机构已注销，但检验检测机构有效期内出具的有效检测报告应认定为有效。</w:t>
            </w:r>
            <w:r/>
          </w:p>
          <w:p>
            <w:pPr>
              <w:ind w:firstLine="240"/>
              <w:spacing w:line="400" w:lineRule="exact"/>
              <w:rPr>
                <w:rFonts w:ascii="宋体" w:hAnsi="宋体" w:cs="宋体"/>
                <w:sz w:val="24"/>
              </w:rPr>
            </w:pPr>
            <w:r>
              <w:rPr>
                <w:rFonts w:hint="eastAsia" w:ascii="宋体" w:hAnsi="宋体" w:cs="宋体"/>
                <w:sz w:val="24"/>
              </w:rPr>
              <w:t xml:space="preserve">6.因供应商原因被取消中标（成交）资格的，采购人按政府采购法及实施条例等规定的情形或按有关部门的意见进行处置。</w:t>
            </w:r>
            <w:r/>
          </w:p>
        </w:tc>
      </w:tr>
      <w:tr>
        <w:trPr>
          <w:trHeight w:val="90"/>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工期要求</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必须在合同签订后30日内完成安装调试并通过采购人验收。</w:t>
            </w:r>
            <w:r/>
          </w:p>
        </w:tc>
      </w:tr>
      <w:tr>
        <w:trPr>
          <w:trHeight w:val="211"/>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交货地点</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1. 成交供应商负责将货物运到采购人指定地点，由成交供应商负责办理运输和装卸等，费用由成交供应商负责。</w:t>
            </w:r>
            <w:r/>
          </w:p>
          <w:p>
            <w:pPr>
              <w:jc w:val="left"/>
              <w:spacing w:line="400" w:lineRule="exact"/>
              <w:rPr>
                <w:rFonts w:ascii="宋体" w:hAnsi="宋体" w:cs="宋体"/>
                <w:sz w:val="24"/>
              </w:rPr>
            </w:pPr>
            <w:r>
              <w:rPr>
                <w:rFonts w:hint="eastAsia" w:ascii="宋体" w:hAnsi="宋体" w:cs="宋体"/>
                <w:sz w:val="24"/>
              </w:rPr>
              <w:t xml:space="preserve">2. 成交供应商所提供的货物开箱后，如采购人（或实际安装的学校负责人员）发现有任何质量问题（如外观损伤、功能不齐全、无法正常使用等），成交供应商必须立即以同样型号的设备在采购人（或实际安装的学校负责人员）商定的时间内更换，确保其使用。</w:t>
            </w:r>
            <w:r/>
          </w:p>
        </w:tc>
      </w:tr>
      <w:tr>
        <w:trPr>
          <w:trHeight w:val="84"/>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培训要求</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免费提供设备使用培训，培训时间和地点由本项目设备使用的各校确定。</w:t>
            </w:r>
            <w:r/>
          </w:p>
        </w:tc>
      </w:tr>
      <w:tr>
        <w:trPr>
          <w:trHeight w:val="267"/>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包装和运输</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验收标准与方法</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1.验收标准依据关于印发《江苏省政府采购履约验收管理办法》的通知（苏财规〔2024〕7号））</w:t>
            </w:r>
            <w:r/>
          </w:p>
          <w:p>
            <w:pPr>
              <w:jc w:val="left"/>
              <w:spacing w:line="400" w:lineRule="exact"/>
              <w:rPr>
                <w:rFonts w:ascii="宋体" w:hAnsi="宋体" w:cs="宋体"/>
                <w:sz w:val="24"/>
              </w:rPr>
            </w:pPr>
            <w:r>
              <w:rPr>
                <w:rFonts w:hint="eastAsia" w:ascii="宋体" w:hAnsi="宋体" w:cs="宋体"/>
                <w:sz w:val="24"/>
              </w:rPr>
              <w:t xml:space="preserve">2.所供货物必须是全新的，原装正品，符合招标文件规定</w:t>
            </w:r>
            <w:r>
              <w:rPr>
                <w:rFonts w:hint="eastAsia" w:ascii="宋体" w:hAnsi="宋体" w:cs="宋体"/>
                <w:sz w:val="24"/>
              </w:rPr>
              <w:t xml:space="preserve">的质量、规格和性能的要求。投标人严格按照清单内数量、规格供货，产品必须符合国家规定的质量标准。因产品质量或安装不当导致验收不合格，应及时处理直至验收合格，期间产生的一切费用由中标方承担。</w:t>
            </w:r>
            <w:r/>
          </w:p>
          <w:p>
            <w:pPr>
              <w:jc w:val="left"/>
              <w:spacing w:line="400" w:lineRule="exact"/>
              <w:rPr>
                <w:rFonts w:ascii="宋体" w:hAnsi="宋体" w:cs="宋体"/>
                <w:sz w:val="24"/>
              </w:rPr>
            </w:pPr>
            <w:r>
              <w:rPr>
                <w:rFonts w:hint="eastAsia" w:ascii="宋体" w:hAnsi="宋体" w:cs="宋体"/>
                <w:sz w:val="24"/>
              </w:rPr>
              <w:t xml:space="preserve">3.投标人提供的产品必须能够满足规范及招标文件的要求，必须能通过招标人的质量验收等各类验收。</w:t>
            </w:r>
            <w:r/>
          </w:p>
          <w:p>
            <w:pPr>
              <w:jc w:val="left"/>
              <w:spacing w:line="400" w:lineRule="exact"/>
              <w:rPr>
                <w:rFonts w:ascii="宋体" w:hAnsi="宋体" w:cs="宋体"/>
                <w:sz w:val="24"/>
              </w:rPr>
            </w:pPr>
            <w:r>
              <w:rPr>
                <w:rFonts w:hint="eastAsia" w:ascii="宋体" w:hAnsi="宋体" w:cs="宋体"/>
                <w:sz w:val="24"/>
              </w:rPr>
              <w:t xml:space="preserve">4.在</w:t>
            </w:r>
            <w:r>
              <w:rPr>
                <w:rFonts w:hint="eastAsia" w:ascii="宋体" w:hAnsi="宋体" w:cs="宋体"/>
                <w:sz w:val="24"/>
              </w:rPr>
              <w:t xml:space="preserve">产品生产过程中，投标人需按照招投标文件及合同要求的质量及技术标准组织生产，采购人随时可以到投标人的生产现场对原材料的厚度、规格、材质进行抽样检查。产品安装前，采购人组织相关人员依据招投标文件及合同要求的质量及技术标准对产品进行质量检查、检测，合格后方可进行安装。投标人所供产品所使用的主材(油漆、板材、胶水)等要求环保、无毒无害、无刺鼻气味，国家要求的针对甲醛的标准。对产品抽查不符合要求的，将加倍抽查，若加倍抽样仍不合格，将判定所供产品或材料不合格并全部退货，投标人承担全部责任并赔偿采购人因此产生的全部损失。</w:t>
            </w:r>
            <w:r/>
          </w:p>
          <w:p>
            <w:pPr>
              <w:jc w:val="left"/>
              <w:spacing w:line="400" w:lineRule="exact"/>
              <w:rPr>
                <w:rFonts w:ascii="宋体" w:hAnsi="宋体" w:cs="宋体"/>
                <w:sz w:val="24"/>
              </w:rPr>
            </w:pPr>
            <w:r>
              <w:rPr>
                <w:rFonts w:hint="eastAsia" w:ascii="宋体" w:hAnsi="宋体" w:cs="宋体"/>
                <w:sz w:val="24"/>
              </w:rPr>
              <w:t xml:space="preserve">5.本项目由采购人决定是否邀请第三方进行联合验收。</w:t>
            </w:r>
            <w:r/>
          </w:p>
          <w:p>
            <w:pPr>
              <w:jc w:val="left"/>
              <w:spacing w:line="400" w:lineRule="exact"/>
              <w:rPr>
                <w:rFonts w:ascii="宋体" w:hAnsi="宋体" w:cs="宋体"/>
                <w:sz w:val="24"/>
              </w:rPr>
            </w:pPr>
            <w:r>
              <w:rPr>
                <w:rFonts w:hint="eastAsia" w:ascii="宋体" w:hAnsi="宋体" w:cs="宋体"/>
                <w:sz w:val="24"/>
              </w:rPr>
              <w:t xml:space="preserve">6.货物安装验收不合格时，投标人应予以免费调换，直至符合规定，采购人不承担因调退货而发生的任何费用和责任，因调换产生的交货期延误，投标人应承担相应的违约责任。如因家具产品质量给采购人带来的损失，投标人还应赔偿采购人直接损失费用。</w:t>
            </w:r>
            <w:r/>
          </w:p>
          <w:p>
            <w:pPr>
              <w:jc w:val="left"/>
              <w:spacing w:line="400" w:lineRule="exact"/>
              <w:rPr>
                <w:rFonts w:ascii="宋体" w:hAnsi="宋体" w:cs="宋体"/>
                <w:sz w:val="24"/>
              </w:rPr>
            </w:pPr>
            <w:r>
              <w:rPr>
                <w:rFonts w:hint="eastAsia" w:ascii="宋体" w:hAnsi="宋体" w:cs="宋体"/>
                <w:sz w:val="24"/>
              </w:rPr>
              <w:t xml:space="preserve">7.关于项目验收一次性不通过导致的后续验收的专家费，由责任方承担。</w:t>
            </w:r>
            <w:r/>
          </w:p>
          <w:p>
            <w:pPr>
              <w:jc w:val="left"/>
              <w:spacing w:line="400" w:lineRule="exact"/>
              <w:rPr>
                <w:rFonts w:ascii="宋体" w:hAnsi="宋体" w:cs="宋体"/>
                <w:sz w:val="24"/>
              </w:rPr>
            </w:pPr>
            <w:r>
              <w:rPr>
                <w:rFonts w:hint="eastAsia" w:ascii="宋体" w:hAnsi="宋体" w:cs="宋体"/>
                <w:sz w:val="24"/>
              </w:rPr>
              <w:t xml:space="preserve">8.双方在符合国家相关质量标准的基础上，根据合同约定的质量标准进行验收。验收合格后，双方在采购人《常州市教育局部门集中采购、内部采购项目验收情况》上签字确认，作为投标人与采购人进行货款结算必要条件。</w:t>
            </w:r>
            <w:r/>
          </w:p>
        </w:tc>
      </w:tr>
      <w:tr>
        <w:trPr>
          <w:trHeight w:val="267"/>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9</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保险</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0</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付款条件</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spacing w:line="400" w:lineRule="exact"/>
              <w:rPr>
                <w:rFonts w:ascii="宋体" w:hAnsi="宋体" w:cs="宋体"/>
                <w:sz w:val="24"/>
              </w:rPr>
            </w:pPr>
            <w:r>
              <w:rPr>
                <w:rFonts w:hint="eastAsia" w:ascii="宋体" w:hAnsi="宋体" w:cs="宋体"/>
                <w:sz w:val="24"/>
              </w:rPr>
              <w:t xml:space="preserve">付款方式：验收合格，全款付清。</w:t>
            </w:r>
            <w:r/>
          </w:p>
        </w:tc>
      </w:tr>
      <w:tr>
        <w:trPr>
          <w:trHeight w:val="580"/>
        </w:trPr>
        <w:tc>
          <w:tcPr>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其他要求</w:t>
            </w:r>
            <w:r/>
          </w:p>
        </w:tc>
        <w:tc>
          <w:tcPr>
            <w:tcBorders>
              <w:top w:val="single" w:color="auto" w:sz="4" w:space="0"/>
              <w:left w:val="single" w:color="auto" w:sz="4" w:space="0"/>
              <w:bottom w:val="single" w:color="auto" w:sz="4" w:space="0"/>
              <w:right w:val="single" w:color="auto" w:sz="4" w:space="0"/>
            </w:tcBorders>
            <w:tcW w:w="6445" w:type="dxa"/>
            <w:vAlign w:val="center"/>
            <w:textDirection w:val="lrTb"/>
            <w:noWrap/>
          </w:tcPr>
          <w:p>
            <w:pPr>
              <w:spacing w:line="400" w:lineRule="exact"/>
              <w:widowControl/>
              <w:rPr>
                <w:rFonts w:ascii="宋体" w:hAnsi="宋体" w:cs="宋体"/>
                <w:sz w:val="24"/>
              </w:rPr>
            </w:pPr>
            <w:r>
              <w:rPr>
                <w:rFonts w:hint="eastAsia" w:ascii="宋体" w:hAnsi="宋体" w:cs="宋体"/>
                <w:sz w:val="24"/>
              </w:rPr>
              <w:t xml:space="preserve">1.成交供应商应将电子响应文件打印成纸质稿（编制页码打印并胶装），一式两份，分别递交至代理机构和采购人处（邮寄或当面送达)。未及时提供纸质响应文件将可能影</w:t>
            </w:r>
            <w:r>
              <w:rPr>
                <w:rFonts w:hint="eastAsia" w:ascii="宋体" w:hAnsi="宋体" w:cs="宋体"/>
                <w:sz w:val="24"/>
              </w:rPr>
              <w:t xml:space="preserve">响合同签订，由此造成的后果及损失供应商自行负责。</w:t>
            </w:r>
            <w:r/>
          </w:p>
          <w:p>
            <w:pPr>
              <w:spacing w:line="400" w:lineRule="exact"/>
              <w:widowControl/>
              <w:rPr>
                <w:rFonts w:ascii="宋体" w:hAnsi="宋体" w:cs="宋体"/>
                <w:sz w:val="24"/>
              </w:rPr>
            </w:pPr>
            <w:r>
              <w:rPr>
                <w:rFonts w:hint="eastAsia" w:ascii="宋体" w:hAnsi="宋体" w:cs="宋体"/>
                <w:sz w:val="24"/>
              </w:rPr>
              <w:t xml:space="preserve">2.中标（成交）公告发布后五个工作日内，中标（成交）候选供应商应将下列材料送达采购人：采购文件中要求投标（响应）时提供的检测报告及相关证明材料复印件并加盖所投品牌原厂鲜章（同时应提供原厂联系人姓名和联系电话）。</w:t>
            </w:r>
            <w:r/>
          </w:p>
        </w:tc>
      </w:tr>
    </w:tbl>
    <w:p>
      <w:pPr>
        <w:pStyle w:val="815"/>
        <w:ind w:firstLine="0"/>
        <w:spacing w:line="240" w:lineRule="auto"/>
        <w:rPr>
          <w:rFonts w:ascii="宋体" w:hAnsi="宋体" w:eastAsia="宋体" w:cs="宋体"/>
          <w:sz w:val="24"/>
        </w:rPr>
      </w:pPr>
      <w:r>
        <w:rPr>
          <w:rFonts w:hint="eastAsia" w:ascii="宋体" w:hAnsi="宋体" w:eastAsia="宋体" w:cs="宋体"/>
          <w:sz w:val="24"/>
        </w:rPr>
        <w:t xml:space="preserve">七</w:t>
      </w:r>
      <w:r>
        <w:rPr>
          <w:rFonts w:hint="eastAsia" w:ascii="宋体" w:hAnsi="宋体" w:eastAsia="宋体" w:cs="宋体"/>
          <w:sz w:val="24"/>
        </w:rPr>
        <w:t xml:space="preserve">.采购标的对应的中小企业划分标准所属行业一览表</w:t>
      </w:r>
      <w:r/>
    </w:p>
    <w:tbl>
      <w:tblPr>
        <w:tblW w:w="4425" w:type="pct"/>
        <w:tblLook w:val="04A0" w:firstRow="1" w:lastRow="0" w:firstColumn="1" w:lastColumn="0" w:noHBand="0" w:noVBand="1"/>
      </w:tblPr>
      <w:tblGrid>
        <w:gridCol w:w="498"/>
        <w:gridCol w:w="3718"/>
        <w:gridCol w:w="3326"/>
      </w:tblGrid>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对应中小企业划分标准所属行业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侧面220V电源</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室内行程通风系统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防腐风机及配件</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矢量控制变频器</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室内地上给排水安装</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室内地上配电安装</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陶瓷面防静电活动地板</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学科专业知识窗帘</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生物桌面灯</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桌面电源</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探究操作台一</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探究操作台二</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操作台插座</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抽斗电源</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安全光源</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65" w:type="pct"/>
            <w:vAlign w:val="bottom"/>
            <w:textDirection w:val="lrTb"/>
            <w:noWrap w:val="false"/>
          </w:tcPr>
          <w:p>
            <w:pPr>
              <w:jc w:val="center"/>
              <w:rPr>
                <w:rFonts w:ascii="宋体" w:hAnsi="宋体" w:cs="宋体"/>
                <w:sz w:val="24"/>
              </w:rPr>
            </w:pPr>
            <w:r>
              <w:rPr>
                <w:rFonts w:hint="eastAsia" w:ascii="宋体" w:hAnsi="宋体" w:cs="宋体"/>
                <w:sz w:val="24"/>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2205" w:type="pct"/>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bl>
    <w:p>
      <w:pPr>
        <w:pStyle w:val="815"/>
        <w:ind w:firstLine="0"/>
        <w:spacing w:line="240" w:lineRule="auto"/>
      </w:pPr>
      <w:r/>
      <w:r/>
    </w:p>
    <w:p>
      <w:pPr>
        <w:pStyle w:val="976"/>
        <w:rPr>
          <w:rFonts w:ascii="黑体" w:eastAsia="黑体"/>
          <w:b/>
          <w:sz w:val="44"/>
        </w:rPr>
      </w:pPr>
      <w:r/>
      <w:bookmarkStart w:id="211" w:name="_Toc7880"/>
      <w:r/>
      <w:r/>
    </w:p>
    <w:p>
      <w:pPr>
        <w:pStyle w:val="976"/>
        <w:rPr>
          <w:rFonts w:ascii="黑体" w:eastAsia="黑体"/>
          <w:bCs/>
          <w:sz w:val="44"/>
        </w:rPr>
      </w:pPr>
      <w:r>
        <w:rPr>
          <w:rFonts w:hint="eastAsia" w:ascii="黑体" w:eastAsia="黑体"/>
          <w:b/>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bookmarkEnd w:id="211"/>
      <w:r/>
      <w:r/>
    </w:p>
    <w:p>
      <w:r/>
      <w:r/>
    </w:p>
    <w:p>
      <w:pPr>
        <w:pStyle w:val="1059"/>
        <w:ind w:firstLine="439"/>
        <w:spacing w:before="0" w:after="0" w:line="480" w:lineRule="exact"/>
        <w:rPr>
          <w:rFonts w:ascii="宋体" w:hAnsi="宋体" w:cs="宋体"/>
        </w:rPr>
      </w:pPr>
      <w:r>
        <w:rPr>
          <w:rFonts w:hint="eastAsia" w:ascii="宋体" w:hAnsi="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rPr>
        <w:t xml:space="preserve">。</w:t>
      </w:r>
      <w:r>
        <w:rPr>
          <w:rFonts w:hint="eastAsia" w:ascii="宋体" w:hAnsi="宋体" w:cs="宋体"/>
        </w:rPr>
        <w:t xml:space="preserve">本项目选取</w:t>
      </w:r>
      <w:r>
        <w:rPr>
          <w:rFonts w:ascii="宋体" w:hAnsi="宋体" w:cs="宋体"/>
        </w:rPr>
        <w:t xml:space="preserve">三</w:t>
      </w:r>
      <w:r>
        <w:rPr>
          <w:rFonts w:hint="eastAsia" w:ascii="宋体" w:hAnsi="宋体" w:cs="宋体"/>
        </w:rPr>
        <w:t xml:space="preserve">名中标候选人。</w:t>
      </w:r>
      <w:r/>
    </w:p>
    <w:p>
      <w:pPr>
        <w:pStyle w:val="1059"/>
        <w:ind w:firstLine="441"/>
        <w:spacing w:before="0" w:after="0" w:line="480" w:lineRule="exact"/>
        <w:rPr>
          <w:rFonts w:ascii="宋体" w:hAnsi="宋体" w:cs="宋体"/>
          <w:b/>
          <w:highlight w:val="yellow"/>
        </w:rPr>
      </w:pPr>
      <w:r>
        <w:rPr>
          <w:rFonts w:hint="eastAsia" w:ascii="宋体" w:hAnsi="宋体" w:cs="宋体"/>
          <w:b/>
        </w:rPr>
        <w:t xml:space="preserve">一、政府采购政策功能落实</w:t>
      </w:r>
      <w:r/>
    </w:p>
    <w:p>
      <w:pPr>
        <w:pStyle w:val="1059"/>
        <w:spacing w:line="4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5、采购本国产品的支持政策</w:t>
      </w:r>
      <w:r/>
    </w:p>
    <w:p>
      <w:pPr>
        <w:pStyle w:val="1059"/>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5.1 本项目政府采购活动中既有本国产品又有非本国产品参与竞争的，依法对本国产品给予价格评审优惠，对本国产品的报价给予 20%的价格扣除，用扣除后的价格参与评审。</w:t>
      </w:r>
      <w:r/>
    </w:p>
    <w:p>
      <w:pPr>
        <w:pStyle w:val="1059"/>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59"/>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5.3 供应商需按照招标文件的要求提供《关于符合本国产品标准的声明函》（以下简称《声明函》），如不提供将不享受本国产品价格评审优惠。</w:t>
      </w:r>
      <w:r/>
    </w:p>
    <w:p>
      <w:pPr>
        <w:pStyle w:val="1059"/>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59"/>
        <w:ind w:firstLine="439"/>
        <w:spacing w:before="0" w:after="0" w:line="48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59"/>
        <w:ind w:firstLine="482"/>
        <w:spacing w:before="0" w:after="0"/>
        <w:rPr>
          <w:rFonts w:ascii="宋体" w:hAnsi="宋体" w:cs="宋体"/>
          <w:b/>
          <w:bCs/>
        </w:rPr>
      </w:pPr>
      <w:r>
        <w:rPr>
          <w:rFonts w:hint="eastAsia" w:ascii="宋体" w:hAnsi="宋体" w:cs="宋体"/>
          <w:b/>
          <w:bCs/>
        </w:rPr>
        <w:t xml:space="preserve">二、定标</w:t>
      </w:r>
      <w:r/>
    </w:p>
    <w:p>
      <w:pPr>
        <w:pStyle w:val="1059"/>
        <w:spacing w:before="0" w:after="0"/>
        <w:rPr>
          <w:rFonts w:ascii="宋体" w:hAnsi="宋体" w:cs="宋体"/>
          <w:color w:val="000000" w:themeColor="text1"/>
        </w:rPr>
      </w:pPr>
      <w:r>
        <w:rPr>
          <w:rFonts w:hint="eastAsia" w:ascii="宋体" w:hAnsi="宋体" w:cs="宋体"/>
          <w:color w:val="000000" w:themeColor="text1"/>
        </w:rPr>
        <w:t xml:space="preserve">1.本项目共分</w:t>
      </w:r>
      <w:r>
        <w:rPr>
          <w:rFonts w:hint="eastAsia" w:ascii="宋体" w:hAnsi="宋体" w:cs="宋体"/>
          <w:color w:val="000000" w:themeColor="text1"/>
        </w:rPr>
        <w:t xml:space="preserve">3</w:t>
      </w:r>
      <w:r>
        <w:rPr>
          <w:rFonts w:hint="eastAsia" w:ascii="宋体" w:hAnsi="宋体" w:cs="宋体"/>
          <w:color w:val="000000" w:themeColor="text1"/>
        </w:rPr>
        <w:t xml:space="preserve">个采购包，每个投标人可以对单个或多个包进行投标，每个投标人最多可中1个包。</w:t>
      </w:r>
      <w:r/>
    </w:p>
    <w:p>
      <w:pPr>
        <w:pStyle w:val="1059"/>
        <w:ind w:firstLine="439"/>
        <w:spacing w:before="0" w:after="0" w:line="480" w:lineRule="exact"/>
        <w:rPr>
          <w:rFonts w:asciiTheme="minorEastAsia" w:hAnsiTheme="minorEastAsia" w:eastAsiaTheme="minorEastAsia" w:cstheme="minorEastAsia"/>
        </w:rPr>
      </w:pPr>
      <w:r>
        <w:rPr>
          <w:rFonts w:hint="eastAsia" w:ascii="宋体" w:hAnsi="宋体" w:cs="宋体"/>
        </w:rPr>
        <w:t xml:space="preserve">2.本项目按照</w:t>
      </w:r>
      <w:r>
        <w:rPr>
          <w:rFonts w:hint="eastAsia" w:ascii="宋体" w:hAnsi="宋体" w:cs="宋体"/>
          <w:color w:val="ff0000"/>
          <w:highlight w:val="yellow"/>
        </w:rPr>
        <w:t xml:space="preserve">包1、包2、包3的定标顺序</w:t>
      </w:r>
      <w:r>
        <w:rPr>
          <w:rFonts w:hint="eastAsia" w:ascii="宋体" w:hAnsi="宋体" w:cs="宋体"/>
        </w:rPr>
        <w:t xml:space="preserve">进行定标。确定程序如下：各包号综合得分最高的投标人为本包号第一中标候选人；若得分相同，按投标报价</w:t>
      </w:r>
      <w:r>
        <w:rPr>
          <w:rFonts w:hint="eastAsia" w:ascii="宋体" w:hAnsi="宋体" w:cs="宋体"/>
        </w:rPr>
        <w:t xml:space="preserve">由低到高顺序排列，采购人确认投标报价低的为第一中标候选人。若投标人在多个包号中综合得分最高的，按照</w:t>
      </w:r>
      <w:r>
        <w:rPr>
          <w:rFonts w:hint="eastAsia" w:ascii="宋体" w:hAnsi="宋体" w:cs="宋体"/>
          <w:color w:val="ff0000"/>
        </w:rPr>
        <w:t xml:space="preserve">定标顺序表依次</w:t>
      </w:r>
      <w:r>
        <w:rPr>
          <w:rFonts w:hint="eastAsia" w:ascii="宋体" w:hAnsi="宋体" w:cs="宋体"/>
        </w:rPr>
        <w:t xml:space="preserve">确定第一中标候选人。前序包号已确定为第一中标候选人的，后续包号不再入选第一中标候选人名单，后续包号由综合得分排名第二的投标人上升为第一中标候选人。</w:t>
      </w:r>
      <w:r/>
    </w:p>
    <w:p>
      <w:pPr>
        <w:pStyle w:val="1059"/>
        <w:ind w:firstLine="439"/>
        <w:spacing w:before="0" w:after="0" w:line="480" w:lineRule="exact"/>
        <w:rPr>
          <w:rFonts w:asciiTheme="minorEastAsia" w:hAnsiTheme="minorEastAsia" w:eastAsiaTheme="minorEastAsia" w:cstheme="minorEastAsia"/>
        </w:rPr>
      </w:pPr>
      <w:r>
        <w:rPr>
          <w:rFonts w:asciiTheme="minorEastAsia" w:hAnsiTheme="minorEastAsia" w:eastAsiaTheme="minorEastAsia" w:cstheme="minorEastAsia"/>
        </w:rPr>
      </w:r>
      <w:r/>
    </w:p>
    <w:p>
      <w:pPr>
        <w:pStyle w:val="1059"/>
        <w:ind w:firstLine="0"/>
        <w:spacing w:line="480" w:lineRule="exact"/>
        <w:rPr>
          <w:rFonts w:cs="Arial"/>
          <w:b/>
          <w:bCs/>
        </w:rPr>
      </w:pPr>
      <w:r>
        <w:rPr>
          <w:rFonts w:hint="eastAsia" w:cs="Arial"/>
          <w:b/>
          <w:bCs/>
          <w:highlight w:val="lightGray"/>
        </w:rPr>
        <w:t xml:space="preserve">三</w:t>
      </w:r>
      <w:r>
        <w:rPr>
          <w:rFonts w:cs="Arial"/>
          <w:b/>
          <w:bCs/>
          <w:highlight w:val="lightGray"/>
        </w:rPr>
        <w:t xml:space="preserve">、</w:t>
      </w:r>
      <w:r>
        <w:rPr>
          <w:rFonts w:hint="eastAsia" w:cs="Arial"/>
          <w:b/>
          <w:bCs/>
        </w:rPr>
        <w:t xml:space="preserve">评标方法与评标标准</w:t>
      </w:r>
      <w:r/>
    </w:p>
    <w:tbl>
      <w:tblPr>
        <w:tblW w:w="932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865"/>
        <w:gridCol w:w="1086"/>
        <w:gridCol w:w="4961"/>
        <w:gridCol w:w="709"/>
        <w:gridCol w:w="1701"/>
      </w:tblGrid>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总分</w:t>
            </w:r>
            <w:r/>
          </w:p>
        </w:tc>
        <w:tc>
          <w:tcPr>
            <w:tcBorders>
              <w:top w:val="single" w:color="auto" w:sz="8" w:space="0"/>
              <w:left w:val="single" w:color="auto" w:sz="8" w:space="0"/>
              <w:bottom w:val="single" w:color="auto" w:sz="8" w:space="0"/>
              <w:right w:val="single" w:color="auto" w:sz="8" w:space="0"/>
            </w:tcBorders>
            <w:tcMar>
              <w:left w:w="108" w:type="dxa"/>
              <w:right w:w="108" w:type="dxa"/>
            </w:tcMar>
            <w:tcW w:w="1701" w:type="dxa"/>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价格分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496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none" w:color="000000" w:sz="4" w:space="0"/>
              <w:left w:val="none" w:color="000000" w:sz="4"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39</w:t>
            </w:r>
            <w:r/>
          </w:p>
        </w:tc>
        <w:tc>
          <w:tcPr>
            <w:tcBorders>
              <w:top w:val="none" w:color="000000" w:sz="4" w:space="0"/>
              <w:left w:val="none" w:color="000000" w:sz="4" w:space="0"/>
              <w:bottom w:val="single" w:color="auto" w:sz="8" w:space="0"/>
              <w:right w:val="single" w:color="auto" w:sz="8" w:space="0"/>
            </w:tcBorders>
            <w:tcMar>
              <w:left w:w="108" w:type="dxa"/>
              <w:right w:w="108" w:type="dxa"/>
            </w:tcMar>
            <w:tcW w:w="1701"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none" w:color="000000" w:sz="4"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496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rPr>
              <w:t xml:space="preserve">8</w:t>
            </w:r>
            <w:r/>
          </w:p>
        </w:tc>
        <w:tc>
          <w:tcPr>
            <w:tcBorders>
              <w:top w:val="none" w:color="000000" w:sz="4" w:space="0"/>
              <w:left w:val="none" w:color="000000" w:sz="4" w:space="0"/>
              <w:bottom w:val="single" w:color="auto" w:sz="8" w:space="0"/>
              <w:right w:val="single" w:color="auto" w:sz="8" w:space="0"/>
            </w:tcBorders>
            <w:tcMar>
              <w:left w:w="108" w:type="dxa"/>
              <w:right w:w="108" w:type="dxa"/>
            </w:tcMar>
            <w:tcW w:w="1701"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w:t>
            </w:r>
            <w:r/>
          </w:p>
        </w:tc>
        <w:tc>
          <w:tcPr>
            <w:tcBorders>
              <w:top w:val="none" w:color="000000" w:sz="4"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样品功能</w:t>
            </w:r>
            <w:r/>
          </w:p>
        </w:tc>
        <w:tc>
          <w:tcPr>
            <w:tcBorders>
              <w:top w:val="none" w:color="000000" w:sz="4" w:space="0"/>
              <w:left w:val="none" w:color="000000" w:sz="4" w:space="0"/>
              <w:bottom w:val="single" w:color="auto" w:sz="8" w:space="0"/>
              <w:right w:val="single" w:color="auto" w:sz="8" w:space="0"/>
            </w:tcBorders>
            <w:tcMar>
              <w:left w:w="108" w:type="dxa"/>
              <w:right w:w="108" w:type="dxa"/>
            </w:tcMar>
            <w:tcW w:w="4961" w:type="dxa"/>
            <w:vAlign w:val="center"/>
            <w:textDirection w:val="lrTb"/>
            <w:noWrap/>
          </w:tcPr>
          <w:p>
            <w:pPr>
              <w:pStyle w:val="787"/>
              <w:ind w:firstLine="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样品基本功能满足招标文件采购需求的得2分；不符的不得分。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none" w:color="000000" w:sz="4" w:space="0"/>
              <w:left w:val="none" w:color="000000" w:sz="4" w:space="0"/>
              <w:right w:val="single" w:color="auto" w:sz="8" w:space="0"/>
            </w:tcBorders>
            <w:tcMar>
              <w:left w:w="108" w:type="dxa"/>
              <w:right w:w="108" w:type="dxa"/>
            </w:tcMar>
            <w:tcW w:w="1701" w:type="dxa"/>
            <w:vAlign w:val="center"/>
            <w:vMerge w:val="restart"/>
            <w:textDirection w:val="lrTb"/>
            <w:noWrap/>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样品：学生实验桌</w:t>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w:t>
            </w:r>
            <w:r/>
          </w:p>
        </w:tc>
        <w:tc>
          <w:tcPr>
            <w:tcBorders>
              <w:top w:val="none" w:color="000000" w:sz="4"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细节工艺</w:t>
            </w:r>
            <w:r/>
          </w:p>
        </w:tc>
        <w:tc>
          <w:tcPr>
            <w:tcBorders>
              <w:top w:val="none" w:color="000000" w:sz="4" w:space="0"/>
              <w:left w:val="none" w:color="000000" w:sz="4" w:space="0"/>
              <w:bottom w:val="single" w:color="auto" w:sz="8" w:space="0"/>
              <w:right w:val="single" w:color="auto" w:sz="8" w:space="0"/>
            </w:tcBorders>
            <w:tcMar>
              <w:left w:w="108" w:type="dxa"/>
              <w:right w:w="108" w:type="dxa"/>
            </w:tcMar>
            <w:tcW w:w="4961" w:type="dxa"/>
            <w:vAlign w:val="center"/>
            <w:textDirection w:val="lrTb"/>
            <w:noWrap/>
          </w:tcPr>
          <w:p>
            <w:pPr>
              <w:jc w:val="left"/>
              <w:spacing w:line="320" w:lineRule="exact"/>
              <w:widowControl/>
              <w:rPr>
                <w:rFonts w:ascii="宋体" w:hAnsi="宋体" w:cs="宋体"/>
                <w:sz w:val="24"/>
                <w:szCs w:val="24"/>
              </w:rPr>
            </w:pPr>
            <w:r>
              <w:rPr>
                <w:rFonts w:hint="eastAsia" w:ascii="宋体" w:hAnsi="宋体" w:cs="宋体"/>
                <w:sz w:val="24"/>
                <w:szCs w:val="24"/>
              </w:rPr>
              <w:t xml:space="preserve">现场对样品喷塑工艺、焊痕工艺、拼接缝隙、零部件的整合等方面评判，满足采购需求的得4分。</w:t>
            </w:r>
            <w:r/>
          </w:p>
          <w:p>
            <w:pPr>
              <w:jc w:val="left"/>
              <w:spacing w:line="320" w:lineRule="exact"/>
              <w:widowControl/>
              <w:rPr>
                <w:rFonts w:ascii="宋体" w:hAnsi="宋体" w:cs="宋体"/>
                <w:sz w:val="24"/>
                <w:szCs w:val="24"/>
              </w:rPr>
            </w:pPr>
            <w:r>
              <w:rPr>
                <w:rFonts w:hint="eastAsia" w:ascii="宋体" w:hAnsi="宋体" w:cs="宋体"/>
                <w:sz w:val="24"/>
                <w:szCs w:val="24"/>
              </w:rPr>
              <w:t xml:space="preserve">①金属表面平整，喷塑光滑均匀，色泽一致，无流挂、疙瘩、皱皮、飞漆；</w:t>
            </w:r>
            <w:r/>
          </w:p>
          <w:p>
            <w:pPr>
              <w:jc w:val="left"/>
              <w:spacing w:line="320" w:lineRule="exact"/>
              <w:widowControl/>
              <w:rPr>
                <w:rFonts w:ascii="宋体" w:hAnsi="宋体" w:cs="宋体"/>
                <w:sz w:val="24"/>
                <w:szCs w:val="24"/>
              </w:rPr>
            </w:pPr>
            <w:r>
              <w:rPr>
                <w:rFonts w:hint="eastAsia" w:ascii="宋体" w:hAnsi="宋体" w:cs="宋体"/>
                <w:sz w:val="24"/>
                <w:szCs w:val="24"/>
              </w:rPr>
              <w:t xml:space="preserve">②焊接应满焊、</w:t>
            </w:r>
            <w:r>
              <w:rPr>
                <w:rFonts w:ascii="宋体" w:hAnsi="宋体" w:cs="宋体"/>
                <w:sz w:val="24"/>
                <w:szCs w:val="24"/>
              </w:rPr>
              <w:t xml:space="preserve">无脱焊、虚焊、焊穿、错位</w:t>
            </w:r>
            <w:r>
              <w:rPr>
                <w:rFonts w:hint="eastAsia" w:ascii="宋体" w:hAnsi="宋体" w:cs="宋体"/>
                <w:sz w:val="24"/>
                <w:szCs w:val="24"/>
              </w:rPr>
              <w:t xml:space="preserve">，</w:t>
            </w:r>
            <w:r>
              <w:rPr>
                <w:rFonts w:ascii="宋体" w:hAnsi="宋体" w:cs="宋体"/>
                <w:sz w:val="24"/>
                <w:szCs w:val="24"/>
              </w:rPr>
              <w:t xml:space="preserve">表面波纹均匀</w:t>
            </w:r>
            <w:r>
              <w:rPr>
                <w:rFonts w:hint="eastAsia" w:ascii="宋体" w:hAnsi="宋体" w:cs="宋体"/>
                <w:sz w:val="24"/>
                <w:szCs w:val="24"/>
              </w:rPr>
              <w:t xml:space="preserve">；</w:t>
            </w:r>
            <w:r/>
          </w:p>
          <w:p>
            <w:pPr>
              <w:jc w:val="left"/>
              <w:spacing w:line="320" w:lineRule="exact"/>
              <w:widowControl/>
              <w:rPr>
                <w:rFonts w:ascii="宋体" w:hAnsi="宋体" w:cs="宋体"/>
                <w:sz w:val="24"/>
                <w:szCs w:val="24"/>
              </w:rPr>
            </w:pPr>
            <w:r>
              <w:rPr>
                <w:rFonts w:hint="eastAsia" w:ascii="宋体" w:hAnsi="宋体" w:cs="宋体"/>
                <w:sz w:val="24"/>
                <w:szCs w:val="24"/>
              </w:rPr>
              <w:t xml:space="preserve">③零部件整合</w:t>
            </w:r>
            <w:r>
              <w:rPr>
                <w:rFonts w:ascii="宋体" w:hAnsi="宋体" w:cs="宋体"/>
                <w:sz w:val="24"/>
                <w:szCs w:val="24"/>
              </w:rPr>
              <w:t xml:space="preserve">平整、严密、牢固，无断裂、崩茬、少件、透钉、漏钉</w:t>
            </w:r>
            <w:r>
              <w:rPr>
                <w:rFonts w:hint="eastAsia" w:ascii="宋体" w:hAnsi="宋体" w:cs="宋体"/>
                <w:sz w:val="24"/>
                <w:szCs w:val="24"/>
              </w:rPr>
              <w:t xml:space="preserve">；</w:t>
            </w:r>
            <w:r/>
          </w:p>
          <w:p>
            <w:pPr>
              <w:jc w:val="left"/>
              <w:spacing w:line="320" w:lineRule="exact"/>
              <w:widowControl/>
              <w:rPr>
                <w:rFonts w:ascii="宋体" w:hAnsi="宋体" w:cs="宋体"/>
                <w:sz w:val="24"/>
                <w:szCs w:val="24"/>
              </w:rPr>
            </w:pPr>
            <w:r>
              <w:rPr>
                <w:rFonts w:hint="eastAsia" w:ascii="宋体" w:hAnsi="宋体" w:cs="宋体"/>
                <w:sz w:val="24"/>
                <w:szCs w:val="24"/>
              </w:rPr>
              <w:t xml:space="preserve">④桌面耐刻刮、防静电、耐腐蚀、无锋利边角；</w:t>
            </w:r>
            <w:r/>
          </w:p>
          <w:p>
            <w:pPr>
              <w:pStyle w:val="787"/>
              <w:ind w:firstLine="0"/>
              <w:jc w:val="left"/>
              <w:rPr>
                <w:rFonts w:asciiTheme="minorEastAsia" w:hAnsiTheme="minorEastAsia" w:eastAsiaTheme="minorEastAsia" w:cstheme="minorEastAsia"/>
                <w:szCs w:val="24"/>
              </w:rPr>
            </w:pPr>
            <w:r>
              <w:rPr>
                <w:rFonts w:hint="eastAsia" w:ascii="宋体" w:hAnsi="宋体" w:cs="宋体"/>
                <w:szCs w:val="24"/>
              </w:rPr>
              <w:t xml:space="preserve">每有一条细节处理不符合采购需求的扣1分，扣完为止。</w:t>
            </w:r>
            <w:r/>
          </w:p>
        </w:tc>
        <w:tc>
          <w:tcPr>
            <w:tcBorders>
              <w:top w:val="none" w:color="000000" w:sz="4" w:space="0"/>
              <w:left w:val="none" w:color="000000" w:sz="4"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left w:val="none" w:color="000000" w:sz="4" w:space="0"/>
              <w:right w:val="single" w:color="auto" w:sz="8" w:space="0"/>
            </w:tcBorders>
            <w:tcMar>
              <w:left w:w="108" w:type="dxa"/>
              <w:right w:w="108" w:type="dxa"/>
            </w:tcMar>
            <w:tcW w:w="1701" w:type="dxa"/>
            <w:vAlign w:val="center"/>
            <w:vMerge w:val="continue"/>
            <w:textDirection w:val="lrTb"/>
            <w:noWrap/>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2.1.3</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整体质量</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pStyle w:val="787"/>
              <w:ind w:firstLine="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样品整体印象较好、实用、坚固耐用、做工精细、结构合理、配色协调，符合采购需求的得2分，不符合不得分。</w:t>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left w:val="single" w:color="auto" w:sz="8" w:space="0"/>
              <w:bottom w:val="single" w:color="auto" w:sz="8" w:space="0"/>
              <w:right w:val="single" w:color="auto" w:sz="8" w:space="0"/>
            </w:tcBorders>
            <w:tcMar>
              <w:left w:w="108" w:type="dxa"/>
              <w:right w:w="108" w:type="dxa"/>
            </w:tcMar>
            <w:tcW w:w="1701" w:type="dxa"/>
            <w:vAlign w:val="center"/>
            <w:vMerge w:val="continue"/>
            <w:textDirection w:val="lrTb"/>
            <w:noWrap/>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样品功能</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pStyle w:val="787"/>
              <w:ind w:firstLine="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样品基本功能满足招标文件采购需求的得</w:t>
            </w:r>
            <w:r>
              <w:rPr>
                <w:rFonts w:hint="eastAsia" w:asciiTheme="minorEastAsia" w:hAnsiTheme="minorEastAsia" w:eastAsiaTheme="minorEastAsia" w:cstheme="minorEastAsia"/>
                <w:szCs w:val="24"/>
              </w:rPr>
              <w:t xml:space="preserve">1</w:t>
            </w:r>
            <w:r>
              <w:rPr>
                <w:rFonts w:hint="eastAsia" w:asciiTheme="minorEastAsia" w:hAnsiTheme="minorEastAsia" w:eastAsiaTheme="minorEastAsia" w:cstheme="minorEastAsia"/>
                <w:szCs w:val="24"/>
              </w:rPr>
              <w:t xml:space="preserve">分；不符的不得分。</w:t>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left w:val="single" w:color="auto" w:sz="8" w:space="0"/>
              <w:right w:val="single" w:color="auto" w:sz="8" w:space="0"/>
            </w:tcBorders>
            <w:tcMar>
              <w:left w:w="108" w:type="dxa"/>
              <w:right w:w="108" w:type="dxa"/>
            </w:tcMar>
            <w:tcW w:w="1701" w:type="dxa"/>
            <w:vAlign w:val="center"/>
            <w:vMerge w:val="restart"/>
            <w:textDirection w:val="lrTb"/>
            <w:noWrap/>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样品：实验凳</w:t>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2.1.5</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细节工艺</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pStyle w:val="787"/>
              <w:ind w:firstLine="0"/>
              <w:jc w:val="left"/>
              <w:rPr>
                <w:rFonts w:asciiTheme="minorEastAsia" w:hAnsiTheme="minorEastAsia" w:eastAsiaTheme="minorEastAsia" w:cstheme="minorEastAsia"/>
                <w:szCs w:val="24"/>
              </w:rPr>
            </w:pPr>
            <w:r>
              <w:rPr>
                <w:rFonts w:hint="eastAsia"/>
                <w:sz w:val="21"/>
              </w:rPr>
              <w:t xml:space="preserve">金属表面平整喷塑光滑，无锋利边角，细节处理得当，防垢易清洁，焊接应满焊、</w:t>
            </w:r>
            <w:r>
              <w:rPr>
                <w:sz w:val="21"/>
              </w:rPr>
              <w:t xml:space="preserve">无脱焊、虚焊、焊穿、错位</w:t>
            </w:r>
            <w:r>
              <w:rPr>
                <w:rFonts w:hint="eastAsia"/>
                <w:sz w:val="21"/>
              </w:rPr>
              <w:t xml:space="preserve">，</w:t>
            </w:r>
            <w:r>
              <w:rPr>
                <w:sz w:val="21"/>
              </w:rPr>
              <w:t xml:space="preserve">表面波纹均匀</w:t>
            </w:r>
            <w:r>
              <w:rPr>
                <w:rFonts w:hint="eastAsia"/>
                <w:sz w:val="21"/>
              </w:rPr>
              <w:t xml:space="preserve">，符合得</w:t>
            </w:r>
            <w:r>
              <w:rPr>
                <w:rFonts w:hint="eastAsia"/>
                <w:sz w:val="21"/>
              </w:rPr>
              <w:t xml:space="preserve">2</w:t>
            </w:r>
            <w:r>
              <w:rPr>
                <w:rFonts w:hint="eastAsia"/>
                <w:sz w:val="21"/>
              </w:rPr>
              <w:t xml:space="preserve">分，不符合不得分。</w:t>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left w:val="single" w:color="auto" w:sz="8" w:space="0"/>
              <w:right w:val="single" w:color="auto" w:sz="8" w:space="0"/>
            </w:tcBorders>
            <w:tcMar>
              <w:left w:w="108" w:type="dxa"/>
              <w:right w:w="108" w:type="dxa"/>
            </w:tcMar>
            <w:tcW w:w="1701" w:type="dxa"/>
            <w:vAlign w:val="center"/>
            <w:vMerge w:val="continue"/>
            <w:textDirection w:val="lrTb"/>
            <w:noWrap/>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2.1.6</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整体质量</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pStyle w:val="787"/>
              <w:ind w:firstLine="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样品整体印象较好、实用、坚固耐用、做工精细、结构合理、配色协调，符合采购需求的得</w:t>
            </w:r>
            <w:r>
              <w:rPr>
                <w:rFonts w:hint="eastAsia" w:asciiTheme="minorEastAsia" w:hAnsiTheme="minorEastAsia" w:eastAsiaTheme="minorEastAsia" w:cstheme="minorEastAsia"/>
                <w:szCs w:val="24"/>
              </w:rPr>
              <w:t xml:space="preserve">1</w:t>
            </w:r>
            <w:r>
              <w:rPr>
                <w:rFonts w:hint="eastAsia" w:asciiTheme="minorEastAsia" w:hAnsiTheme="minorEastAsia" w:eastAsiaTheme="minorEastAsia" w:cstheme="minorEastAsia"/>
                <w:szCs w:val="24"/>
              </w:rPr>
              <w:t xml:space="preserve">分，不符合不得分。</w:t>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left w:val="single" w:color="auto" w:sz="8" w:space="0"/>
              <w:bottom w:val="single" w:color="auto" w:sz="8" w:space="0"/>
              <w:right w:val="single" w:color="auto" w:sz="8" w:space="0"/>
            </w:tcBorders>
            <w:tcMar>
              <w:left w:w="108" w:type="dxa"/>
              <w:right w:w="108" w:type="dxa"/>
            </w:tcMar>
            <w:tcW w:w="1701" w:type="dxa"/>
            <w:vAlign w:val="center"/>
            <w:vMerge w:val="continue"/>
            <w:textDirection w:val="lrTb"/>
            <w:noWrap/>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技术参数分</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pStyle w:val="787"/>
              <w:ind w:firstLine="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投标产品技术指标，对照产品技术偏离表，打</w:t>
            </w:r>
            <w:bookmarkStart w:id="212" w:name="OLE_LINK1"/>
            <w:r/>
            <w:bookmarkStart w:id="213" w:name="OLE_LINK2"/>
            <w:r>
              <w:rPr>
                <w:rFonts w:hint="eastAsia" w:asciiTheme="minorEastAsia" w:hAnsiTheme="minorEastAsia" w:eastAsiaTheme="minorEastAsia" w:cstheme="minorEastAsia"/>
                <w:szCs w:val="24"/>
              </w:rPr>
              <w:t xml:space="preserve">“▲”</w:t>
            </w:r>
            <w:bookmarkEnd w:id="212"/>
            <w:r/>
            <w:bookmarkEnd w:id="213"/>
            <w:r>
              <w:rPr>
                <w:rFonts w:hint="eastAsia" w:asciiTheme="minorEastAsia" w:hAnsiTheme="minorEastAsia" w:eastAsiaTheme="minorEastAsia" w:cstheme="minorEastAsia"/>
                <w:szCs w:val="24"/>
              </w:rPr>
              <w:t xml:space="preserve">的每项负偏离扣1分，一般性参数偏离扣0.5分，扣完为止。打“★”项如有负偏离作为无效投标。</w:t>
            </w:r>
            <w:r/>
          </w:p>
          <w:p>
            <w:pPr>
              <w:pStyle w:val="787"/>
              <w:ind w:firstLine="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注：按参数点得分或扣分，不重复扣分，扣完为止。</w:t>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w:t>
            </w:r>
            <w:r/>
          </w:p>
        </w:tc>
        <w:tc>
          <w:tcPr>
            <w:tcBorders>
              <w:top w:val="single" w:color="auto" w:sz="8" w:space="0"/>
              <w:left w:val="single" w:color="auto" w:sz="8" w:space="0"/>
              <w:bottom w:val="single" w:color="auto" w:sz="8" w:space="0"/>
              <w:right w:val="single" w:color="auto" w:sz="8" w:space="0"/>
            </w:tcBorders>
            <w:tcMar>
              <w:left w:w="108" w:type="dxa"/>
              <w:right w:w="108" w:type="dxa"/>
            </w:tcMar>
            <w:tcW w:w="1701" w:type="dxa"/>
            <w:vAlign w:val="center"/>
            <w:textDirection w:val="lrTb"/>
            <w:noWrap/>
          </w:tcPr>
          <w:p>
            <w:pPr>
              <w:pStyle w:val="787"/>
              <w:ind w:firstLine="0"/>
              <w:spacing w:line="240" w:lineRule="auto"/>
              <w:rPr>
                <w:rFonts w:ascii="宋体" w:hAnsi="宋体" w:cs="宋体"/>
                <w:sz w:val="21"/>
              </w:rPr>
            </w:pPr>
            <w:r>
              <w:rPr>
                <w:rFonts w:ascii="宋体" w:hAnsi="宋体" w:cs="宋体"/>
                <w:sz w:val="21"/>
              </w:rPr>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宋体" w:hAnsi="宋体" w:cs="宋体"/>
                <w:sz w:val="24"/>
                <w:szCs w:val="24"/>
              </w:rPr>
              <w:t xml:space="preserve">产品质量（检测报告）</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jc w:val="left"/>
              <w:spacing w:line="400" w:lineRule="exact"/>
              <w:widowControl/>
              <w:rPr>
                <w:rFonts w:ascii="宋体" w:hAnsi="宋体" w:cs="宋体"/>
                <w:color w:val="000000" w:themeColor="text1"/>
                <w:sz w:val="24"/>
                <w:szCs w:val="24"/>
              </w:rPr>
            </w:pPr>
            <w:r/>
            <w:bookmarkStart w:id="214" w:name="OLE_LINK4"/>
            <w:r>
              <w:rPr>
                <w:rFonts w:hint="eastAsia" w:asciiTheme="minorEastAsia" w:hAnsiTheme="minorEastAsia" w:eastAsiaTheme="minorEastAsia" w:cstheme="minorEastAsia"/>
                <w:color w:val="000000" w:themeColor="text1"/>
                <w:sz w:val="24"/>
                <w:szCs w:val="24"/>
              </w:rPr>
              <w:t xml:space="preserve">1. 依据</w:t>
            </w:r>
            <w:bookmarkStart w:id="215" w:name="OLE_LINK5"/>
            <w:r/>
            <w:bookmarkStart w:id="216" w:name="OLE_LINK6"/>
            <w:r>
              <w:rPr>
                <w:rFonts w:hint="eastAsia" w:asciiTheme="minorEastAsia" w:hAnsiTheme="minorEastAsia" w:eastAsiaTheme="minorEastAsia" w:cstheme="minorEastAsia"/>
                <w:color w:val="000000" w:themeColor="text1"/>
                <w:sz w:val="24"/>
                <w:szCs w:val="24"/>
              </w:rPr>
              <w:t xml:space="preserve">GB/T 24820《实验室家具通用技术条件》</w:t>
            </w:r>
            <w:bookmarkEnd w:id="215"/>
            <w:r/>
            <w:bookmarkEnd w:id="216"/>
            <w:r>
              <w:rPr>
                <w:rFonts w:hint="eastAsia" w:asciiTheme="minorEastAsia" w:hAnsiTheme="minorEastAsia" w:eastAsiaTheme="minorEastAsia" w:cstheme="minorEastAsia"/>
                <w:color w:val="000000" w:themeColor="text1"/>
                <w:sz w:val="24"/>
                <w:szCs w:val="24"/>
              </w:rPr>
              <w:t xml:space="preserve">，投标人提供由具备有效CMA资质的检测机构出具的学生实验桌的检测报告扫描件，检测项至少包含台面理化性能、力学性能，</w:t>
            </w:r>
            <w:r>
              <w:rPr>
                <w:rFonts w:hint="eastAsia" w:ascii="宋体" w:hAnsi="宋体" w:cs="宋体"/>
                <w:color w:val="000000" w:themeColor="text1"/>
                <w:sz w:val="24"/>
                <w:szCs w:val="24"/>
              </w:rPr>
              <w:t xml:space="preserve">每个合格的上述检测项目得</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分，共</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分，不合格或检测项目不匹配不得分。</w:t>
            </w:r>
            <w:r/>
          </w:p>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hint="eastAsia" w:ascii="宋体" w:hAnsi="宋体" w:cs="宋体"/>
                <w:color w:val="000000"/>
                <w:sz w:val="24"/>
                <w:szCs w:val="24"/>
              </w:rPr>
              <w:t xml:space="preserve"> 依据GB/T 32487《塑料家具通用技术条件》，投标人提供由具备有效CMA资质的检测机构出具的水槽柜的检测报告扫描件，检测项至少包含塑料件理化性能、有害物质限量，每个合格的上述检测项目得1分，共2分，不合格或检测项目不匹配不得分。</w:t>
            </w:r>
            <w:r/>
          </w:p>
          <w:p>
            <w:pPr>
              <w:jc w:val="left"/>
              <w:spacing w:line="360" w:lineRule="auto"/>
              <w:rPr>
                <w:rFonts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r>
            <w:r/>
          </w:p>
          <w:p>
            <w:pPr>
              <w:jc w:val="left"/>
              <w:spacing w:line="360" w:lineRule="auto"/>
              <w:rPr>
                <w:rFonts w:asciiTheme="minorEastAsia" w:hAnsiTheme="minorEastAsia" w:eastAsiaTheme="minorEastAsia" w:cstheme="minorEastAsia"/>
                <w:color w:val="000000" w:themeColor="text1"/>
                <w:sz w:val="24"/>
                <w:szCs w:val="24"/>
              </w:rPr>
            </w:pPr>
            <w:r/>
            <w:bookmarkStart w:id="217" w:name="OLE_LINK7"/>
            <w:r/>
            <w:bookmarkStart w:id="218" w:name="OLE_LINK8"/>
            <w:r/>
            <w:bookmarkEnd w:id="214"/>
            <w:r>
              <w:rPr>
                <w:rFonts w:hint="eastAsia" w:asciiTheme="minorEastAsia" w:hAnsiTheme="minorEastAsia" w:eastAsiaTheme="minorEastAsia" w:cstheme="minorEastAsia"/>
                <w:color w:val="000000" w:themeColor="text1"/>
                <w:sz w:val="24"/>
                <w:szCs w:val="24"/>
              </w:rPr>
              <w:t xml:space="preserve">供应商所提交的检测报告须由具备有效CMA资质的检测机构出具，且检测项目、检测方法及依据标准必须包含在该机构最新版《资质认定能力附表》范围内。检测报告依据的</w:t>
            </w:r>
            <w:r>
              <w:rPr>
                <w:rFonts w:hint="eastAsia" w:asciiTheme="minorEastAsia" w:hAnsiTheme="minorEastAsia" w:eastAsiaTheme="minorEastAsia" w:cstheme="minorEastAsia"/>
                <w:color w:val="000000" w:themeColor="text1"/>
                <w:sz w:val="24"/>
                <w:szCs w:val="24"/>
              </w:rPr>
              <w:t xml:space="preserve">标准应符合采购文件约定的标准，包括相关国家标准、行业标准、地方标准。投标（响应）时须同步提供：① 检测报告原件扫描件加盖公章；② 检测机构有效CMA资质证书及与所涉检测项目对应《资质认定能力附表》所在页的扫描件并加盖投标人公章。未按要求提供或经核查不符合上述条件的，该检测报告视为无效佐证材料。</w:t>
            </w:r>
            <w:bookmarkEnd w:id="217"/>
            <w:r/>
            <w:bookmarkEnd w:id="218"/>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8" w:space="0"/>
              <w:left w:val="single" w:color="auto" w:sz="8" w:space="0"/>
              <w:bottom w:val="single" w:color="auto" w:sz="8" w:space="0"/>
              <w:right w:val="single" w:color="auto" w:sz="8" w:space="0"/>
            </w:tcBorders>
            <w:tcMar>
              <w:left w:w="108" w:type="dxa"/>
              <w:right w:w="108" w:type="dxa"/>
            </w:tcMar>
            <w:tcW w:w="170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宋体" w:hAnsi="宋体"/>
                <w:color w:val="000000"/>
                <w:sz w:val="24"/>
              </w:rPr>
              <w:t xml:space="preserve">产品认证</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jc w:val="left"/>
              <w:spacing w:before="100" w:beforeAutospacing="1" w:after="100" w:afterAutospacing="1"/>
              <w:widowControl/>
              <w:rPr>
                <w:rFonts w:ascii="宋体" w:hAnsi="宋体"/>
                <w:color w:val="000000"/>
                <w:sz w:val="24"/>
              </w:rPr>
            </w:pPr>
            <w:r>
              <w:rPr>
                <w:rFonts w:hint="eastAsia" w:ascii="宋体" w:hAnsi="宋体"/>
                <w:color w:val="000000"/>
                <w:sz w:val="24"/>
              </w:rPr>
              <w:t xml:space="preserve">所投产品学生实验桌、实验凳、仪器柜具有有效的有害物质限量认证证书的，每有1个得1分，本项最高得3分。</w:t>
            </w:r>
            <w:r/>
          </w:p>
          <w:p>
            <w:pPr>
              <w:jc w:val="left"/>
              <w:spacing w:before="100" w:beforeAutospacing="1" w:after="100" w:afterAutospacing="1"/>
              <w:widowControl/>
              <w:rPr>
                <w:rFonts w:ascii="宋体" w:hAnsi="宋体"/>
                <w:color w:val="000000"/>
                <w:sz w:val="24"/>
              </w:rPr>
            </w:pPr>
            <w:r>
              <w:rPr>
                <w:rFonts w:hint="eastAsia" w:ascii="宋体" w:hAnsi="宋体"/>
                <w:color w:val="000000"/>
                <w:sz w:val="24"/>
              </w:rPr>
              <w:t xml:space="preserve">提供相应证书的扫描件，同时还须提供该证书在“国家市场监督管理总局-全国认证认可信息公共服务平台”网站查询到的有效认证截图。认证产品名称与上述名称不同，但内容实质相同的视作等同。不提供或提供不全不得分。</w:t>
            </w:r>
            <w:r/>
          </w:p>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8" w:space="0"/>
              <w:left w:val="single" w:color="auto" w:sz="8" w:space="0"/>
              <w:bottom w:val="single" w:color="auto" w:sz="8" w:space="0"/>
              <w:right w:val="single" w:color="auto" w:sz="8" w:space="0"/>
            </w:tcBorders>
            <w:tcMar>
              <w:left w:w="108" w:type="dxa"/>
              <w:right w:w="108" w:type="dxa"/>
            </w:tcMar>
            <w:tcW w:w="170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商务分</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tcBorders>
              <w:top w:val="single" w:color="auto" w:sz="8" w:space="0"/>
              <w:left w:val="single" w:color="auto" w:sz="8" w:space="0"/>
              <w:bottom w:val="single" w:color="auto" w:sz="8" w:space="0"/>
              <w:right w:val="single" w:color="auto" w:sz="8" w:space="0"/>
            </w:tcBorders>
            <w:tcMar>
              <w:left w:w="108" w:type="dxa"/>
              <w:right w:w="108" w:type="dxa"/>
            </w:tcMar>
            <w:tcW w:w="170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w:t>
            </w:r>
            <w:r/>
          </w:p>
        </w:tc>
        <w:tc>
          <w:tcPr>
            <w:tcBorders>
              <w:top w:val="none" w:color="000000" w:sz="4"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企业实力：体系认证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96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hint="eastAsia" w:ascii="宋体" w:hAnsi="宋体" w:cs="宋体"/>
                <w:sz w:val="24"/>
                <w:szCs w:val="24"/>
              </w:rPr>
              <w:t xml:space="preserve">供应商</w:t>
            </w:r>
            <w:r>
              <w:rPr>
                <w:rFonts w:hint="eastAsia" w:ascii="宋体" w:hAnsi="宋体" w:cs="宋体"/>
                <w:color w:val="000000" w:themeColor="text1"/>
                <w:sz w:val="24"/>
                <w:szCs w:val="24"/>
              </w:rPr>
              <w:t xml:space="preserve">提供实验室用家具生产单位的质量管理体系认证证书（GB/T19001</w:t>
            </w:r>
            <w:r>
              <w:rPr>
                <w:rFonts w:hint="eastAsia" w:ascii="宋体" w:hAnsi="宋体" w:cs="宋体"/>
                <w:sz w:val="24"/>
                <w:szCs w:val="24"/>
              </w:rPr>
              <w:t xml:space="preserve">-2016或ISO 9001:2015）、环境管理体系认证（</w:t>
            </w:r>
            <w:r>
              <w:rPr>
                <w:rFonts w:hint="eastAsia" w:ascii="MS Mincho" w:hAnsi="MS Mincho" w:eastAsia="MS Mincho" w:cs="MS Mincho"/>
                <w:sz w:val="24"/>
                <w:szCs w:val="24"/>
              </w:rPr>
              <w:t xml:space="preserve">‌</w:t>
            </w:r>
            <w:r>
              <w:rPr>
                <w:rFonts w:hint="eastAsia" w:ascii="宋体" w:hAnsi="宋体" w:cs="宋体"/>
                <w:sz w:val="24"/>
                <w:szCs w:val="24"/>
              </w:rPr>
              <w:t xml:space="preserve">GB/T 24001-2016或ISO14001:2015）、职业健康安全管理体系认证（</w:t>
            </w:r>
            <w:r>
              <w:rPr>
                <w:rFonts w:hint="eastAsia" w:ascii="MS Mincho" w:hAnsi="MS Mincho" w:eastAsia="MS Mincho" w:cs="MS Mincho"/>
                <w:sz w:val="24"/>
                <w:szCs w:val="24"/>
              </w:rPr>
              <w:t xml:space="preserve">‌</w:t>
            </w:r>
            <w:r>
              <w:rPr>
                <w:rFonts w:ascii="宋体" w:hAnsi="宋体" w:cs="宋体"/>
                <w:sz w:val="24"/>
                <w:szCs w:val="24"/>
              </w:rPr>
              <w:t xml:space="preserve">GB/T 45001-2020</w:t>
            </w:r>
            <w:r>
              <w:rPr>
                <w:rFonts w:hint="eastAsia" w:ascii="宋体" w:hAnsi="宋体" w:cs="宋体"/>
                <w:sz w:val="24"/>
                <w:szCs w:val="24"/>
              </w:rPr>
              <w:t xml:space="preserve">或ISO45001:2018），每证得1分，总计3分。</w:t>
            </w:r>
            <w:r>
              <w:rPr>
                <w:rFonts w:hint="eastAsia" w:ascii="宋体" w:hAnsi="宋体" w:cs="宋体"/>
                <w:sz w:val="24"/>
                <w:szCs w:val="24"/>
              </w:rPr>
              <w:br/>
              <w:t xml:space="preserve">提供有效证书扫描件加盖公章，否则不得分。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none" w:color="000000" w:sz="4" w:space="0"/>
              <w:left w:val="none" w:color="000000" w:sz="4" w:space="0"/>
              <w:bottom w:val="single" w:color="auto" w:sz="8" w:space="0"/>
              <w:right w:val="single" w:color="auto" w:sz="8" w:space="0"/>
            </w:tcBorders>
            <w:tcMar>
              <w:left w:w="108" w:type="dxa"/>
              <w:right w:w="108" w:type="dxa"/>
            </w:tcMar>
            <w:tcW w:w="170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1207"/>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宋体" w:hAnsi="宋体" w:cs="宋体"/>
                <w:sz w:val="24"/>
                <w:szCs w:val="24"/>
              </w:rPr>
              <w:t xml:space="preserve">环保政策</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所投产品学生实验桌</w:t>
            </w:r>
            <w:r>
              <w:rPr>
                <w:rFonts w:hint="eastAsia" w:ascii="宋体" w:hAnsi="宋体" w:cs="宋体"/>
                <w:sz w:val="24"/>
                <w:szCs w:val="24"/>
              </w:rPr>
              <w:t xml:space="preserve">属于财政部、生态环境部公布的“环境标志产品品目清单”范围内，投标人提供国家确定的认证机构出具的、处于有效期内的环境标志产品认证证书扫描件，</w:t>
            </w:r>
            <w:r>
              <w:rPr>
                <w:rFonts w:hint="eastAsia" w:asciiTheme="minorEastAsia" w:hAnsiTheme="minorEastAsia" w:eastAsiaTheme="minorEastAsia" w:cstheme="minorEastAsia"/>
                <w:sz w:val="24"/>
                <w:szCs w:val="24"/>
              </w:rPr>
              <w:t xml:space="preserve">得2分。</w:t>
            </w:r>
            <w:r/>
          </w:p>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8" w:space="0"/>
              <w:left w:val="single" w:color="auto" w:sz="8" w:space="0"/>
              <w:bottom w:val="single" w:color="auto" w:sz="8" w:space="0"/>
              <w:right w:val="single" w:color="auto" w:sz="8" w:space="0"/>
            </w:tcBorders>
            <w:tcMar>
              <w:left w:w="108" w:type="dxa"/>
              <w:right w:w="108" w:type="dxa"/>
            </w:tcMar>
            <w:tcW w:w="170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pStyle w:val="790"/>
              <w:jc w:val="left"/>
              <w:spacing w:line="400" w:lineRule="exact"/>
              <w:widowControl/>
              <w:rPr>
                <w:rFonts w:hint="default"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投标人提供2023</w:t>
            </w:r>
            <w:r>
              <w:rPr>
                <w:rFonts w:asciiTheme="minorEastAsia" w:hAnsiTheme="minorEastAsia" w:eastAsiaTheme="minorEastAsia" w:cstheme="minorEastAsia"/>
                <w:sz w:val="24"/>
                <w:szCs w:val="24"/>
              </w:rPr>
              <w:t xml:space="preserve">年以</w:t>
            </w:r>
            <w:r>
              <w:rPr>
                <w:rFonts w:asciiTheme="minorEastAsia" w:hAnsiTheme="minorEastAsia" w:eastAsiaTheme="minorEastAsia" w:cstheme="minorEastAsia"/>
                <w:sz w:val="24"/>
                <w:szCs w:val="24"/>
              </w:rPr>
              <w:t xml:space="preserve">来签订的同类（含实验室桌椅）产品的合同、中标/成交通知书（或</w:t>
            </w:r>
            <w:r>
              <w:rPr>
                <w:rFonts w:asciiTheme="minorEastAsia" w:hAnsiTheme="minorEastAsia" w:eastAsiaTheme="minorEastAsia" w:cstheme="minorEastAsia"/>
                <w:sz w:val="24"/>
                <w:szCs w:val="24"/>
              </w:rPr>
              <w:t xml:space="preserve">网上中标/成交公示截图）、验收</w:t>
            </w:r>
            <w:r>
              <w:rPr>
                <w:rFonts w:asciiTheme="minorEastAsia" w:hAnsiTheme="minorEastAsia" w:eastAsiaTheme="minorEastAsia" w:cstheme="minorEastAsia"/>
                <w:sz w:val="24"/>
                <w:szCs w:val="24"/>
              </w:rPr>
              <w:t xml:space="preserve">报告和结算发票作为证明材料（提供项目验收报告和结算发票扫描件）</w:t>
            </w:r>
            <w:r>
              <w:rPr>
                <w:rFonts w:asciiTheme="minorEastAsia" w:hAnsiTheme="minorEastAsia" w:eastAsiaTheme="minorEastAsia" w:cstheme="minorEastAsia"/>
                <w:sz w:val="24"/>
                <w:szCs w:val="24"/>
              </w:rPr>
              <w:t xml:space="preserve">。</w:t>
            </w:r>
            <w:bookmarkStart w:id="219" w:name="_GoBack"/>
            <w:r/>
            <w:bookmarkEnd w:id="219"/>
            <w:r>
              <w:rPr>
                <w:rFonts w:asciiTheme="minorEastAsia" w:hAnsiTheme="minorEastAsia" w:eastAsiaTheme="minorEastAsia" w:cstheme="minorEastAsia"/>
                <w:sz w:val="24"/>
                <w:szCs w:val="24"/>
              </w:rPr>
              <w:t xml:space="preserve">每提供一份得1分，最多得3分。</w:t>
            </w:r>
            <w:r/>
          </w:p>
          <w:p>
            <w:pPr>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注：时间以签订合同的日期为准。</w:t>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8" w:space="0"/>
              <w:left w:val="single" w:color="auto" w:sz="8" w:space="0"/>
              <w:bottom w:val="single" w:color="auto" w:sz="8" w:space="0"/>
              <w:right w:val="single" w:color="auto" w:sz="8" w:space="0"/>
            </w:tcBorders>
            <w:tcMar>
              <w:left w:w="108" w:type="dxa"/>
              <w:right w:w="108" w:type="dxa"/>
            </w:tcMar>
            <w:tcW w:w="170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865"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3.4</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86"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质保期承诺</w:t>
            </w:r>
            <w:r/>
          </w:p>
        </w:tc>
        <w:tc>
          <w:tcPr>
            <w:tcBorders>
              <w:top w:val="single" w:color="auto" w:sz="8" w:space="0"/>
              <w:left w:val="single" w:color="auto" w:sz="8" w:space="0"/>
              <w:bottom w:val="single" w:color="auto" w:sz="8" w:space="0"/>
              <w:right w:val="single" w:color="auto" w:sz="8" w:space="0"/>
            </w:tcBorders>
            <w:tcMar>
              <w:left w:w="108" w:type="dxa"/>
              <w:right w:w="108" w:type="dxa"/>
            </w:tcMar>
            <w:tcW w:w="4961" w:type="dxa"/>
            <w:vAlign w:val="center"/>
            <w:textDirection w:val="lrTb"/>
            <w:noWrap/>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投标人在满足整体免费质保年限的基础上，每延长质保期1年的得1分，本项最高得5分。</w:t>
            </w:r>
            <w:r/>
          </w:p>
        </w:tc>
        <w:tc>
          <w:tcPr>
            <w:tcBorders>
              <w:top w:val="single" w:color="auto" w:sz="8" w:space="0"/>
              <w:left w:val="single" w:color="auto" w:sz="8" w:space="0"/>
              <w:bottom w:val="single" w:color="auto" w:sz="8" w:space="0"/>
              <w:right w:val="single" w:color="auto" w:sz="8" w:space="0"/>
            </w:tcBorders>
            <w:tcMar>
              <w:left w:w="108" w:type="dxa"/>
              <w:right w:w="108" w:type="dxa"/>
            </w:tcMar>
            <w:tcW w:w="709"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8" w:space="0"/>
              <w:left w:val="single" w:color="auto" w:sz="8" w:space="0"/>
              <w:bottom w:val="single" w:color="auto" w:sz="8" w:space="0"/>
              <w:right w:val="single" w:color="auto" w:sz="8" w:space="0"/>
            </w:tcBorders>
            <w:tcMar>
              <w:left w:w="108" w:type="dxa"/>
              <w:right w:w="108" w:type="dxa"/>
            </w:tcMar>
            <w:tcW w:w="1701" w:type="dxa"/>
            <w:vAlign w:val="center"/>
            <w:textDirection w:val="lrTb"/>
            <w:noWrap/>
          </w:tcPr>
          <w:p>
            <w:pPr>
              <w:jc w:val="left"/>
              <w:spacing w:before="100" w:beforeAutospacing="1" w:after="100" w:afterAutospacing="1"/>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pStyle w:val="976"/>
        <w:rPr>
          <w:rFonts w:ascii="黑体" w:eastAsia="黑体"/>
          <w:b/>
          <w:sz w:val="44"/>
        </w:rPr>
      </w:pPr>
      <w:r/>
      <w:bookmarkStart w:id="220" w:name="_Toc3874"/>
      <w:r/>
      <w:r/>
    </w:p>
    <w:p>
      <w:pPr>
        <w:pStyle w:val="976"/>
        <w:rPr>
          <w:rFonts w:ascii="黑体" w:eastAsia="黑体"/>
          <w:b/>
          <w:sz w:val="44"/>
        </w:rPr>
      </w:pPr>
      <w:r>
        <w:rPr>
          <w:rFonts w:ascii="黑体" w:eastAsia="黑体"/>
          <w:b/>
          <w:sz w:val="44"/>
        </w:rPr>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76"/>
        <w:rPr>
          <w:rFonts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投标文件格式 </w:t>
      </w:r>
      <w:r/>
    </w:p>
    <w:p>
      <w:pPr>
        <w:jc w:val="center"/>
        <w:rPr>
          <w:rFonts w:asciiTheme="minorEastAsia" w:hAnsiTheme="minorEastAsia" w:eastAsiaTheme="minorEastAsia" w:cstheme="minorEastAsia"/>
          <w:b/>
          <w:sz w:val="72"/>
        </w:rPr>
      </w:pPr>
      <w:r/>
      <w:bookmarkStart w:id="221" w:name="_Hlt26671244"/>
      <w:r/>
      <w:bookmarkStart w:id="222" w:name="_Hlt26955039"/>
      <w:r/>
      <w:bookmarkStart w:id="223" w:name="_Toc120614282"/>
      <w:r/>
      <w:bookmarkStart w:id="224" w:name="_Toc49090576"/>
      <w:r/>
      <w:bookmarkStart w:id="225" w:name="_Toc26554094"/>
      <w:r/>
      <w:bookmarkEnd w:id="221"/>
      <w:r/>
      <w:bookmarkEnd w:id="222"/>
      <w:r/>
      <w:r/>
    </w:p>
    <w:p>
      <w:pPr>
        <w:jc w:val="center"/>
        <w:rPr>
          <w:rFonts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firstLine="1084"/>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jc w:val="center"/>
        <w:spacing w:line="440" w:lineRule="exact"/>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spacing w:line="44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1084"/>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投标文件主要格式目录</w:t>
      </w:r>
      <w:r/>
    </w:p>
    <w:p>
      <w:pPr>
        <w:jc w:val="center"/>
        <w:spacing w:line="440" w:lineRule="exact"/>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一、投标人资格声明函</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二、特定资格要求的证明文件（如果本项目设置特定资格要求，则需要提供）</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三、法定代表人资格证明书（实质性格式）</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四、法人授权书</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五、投标函</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六、政府采购供应商信用承诺书（实质性格式）</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七、小微企业声明函</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八、残疾人福利性单位声明函或监狱企业证明</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九、关于符合本国产品标准的声明函</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十、投标分项报价表</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十一、技术要求响应及偏离表</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十二、合同及商务条款偏离表</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十三、开标一览表</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十四、投标人关于检测报告合规性的承诺函（实质性格式）</w:t>
      </w:r>
      <w:r/>
    </w:p>
    <w:p>
      <w:pPr>
        <w:ind w:firstLine="480"/>
        <w:spacing w:line="360" w:lineRule="auto"/>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十五、投标文件通用模版编制和评审要求</w:t>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i/>
          <w:sz w:val="32"/>
          <w:szCs w:val="32"/>
          <w:u w:val="single"/>
        </w:rPr>
      </w:pPr>
      <w:r/>
      <w:bookmarkStart w:id="226" w:name="_Toc120614284"/>
      <w:r/>
      <w:bookmarkEnd w:id="223"/>
      <w:r/>
      <w:bookmarkEnd w:id="224"/>
      <w:r/>
      <w:bookmarkEnd w:id="225"/>
      <w:r>
        <w:rPr>
          <w:rFonts w:hint="eastAsia" w:asciiTheme="minorEastAsia" w:hAnsiTheme="minorEastAsia" w:eastAsiaTheme="minorEastAsia" w:cstheme="minorEastAsia"/>
          <w:i/>
          <w:sz w:val="32"/>
          <w:szCs w:val="32"/>
          <w:u w:val="single"/>
        </w:rPr>
        <w:t xml:space="preserve">一、投标人资格声明函</w:t>
      </w:r>
      <w:r/>
    </w:p>
    <w:p>
      <w:pPr>
        <w:jc w:val="center"/>
        <w:spacing w:before="156" w:line="360" w:lineRule="auto"/>
        <w:widowControl/>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jc w:val="center"/>
        <w:spacing w:before="156" w:line="360" w:lineRule="auto"/>
        <w:widowControl/>
        <w:rPr>
          <w:rFonts w:asciiTheme="minorEastAsia" w:hAnsiTheme="minorEastAsia" w:eastAsiaTheme="minorEastAsia" w:cstheme="minorEastAsia"/>
        </w:rPr>
      </w:pPr>
      <w:r>
        <w:rPr>
          <w:rFonts w:hint="eastAsia" w:asciiTheme="minorEastAsia" w:hAnsiTheme="minorEastAsia" w:eastAsiaTheme="minorEastAsia" w:cstheme="minorEastAsia"/>
          <w:b/>
          <w:sz w:val="28"/>
          <w:szCs w:val="28"/>
        </w:rPr>
        <w:t xml:space="preserve">投标人资格声明函</w:t>
      </w:r>
      <w:r>
        <w:rPr>
          <w:rFonts w:hint="eastAsia" w:asciiTheme="minorEastAsia" w:hAnsiTheme="minorEastAsia" w:eastAsiaTheme="minorEastAsia" w:cstheme="minorEastAsia"/>
        </w:rPr>
        <w:t xml:space="preserve">（实质性格式）</w:t>
      </w:r>
      <w:r/>
    </w:p>
    <w:p>
      <w:pPr>
        <w:pStyle w:val="979"/>
        <w:ind w:firstLine="480"/>
        <w:spacing w:line="460" w:lineRule="exact"/>
        <w:rPr>
          <w:rFonts w:asciiTheme="minorEastAsia" w:hAnsiTheme="minorEastAsia" w:eastAsiaTheme="minorEastAsia" w:cstheme="minorEastAsia"/>
        </w:rPr>
      </w:pPr>
      <w:r>
        <w:rPr>
          <w:rFonts w:asciiTheme="minorEastAsia" w:hAnsiTheme="minorEastAsia" w:eastAsiaTheme="minorEastAsia" w:cstheme="minorEastAsia"/>
        </w:rPr>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致：常州市教育基本建设与装备管理中心</w:t>
      </w:r>
      <w:r/>
    </w:p>
    <w:p>
      <w:pPr>
        <w:pStyle w:val="979"/>
        <w:ind w:firstLine="840"/>
        <w:spacing w:line="4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（采购人名称）</w:t>
      </w:r>
      <w:r/>
    </w:p>
    <w:p>
      <w:pPr>
        <w:pStyle w:val="979"/>
        <w:ind w:firstLine="480"/>
        <w:spacing w:line="460" w:lineRule="exact"/>
        <w:rPr>
          <w:rFonts w:asciiTheme="minorEastAsia" w:hAnsiTheme="minorEastAsia" w:eastAsiaTheme="minorEastAsia" w:cstheme="minorEastAsia"/>
        </w:rPr>
      </w:pPr>
      <w:r>
        <w:rPr>
          <w:rFonts w:asciiTheme="minorEastAsia" w:hAnsiTheme="minorEastAsia" w:eastAsiaTheme="minorEastAsia" w:cstheme="minorEastAsia"/>
        </w:rPr>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按照《中华人民共和国政府采购法》第二十二条和招标文件的规定，我单位郑重声明如下：</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一、我单位是按照中华人民共和国法律规定登记注册的，注册地点为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，全称为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，统一社会信用代码为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，法定代表人（单位负责人）为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，具有独立承担民事责任的能力</w:t>
      </w:r>
      <w:r>
        <w:rPr>
          <w:rFonts w:hint="eastAsia" w:asciiTheme="minorEastAsia" w:hAnsiTheme="minorEastAsia" w:eastAsiaTheme="minorEastAsia" w:cstheme="minorEastAsia"/>
          <w:b/>
          <w:i/>
          <w:u w:val="single"/>
        </w:rPr>
        <w:t xml:space="preserve">（如属于分公司经总公司授权参与项目，由总公司承担民事责任的，需提供总公司项目授权书）</w:t>
      </w:r>
      <w:r>
        <w:rPr>
          <w:rFonts w:hint="eastAsia" w:asciiTheme="minorEastAsia" w:hAnsiTheme="minorEastAsia" w:eastAsiaTheme="minorEastAsia" w:cstheme="minorEastAsia"/>
        </w:rPr>
        <w:t xml:space="preserve">。</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二、我单位具有良好的商业信誉（指投标人经营状况良好，无本资格声明第九条情形）和健全的财务会计制度。</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三、我单位依法进行纳税和社会保险申报并实际履行了义务。</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四、我单位具有履行本项目采购合同所必需的设备和专业技术能力，并具有履行合同的良好记录。为履行本项采购合同我单位具备如下主要设备和主要专业技术能力:</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主要设备有：</w:t>
      </w:r>
      <w:r>
        <w:rPr>
          <w:rFonts w:hint="eastAsia" w:asciiTheme="minorEastAsia" w:hAnsiTheme="minorEastAsia" w:eastAsiaTheme="minorEastAsia" w:cstheme="minorEastAsia"/>
          <w:u w:val="single"/>
        </w:rPr>
        <w:t xml:space="preserve">            </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主要专业技术能力有</w:t>
      </w:r>
      <w:r>
        <w:rPr>
          <w:rFonts w:hint="eastAsia" w:asciiTheme="minorEastAsia" w:hAnsiTheme="minorEastAsia" w:eastAsiaTheme="minorEastAsia" w:cstheme="minorEastAsia"/>
          <w:u w:val="single"/>
        </w:rPr>
        <w:t xml:space="preserve">                 </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六、我单位具备法律、行政法规规定的其他条件。</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七、与我单位存在“单位负责人为同一人或者存在直接控股、管理关系”的其他单位信息如下（如无此情形的，填写“无”）：</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1、与我单位的法定代表人（单位负责人）为同一人的其他单位如下：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2、我单位直接控股的其他单位如下：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3、与我单位存在管理关系的其他单位如下：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八、我单位不属于为本项目提供整体设计、规范编制或者项目管理、监理、检测等服务的投标人。</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九、我单位无以下不良信用记录情形：</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1、在“信用中国”网站被列入失信被执行人和重大税收违法案件当事人名单；</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2、在“中国政府采购网”网站被列入政府采购严重违法失信行为记录名单；</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3、不符合《政府采购法》第二十二条规定的条件。</w:t>
      </w:r>
      <w:r/>
    </w:p>
    <w:p>
      <w:pPr>
        <w:pStyle w:val="979"/>
        <w:ind w:firstLine="480"/>
        <w:spacing w:line="460" w:lineRule="exact"/>
        <w:rPr>
          <w:rFonts w:asciiTheme="minorEastAsia" w:hAnsiTheme="minorEastAsia" w:eastAsiaTheme="minorEastAsia" w:cstheme="minorEastAsia"/>
        </w:rPr>
      </w:pPr>
      <w:r>
        <w:rPr>
          <w:rFonts w:asciiTheme="minorEastAsia" w:hAnsiTheme="minorEastAsia" w:eastAsiaTheme="minorEastAsia" w:cstheme="minorEastAsia"/>
        </w:rPr>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我单位保证上述声明的事项都是真实的，如有虚假，我单位愿意承担相应的法律责任，并承担因此所造成的一切损失。</w:t>
      </w:r>
      <w:r/>
    </w:p>
    <w:p>
      <w:pPr>
        <w:pStyle w:val="979"/>
        <w:ind w:firstLine="480"/>
        <w:spacing w:line="460" w:lineRule="exact"/>
        <w:rPr>
          <w:rFonts w:asciiTheme="minorEastAsia" w:hAnsiTheme="minorEastAsia" w:eastAsiaTheme="minorEastAsia" w:cstheme="minorEastAsia"/>
        </w:rPr>
      </w:pPr>
      <w:r>
        <w:rPr>
          <w:rFonts w:asciiTheme="minorEastAsia" w:hAnsiTheme="minorEastAsia" w:eastAsiaTheme="minorEastAsia" w:cstheme="minorEastAsia"/>
        </w:rPr>
      </w:r>
      <w:r/>
    </w:p>
    <w:p>
      <w:pPr>
        <w:pStyle w:val="979"/>
        <w:ind w:firstLine="480"/>
        <w:spacing w:line="460" w:lineRule="exact"/>
        <w:rPr>
          <w:rFonts w:asciiTheme="minorEastAsia" w:hAnsiTheme="minorEastAsia" w:eastAsiaTheme="minorEastAsia" w:cstheme="minorEastAsia"/>
        </w:rPr>
      </w:pPr>
      <w:r>
        <w:rPr>
          <w:rFonts w:asciiTheme="minorEastAsia" w:hAnsiTheme="minorEastAsia" w:eastAsiaTheme="minorEastAsia" w:cstheme="minorEastAsia"/>
        </w:rPr>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投标人：（加盖公章）</w:t>
      </w:r>
      <w:r/>
    </w:p>
    <w:p>
      <w:pPr>
        <w:pStyle w:val="979"/>
        <w:ind w:firstLine="480"/>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法定代表人（或单位负责人）签字或盖章：</w:t>
      </w:r>
      <w:r/>
    </w:p>
    <w:p>
      <w:pPr>
        <w:pStyle w:val="979"/>
        <w:ind w:firstLine="4305"/>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说明：投标人承诺不实的，依据《政府采购法》第七十七条“提供虚假材料谋取中标、成交的”有关规定予以处理。</w:t>
      </w:r>
      <w:r/>
    </w:p>
    <w:p>
      <w:pPr>
        <w:spacing w:line="360" w:lineRule="auto"/>
        <w:tabs>
          <w:tab w:val="left" w:pos="5580" w:leader="none"/>
        </w:tabs>
        <w:rPr>
          <w:rFonts w:asciiTheme="minorEastAsia" w:hAnsiTheme="minorEastAsia" w:eastAsiaTheme="minorEastAsia" w:cstheme="minorEastAsia"/>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eastAsiaTheme="minorEastAsia" w:cstheme="minorEastAsia"/>
          <w:sz w:val="24"/>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二、特定资格要求的证明文件</w:t>
      </w:r>
      <w:r/>
    </w:p>
    <w:p>
      <w:pPr>
        <w:spacing w:line="4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三、法定代表人资格证明书（实质性格式）</w:t>
      </w:r>
      <w:r/>
    </w:p>
    <w:p>
      <w:pPr>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法定代表人资格证明书</w:t>
      </w:r>
      <w:r/>
    </w:p>
    <w:p>
      <w:pPr>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p>
      <w:pPr>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w:t>
      </w:r>
      <w:r/>
    </w:p>
    <w:p>
      <w:pPr>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     性别:       年龄:      职务:</w:t>
      </w:r>
      <w:r/>
    </w:p>
    <w:p>
      <w:pPr>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 xml:space="preserve">（投标人名称）</w:t>
      </w:r>
      <w:r>
        <w:rPr>
          <w:rFonts w:hint="eastAsia" w:asciiTheme="minorEastAsia" w:hAnsiTheme="minorEastAsia" w:eastAsiaTheme="minorEastAsia" w:cstheme="minorEastAsia"/>
          <w:sz w:val="24"/>
        </w:rPr>
        <w:t xml:space="preserve">的法定代表人。为参与</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的政府采购活动，</w:t>
      </w:r>
      <w:r>
        <w:rPr>
          <w:rFonts w:hint="eastAsia" w:asciiTheme="minorEastAsia" w:hAnsiTheme="minorEastAsia" w:eastAsiaTheme="minorEastAsia" w:cstheme="minorEastAsia"/>
          <w:sz w:val="24"/>
          <w:szCs w:val="20"/>
        </w:rPr>
        <w:t xml:space="preserve">签署、澄清确认、递交、撤回、修改</w:t>
      </w:r>
      <w:r>
        <w:rPr>
          <w:rFonts w:hint="eastAsia" w:asciiTheme="minorEastAsia" w:hAnsiTheme="minorEastAsia" w:eastAsiaTheme="minorEastAsia" w:cstheme="minorEastAsia"/>
          <w:sz w:val="24"/>
        </w:rPr>
        <w:t xml:space="preserve">上述项目的投标文件、进行合同磋商、签署合同和处理与之有关的一切事务。</w:t>
      </w:r>
      <w:r/>
    </w:p>
    <w:p>
      <w:pPr>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786"/>
        <w:ind w:right="-46"/>
        <w:spacing w:line="583" w:lineRule="auto"/>
        <w:rPr>
          <w:rFonts w:asciiTheme="minorEastAsia" w:hAnsiTheme="minorEastAsia" w:eastAsiaTheme="minorEastAsia" w:cstheme="minorEastAsia"/>
          <w:spacing w:val="-3"/>
        </w:rPr>
      </w:pPr>
      <w:r>
        <w:rPr>
          <w:rFonts w:hint="eastAsia" w:asciiTheme="minorEastAsia" w:hAnsiTheme="minorEastAsia" w:eastAsiaTheme="minorEastAsia" w:cstheme="minorEastAsia"/>
        </w:rPr>
        <w:t xml:space="preserve">附：</w:t>
      </w:r>
      <w:r>
        <w:rPr>
          <w:rFonts w:hint="eastAsia" w:asciiTheme="minorEastAsia" w:hAnsiTheme="minorEastAsia" w:eastAsiaTheme="minorEastAsia" w:cstheme="minorEastAsia"/>
          <w:spacing w:val="-3"/>
        </w:rPr>
        <w:t xml:space="preserve">法</w:t>
      </w:r>
      <w:r>
        <w:rPr>
          <w:rFonts w:hint="eastAsia" w:asciiTheme="minorEastAsia" w:hAnsiTheme="minorEastAsia" w:eastAsiaTheme="minorEastAsia" w:cstheme="minorEastAsia"/>
        </w:rPr>
        <w:t xml:space="preserve">定</w:t>
      </w:r>
      <w:r>
        <w:rPr>
          <w:rFonts w:hint="eastAsia" w:asciiTheme="minorEastAsia" w:hAnsiTheme="minorEastAsia" w:eastAsiaTheme="minorEastAsia" w:cstheme="minorEastAsia"/>
          <w:spacing w:val="-3"/>
        </w:rPr>
        <w:t xml:space="preserve">代</w:t>
      </w:r>
      <w:r>
        <w:rPr>
          <w:rFonts w:hint="eastAsia" w:asciiTheme="minorEastAsia" w:hAnsiTheme="minorEastAsia" w:eastAsiaTheme="minorEastAsia" w:cstheme="minorEastAsia"/>
        </w:rPr>
        <w:t xml:space="preserve">表</w:t>
      </w:r>
      <w:r>
        <w:rPr>
          <w:rFonts w:hint="eastAsia" w:asciiTheme="minorEastAsia" w:hAnsiTheme="minorEastAsia" w:eastAsiaTheme="minorEastAsia" w:cstheme="minorEastAsia"/>
          <w:spacing w:val="-3"/>
        </w:rPr>
        <w:t xml:space="preserve">人</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pacing w:val="-3"/>
        </w:rPr>
        <w:t xml:space="preserve">单</w:t>
      </w:r>
      <w:r>
        <w:rPr>
          <w:rFonts w:hint="eastAsia" w:asciiTheme="minorEastAsia" w:hAnsiTheme="minorEastAsia" w:eastAsiaTheme="minorEastAsia" w:cstheme="minorEastAsia"/>
        </w:rPr>
        <w:t xml:space="preserve">位</w:t>
      </w:r>
      <w:r>
        <w:rPr>
          <w:rFonts w:hint="eastAsia" w:asciiTheme="minorEastAsia" w:hAnsiTheme="minorEastAsia" w:eastAsiaTheme="minorEastAsia" w:cstheme="minorEastAsia"/>
          <w:spacing w:val="-3"/>
        </w:rPr>
        <w:t xml:space="preserve">负</w:t>
      </w:r>
      <w:r>
        <w:rPr>
          <w:rFonts w:hint="eastAsia" w:asciiTheme="minorEastAsia" w:hAnsiTheme="minorEastAsia" w:eastAsiaTheme="minorEastAsia" w:cstheme="minorEastAsia"/>
        </w:rPr>
        <w:t xml:space="preserve">责人</w:t>
      </w:r>
      <w:r>
        <w:rPr>
          <w:rFonts w:hint="eastAsia" w:asciiTheme="minorEastAsia" w:hAnsiTheme="minorEastAsia" w:eastAsiaTheme="minorEastAsia" w:cstheme="minorEastAsia"/>
          <w:spacing w:val="-3"/>
        </w:rPr>
        <w:t xml:space="preserve">）有效期内的身份证正反面电子件。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895"/>
        </w:trPr>
        <w:tc>
          <w:tcPr>
            <w:tcW w:w="4673" w:type="dxa"/>
            <w:textDirection w:val="lrTb"/>
            <w:noWrap w:val="false"/>
          </w:tcPr>
          <w:p>
            <w:pPr>
              <w:jc w:val="left"/>
              <w:spacing w:line="360" w:lineRule="auto"/>
              <w:tabs>
                <w:tab w:val="left" w:pos="5580" w:leader="none"/>
              </w:tabs>
              <w:rPr>
                <w:rFonts w:asciiTheme="minorEastAsia" w:hAnsiTheme="minorEastAsia" w:eastAsiaTheme="minorEastAsia" w:cstheme="minorEastAsia"/>
                <w:sz w:val="24"/>
                <w:szCs w:val="20"/>
              </w:rPr>
            </w:pPr>
            <w:r>
              <w:rPr>
                <w:rFonts w:asciiTheme="minorEastAsia" w:hAnsiTheme="minorEastAsia" w:eastAsiaTheme="minorEastAsia" w:cstheme="minorEastAsia"/>
                <w:sz w:val="24"/>
                <w:szCs w:val="20"/>
              </w:rPr>
            </w:r>
            <w:r/>
          </w:p>
          <w:p>
            <w:pPr>
              <w:jc w:val="left"/>
              <w:spacing w:line="360" w:lineRule="auto"/>
              <w:tabs>
                <w:tab w:val="left" w:pos="5580" w:leader="none"/>
              </w:tabs>
              <w:rPr>
                <w:rFonts w:asciiTheme="minorEastAsia" w:hAnsiTheme="minorEastAsia" w:eastAsiaTheme="minorEastAsia" w:cstheme="minorEastAsia"/>
                <w:sz w:val="24"/>
                <w:szCs w:val="20"/>
              </w:rPr>
            </w:pPr>
            <w:r>
              <w:rPr>
                <w:rFonts w:asciiTheme="minorEastAsia" w:hAnsiTheme="minorEastAsia" w:eastAsiaTheme="minorEastAsia" w:cstheme="minorEastAsia"/>
                <w:sz w:val="24"/>
                <w:szCs w:val="20"/>
              </w:rPr>
            </w:r>
            <w:r/>
          </w:p>
          <w:p>
            <w:pPr>
              <w:jc w:val="left"/>
              <w:spacing w:line="360" w:lineRule="auto"/>
              <w:tabs>
                <w:tab w:val="left" w:pos="5580" w:leader="none"/>
              </w:tabs>
              <w:rPr>
                <w:rFonts w:asciiTheme="minorEastAsia" w:hAnsiTheme="minorEastAsia" w:eastAsiaTheme="minorEastAsia" w:cstheme="minorEastAsia"/>
                <w:sz w:val="24"/>
                <w:szCs w:val="20"/>
              </w:rPr>
            </w:pPr>
            <w:r>
              <w:rPr>
                <w:rFonts w:asciiTheme="minorEastAsia" w:hAnsiTheme="minorEastAsia" w:eastAsiaTheme="minorEastAsia" w:cstheme="minorEastAsia"/>
                <w:sz w:val="24"/>
                <w:szCs w:val="20"/>
              </w:rPr>
            </w:r>
            <w:r/>
          </w:p>
        </w:tc>
        <w:tc>
          <w:tcPr>
            <w:tcW w:w="4536" w:type="dxa"/>
            <w:textDirection w:val="lrTb"/>
            <w:noWrap w:val="false"/>
          </w:tcPr>
          <w:p>
            <w:pPr>
              <w:jc w:val="left"/>
              <w:spacing w:line="360" w:lineRule="auto"/>
              <w:tabs>
                <w:tab w:val="left" w:pos="5580" w:leader="none"/>
              </w:tabs>
              <w:rPr>
                <w:rFonts w:asciiTheme="minorEastAsia" w:hAnsiTheme="minorEastAsia" w:eastAsiaTheme="minorEastAsia" w:cstheme="minorEastAsia"/>
                <w:sz w:val="24"/>
                <w:szCs w:val="20"/>
              </w:rPr>
            </w:pPr>
            <w:r>
              <w:rPr>
                <w:rFonts w:asciiTheme="minorEastAsia" w:hAnsiTheme="minorEastAsia" w:eastAsiaTheme="minorEastAsia" w:cstheme="minorEastAsia"/>
                <w:sz w:val="24"/>
                <w:szCs w:val="20"/>
              </w:rPr>
            </w:r>
            <w:r/>
          </w:p>
          <w:p>
            <w:pPr>
              <w:jc w:val="left"/>
              <w:spacing w:line="360" w:lineRule="auto"/>
              <w:tabs>
                <w:tab w:val="left" w:pos="5580" w:leader="none"/>
              </w:tabs>
              <w:rPr>
                <w:rFonts w:asciiTheme="minorEastAsia" w:hAnsiTheme="minorEastAsia" w:eastAsiaTheme="minorEastAsia" w:cstheme="minorEastAsia"/>
                <w:sz w:val="24"/>
                <w:szCs w:val="20"/>
              </w:rPr>
            </w:pPr>
            <w:r>
              <w:rPr>
                <w:rFonts w:asciiTheme="minorEastAsia" w:hAnsiTheme="minorEastAsia" w:eastAsiaTheme="minorEastAsia" w:cstheme="minorEastAsia"/>
                <w:sz w:val="24"/>
                <w:szCs w:val="20"/>
              </w:rPr>
            </w:r>
            <w:r/>
          </w:p>
          <w:p>
            <w:pPr>
              <w:jc w:val="left"/>
              <w:spacing w:line="360" w:lineRule="auto"/>
              <w:tabs>
                <w:tab w:val="left" w:pos="5580" w:leader="none"/>
              </w:tabs>
              <w:rPr>
                <w:rFonts w:asciiTheme="minorEastAsia" w:hAnsiTheme="minorEastAsia" w:eastAsiaTheme="minorEastAsia" w:cstheme="minorEastAsia"/>
                <w:sz w:val="24"/>
                <w:szCs w:val="20"/>
              </w:rPr>
            </w:pPr>
            <w:r>
              <w:rPr>
                <w:rFonts w:asciiTheme="minorEastAsia" w:hAnsiTheme="minorEastAsia" w:eastAsiaTheme="minorEastAsia" w:cstheme="minorEastAsia"/>
                <w:sz w:val="24"/>
                <w:szCs w:val="20"/>
              </w:rPr>
            </w:r>
            <w:r/>
          </w:p>
        </w:tc>
      </w:tr>
    </w:tbl>
    <w:p>
      <w:pPr>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投标人：（加盖公章）</w:t>
      </w:r>
      <w:r/>
    </w:p>
    <w:p>
      <w:pPr>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w:t>
      </w:r>
      <w:r>
        <w:rPr>
          <w:rFonts w:hint="eastAsia" w:asciiTheme="minorEastAsia" w:hAnsiTheme="minorEastAsia" w:eastAsiaTheme="minorEastAsia" w:cstheme="minorEastAsia"/>
          <w:sz w:val="24"/>
          <w:szCs w:val="20"/>
        </w:rPr>
        <w:t xml:space="preserve">签字、签章或印鉴</w:t>
      </w:r>
      <w:r>
        <w:rPr>
          <w:rFonts w:hint="eastAsia" w:asciiTheme="minorEastAsia" w:hAnsiTheme="minorEastAsia" w:eastAsiaTheme="minorEastAsia" w:cstheme="minorEastAsia"/>
          <w:sz w:val="24"/>
        </w:rPr>
        <w:t xml:space="preserve">：</w:t>
      </w:r>
      <w:r/>
    </w:p>
    <w:p>
      <w:pPr>
        <w:ind w:firstLine="4320"/>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spacing w:line="360" w:lineRule="auto"/>
        <w:tabs>
          <w:tab w:val="left" w:pos="5580" w:leader="none"/>
        </w:tabs>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说明：</w:t>
      </w:r>
      <w:r/>
    </w:p>
    <w:p>
      <w:pPr>
        <w:jc w:val="left"/>
        <w:spacing w:line="360" w:lineRule="auto"/>
        <w:tabs>
          <w:tab w:val="left" w:pos="5580" w:leader="none"/>
        </w:tabs>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asciiTheme="minorEastAsia" w:hAnsiTheme="minorEastAsia" w:eastAsiaTheme="minorEastAsia" w:cstheme="minorEastAsia"/>
          <w:i/>
          <w:sz w:val="24"/>
          <w:szCs w:val="20"/>
          <w:u w:val="single"/>
        </w:rPr>
      </w:pPr>
      <w:r>
        <w:rPr>
          <w:rFonts w:hint="eastAsia" w:asciiTheme="minorEastAsia" w:hAnsiTheme="minorEastAsia" w:eastAsiaTheme="minorEastAsia" w:cstheme="minorEastAsia"/>
          <w:sz w:val="24"/>
          <w:szCs w:val="20"/>
        </w:rPr>
        <w:t xml:space="preserve">2.投标人为自然人的情形，可不提供本《授权委托书》。</w:t>
      </w:r>
      <w:r/>
    </w:p>
    <w:p>
      <w:pPr>
        <w:jc w:val="cente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四、法人授权书</w:t>
      </w:r>
      <w:r/>
    </w:p>
    <w:p>
      <w:pPr>
        <w:pStyle w:val="1057"/>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7"/>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5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57"/>
        <w:ind w:firstLine="0"/>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57"/>
        <w:ind w:firstLine="0"/>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57"/>
        <w:ind w:firstLine="120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57"/>
        <w:ind w:firstLine="480"/>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5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27" w:name="_格式3__银行出具的资信证明"/>
      <w:r/>
      <w:bookmarkStart w:id="228" w:name="_Hlt26671380"/>
      <w:r/>
      <w:bookmarkStart w:id="229" w:name="_Hlt26955070"/>
      <w:r/>
      <w:bookmarkEnd w:id="227"/>
      <w:r/>
      <w:bookmarkEnd w:id="228"/>
      <w:r/>
      <w:bookmarkEnd w:id="229"/>
      <w:r>
        <w:rPr>
          <w:rFonts w:hint="eastAsia" w:asciiTheme="minorEastAsia" w:hAnsiTheme="minorEastAsia" w:eastAsiaTheme="minorEastAsia" w:cstheme="minorEastAsia"/>
          <w:sz w:val="24"/>
          <w:szCs w:val="24"/>
          <w:u w:val="single"/>
        </w:rPr>
        <w:t xml:space="preserve">                                         </w:t>
      </w:r>
      <w:r/>
    </w:p>
    <w:p>
      <w:pPr>
        <w:pStyle w:val="979"/>
        <w:spacing w:line="360" w:lineRule="auto"/>
        <w:rPr>
          <w:rFonts w:asciiTheme="minorEastAsia" w:hAnsiTheme="minorEastAsia" w:eastAsiaTheme="minorEastAsia" w:cstheme="minorEastAsia"/>
          <w:i/>
          <w:sz w:val="24"/>
          <w:szCs w:val="24"/>
          <w:u w:val="single"/>
        </w:rPr>
      </w:pPr>
      <w:r>
        <w:rPr>
          <w:rFonts w:asciiTheme="minorEastAsia" w:hAnsiTheme="minorEastAsia" w:eastAsiaTheme="minorEastAsia" w:cstheme="minorEastAsia"/>
          <w:i/>
          <w:sz w:val="24"/>
          <w:szCs w:val="24"/>
          <w:u w:val="single"/>
        </w:rPr>
      </w:r>
      <w:r/>
    </w:p>
    <w:p>
      <w:pPr>
        <w:pStyle w:val="979"/>
        <w:ind w:firstLine="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spacing w:line="460" w:lineRule="exact"/>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rPr>
          <w:rFonts w:asciiTheme="minorEastAsia" w:hAnsiTheme="minorEastAsia" w:eastAsiaTheme="minorEastAsia" w:cstheme="minorEastAsia"/>
          <w:bCs/>
          <w:i/>
          <w:u w:val="single"/>
        </w:rPr>
      </w:pPr>
      <w:r>
        <w:rPr>
          <w:rFonts w:hint="eastAsia" w:asciiTheme="minorEastAsia" w:hAnsiTheme="minorEastAsia" w:eastAsiaTheme="minorEastAsia" w:cstheme="minorEastAsia"/>
          <w:bCs/>
          <w:sz w:val="24"/>
        </w:rPr>
        <w:br w:type="page" w:clear="all"/>
      </w:r>
      <w:r>
        <w:rPr>
          <w:rFonts w:hint="eastAsia" w:asciiTheme="minorEastAsia" w:hAnsiTheme="minorEastAsia" w:eastAsiaTheme="minorEastAsia" w:cstheme="minorEastAsia"/>
          <w:i/>
          <w:sz w:val="32"/>
          <w:szCs w:val="32"/>
          <w:u w:val="single"/>
        </w:rPr>
        <w:t xml:space="preserve">五、投标函</w:t>
      </w:r>
      <w:r/>
    </w:p>
    <w:p>
      <w:pPr>
        <w:pStyle w:val="1059"/>
        <w:ind w:firstLine="0"/>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致：常州市教育基本建设与装备管理中心</w:t>
      </w:r>
      <w:r/>
    </w:p>
    <w:p>
      <w:pPr>
        <w:pStyle w:val="1059"/>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根据贵方的JSZC-*_____________号招标文件，正式授权下述签字人______(姓名)代表我方______________（投标人的名称），全权处理本次项目投标的有关事宜。</w:t>
      </w:r>
      <w:r/>
    </w:p>
    <w:p>
      <w:pPr>
        <w:pStyle w:val="1059"/>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据此函，__________签字人兹宣布同意如下：</w:t>
      </w:r>
      <w:r/>
    </w:p>
    <w:p>
      <w:pPr>
        <w:ind w:firstLine="480"/>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1.按招标文件规定的各项要求，向买方提供所需货物（包含与货物相关的服务）。</w:t>
      </w:r>
      <w:r/>
    </w:p>
    <w:p>
      <w:pPr>
        <w:ind w:firstLine="480"/>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2.我们完全理解贵方不一定将合同授予最低报价的投标人。</w:t>
      </w:r>
      <w:r/>
    </w:p>
    <w:p>
      <w:pPr>
        <w:ind w:firstLine="480"/>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3.我们已详细审核全部招标文件及其有效补充文件，我们知道必须放弃提出含糊不清或误解问题的权利。</w:t>
      </w:r>
      <w:r/>
    </w:p>
    <w:p>
      <w:pPr>
        <w:ind w:firstLine="480"/>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4.我们同意从规定的开标日期起遵循本投标文件，并在规定的投标有效期期满之前均具有约束力。</w:t>
      </w:r>
      <w:r/>
    </w:p>
    <w:p>
      <w:pPr>
        <w:ind w:firstLine="480"/>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6.一旦我方中标,我方将根据招标文件的规定，严格履行合同的责任和义务,并保证在招标文件规定的时间完成项目，交付买方验收、使用。</w:t>
      </w:r>
      <w:r/>
    </w:p>
    <w:p>
      <w:pPr>
        <w:pStyle w:val="1059"/>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7.除采购文件第四章采购需求中关于实质性要求需要提供证明材料的之外、与国家相关部门对供应商的响应产品有强制性规定或者有要求的，我方承诺完全满足。</w:t>
      </w:r>
      <w:r/>
    </w:p>
    <w:p>
      <w:pPr>
        <w:pStyle w:val="1059"/>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7.与本投标有关的正式通讯地址为：</w:t>
      </w:r>
      <w:r/>
    </w:p>
    <w:p>
      <w:pPr>
        <w:pStyle w:val="1059"/>
        <w:ind w:left="420"/>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1059"/>
        <w:ind w:left="420"/>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          编：</w:t>
      </w:r>
      <w:r/>
    </w:p>
    <w:p>
      <w:pPr>
        <w:pStyle w:val="1059"/>
        <w:ind w:left="420"/>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1059"/>
        <w:ind w:left="420"/>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p>
    <w:p>
      <w:pPr>
        <w:pStyle w:val="1059"/>
        <w:ind w:left="420"/>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投标人开户行：</w:t>
      </w:r>
      <w:r/>
    </w:p>
    <w:p>
      <w:pPr>
        <w:pStyle w:val="1059"/>
        <w:ind w:left="420"/>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 </w:t>
      </w:r>
      <w:r/>
    </w:p>
    <w:p>
      <w:pPr>
        <w:pStyle w:val="1059"/>
        <w:ind w:left="420"/>
        <w:spacing w:before="0" w:after="0" w:line="4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期：________年____月____日</w:t>
      </w:r>
      <w:r/>
    </w:p>
    <w:p>
      <w:pPr>
        <w:ind w:firstLine="240"/>
        <w:jc w:val="center"/>
        <w:spacing w:line="560" w:lineRule="exact"/>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240"/>
        <w:jc w:val="center"/>
        <w:spacing w:line="560" w:lineRule="exact"/>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240"/>
        <w:jc w:val="center"/>
        <w:spacing w:line="560" w:lineRule="exact"/>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240"/>
        <w:jc w:val="center"/>
        <w:spacing w:line="560" w:lineRule="exact"/>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pStyle w:val="787"/>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46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六、政府采购供应商信用承诺书（实质性格式）</w:t>
      </w:r>
      <w:r/>
    </w:p>
    <w:p>
      <w:pPr>
        <w:ind w:firstLine="321"/>
        <w:jc w:val="center"/>
        <w:spacing w:line="56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ind w:firstLine="321"/>
        <w:jc w:val="center"/>
        <w:spacing w:line="5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政府采购供应商信用承诺书</w:t>
      </w:r>
      <w:r/>
    </w:p>
    <w:p>
      <w:pPr>
        <w:ind w:firstLine="640"/>
        <w:rPr>
          <w:rFonts w:asciiTheme="minorEastAsia" w:hAnsiTheme="minorEastAsia" w:eastAsiaTheme="minorEastAsia" w:cstheme="minorEastAsia"/>
        </w:rPr>
      </w:pPr>
      <w:r>
        <w:rPr>
          <w:rFonts w:asciiTheme="minorEastAsia" w:hAnsiTheme="minorEastAsia" w:eastAsiaTheme="minorEastAsia" w:cstheme="minorEastAsia"/>
        </w:rPr>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为维护公开、公平、公正的政府采购市场秩序，树立诚实守信的供应商形象，本单位在参与政府采购活动中,自愿作出以下承诺：</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五、承诺本单位自觉接受行政管理部门、行业组织、社会公众、新闻舆论的监督。 </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七、承诺本单位在信用中国（江苏）网站中无违法违规、较重或严重失信记录。 </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八、承诺本单位提出政府采购质疑和投诉坚持依法依规、诚实信用原则。</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九、根据政府采购相关法律法规的规定需要作出的其他承诺。 </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十一、承诺本单位同意将以上承诺事项上网公示，违背承诺约定行为将作为失信信息，记录到常州市公共信用信息系统，并予以公开。</w:t>
      </w:r>
      <w:r/>
    </w:p>
    <w:p>
      <w:pPr>
        <w:pStyle w:val="1096"/>
        <w:ind w:right="1050" w:firstLine="2880"/>
        <w:jc w:val="both"/>
        <w:spacing w:line="276" w:lineRule="auto"/>
        <w:rPr>
          <w:rFonts w:asciiTheme="minorEastAsia" w:hAnsiTheme="minorEastAsia" w:eastAsiaTheme="minorEastAsia" w:cstheme="minorEastAsia"/>
          <w:sz w:val="24"/>
          <w:szCs w:val="22"/>
        </w:rPr>
      </w:pPr>
      <w:r>
        <w:rPr>
          <w:rFonts w:asciiTheme="minorEastAsia" w:hAnsiTheme="minorEastAsia" w:eastAsiaTheme="minorEastAsia" w:cstheme="minorEastAsia"/>
          <w:sz w:val="24"/>
          <w:szCs w:val="22"/>
        </w:rPr>
      </w:r>
      <w:r/>
    </w:p>
    <w:p>
      <w:pPr>
        <w:spacing w:before="25" w:after="25"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投标人名称（加盖公章）</w:t>
      </w:r>
      <w:r>
        <w:rPr>
          <w:rFonts w:hint="eastAsia" w:asciiTheme="minorEastAsia" w:hAnsiTheme="minorEastAsia" w:eastAsiaTheme="minorEastAsia" w:cstheme="minorEastAsia"/>
          <w:sz w:val="24"/>
          <w:lang w:val="zh-CN"/>
        </w:rPr>
        <w:t xml:space="preserve">：____________</w:t>
      </w:r>
      <w:r/>
    </w:p>
    <w:p>
      <w:pPr>
        <w:spacing w:before="25" w:after="25"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日期：_____年______月______日   </w:t>
      </w:r>
      <w:r/>
    </w:p>
    <w:p>
      <w:pPr>
        <w:ind w:firstLine="321"/>
        <w:jc w:val="center"/>
        <w:spacing w:line="5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七、小微企业声明函（货物）（分包号：）</w:t>
      </w:r>
      <w:r/>
    </w:p>
    <w:p>
      <w:pPr>
        <w:ind w:firstLine="360"/>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采购编号为</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（项目名称）（分包号：）</w:t>
      </w:r>
      <w:r>
        <w:rPr>
          <w:rFonts w:hint="eastAsia" w:asciiTheme="minorEastAsia" w:hAnsiTheme="minorEastAsia" w:eastAsiaTheme="minorEastAsia" w:cstheme="minorEastAsia"/>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ind w:firstLine="360"/>
        <w:spacing w:line="560" w:lineRule="exact"/>
        <w:rPr>
          <w:rFonts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jc w:val="left"/>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360"/>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5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right="180" w:firstLine="360"/>
        <w:jc w:val="right"/>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right="480" w:firstLine="5400"/>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5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备注2：供应商如不提供此声明函，价格将不做相应扣除。</w:t>
      </w:r>
      <w:r>
        <w:rPr>
          <w:rFonts w:hint="eastAsia" w:asciiTheme="minorEastAsia" w:hAnsiTheme="minorEastAsia" w:eastAsiaTheme="minorEastAsia" w:cstheme="minorEastAsia"/>
          <w:sz w:val="24"/>
        </w:rPr>
        <w:t xml:space="preserve">中标人为小微</w:t>
      </w:r>
      <w:r>
        <w:rPr>
          <w:rFonts w:hint="eastAsia" w:asciiTheme="minorEastAsia" w:hAnsiTheme="minorEastAsia" w:eastAsiaTheme="minorEastAsia" w:cstheme="minorEastAsia"/>
          <w:sz w:val="24"/>
        </w:rPr>
        <w:t xml:space="preserve">企业的，此声明函将随中标结果同时公告，接受社会监督。</w:t>
      </w:r>
      <w:r/>
    </w:p>
    <w:p>
      <w:pPr>
        <w:jc w:val="center"/>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八、残疾人福利性单位声明函（分包号：）</w:t>
      </w:r>
      <w:r/>
    </w:p>
    <w:p>
      <w:pPr>
        <w:ind w:firstLine="480"/>
        <w:spacing w:line="5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588"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5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Theme="minorEastAsia" w:hAnsiTheme="minorEastAsia" w:eastAsiaTheme="minorEastAsia" w:cstheme="minorEastAsia"/>
          <w:spacing w:val="6"/>
          <w:sz w:val="30"/>
          <w:szCs w:val="30"/>
        </w:rPr>
      </w:pPr>
      <w:r>
        <w:rPr>
          <w:rFonts w:asciiTheme="minorEastAsia" w:hAnsiTheme="minorEastAsia" w:eastAsiaTheme="minorEastAsia" w:cstheme="minorEastAsia"/>
          <w:spacing w:val="6"/>
          <w:sz w:val="30"/>
          <w:szCs w:val="30"/>
        </w:rPr>
      </w:r>
      <w:r/>
    </w:p>
    <w:p>
      <w:pPr>
        <w:ind w:right="1560" w:firstLine="624"/>
        <w:jc w:val="center"/>
        <w:spacing w:line="588" w:lineRule="exact"/>
        <w:tabs>
          <w:tab w:val="left" w:pos="486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pacing w:val="6"/>
          <w:sz w:val="30"/>
          <w:szCs w:val="30"/>
        </w:rPr>
        <w:t xml:space="preserve">             </w:t>
      </w:r>
      <w:r>
        <w:rPr>
          <w:rFonts w:hint="eastAsia" w:asciiTheme="minorEastAsia" w:hAnsiTheme="minorEastAsia" w:eastAsiaTheme="minorEastAsia" w:cstheme="minorEastAsia"/>
          <w:sz w:val="24"/>
        </w:rPr>
        <w:t xml:space="preserve">         供应商全称（加盖CA电子公章）：</w:t>
      </w:r>
      <w:r/>
    </w:p>
    <w:p>
      <w:pPr>
        <w:ind w:right="1560" w:firstLine="480"/>
        <w:jc w:val="center"/>
        <w:spacing w:line="588" w:lineRule="exact"/>
        <w:tabs>
          <w:tab w:val="left" w:pos="486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  期：</w:t>
      </w:r>
      <w:r/>
    </w:p>
    <w:p>
      <w:pPr>
        <w:jc w:val="center"/>
        <w:spacing w:line="56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56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56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56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56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ind w:firstLine="643"/>
        <w:spacing w:line="5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sz w:val="32"/>
          <w:szCs w:val="32"/>
        </w:rPr>
        <w:t xml:space="preserve">监狱企业证明文件。</w:t>
      </w:r>
      <w:r>
        <w:rPr>
          <w:rFonts w:hint="eastAsia" w:asciiTheme="minorEastAsia" w:hAnsiTheme="minorEastAsia" w:eastAsiaTheme="minorEastAsia" w:cstheme="minorEastAsia"/>
          <w:sz w:val="24"/>
        </w:rPr>
        <w:t xml:space="preserve">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sz w:val="24"/>
          <w:szCs w:val="24"/>
        </w:rPr>
        <w:t xml:space="preserve">资格审查不予通过，作为无效投标。</w:t>
      </w:r>
      <w:r>
        <w:rPr>
          <w:rFonts w:hint="eastAsia" w:asciiTheme="minorEastAsia" w:hAnsiTheme="minorEastAsia" w:eastAsiaTheme="minorEastAsia" w:cstheme="minorEastAsia"/>
          <w:sz w:val="24"/>
        </w:rPr>
        <w:t xml:space="preserve">）</w:t>
      </w:r>
      <w:r/>
    </w:p>
    <w:p>
      <w:pPr>
        <w:jc w:val="center"/>
        <w:spacing w:line="56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560" w:lineRule="exac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pStyle w:val="787"/>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numPr>
          <w:ilvl w:val="0"/>
          <w:numId w:val="12"/>
        </w:numPr>
        <w:jc w:val="center"/>
        <w:rPr>
          <w:rFonts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关于符合本国产品标准的声明函（采购包号：**）</w:t>
      </w:r>
      <w:r/>
    </w:p>
    <w:p>
      <w:pPr>
        <w:pStyle w:val="804"/>
        <w:ind w:firstLine="420"/>
        <w:spacing w:beforeAutospacing="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04"/>
        <w:ind w:firstLine="420"/>
        <w:spacing w:beforeAutospacing="0" w:afterAutospacing="0" w:line="360" w:lineRule="auto"/>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firstLine="420"/>
        <w:spacing w:before="30" w:beforeAutospacing="0" w:after="30" w:afterAutospacing="0" w:line="360" w:lineRule="auto"/>
        <w:rPr>
          <w:rFonts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2451100</wp:posOffset>
                </wp:positionH>
                <wp:positionV relativeFrom="paragraph">
                  <wp:posOffset>606425</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8480;o:allowoverlap:true;o:allowincell:true;mso-position-horizontal-relative:text;margin-left:193.0pt;mso-position-horizontal:absolute;mso-position-vertical-relative:text;margin-top:47.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1294130</wp:posOffset>
                </wp:positionH>
                <wp:positionV relativeFrom="paragraph">
                  <wp:posOffset>617855</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text;margin-left:101.9pt;mso-position-horizontal:absolute;mso-position-vertical-relative:text;margin-top:48.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3645535</wp:posOffset>
                </wp:positionH>
                <wp:positionV relativeFrom="paragraph">
                  <wp:posOffset>335915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287.1pt;mso-position-horizontal:absolute;mso-position-vertical-relative:text;margin-top:26.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2454910</wp:posOffset>
                </wp:positionH>
                <wp:positionV relativeFrom="paragraph">
                  <wp:posOffset>368300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193.3pt;mso-position-horizontal:absolute;mso-position-vertical-relative:text;margin-top:29.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4778375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376.2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810"/>
          <w:rFonts w:hint="eastAsia" w:ascii="方正魏碑_GBK" w:hAnsi="方正魏碑_GBK" w:eastAsia="方正魏碑_GBK" w:cs="方正魏碑_GBK"/>
          <w:u w:val="single"/>
          <w:shd w:val="clear" w:color="auto" w:fill="ffffff"/>
        </w:rPr>
        <w:t xml:space="preserve">（产品名称1）</w:t>
      </w:r>
      <w:r>
        <w:rPr>
          <w:rStyle w:val="810"/>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10"/>
          <w:rFonts w:hint="eastAsia" w:ascii="方正魏碑_GBK" w:hAnsi="方正魏碑_GBK" w:eastAsia="方正魏碑_GBK" w:cs="方正魏碑_GBK"/>
          <w:u w:val="single"/>
          <w:shd w:val="clear" w:color="auto" w:fill="ffffff"/>
        </w:rPr>
        <w:t xml:space="preserve">（厂名）</w:t>
      </w:r>
      <w:r>
        <w:rPr>
          <w:rStyle w:val="810"/>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10"/>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10"/>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10"/>
          <w:rFonts w:hint="eastAsia" w:ascii="方正魏碑_GBK" w:hAnsi="方正魏碑_GBK" w:eastAsia="方正魏碑_GBK" w:cs="方正魏碑_GBK"/>
          <w:u w:val="single"/>
          <w:shd w:val="clear" w:color="auto" w:fill="ffffff"/>
        </w:rPr>
        <w:t xml:space="preserve">（规定</w:t>
      </w:r>
      <w:r>
        <w:rPr>
          <w:rStyle w:val="810"/>
          <w:rFonts w:ascii="方正魏碑_GBK" w:hAnsi="方正魏碑_GBK" w:eastAsia="方正魏碑_GBK" w:cs="方正魏碑_GBK"/>
          <w:u w:val="single"/>
          <w:shd w:val="clear" w:color="auto" w:fill="ffffff"/>
        </w:rPr>
        <w:t xml:space="preserve">比例</w:t>
      </w:r>
      <w:r>
        <w:rPr>
          <w:rStyle w:val="810"/>
          <w:rFonts w:hint="eastAsia" w:ascii="方正魏碑_GBK" w:hAnsi="方正魏碑_GBK" w:eastAsia="方正魏碑_GBK" w:cs="方正魏碑_GBK"/>
          <w:u w:val="single"/>
          <w:shd w:val="clear" w:color="auto" w:fill="ffffff"/>
        </w:rPr>
        <w:t xml:space="preserve">）</w:t>
      </w:r>
      <w:r>
        <w:rPr>
          <w:rStyle w:val="810"/>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10"/>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10"/>
          <w:rFonts w:hint="eastAsia" w:ascii="方正魏碑_GBK" w:hAnsi="方正魏碑_GBK" w:eastAsia="方正魏碑_GBK" w:cs="方正魏碑_GBK"/>
          <w:u w:val="single"/>
          <w:shd w:val="clear" w:color="auto" w:fill="ffffff"/>
        </w:rPr>
        <w:t xml:space="preserve">（关键</w:t>
      </w:r>
      <w:r>
        <w:rPr>
          <w:rStyle w:val="810"/>
          <w:rFonts w:ascii="方正魏碑_GBK" w:hAnsi="方正魏碑_GBK" w:eastAsia="方正魏碑_GBK" w:cs="方正魏碑_GBK"/>
          <w:u w:val="single"/>
          <w:shd w:val="clear" w:color="auto" w:fill="ffffff"/>
        </w:rPr>
        <w:t xml:space="preserve">组件</w:t>
      </w:r>
      <w:r>
        <w:rPr>
          <w:rStyle w:val="810"/>
          <w:rFonts w:hint="eastAsia" w:ascii="方正魏碑_GBK" w:hAnsi="方正魏碑_GBK" w:eastAsia="方正魏碑_GBK" w:cs="方正魏碑_GBK"/>
          <w:u w:val="single"/>
          <w:shd w:val="clear" w:color="auto" w:fill="ffffff"/>
        </w:rPr>
        <w:t xml:space="preserve">）</w:t>
      </w:r>
      <w:r>
        <w:rPr>
          <w:rStyle w:val="810"/>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10"/>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10"/>
          <w:rFonts w:hint="eastAsia" w:ascii="方正魏碑_GBK" w:hAnsi="方正魏碑_GBK" w:eastAsia="方正魏碑_GBK" w:cs="方正魏碑_GBK"/>
          <w:u w:val="single"/>
          <w:shd w:val="clear" w:color="auto" w:fill="ffffff"/>
        </w:rPr>
        <w:t xml:space="preserve">（关键工序）</w:t>
      </w:r>
      <w:r>
        <w:rPr>
          <w:rStyle w:val="810"/>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04"/>
        <w:ind w:firstLine="420"/>
        <w:spacing w:before="30" w:beforeAutospacing="0" w:after="30" w:afterAutospacing="0" w:line="360" w:lineRule="auto"/>
        <w:rPr>
          <w:rFonts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988060</wp:posOffset>
                </wp:positionH>
                <wp:positionV relativeFrom="paragraph">
                  <wp:posOffset>626110</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5408;o:allowoverlap:true;o:allowincell:true;mso-position-horizontal-relative:text;margin-left:77.8pt;mso-position-horizontal:absolute;mso-position-vertical-relative:text;margin-top:49.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2207260</wp:posOffset>
                </wp:positionH>
                <wp:positionV relativeFrom="paragraph">
                  <wp:posOffset>622935</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173.8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4685665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368.9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3481070</wp:posOffset>
                </wp:positionH>
                <wp:positionV relativeFrom="paragraph">
                  <wp:posOffset>293370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274.1pt;mso-position-horizontal:absolute;mso-position-vertical-relative:text;margin-top:23.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2379980</wp:posOffset>
                </wp:positionH>
                <wp:positionV relativeFrom="paragraph">
                  <wp:posOffset>280035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187.4pt;mso-position-horizontal:absolute;mso-position-vertical-relative:text;margin-top:22.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810"/>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10"/>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10"/>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10"/>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10"/>
          <w:rFonts w:hint="eastAsia" w:ascii="方正魏碑_GBK" w:hAnsi="方正魏碑_GBK" w:eastAsia="方正魏碑_GBK" w:cs="方正魏碑_GBK"/>
          <w:u w:val="single"/>
          <w:shd w:val="clear" w:color="auto" w:fill="ffffff"/>
        </w:rPr>
        <w:t xml:space="preserve">（规定</w:t>
      </w:r>
      <w:r>
        <w:rPr>
          <w:rStyle w:val="810"/>
          <w:rFonts w:ascii="方正魏碑_GBK" w:hAnsi="方正魏碑_GBK" w:eastAsia="方正魏碑_GBK" w:cs="方正魏碑_GBK"/>
          <w:u w:val="single"/>
          <w:shd w:val="clear" w:color="auto" w:fill="ffffff"/>
        </w:rPr>
        <w:t xml:space="preserve">比例</w:t>
      </w:r>
      <w:r>
        <w:rPr>
          <w:rStyle w:val="810"/>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10"/>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10"/>
          <w:rFonts w:hint="eastAsia" w:ascii="方正魏碑_GBK" w:hAnsi="方正魏碑_GBK" w:eastAsia="方正魏碑_GBK" w:cs="方正魏碑_GBK"/>
          <w:u w:val="single"/>
          <w:shd w:val="clear" w:color="auto" w:fill="ffffff"/>
        </w:rPr>
        <w:t xml:space="preserve">（关键</w:t>
      </w:r>
      <w:r>
        <w:rPr>
          <w:rStyle w:val="810"/>
          <w:rFonts w:ascii="方正魏碑_GBK" w:hAnsi="方正魏碑_GBK" w:eastAsia="方正魏碑_GBK" w:cs="方正魏碑_GBK"/>
          <w:u w:val="single"/>
          <w:shd w:val="clear" w:color="auto" w:fill="ffffff"/>
        </w:rPr>
        <w:t xml:space="preserve">组件</w:t>
      </w:r>
      <w:r>
        <w:rPr>
          <w:rStyle w:val="810"/>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10"/>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10"/>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04"/>
        <w:ind w:firstLine="420"/>
        <w:spacing w:before="30" w:beforeAutospacing="0" w:after="30" w:afterAutospacing="0" w:line="360" w:lineRule="auto"/>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04"/>
        <w:ind w:firstLine="420"/>
        <w:spacing w:before="30" w:beforeAutospacing="0" w:after="30" w:afterAutospacing="0" w:line="360" w:lineRule="auto"/>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04"/>
        <w:spacing w:before="30" w:beforeAutospacing="0" w:after="30" w:afterAutospacing="0" w:line="360" w:lineRule="auto"/>
        <w:rPr>
          <w:rFonts w:ascii="方正魏碑_GBK" w:hAnsi="方正魏碑_GBK" w:eastAsia="方正魏碑_GBK" w:cs="方正魏碑_GBK"/>
        </w:rPr>
      </w:pPr>
      <w:r>
        <w:rPr>
          <w:rFonts w:ascii="方正魏碑_GBK" w:hAnsi="方正魏碑_GBK" w:eastAsia="方正魏碑_GBK" w:cs="方正魏碑_GBK"/>
        </w:rPr>
      </w:r>
      <w:r/>
    </w:p>
    <w:p>
      <w:pPr>
        <w:pStyle w:val="804"/>
        <w:ind w:right="480" w:firstLine="3720"/>
        <w:spacing w:before="30" w:beforeAutospacing="0" w:after="30" w:afterAutospacing="0" w:line="360" w:lineRule="auto"/>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MS Mincho" w:hAnsi="MS Mincho" w:eastAsia="MS Mincho" w:cs="MS Mincho"/>
          <w:shd w:val="clear" w:color="auto" w:fill="ffffff"/>
        </w:rPr>
        <w:t xml:space="preserve">        </w:t>
      </w:r>
      <w:r/>
    </w:p>
    <w:p>
      <w:pPr>
        <w:pStyle w:val="804"/>
        <w:jc w:val="center"/>
        <w:spacing w:before="30" w:beforeAutospacing="0" w:after="30" w:afterAutospacing="0" w:line="360" w:lineRule="auto"/>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w:t>
      </w:r>
      <w:r>
        <w:rPr>
          <w:rFonts w:hint="eastAsia" w:ascii="MS Mincho" w:hAnsi="MS Mincho" w:eastAsia="MS Mincho" w:cs="MS Mincho"/>
          <w:shd w:val="clear" w:color="auto" w:fill="ffffff"/>
        </w:rPr>
        <w:t xml:space="preserve">   </w:t>
      </w:r>
      <w:r>
        <w:rPr>
          <w:rFonts w:hint="eastAsia" w:ascii="宋体" w:hAnsi="宋体" w:cs="宋体"/>
          <w:shd w:val="clear" w:color="auto" w:fill="ffffff"/>
        </w:rPr>
        <w:t xml:space="preserve">年　</w:t>
      </w:r>
      <w:r>
        <w:rPr>
          <w:rFonts w:hint="eastAsia" w:ascii="MS Mincho" w:hAnsi="MS Mincho" w:eastAsia="MS Mincho" w:cs="MS Mincho"/>
          <w:shd w:val="clear" w:color="auto" w:fill="ffffff"/>
        </w:rPr>
        <w:t xml:space="preserve">  </w:t>
      </w:r>
      <w:r>
        <w:rPr>
          <w:rFonts w:hint="eastAsia" w:ascii="宋体" w:hAnsi="宋体" w:cs="宋体"/>
          <w:shd w:val="clear" w:color="auto" w:fill="ffffff"/>
        </w:rPr>
        <w:t xml:space="preserve">月　</w:t>
      </w:r>
      <w:r>
        <w:rPr>
          <w:rFonts w:hint="eastAsia" w:ascii="MS Mincho" w:hAnsi="MS Mincho" w:eastAsia="MS Mincho" w:cs="MS Mincho"/>
          <w:shd w:val="clear" w:color="auto" w:fill="ffffff"/>
        </w:rPr>
        <w:t xml:space="preserve">  </w:t>
      </w:r>
      <w:r>
        <w:rPr>
          <w:rFonts w:hint="eastAsia" w:ascii="宋体" w:hAnsi="宋体" w:cs="宋体"/>
          <w:shd w:val="clear" w:color="auto" w:fill="ffffff"/>
        </w:rPr>
        <w:t xml:space="preserve">日</w:t>
      </w:r>
      <w:r>
        <w:rPr>
          <w:rFonts w:hint="eastAsia" w:ascii="MS Mincho" w:hAnsi="MS Mincho" w:eastAsia="MS Mincho" w:cs="MS Mincho"/>
          <w:shd w:val="clear" w:color="auto" w:fill="ffffff"/>
        </w:rPr>
        <w:t xml:space="preserve">         </w:t>
      </w:r>
      <w:r/>
    </w:p>
    <w:p>
      <w:pPr>
        <w:pStyle w:val="804"/>
        <w:spacing w:before="30" w:beforeAutospacing="0" w:after="30" w:afterAutospacing="0" w:line="360" w:lineRule="auto"/>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04"/>
        <w:spacing w:before="30" w:beforeAutospacing="0" w:after="30" w:afterAutospacing="0" w:line="360" w:lineRule="auto"/>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04"/>
        <w:spacing w:before="30" w:beforeAutospacing="0" w:after="30" w:afterAutospacing="0" w:line="360" w:lineRule="auto"/>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04"/>
        <w:spacing w:before="30" w:beforeAutospacing="0" w:after="30" w:afterAutospacing="0" w:line="360" w:lineRule="auto"/>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04"/>
        <w:spacing w:before="30" w:beforeAutospacing="0" w:after="30" w:afterAutospacing="0" w:line="360" w:lineRule="auto"/>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04"/>
        <w:spacing w:before="30" w:beforeAutospacing="0" w:after="30" w:afterAutospacing="0" w:line="360" w:lineRule="auto"/>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04"/>
        <w:spacing w:before="30" w:beforeAutospacing="0" w:after="30" w:afterAutospacing="0" w:line="360" w:lineRule="auto"/>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numPr>
          <w:ilvl w:val="0"/>
          <w:numId w:val="12"/>
        </w:numPr>
        <w:jc w:val="center"/>
        <w:rPr>
          <w:rFonts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投标分项报价表（分包号：）</w:t>
      </w:r>
      <w:r/>
    </w:p>
    <w:p>
      <w:pPr>
        <w:pStyle w:val="787"/>
        <w:ind w:firstLine="0"/>
        <w:rPr>
          <w:rFonts w:asciiTheme="minorEastAsia" w:hAnsiTheme="minorEastAsia" w:eastAsiaTheme="minorEastAsia" w:cstheme="minorEastAsia"/>
        </w:rPr>
      </w:pPr>
      <w:r>
        <w:rPr>
          <w:rFonts w:asciiTheme="minorEastAsia" w:hAnsiTheme="minorEastAsia" w:eastAsiaTheme="minorEastAsia" w:cstheme="minorEastAsia"/>
        </w:rPr>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34"/>
        </w:trPr>
        <w:tc>
          <w:tcPr>
            <w:gridSpan w:val="10"/>
            <w:tcW w:w="9263" w:type="dxa"/>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804"/>
              <w:spacing w:beforeAutospacing="0" w:afterAutospacing="0" w:line="0" w:lineRule="atLeast"/>
            </w:pPr>
            <w:r>
              <w:rPr>
                <w:rFonts w:hint="eastAsia" w:ascii="方正魏碑_GBK" w:hAnsi="方正魏碑_GBK" w:eastAsia="方正魏碑_GBK" w:cs="方正魏碑_GBK"/>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Cs w:val="24"/>
                <w:u w:val="single"/>
              </w:rPr>
              <w:t xml:space="preserve">***</w:t>
            </w:r>
            <w:r>
              <w:rPr>
                <w:rFonts w:hint="eastAsia" w:ascii="方正魏碑_GBK" w:hAnsi="方正魏碑_GBK" w:eastAsia="方正魏碑_GBK" w:cs="方正魏碑_GBK"/>
                <w:szCs w:val="24"/>
              </w:rPr>
              <w:t xml:space="preserve">%。</w:t>
            </w:r>
            <w:r/>
          </w:p>
        </w:tc>
      </w:tr>
    </w:tbl>
    <w:p>
      <w:pPr>
        <w:pStyle w:val="787"/>
        <w:ind w:firstLine="0"/>
        <w:rPr>
          <w:rFonts w:asciiTheme="minorEastAsia" w:hAnsiTheme="minorEastAsia" w:eastAsiaTheme="minorEastAsia" w:cstheme="minorEastAsia"/>
        </w:rPr>
      </w:pPr>
      <w:r>
        <w:rPr>
          <w:rFonts w:asciiTheme="minorEastAsia" w:hAnsiTheme="minorEastAsia" w:eastAsiaTheme="minorEastAsia" w:cstheme="minorEastAsia"/>
        </w:rPr>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2.“投标分项报价表”中“投标总报价”数额应当与“开标一览表”中“投标总报价”数额一致。</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t xml:space="preserve">4.投标人需认真填写本报价表，尤其注意规格型号的准确填写。</w:t>
      </w:r>
      <w:r/>
    </w:p>
    <w:p>
      <w:pPr>
        <w:spacing w:line="400" w:lineRule="exact"/>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numPr>
          <w:ilvl w:val="0"/>
          <w:numId w:val="12"/>
        </w:num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技术要求响应及偏离表（分包号：）</w:t>
      </w:r>
      <w:r/>
    </w:p>
    <w:p>
      <w:pPr>
        <w:pStyle w:val="787"/>
        <w:ind w:firstLine="0"/>
        <w:rPr>
          <w:rFonts w:asciiTheme="minorEastAsia" w:hAnsiTheme="minorEastAsia" w:eastAsiaTheme="minorEastAsia" w:cstheme="minorEastAsia"/>
        </w:rPr>
      </w:pPr>
      <w:r>
        <w:rPr>
          <w:rFonts w:asciiTheme="minorEastAsia" w:hAnsiTheme="minorEastAsia" w:eastAsiaTheme="minorEastAsia" w:cstheme="minor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714"/>
        <w:gridCol w:w="1527"/>
        <w:gridCol w:w="1092"/>
      </w:tblGrid>
      <w:tr>
        <w:trPr>
          <w:cantSplit/>
        </w:trPr>
        <w:tc>
          <w:tcPr>
            <w:gridSpan w:val="5"/>
            <w:tcW w:w="9169" w:type="dxa"/>
            <w:vAlign w:val="center"/>
            <w:textDirection w:val="lrTb"/>
            <w:noWrap w:val="false"/>
          </w:tcPr>
          <w:p>
            <w:pPr>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对本项目技术要求条款的偏离情况（请进行勾选）：</w:t>
            </w:r>
            <w:r/>
          </w:p>
          <w:p>
            <w:pPr>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714"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5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9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714"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527"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9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714"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527"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9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714"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527"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9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714"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527"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9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714"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527"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9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714"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527"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9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714"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527"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9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714"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527"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9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spacing w:line="400" w:lineRule="exact"/>
        <w:rPr>
          <w:rFonts w:ascii="宋体" w:hAnsi="宋体"/>
          <w:sz w:val="24"/>
          <w:szCs w:val="24"/>
        </w:rPr>
      </w:pPr>
      <w:r>
        <w:rPr>
          <w:rFonts w:hint="eastAsia" w:ascii="宋体" w:hAnsi="宋体"/>
          <w:sz w:val="24"/>
          <w:szCs w:val="24"/>
        </w:rPr>
        <w:t xml:space="preserve">技术要求响应及偏离表附件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numPr>
          <w:ilvl w:val="0"/>
          <w:numId w:val="13"/>
        </w:num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13"/>
        </w:numPr>
        <w:spacing w:line="400" w:lineRule="exact"/>
        <w:rPr>
          <w:rFonts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numPr>
          <w:ilvl w:val="0"/>
          <w:numId w:val="13"/>
        </w:numPr>
        <w:spacing w:line="400" w:lineRule="exact"/>
        <w:rPr>
          <w:rFonts w:asciiTheme="minorEastAsia" w:hAnsiTheme="minorEastAsia" w:eastAsiaTheme="minorEastAsia" w:cstheme="minorEastAsia"/>
          <w:sz w:val="24"/>
          <w:szCs w:val="24"/>
        </w:rPr>
      </w:pP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numPr>
          <w:ilvl w:val="0"/>
          <w:numId w:val="13"/>
        </w:num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为便于评审，投标人在偏离表中逐条列出相关技术参数证明材料所在页码。</w:t>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numPr>
          <w:ilvl w:val="0"/>
          <w:numId w:val="12"/>
        </w:numPr>
        <w:jc w:val="center"/>
        <w:rPr>
          <w:rFonts w:asciiTheme="minorEastAsia" w:hAnsiTheme="minorEastAsia" w:eastAsiaTheme="minorEastAsia" w:cstheme="minorEastAsia"/>
          <w:b/>
          <w:sz w:val="32"/>
          <w:szCs w:val="32"/>
        </w:rPr>
      </w:pPr>
      <w:r/>
      <w:bookmarkStart w:id="230" w:name="_Hlt26955054"/>
      <w:r/>
      <w:bookmarkEnd w:id="226"/>
      <w:r/>
      <w:bookmarkEnd w:id="230"/>
      <w:r>
        <w:rPr>
          <w:rFonts w:hint="eastAsia" w:asciiTheme="minorEastAsia" w:hAnsiTheme="minorEastAsia" w:eastAsiaTheme="minorEastAsia" w:cstheme="minorEastAsia"/>
          <w:b/>
          <w:sz w:val="32"/>
          <w:szCs w:val="32"/>
        </w:rPr>
        <w:t xml:space="preserve">合同及商务条款偏离表（分包号：）</w:t>
      </w:r>
      <w:r/>
    </w:p>
    <w:p>
      <w:pPr>
        <w:pStyle w:val="787"/>
        <w:ind w:firstLine="0"/>
        <w:rPr>
          <w:rFonts w:asciiTheme="minorEastAsia" w:hAnsiTheme="minorEastAsia" w:eastAsiaTheme="minorEastAsia" w:cstheme="minorEastAsia"/>
        </w:rPr>
      </w:pPr>
      <w:r>
        <w:rPr>
          <w:rFonts w:asciiTheme="minorEastAsia" w:hAnsiTheme="minorEastAsia" w:eastAsiaTheme="minorEastAsia" w:cstheme="minor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416"/>
        <w:gridCol w:w="1065"/>
      </w:tblGrid>
      <w:tr>
        <w:trPr>
          <w:cantSplit/>
        </w:trPr>
        <w:tc>
          <w:tcPr>
            <w:gridSpan w:val="5"/>
            <w:tcW w:w="9169" w:type="dxa"/>
            <w:vAlign w:val="center"/>
            <w:textDirection w:val="lrTb"/>
            <w:noWrap w:val="false"/>
          </w:tcPr>
          <w:p>
            <w:pPr>
              <w:jc w:val="left"/>
              <w:rPr>
                <w:rFonts w:asciiTheme="minorEastAsia" w:hAnsiTheme="minorEastAsia" w:eastAsiaTheme="minorEastAsia" w:cstheme="minorEastAsia"/>
                <w:b/>
                <w:sz w:val="24"/>
              </w:rPr>
            </w:pPr>
            <w:r/>
            <w:bookmarkStart w:id="231" w:name="_Hlt26671372"/>
            <w:r/>
            <w:bookmarkStart w:id="232" w:name="_Hlt26955064"/>
            <w:r/>
            <w:bookmarkStart w:id="233" w:name="_Hlt26609391"/>
            <w:r/>
            <w:bookmarkStart w:id="234" w:name="_Hlt26955056"/>
            <w:r/>
            <w:bookmarkStart w:id="235" w:name="_Hlt26671343"/>
            <w:r/>
            <w:bookmarkStart w:id="236" w:name="_Hlt24879081"/>
            <w:r/>
            <w:bookmarkStart w:id="237" w:name="_Hlt26580838"/>
            <w:r/>
            <w:bookmarkStart w:id="238" w:name="_Hlt26782999"/>
            <w:r/>
            <w:bookmarkEnd w:id="231"/>
            <w:r/>
            <w:bookmarkEnd w:id="232"/>
            <w:r/>
            <w:bookmarkEnd w:id="233"/>
            <w:r/>
            <w:bookmarkEnd w:id="234"/>
            <w:r/>
            <w:bookmarkEnd w:id="235"/>
            <w:r/>
            <w:bookmarkEnd w:id="236"/>
            <w:r/>
            <w:bookmarkEnd w:id="237"/>
            <w:r/>
            <w:bookmarkEnd w:id="238"/>
            <w:r>
              <w:rPr>
                <w:rFonts w:hint="eastAsia" w:asciiTheme="minorEastAsia" w:hAnsiTheme="minorEastAsia" w:eastAsiaTheme="minorEastAsia" w:cstheme="minorEastAsia"/>
                <w:b/>
                <w:sz w:val="24"/>
              </w:rPr>
              <w:t xml:space="preserve">对本项目商务要求条款的偏离情况（请进行勾选）：</w:t>
            </w:r>
            <w:r/>
          </w:p>
          <w:p>
            <w:pPr>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416"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6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416"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6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416"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6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416"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6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416"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6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416"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6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416"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6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416"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6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416"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06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spacing w:line="400" w:lineRule="exact"/>
        <w:rPr>
          <w:rFonts w:ascii="宋体" w:hAnsi="宋体"/>
          <w:sz w:val="24"/>
          <w:szCs w:val="24"/>
        </w:rPr>
      </w:pPr>
      <w:r>
        <w:rPr>
          <w:rFonts w:hint="eastAsia" w:ascii="宋体" w:hAnsi="宋体"/>
          <w:sz w:val="24"/>
          <w:szCs w:val="24"/>
        </w:rPr>
        <w:t xml:space="preserve">合同及商务条款偏离表附件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numPr>
          <w:ilvl w:val="0"/>
          <w:numId w:val="13"/>
        </w:num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13"/>
        </w:numPr>
        <w:spacing w:line="400" w:lineRule="exact"/>
        <w:rPr>
          <w:rFonts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3.如果招标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8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480" w:lineRule="auto"/>
        <w:rPr>
          <w:rFonts w:asciiTheme="minorEastAsia" w:hAnsiTheme="minorEastAsia" w:eastAsiaTheme="minorEastAsia" w:cstheme="minorEastAsia"/>
          <w:sz w:val="30"/>
        </w:rPr>
      </w:pPr>
      <w:r>
        <w:rPr>
          <w:rFonts w:asciiTheme="minorEastAsia" w:hAnsiTheme="minorEastAsia" w:eastAsiaTheme="minorEastAsia" w:cstheme="minorEastAsia"/>
          <w:sz w:val="30"/>
        </w:rPr>
      </w:r>
      <w:r/>
    </w:p>
    <w:p>
      <w:pPr>
        <w:pStyle w:val="979"/>
        <w:ind w:firstLine="0"/>
        <w:rPr>
          <w:rFonts w:asciiTheme="minorEastAsia" w:hAnsiTheme="minorEastAsia" w:eastAsiaTheme="minorEastAsia" w:cstheme="minorEastAsia"/>
          <w:sz w:val="24"/>
        </w:rPr>
      </w:pPr>
      <w:r/>
      <w:bookmarkStart w:id="239" w:name="_Hlt26609389"/>
      <w:r/>
      <w:bookmarkStart w:id="240" w:name="_Hlt26955066"/>
      <w:r/>
      <w:bookmarkStart w:id="241" w:name="_Hlt26671374"/>
      <w:r/>
      <w:bookmarkStart w:id="242" w:name="_Toc462564146"/>
      <w:r/>
      <w:bookmarkEnd w:id="239"/>
      <w:r/>
      <w:bookmarkEnd w:id="240"/>
      <w:r/>
      <w:bookmarkEnd w:id="241"/>
      <w:r/>
      <w:r/>
    </w:p>
    <w:p>
      <w:pPr>
        <w:jc w:val="center"/>
        <w:rPr>
          <w:rFonts w:asciiTheme="minorEastAsia" w:hAnsiTheme="minorEastAsia" w:eastAsiaTheme="minorEastAsia" w:cstheme="minorEastAsia"/>
          <w:b/>
          <w:sz w:val="32"/>
          <w:szCs w:val="32"/>
        </w:rPr>
      </w:pPr>
      <w:r/>
      <w:bookmarkStart w:id="243" w:name="_格式2__法定代表人授权书"/>
      <w:r/>
      <w:bookmarkEnd w:id="242"/>
      <w:r/>
      <w:bookmarkEnd w:id="243"/>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sz w:val="24"/>
          <w:szCs w:val="20"/>
        </w:rPr>
      </w:pPr>
      <w:r>
        <w:rPr>
          <w:rFonts w:hint="eastAsia" w:asciiTheme="minorEastAsia" w:hAnsiTheme="minorEastAsia" w:eastAsiaTheme="minorEastAsia" w:cstheme="minorEastAsia"/>
          <w:b/>
          <w:i/>
          <w:sz w:val="32"/>
          <w:szCs w:val="32"/>
          <w:u w:val="single"/>
        </w:rPr>
        <w:t xml:space="preserve">十三、开标一览表</w:t>
      </w:r>
      <w:r/>
    </w:p>
    <w:p>
      <w:pPr>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gridSpan w:val="2"/>
            <w:tcW w:w="8886" w:type="dxa"/>
            <w:vAlign w:val="center"/>
            <w:textDirection w:val="lrTb"/>
            <w:noWrap w:val="false"/>
          </w:tcPr>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核心产品品牌</w:t>
            </w:r>
            <w:r/>
          </w:p>
        </w:tc>
        <w:tc>
          <w:tcPr>
            <w:tcW w:w="6405" w:type="dxa"/>
            <w:vAlign w:val="center"/>
            <w:textDirection w:val="lrTb"/>
            <w:noWrap w:val="false"/>
          </w:tcPr>
          <w:p>
            <w:pPr>
              <w:jc w:val="left"/>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十四、投标人关于检测报告合规性的承诺函（实质性格式）</w:t>
      </w:r>
      <w:r/>
    </w:p>
    <w:p>
      <w:pPr>
        <w:ind w:firstLine="420"/>
        <w:jc w:val="cente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page">
                  <wp:posOffset>533400</wp:posOffset>
                </wp:positionH>
                <wp:positionV relativeFrom="paragraph">
                  <wp:posOffset>140970</wp:posOffset>
                </wp:positionV>
                <wp:extent cx="38100" cy="222885"/>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12" o:spid="_x0000_s12" o:spt="1" type="#_x0000_t1" style="position:absolute;z-index:251672576;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Theme="minorEastAsia" w:hAnsiTheme="minorEastAsia" w:eastAsiaTheme="minorEastAsia" w:cstheme="minorEastAsia"/>
          <w:sz w:val="24"/>
          <w:szCs w:val="24"/>
        </w:rPr>
        <w:t xml:space="preserve">（本承诺书须加盖投标人公章，随投标文件一并提交）</w:t>
      </w:r>
      <w:r/>
    </w:p>
    <w:p>
      <w:pPr>
        <w:pStyle w:val="786"/>
        <w:spacing w:before="17"/>
        <w:rPr>
          <w:rFonts w:asciiTheme="minorEastAsia" w:hAnsiTheme="minorEastAsia" w:eastAsiaTheme="minorEastAsia" w:cstheme="minorEastAsia"/>
          <w:b/>
          <w:sz w:val="10"/>
        </w:rPr>
      </w:pPr>
      <w:r>
        <w:rPr>
          <w:rFonts w:asciiTheme="minorEastAsia" w:hAnsiTheme="minorEastAsia" w:eastAsiaTheme="minorEastAsia" w:cstheme="minorEastAsia"/>
          <w:b/>
          <w:sz w:val="10"/>
        </w:rPr>
      </w:r>
      <w:r/>
    </w:p>
    <w:p>
      <w:pPr>
        <w:ind w:left="100"/>
        <w:jc w:val="center"/>
        <w:spacing w:before="201" w:line="400" w:lineRule="exact"/>
        <w:rPr>
          <w:rFonts w:asciiTheme="minorEastAsia" w:hAnsiTheme="minorEastAsia" w:eastAsiaTheme="minorEastAsia" w:cstheme="minorEastAsia"/>
          <w:b/>
          <w:sz w:val="24"/>
          <w:szCs w:val="24"/>
        </w:rPr>
      </w:pPr>
      <w:r/>
      <w:bookmarkStart w:id="244" w:name="投标人关于检测报告合规性的承诺书"/>
      <w:r/>
      <w:bookmarkEnd w:id="244"/>
      <w:r>
        <w:rPr>
          <w:rFonts w:hint="eastAsia" w:asciiTheme="minorEastAsia" w:hAnsiTheme="minorEastAsia" w:eastAsiaTheme="minorEastAsia" w:cstheme="minorEastAsia"/>
          <w:b/>
          <w:sz w:val="24"/>
          <w:szCs w:val="24"/>
        </w:rPr>
        <w:t xml:space="preserve">投标人关于检测报告合规性的承诺函</w:t>
      </w:r>
      <w:r/>
    </w:p>
    <w:p>
      <w:pPr>
        <w:pStyle w:val="786"/>
        <w:ind w:left="100"/>
        <w:spacing w:before="116" w:line="400" w:lineRule="exact"/>
        <w:tabs>
          <w:tab w:val="left" w:pos="1888" w:leader="none"/>
        </w:tabs>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（采购人/采购代理机构）</w:t>
      </w:r>
      <w:r/>
    </w:p>
    <w:p>
      <w:pPr>
        <w:pStyle w:val="786"/>
        <w:ind w:left="100" w:firstLine="586"/>
        <w:spacing w:before="116" w:line="400" w:lineRule="exact"/>
        <w:tabs>
          <w:tab w:val="left" w:pos="1888" w:leader="none"/>
        </w:tabs>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我单位（投标人全称：</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，统一社会信用代码：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）就参与贵单位组织的“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”项目（项目编号：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）投标（响应），现就所提交的检测报告及相关证明材料郑重承诺</w:t>
      </w:r>
      <w:r>
        <w:rPr>
          <w:rFonts w:hint="eastAsia" w:asciiTheme="minorEastAsia" w:hAnsiTheme="minorEastAsia" w:eastAsiaTheme="minorEastAsia" w:cstheme="minorEastAsia"/>
          <w:spacing w:val="-17"/>
          <w:szCs w:val="24"/>
        </w:rPr>
        <w:t xml:space="preserve">如</w:t>
      </w:r>
      <w:r>
        <w:rPr>
          <w:rFonts w:hint="eastAsia" w:asciiTheme="minorEastAsia" w:hAnsiTheme="minorEastAsia" w:eastAsiaTheme="minorEastAsia" w:cstheme="minorEastAsia"/>
          <w:szCs w:val="24"/>
        </w:rPr>
        <w:t xml:space="preserve">下：</w:t>
      </w:r>
      <w:r/>
    </w:p>
    <w:p>
      <w:pPr>
        <w:pStyle w:val="778"/>
        <w:numPr>
          <w:ilvl w:val="0"/>
          <w:numId w:val="10"/>
        </w:numPr>
        <w:keepLines w:val="0"/>
        <w:keepNext w:val="0"/>
        <w:spacing w:before="122" w:after="0" w:line="400" w:lineRule="exact"/>
        <w:tabs>
          <w:tab w:val="left" w:pos="490" w:leader="none"/>
        </w:tabs>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检测报告真实性</w:t>
      </w:r>
      <w:r/>
    </w:p>
    <w:p>
      <w:pPr>
        <w:pStyle w:val="786"/>
        <w:ind w:right="180" w:firstLine="586"/>
        <w:spacing w:line="400" w:lineRule="exact"/>
        <w:tabs>
          <w:tab w:val="left" w:pos="4483" w:leader="none"/>
        </w:tabs>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我单位提交的检测报告（报告编号：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）系由具备有效CMA资质的检验检测机构依法出具，内容真实、完整</w:t>
      </w:r>
      <w:r>
        <w:rPr>
          <w:rFonts w:hint="eastAsia" w:asciiTheme="minorEastAsia" w:hAnsiTheme="minorEastAsia" w:eastAsiaTheme="minorEastAsia" w:cstheme="minorEastAsia"/>
          <w:spacing w:val="-17"/>
          <w:szCs w:val="24"/>
        </w:rPr>
        <w:t xml:space="preserve">， </w:t>
      </w:r>
      <w:r>
        <w:rPr>
          <w:rFonts w:hint="eastAsia" w:asciiTheme="minorEastAsia" w:hAnsiTheme="minorEastAsia" w:eastAsiaTheme="minorEastAsia" w:cstheme="minorEastAsia"/>
          <w:szCs w:val="24"/>
        </w:rPr>
        <w:t xml:space="preserve">未作任何篡改或伪造。</w:t>
      </w:r>
      <w:r/>
    </w:p>
    <w:p>
      <w:pPr>
        <w:pStyle w:val="778"/>
        <w:numPr>
          <w:ilvl w:val="0"/>
          <w:numId w:val="10"/>
        </w:numPr>
        <w:keepLines w:val="0"/>
        <w:keepNext w:val="0"/>
        <w:spacing w:before="41" w:after="0" w:line="400" w:lineRule="exact"/>
        <w:tabs>
          <w:tab w:val="left" w:pos="490" w:leader="none"/>
        </w:tabs>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检测机构资质有效性</w:t>
      </w:r>
      <w:r/>
    </w:p>
    <w:p>
      <w:pPr>
        <w:pStyle w:val="786"/>
        <w:ind w:right="308" w:firstLine="560"/>
        <w:spacing w:line="400" w:lineRule="exact"/>
        <w:tabs>
          <w:tab w:val="left" w:pos="7739" w:leader="none"/>
        </w:tabs>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出具机构持有有效的《检验检测机构资质认定证书》（CMA证书编号：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），且所检项目、依据标准及</w:t>
      </w:r>
      <w:r>
        <w:rPr>
          <w:rFonts w:hint="eastAsia" w:asciiTheme="minorEastAsia" w:hAnsiTheme="minorEastAsia" w:eastAsiaTheme="minorEastAsia" w:cstheme="minorEastAsia"/>
          <w:spacing w:val="-18"/>
          <w:szCs w:val="24"/>
        </w:rPr>
        <w:t xml:space="preserve">方</w:t>
      </w:r>
      <w:r>
        <w:rPr>
          <w:rFonts w:hint="eastAsia" w:asciiTheme="minorEastAsia" w:hAnsiTheme="minorEastAsia" w:eastAsiaTheme="minorEastAsia" w:cstheme="minorEastAsia"/>
          <w:szCs w:val="24"/>
        </w:rPr>
        <w:t xml:space="preserve">法均在其《资质认定能力附表》核准范围内。</w:t>
      </w:r>
      <w:r/>
    </w:p>
    <w:p>
      <w:pPr>
        <w:pStyle w:val="778"/>
        <w:numPr>
          <w:ilvl w:val="0"/>
          <w:numId w:val="10"/>
        </w:numPr>
        <w:keepLines w:val="0"/>
        <w:keepNext w:val="0"/>
        <w:spacing w:before="121" w:after="0" w:line="400" w:lineRule="exact"/>
        <w:tabs>
          <w:tab w:val="left" w:pos="490" w:leader="none"/>
        </w:tabs>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材料一致性</w:t>
      </w:r>
      <w:r/>
    </w:p>
    <w:p>
      <w:pPr>
        <w:pStyle w:val="786"/>
        <w:ind w:firstLine="586"/>
        <w:spacing w:line="400" w:lineRule="exac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所投产品品牌、型号、技术参数与检测报告完全一致。</w:t>
      </w:r>
      <w:r/>
    </w:p>
    <w:p>
      <w:pPr>
        <w:pStyle w:val="778"/>
        <w:numPr>
          <w:ilvl w:val="0"/>
          <w:numId w:val="10"/>
        </w:numPr>
        <w:jc w:val="both"/>
        <w:keepLines w:val="0"/>
        <w:keepNext w:val="0"/>
        <w:spacing w:before="122" w:after="0" w:line="400" w:lineRule="exact"/>
        <w:tabs>
          <w:tab w:val="left" w:pos="490" w:leader="none"/>
        </w:tabs>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法律责任承担</w:t>
      </w:r>
      <w:r/>
    </w:p>
    <w:p>
      <w:pPr>
        <w:pStyle w:val="786"/>
        <w:ind w:firstLine="586"/>
        <w:spacing w:line="400" w:lineRule="exac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786"/>
        <w:spacing w:line="400" w:lineRule="exact"/>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786"/>
        <w:ind w:left="100"/>
        <w:spacing w:before="56" w:line="400" w:lineRule="exac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本承诺函自签署之日起生效，具有法律约束力。</w:t>
      </w:r>
      <w:r/>
    </w:p>
    <w:p>
      <w:pPr>
        <w:pStyle w:val="786"/>
        <w:ind w:left="100"/>
        <w:spacing w:before="121" w:line="400" w:lineRule="exac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投标人（盖章）：</w:t>
      </w:r>
      <w:r/>
    </w:p>
    <w:p>
      <w:pPr>
        <w:pStyle w:val="786"/>
        <w:ind w:left="100"/>
        <w:spacing w:before="121" w:line="400" w:lineRule="exac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法定代表人或授权代表（签字）</w:t>
      </w:r>
      <w:r/>
    </w:p>
    <w:p>
      <w:pPr>
        <w:pStyle w:val="786"/>
        <w:ind w:left="100"/>
        <w:spacing w:before="121" w:line="400" w:lineRule="exac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786"/>
        <w:spacing w:before="18" w:line="400" w:lineRule="exact"/>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777"/>
        <w:spacing w:line="400" w:lineRule="exact"/>
        <w:rPr>
          <w:rFonts w:asciiTheme="minorEastAsia" w:hAnsiTheme="minorEastAsia" w:eastAsiaTheme="minorEastAsia" w:cstheme="minorEastAsia"/>
          <w:sz w:val="24"/>
          <w:szCs w:val="24"/>
        </w:rPr>
      </w:pPr>
      <w:r/>
      <w:bookmarkStart w:id="245" w:name="使用说明："/>
      <w:r/>
      <w:bookmarkEnd w:id="245"/>
      <w:r>
        <w:rPr>
          <w:rFonts w:hint="eastAsia" w:asciiTheme="minorEastAsia" w:hAnsiTheme="minorEastAsia" w:eastAsiaTheme="minorEastAsia" w:cstheme="minorEastAsia"/>
          <w:sz w:val="24"/>
          <w:szCs w:val="24"/>
        </w:rPr>
        <w:t xml:space="preserve">使用说明：</w:t>
      </w:r>
      <w:r/>
    </w:p>
    <w:p>
      <w:pPr>
        <w:pStyle w:val="786"/>
        <w:ind w:left="100"/>
        <w:spacing w:before="121" w:line="400" w:lineRule="exac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本承诺函为强制性投标文件组成部分 ，未提供或未盖章视为未实质性响应采购要求； 采购人有权依据本承诺书启动核查程序，</w:t>
      </w:r>
      <w:r>
        <w:rPr>
          <w:rFonts w:hint="eastAsia" w:asciiTheme="minorEastAsia" w:hAnsiTheme="minorEastAsia" w:eastAsiaTheme="minorEastAsia" w:cstheme="minorEastAsia"/>
          <w:szCs w:val="24"/>
        </w:rPr>
        <w:t xml:space="preserve">并作为后续处理依据。</w:t>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spacing w:line="460" w:lineRule="exact"/>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十五、投标文件通用模版编制和评审要求</w:t>
      </w:r>
      <w:r/>
    </w:p>
    <w:tbl>
      <w:tblPr>
        <w:tblpPr w:horzAnchor="page" w:tblpX="1358" w:vertAnchor="text" w:tblpY="398" w:leftFromText="180" w:topFromText="0" w:rightFromText="180" w:bottomFromText="0"/>
        <w:tblW w:w="9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99"/>
        <w:gridCol w:w="2946"/>
        <w:gridCol w:w="5311"/>
      </w:tblGrid>
      <w:tr>
        <w:trPr>
          <w:trHeight w:val="405"/>
        </w:trPr>
        <w:tc>
          <w:tcPr>
            <w:tcW w:w="1099" w:type="dxa"/>
            <w:vAlign w:val="center"/>
            <w:textDirection w:val="lrTb"/>
            <w:noWrap w:val="false"/>
          </w:tcPr>
          <w:p>
            <w:pPr>
              <w:jc w:val="center"/>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类型</w:t>
            </w:r>
            <w:r/>
          </w:p>
        </w:tc>
        <w:tc>
          <w:tcPr>
            <w:tcW w:w="2946" w:type="dxa"/>
            <w:vAlign w:val="center"/>
            <w:textDirection w:val="lrTb"/>
            <w:noWrap w:val="false"/>
          </w:tcPr>
          <w:p>
            <w:pPr>
              <w:jc w:val="center"/>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栏目名称</w:t>
            </w:r>
            <w:r/>
          </w:p>
        </w:tc>
        <w:tc>
          <w:tcPr>
            <w:tcW w:w="5311" w:type="dxa"/>
            <w:vAlign w:val="center"/>
            <w:textDirection w:val="lrTb"/>
            <w:noWrap w:val="false"/>
          </w:tcPr>
          <w:p>
            <w:pPr>
              <w:jc w:val="center"/>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编制和评审要求</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投标文件封面</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按照招标（采购）文件的规定格式。(格式见</w:t>
            </w:r>
            <w:r>
              <w:rPr>
                <w:rFonts w:hint="eastAsia" w:asciiTheme="minorEastAsia" w:hAnsiTheme="minorEastAsia" w:eastAsiaTheme="minorEastAsia" w:cstheme="minorEastAsia"/>
                <w:b/>
                <w:bCs/>
              </w:rPr>
              <w:t xml:space="preserve">《投标文件格式》</w:t>
            </w:r>
            <w:r>
              <w:rPr>
                <w:rFonts w:hint="eastAsia" w:asciiTheme="minorEastAsia" w:hAnsiTheme="minorEastAsia" w:eastAsiaTheme="minorEastAsia" w:cstheme="minorEastAsia"/>
              </w:rPr>
              <w:t xml:space="preserve">)</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开标一览表</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《开标一览表》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技术要求响应及偏离表</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《技术要求响应及偏离表》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商务要求响应及偏离表</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《商务要求响应及偏离表》</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项目完整技术和实施方案</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投标人（供应商）资格声明函</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《投标人（供应商）资格声明函》</w:t>
            </w:r>
            <w:r>
              <w:rPr>
                <w:rFonts w:hint="eastAsia" w:asciiTheme="minorEastAsia" w:hAnsiTheme="minorEastAsia" w:eastAsiaTheme="minorEastAsia" w:cstheme="minorEastAsia"/>
              </w:rPr>
              <w:t xml:space="preserve">。(格式见《投标文件格式》)</w:t>
            </w:r>
            <w:r/>
          </w:p>
        </w:tc>
      </w:tr>
      <w:tr>
        <w:trPr>
          <w:trHeight w:val="216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无需投标人（供应</w:t>
            </w:r>
            <w:r>
              <w:rPr>
                <w:rFonts w:hint="eastAsia" w:asciiTheme="minorEastAsia" w:hAnsiTheme="minorEastAsia" w:eastAsiaTheme="minorEastAsia" w:cstheme="minorEastAsia"/>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中小企业声明函等</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《中小企业声明函》或者《残疾人福利性单位声明函》或者监狱企业证明文件</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其他落实政府采购政策的资格要求</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如有的提供，否则无需提供。详见第一章《投标邀请》相关要求。</w:t>
            </w:r>
            <w:r/>
          </w:p>
        </w:tc>
      </w:tr>
      <w:tr>
        <w:trPr>
          <w:trHeight w:val="81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是否接受联合体投标</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如是接受联合体投标，且投标人（供应商）组成联合体投标的必须提供</w:t>
            </w:r>
            <w:r>
              <w:rPr>
                <w:rFonts w:hint="eastAsia" w:asciiTheme="minorEastAsia" w:hAnsiTheme="minorEastAsia" w:eastAsiaTheme="minorEastAsia" w:cstheme="minorEastAsia"/>
                <w:b/>
                <w:bCs/>
              </w:rPr>
              <w:t xml:space="preserve">《联合体协议》</w:t>
            </w:r>
            <w:r>
              <w:rPr>
                <w:rFonts w:hint="eastAsia" w:asciiTheme="minorEastAsia" w:hAnsiTheme="minorEastAsia" w:eastAsiaTheme="minorEastAsia" w:cstheme="minorEastAsia"/>
              </w:rPr>
              <w:t xml:space="preserve">原件的电子件，格式见《投标文件格式》)，否则无需提供。</w:t>
            </w:r>
            <w:r/>
          </w:p>
        </w:tc>
      </w:tr>
      <w:tr>
        <w:trPr>
          <w:trHeight w:val="81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本项目的特定资格要求</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如有特定资格要求的提供，详见第一章《投标邀请》本项目的特定资格要求中规定要求提供的证明文件或材料，否则无需提供。</w:t>
            </w:r>
            <w:r/>
          </w:p>
        </w:tc>
      </w:tr>
      <w:tr>
        <w:trPr>
          <w:trHeight w:val="27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　</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政府采购供应商信用承诺书（实质性格式）</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《政府采购供应商信用承诺书（实质性格式）》</w:t>
            </w:r>
            <w:r>
              <w:rPr>
                <w:rFonts w:hint="eastAsia" w:asciiTheme="minorEastAsia" w:hAnsiTheme="minorEastAsia" w:eastAsiaTheme="minorEastAsia" w:cstheme="minorEastAsia"/>
              </w:rPr>
              <w:t xml:space="preserve">。(格式见《投标文件格式》)　</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法定代表人资格证明书、法人授权书、投标函</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按招标（采购）文件要求提供</w:t>
            </w:r>
            <w:r>
              <w:rPr>
                <w:rFonts w:hint="eastAsia" w:asciiTheme="minorEastAsia" w:hAnsiTheme="minorEastAsia" w:eastAsiaTheme="minorEastAsia" w:cstheme="minorEastAsia"/>
                <w:b/>
                <w:bCs/>
              </w:rPr>
              <w:t xml:space="preserve">《法定代表人资格证明书》、《法人授权书》、《投标函》</w:t>
            </w:r>
            <w:r>
              <w:rPr>
                <w:rFonts w:hint="eastAsia" w:asciiTheme="minorEastAsia" w:hAnsiTheme="minorEastAsia" w:eastAsiaTheme="minorEastAsia" w:cstheme="minorEastAsia"/>
              </w:rPr>
              <w:t xml:space="preserve">。(格式见《投标</w:t>
            </w:r>
            <w:r>
              <w:rPr>
                <w:rFonts w:hint="eastAsia" w:asciiTheme="minorEastAsia" w:hAnsiTheme="minorEastAsia" w:eastAsiaTheme="minorEastAsia" w:cstheme="minorEastAsia"/>
              </w:rPr>
              <w:t xml:space="preserve">文件格式》)</w:t>
            </w:r>
            <w:r/>
          </w:p>
        </w:tc>
      </w:tr>
      <w:tr>
        <w:trPr>
          <w:trHeight w:val="81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投标报价</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由评委审查，无需供应商提供材料。开标一览表、投标报价、未超过招标（采购）文件中规定的项目/采购包预算金额或者项目/采购包最高限价。</w:t>
            </w:r>
            <w:r/>
          </w:p>
        </w:tc>
      </w:tr>
      <w:tr>
        <w:trPr>
          <w:trHeight w:val="81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报价唯一性</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投标（响应）文件未出现可选择性或可调整的报价（招标（采购）文件另有规定的除外）；提供</w:t>
            </w:r>
            <w:r>
              <w:rPr>
                <w:rFonts w:hint="eastAsia" w:asciiTheme="minorEastAsia" w:hAnsiTheme="minorEastAsia" w:eastAsiaTheme="minorEastAsia" w:cstheme="minorEastAsia"/>
                <w:b/>
                <w:bCs/>
              </w:rPr>
              <w:t xml:space="preserve">《分项报价表》</w:t>
            </w:r>
            <w:r>
              <w:rPr>
                <w:rFonts w:hint="eastAsia" w:asciiTheme="minorEastAsia" w:hAnsiTheme="minorEastAsia" w:eastAsiaTheme="minorEastAsia" w:cstheme="minorEastAsia"/>
              </w:rPr>
              <w:t xml:space="preserve">。(格式见《投标文件格式》)</w:t>
            </w:r>
            <w:r/>
          </w:p>
        </w:tc>
      </w:tr>
      <w:tr>
        <w:trPr>
          <w:trHeight w:val="108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报价合理性</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报价的修正（如有）</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由评委审查，无需供应商提供材料。不涉及报价修正，或投标（响应）文件报价出现前后不一致时，投标人（供应商）对修正后的报价予以确认。</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签署、加盖公章</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由评委审查，无需供应商提供材料。按照招标（采购）文件要求签署、加盖公章的。</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进口产品（如有）</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由评委审查，无需供应商提供材料。招标（采购）文件不接受进口产品投标的内容时，投标人（供应商）所投产品均为非进口产品。</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投标完整性</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由评委审查，无需供应商提供材料。投标人（供应商）未将一个采购包中的内容拆开投标。</w:t>
            </w:r>
            <w:r/>
          </w:p>
        </w:tc>
      </w:tr>
      <w:tr>
        <w:trPr>
          <w:trHeight w:val="135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公平竞争</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国家有关部门对投标产品有强制性规定或要求的</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附加条件</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由评委审查，无需供应商提供材料。投标文件未含有采购人不能接受的附加条件的。</w:t>
            </w:r>
            <w:r/>
          </w:p>
        </w:tc>
      </w:tr>
      <w:tr>
        <w:trPr>
          <w:trHeight w:val="81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其他无效情形</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由评委审查，无需供应商提供材料。投标人（供应商）、投标文件不存在不符合法律、法规和招标（采购）文件规定的其他无效情形。</w:t>
            </w:r>
            <w:r/>
          </w:p>
        </w:tc>
      </w:tr>
      <w:tr>
        <w:trPr>
          <w:trHeight w:val="108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w:t>
            </w:r>
            <w:r>
              <w:rPr>
                <w:rFonts w:hint="eastAsia" w:asciiTheme="minorEastAsia" w:hAnsiTheme="minorEastAsia" w:eastAsiaTheme="minorEastAsia" w:cstheme="minorEastAsia"/>
              </w:rPr>
              <w:t xml:space="preserve">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实质性条款响应1</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实质性条款响应2</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实质性条款响应3</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实质性条款响应4</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实质性条款响应5</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spacing w:line="360" w:lineRule="auto"/>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其他实质性条款响应</w:t>
            </w:r>
            <w:r/>
          </w:p>
        </w:tc>
        <w:tc>
          <w:tcPr>
            <w:tcW w:w="5311" w:type="dxa"/>
            <w:vAlign w:val="center"/>
            <w:textDirection w:val="lrTb"/>
            <w:noWrap w:val="false"/>
          </w:tcPr>
          <w:p>
            <w:pPr>
              <w:jc w:val="center"/>
              <w:spacing w:line="360" w:lineRule="auto"/>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1080"/>
        </w:trPr>
        <w:tc>
          <w:tcPr>
            <w:tcW w:w="1099"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价格折扣文件格式</w:t>
            </w:r>
            <w:r/>
          </w:p>
        </w:tc>
        <w:tc>
          <w:tcPr>
            <w:tcW w:w="2946"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小微企业声明函</w:t>
            </w:r>
            <w:r/>
          </w:p>
        </w:tc>
        <w:tc>
          <w:tcPr>
            <w:tcW w:w="5311" w:type="dxa"/>
            <w:vAlign w:val="center"/>
            <w:textDirection w:val="lrTb"/>
            <w:noWrap w:val="false"/>
          </w:tcPr>
          <w:p>
            <w:pPr>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属于小微企业的提供符合招标（采购）文件要求的</w:t>
            </w:r>
            <w:r>
              <w:rPr>
                <w:rFonts w:hint="eastAsia" w:asciiTheme="minorEastAsia" w:hAnsiTheme="minorEastAsia" w:eastAsiaTheme="minorEastAsia" w:cstheme="minorEastAsia"/>
                <w:b/>
                <w:bCs/>
              </w:rPr>
              <w:t xml:space="preserve">《小微企业声明函》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《残疾人福利性单位声明函》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监狱企业证明文件</w:t>
            </w:r>
            <w:r>
              <w:rPr>
                <w:rFonts w:hint="eastAsia" w:asciiTheme="minorEastAsia" w:hAnsiTheme="minorEastAsia" w:eastAsiaTheme="minorEastAsia" w:cstheme="minorEastAsia"/>
              </w:rPr>
              <w:t xml:space="preserve">。(格式见《投标文件格式》)</w:t>
            </w:r>
            <w:r/>
          </w:p>
        </w:tc>
      </w:tr>
    </w:tbl>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pStyle w:val="787"/>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pStyle w:val="787"/>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pStyle w:val="787"/>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4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79"/>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bookmarkEnd w:id="202"/>
      <w:r/>
      <w:bookmarkEnd w:id="203"/>
      <w:r/>
      <w:bookmarkEnd w:id="204"/>
      <w:r/>
      <w:bookmarkEnd w:id="205"/>
      <w:r/>
      <w:bookmarkEnd w:id="206"/>
      <w:r/>
      <w:bookmarkEnd w:id="220"/>
      <w:r/>
      <w:r/>
    </w:p>
    <w:p>
      <w:r/>
      <w:r/>
    </w:p>
    <w:sectPr>
      <w:headerReference w:type="default" r:id="rId9"/>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ymbol">
    <w:panose1 w:val="05050102010706020507"/>
  </w:font>
  <w:font w:name="方正小标宋_GBK">
    <w:panose1 w:val="020B0503020202020204"/>
  </w:font>
  <w:font w:name="方正黑体_GBK">
    <w:panose1 w:val="020B0503020202020204"/>
  </w:font>
  <w:font w:name="MS Mincho">
    <w:panose1 w:val="02020603050405090304"/>
  </w:font>
  <w:font w:name="Tahoma">
    <w:panose1 w:val="020B0604030504040204"/>
  </w:font>
  <w:font w:name="汉仪书宋二S">
    <w:panose1 w:val="020B0503020202020204"/>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right"/>
    </w:pPr>
    <w:fldSimple w:instr="PAGE \* MERGEFORMAT">
      <w:r>
        <w:rPr>
          <w:lang w:val="zh-CN"/>
        </w:rPr>
        <w:t xml:space="preserve">1</w:t>
      </w:r>
    </w:fldSimple>
    <w:r>
      <w:rPr>
        <w:lang w:val="zh-CN"/>
      </w:rPr>
    </w:r>
    <w:r>
      <w:rPr>
        <w:lang w:val="zh-CN"/>
      </w:rPr>
    </w:r>
    <w:r/>
  </w:p>
  <w:p>
    <w:pPr>
      <w:pStyle w:val="1104"/>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right"/>
    </w:pPr>
    <w:fldSimple w:instr="PAGE \* MERGEFORMAT">
      <w:r>
        <w:rPr>
          <w:lang w:val="zh-CN"/>
        </w:rPr>
        <w:t xml:space="preserve">1</w:t>
      </w:r>
    </w:fldSimple>
    <w:r>
      <w:rPr>
        <w:lang w:val="zh-CN"/>
      </w:rPr>
    </w:r>
    <w:r>
      <w:rPr>
        <w:lang w:val="zh-CN"/>
      </w:rPr>
    </w:r>
    <w:r/>
  </w:p>
  <w:p>
    <w:pPr>
      <w:pStyle w:val="1104"/>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right"/>
    </w:pPr>
    <w:r>
      <w:fldChar w:fldCharType="begin"/>
    </w:r>
    <w:r>
      <w:instrText xml:space="preserve">PAGE   \* MERGEFORMAT</w:instrText>
    </w:r>
    <w:r>
      <w:fldChar w:fldCharType="separate"/>
    </w:r>
    <w:r>
      <w:rPr>
        <w:lang w:val="zh-CN"/>
      </w:rPr>
      <w:t xml:space="preserve">85</w:t>
    </w:r>
    <w:r>
      <w:rPr>
        <w:lang w:val="zh-CN"/>
      </w:rPr>
      <w:fldChar w:fldCharType="end"/>
    </w:r>
    <w:r/>
  </w:p>
  <w:p>
    <w:pPr>
      <w:pStyle w:val="1021"/>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5"/>
      </w:rPr>
      <w:framePr w:wrap="around" w:vAnchor="text" w:hAnchor="margin" w:xAlign="center" w:y="1"/>
    </w:pPr>
    <w:r>
      <w:fldChar w:fldCharType="begin"/>
    </w:r>
    <w:r>
      <w:rPr>
        <w:rStyle w:val="1045"/>
      </w:rPr>
      <w:instrText xml:space="preserve">PAGE  </w:instrText>
    </w:r>
    <w:r>
      <w:fldChar w:fldCharType="separate"/>
    </w:r>
    <w:r>
      <w:rPr>
        <w:rStyle w:val="1045"/>
      </w:rPr>
      <w:t xml:space="preserve">1</w:t>
    </w:r>
    <w:r>
      <w:fldChar w:fldCharType="end"/>
    </w:r>
    <w:r/>
  </w:p>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360"/>
      </w:pPr>
      <w:rPr>
        <w:rFonts w:hint="default" w:ascii="Times New Roman" w:hAnsi="Times New Roman"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10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1）"/>
      <w:lvlJc w:val="left"/>
      <w:pPr>
        <w:ind w:left="1290" w:hanging="720"/>
      </w:pPr>
      <w:rPr>
        <w:rFonts w:hint="default" w:ascii="宋体" w:hAnsi="宋体" w:cs="宋体"/>
      </w:rPr>
    </w:lvl>
    <w:lvl w:ilvl="1">
      <w:start w:val="1"/>
      <w:numFmt w:val="lowerLetter"/>
      <w:isLgl w:val="false"/>
      <w:suff w:val="tab"/>
      <w:lvlText w:val="%2)"/>
      <w:lvlJc w:val="left"/>
      <w:pPr>
        <w:ind w:left="1410" w:hanging="420"/>
      </w:pPr>
    </w:lvl>
    <w:lvl w:ilvl="2">
      <w:start w:val="1"/>
      <w:numFmt w:val="lowerRoman"/>
      <w:isLgl w:val="false"/>
      <w:suff w:val="tab"/>
      <w:lvlText w:val="%3."/>
      <w:lvlJc w:val="right"/>
      <w:pPr>
        <w:ind w:left="1830" w:hanging="420"/>
      </w:pPr>
    </w:lvl>
    <w:lvl w:ilvl="3">
      <w:start w:val="1"/>
      <w:numFmt w:val="decimal"/>
      <w:isLgl w:val="false"/>
      <w:suff w:val="tab"/>
      <w:lvlText w:val="%4."/>
      <w:lvlJc w:val="left"/>
      <w:pPr>
        <w:ind w:left="2250" w:hanging="420"/>
      </w:pPr>
    </w:lvl>
    <w:lvl w:ilvl="4">
      <w:start w:val="1"/>
      <w:numFmt w:val="lowerLetter"/>
      <w:isLgl w:val="false"/>
      <w:suff w:val="tab"/>
      <w:lvlText w:val="%5)"/>
      <w:lvlJc w:val="left"/>
      <w:pPr>
        <w:ind w:left="2670" w:hanging="420"/>
      </w:pPr>
    </w:lvl>
    <w:lvl w:ilvl="5">
      <w:start w:val="1"/>
      <w:numFmt w:val="lowerRoman"/>
      <w:isLgl w:val="false"/>
      <w:suff w:val="tab"/>
      <w:lvlText w:val="%6."/>
      <w:lvlJc w:val="right"/>
      <w:pPr>
        <w:ind w:left="3090" w:hanging="420"/>
      </w:pPr>
    </w:lvl>
    <w:lvl w:ilvl="6">
      <w:start w:val="1"/>
      <w:numFmt w:val="decimal"/>
      <w:isLgl w:val="false"/>
      <w:suff w:val="tab"/>
      <w:lvlText w:val="%7."/>
      <w:lvlJc w:val="left"/>
      <w:pPr>
        <w:ind w:left="3510" w:hanging="420"/>
      </w:pPr>
    </w:lvl>
    <w:lvl w:ilvl="7">
      <w:start w:val="1"/>
      <w:numFmt w:val="lowerLetter"/>
      <w:isLgl w:val="false"/>
      <w:suff w:val="tab"/>
      <w:lvlText w:val="%8)"/>
      <w:lvlJc w:val="left"/>
      <w:pPr>
        <w:ind w:left="3930" w:hanging="420"/>
      </w:pPr>
    </w:lvl>
    <w:lvl w:ilvl="8">
      <w:start w:val="1"/>
      <w:numFmt w:val="lowerRoman"/>
      <w:isLgl w:val="false"/>
      <w:suff w:val="tab"/>
      <w:lvlText w:val="%9."/>
      <w:lvlJc w:val="right"/>
      <w:pPr>
        <w:ind w:left="4350" w:hanging="420"/>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8"/>
      <w:isLgl w:val="false"/>
      <w:suff w:val="nothing"/>
      <w:lvlText w:val=""/>
      <w:lvlJc w:val="left"/>
      <w:pPr>
        <w:ind w:left="0" w:firstLine="0"/>
      </w:pPr>
      <w:rPr>
        <w:rFonts w:hint="eastAsia"/>
      </w:rPr>
    </w:lvl>
    <w:lvl w:ilvl="6">
      <w:start w:val="1"/>
      <w:numFmt w:val="decimal"/>
      <w:pStyle w:val="990"/>
      <w:isLgl w:val="false"/>
      <w:suff w:val="nothing"/>
      <w:lvlText w:val=""/>
      <w:lvlJc w:val="left"/>
      <w:pPr>
        <w:ind w:left="0" w:firstLine="0"/>
      </w:pPr>
      <w:rPr>
        <w:rFonts w:hint="eastAsia"/>
      </w:rPr>
    </w:lvl>
    <w:lvl w:ilvl="7">
      <w:start w:val="1"/>
      <w:numFmt w:val="decimal"/>
      <w:pStyle w:val="992"/>
      <w:isLgl w:val="false"/>
      <w:suff w:val="nothing"/>
      <w:lvlText w:val=""/>
      <w:lvlJc w:val="left"/>
      <w:pPr>
        <w:ind w:left="0" w:firstLine="0"/>
      </w:pPr>
      <w:rPr>
        <w:rFonts w:hint="eastAsia"/>
      </w:rPr>
    </w:lvl>
    <w:lvl w:ilvl="8">
      <w:start w:val="1"/>
      <w:numFmt w:val="decimal"/>
      <w:pStyle w:val="994"/>
      <w:isLgl w:val="false"/>
      <w:suff w:val="nothing"/>
      <w:lvlText w:val=""/>
      <w:lvlJc w:val="left"/>
      <w:pPr>
        <w:ind w:left="0" w:firstLine="0"/>
      </w:pPr>
      <w:rPr>
        <w:rFonts w:hint="eastAsia"/>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90" w:hanging="277"/>
      </w:pPr>
      <w:rPr>
        <w:rFonts w:hint="default" w:ascii="微软雅黑" w:hAnsi="微软雅黑" w:eastAsia="微软雅黑" w:cs="微软雅黑"/>
        <w:spacing w:val="-1"/>
        <w:sz w:val="19"/>
        <w:szCs w:val="19"/>
        <w:lang w:val="en-US" w:eastAsia="zh-CN" w:bidi="ar-SA"/>
      </w:rPr>
    </w:lvl>
    <w:lvl w:ilvl="1">
      <w:start w:val="1"/>
      <w:numFmt w:val="bullet"/>
      <w:isLgl w:val="false"/>
      <w:suff w:val="tab"/>
      <w:lvlText w:val="•"/>
      <w:lvlJc w:val="left"/>
      <w:pPr>
        <w:ind w:left="1528" w:hanging="277"/>
      </w:pPr>
      <w:rPr>
        <w:rFonts w:hint="default"/>
        <w:lang w:val="en-US" w:eastAsia="zh-CN" w:bidi="ar-SA"/>
      </w:rPr>
    </w:lvl>
    <w:lvl w:ilvl="2">
      <w:start w:val="1"/>
      <w:numFmt w:val="bullet"/>
      <w:isLgl w:val="false"/>
      <w:suff w:val="tab"/>
      <w:lvlText w:val="•"/>
      <w:lvlJc w:val="left"/>
      <w:pPr>
        <w:ind w:left="2556" w:hanging="277"/>
      </w:pPr>
      <w:rPr>
        <w:rFonts w:hint="default"/>
        <w:lang w:val="en-US" w:eastAsia="zh-CN" w:bidi="ar-SA"/>
      </w:rPr>
    </w:lvl>
    <w:lvl w:ilvl="3">
      <w:start w:val="1"/>
      <w:numFmt w:val="bullet"/>
      <w:isLgl w:val="false"/>
      <w:suff w:val="tab"/>
      <w:lvlText w:val="•"/>
      <w:lvlJc w:val="left"/>
      <w:pPr>
        <w:ind w:left="3584" w:hanging="277"/>
      </w:pPr>
      <w:rPr>
        <w:rFonts w:hint="default"/>
        <w:lang w:val="en-US" w:eastAsia="zh-CN" w:bidi="ar-SA"/>
      </w:rPr>
    </w:lvl>
    <w:lvl w:ilvl="4">
      <w:start w:val="1"/>
      <w:numFmt w:val="bullet"/>
      <w:isLgl w:val="false"/>
      <w:suff w:val="tab"/>
      <w:lvlText w:val="•"/>
      <w:lvlJc w:val="left"/>
      <w:pPr>
        <w:ind w:left="4612" w:hanging="277"/>
      </w:pPr>
      <w:rPr>
        <w:rFonts w:hint="default"/>
        <w:lang w:val="en-US" w:eastAsia="zh-CN" w:bidi="ar-SA"/>
      </w:rPr>
    </w:lvl>
    <w:lvl w:ilvl="5">
      <w:start w:val="1"/>
      <w:numFmt w:val="bullet"/>
      <w:isLgl w:val="false"/>
      <w:suff w:val="tab"/>
      <w:lvlText w:val="•"/>
      <w:lvlJc w:val="left"/>
      <w:pPr>
        <w:ind w:left="5640" w:hanging="277"/>
      </w:pPr>
      <w:rPr>
        <w:rFonts w:hint="default"/>
        <w:lang w:val="en-US" w:eastAsia="zh-CN" w:bidi="ar-SA"/>
      </w:rPr>
    </w:lvl>
    <w:lvl w:ilvl="6">
      <w:start w:val="1"/>
      <w:numFmt w:val="bullet"/>
      <w:isLgl w:val="false"/>
      <w:suff w:val="tab"/>
      <w:lvlText w:val="•"/>
      <w:lvlJc w:val="left"/>
      <w:pPr>
        <w:ind w:left="6668" w:hanging="277"/>
      </w:pPr>
      <w:rPr>
        <w:rFonts w:hint="default"/>
        <w:lang w:val="en-US" w:eastAsia="zh-CN" w:bidi="ar-SA"/>
      </w:rPr>
    </w:lvl>
    <w:lvl w:ilvl="7">
      <w:start w:val="1"/>
      <w:numFmt w:val="bullet"/>
      <w:isLgl w:val="false"/>
      <w:suff w:val="tab"/>
      <w:lvlText w:val="•"/>
      <w:lvlJc w:val="left"/>
      <w:pPr>
        <w:ind w:left="7696" w:hanging="277"/>
      </w:pPr>
      <w:rPr>
        <w:rFonts w:hint="default"/>
        <w:lang w:val="en-US" w:eastAsia="zh-CN" w:bidi="ar-SA"/>
      </w:rPr>
    </w:lvl>
    <w:lvl w:ilvl="8">
      <w:start w:val="1"/>
      <w:numFmt w:val="bullet"/>
      <w:isLgl w:val="false"/>
      <w:suff w:val="tab"/>
      <w:lvlText w:val="•"/>
      <w:lvlJc w:val="left"/>
      <w:pPr>
        <w:ind w:left="8724" w:hanging="277"/>
      </w:pPr>
      <w:rPr>
        <w:rFonts w:hint="default"/>
        <w:lang w:val="en-US" w:eastAsia="zh-CN" w:bidi="ar-SA"/>
      </w:rPr>
    </w:lvl>
  </w:abstractNum>
  <w:abstractNum w:abstractNumId="11">
    <w:multiLevelType w:val="hybridMultilevel"/>
    <w:lvl w:ilvl="0">
      <w:start w:val="5"/>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7"/>
  </w:num>
  <w:num w:numId="3">
    <w:abstractNumId w:val="4"/>
  </w:num>
  <w:num w:numId="4">
    <w:abstractNumId w:val="9"/>
  </w:num>
  <w:num w:numId="5">
    <w:abstractNumId w:val="2"/>
  </w:num>
  <w:num w:numId="6">
    <w:abstractNumId w:val="12"/>
  </w:num>
  <w:num w:numId="7">
    <w:abstractNumId w:val="11"/>
  </w:num>
  <w:num w:numId="8">
    <w:abstractNumId w:val="3"/>
  </w:num>
  <w:num w:numId="9">
    <w:abstractNumId w:val="1"/>
  </w:num>
  <w:num w:numId="10">
    <w:abstractNumId w:val="10"/>
  </w:num>
  <w:num w:numId="11">
    <w:abstractNumId w:val="5"/>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Title Char"/>
    <w:basedOn w:val="780"/>
    <w:link w:val="805"/>
    <w:uiPriority w:val="10"/>
    <w:rPr>
      <w:sz w:val="48"/>
      <w:szCs w:val="48"/>
    </w:rPr>
  </w:style>
  <w:style w:type="character" w:styleId="751">
    <w:name w:val="Subtitle Char"/>
    <w:basedOn w:val="780"/>
    <w:link w:val="798"/>
    <w:uiPriority w:val="11"/>
    <w:rPr>
      <w:sz w:val="24"/>
      <w:szCs w:val="24"/>
    </w:rPr>
  </w:style>
  <w:style w:type="character" w:styleId="752">
    <w:name w:val="Quote Char"/>
    <w:link w:val="840"/>
    <w:uiPriority w:val="29"/>
    <w:rPr>
      <w:i/>
    </w:rPr>
  </w:style>
  <w:style w:type="character" w:styleId="753">
    <w:name w:val="Intense Quote Char"/>
    <w:link w:val="842"/>
    <w:uiPriority w:val="30"/>
    <w:rPr>
      <w:i/>
    </w:rPr>
  </w:style>
  <w:style w:type="table" w:styleId="754">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Footnote Text Char"/>
    <w:link w:val="799"/>
    <w:uiPriority w:val="99"/>
    <w:rPr>
      <w:sz w:val="18"/>
    </w:rPr>
  </w:style>
  <w:style w:type="character" w:styleId="774">
    <w:name w:val="Endnote Text Char"/>
    <w:link w:val="792"/>
    <w:uiPriority w:val="99"/>
    <w:rPr>
      <w:sz w:val="20"/>
    </w:rPr>
  </w:style>
  <w:style w:type="paragraph" w:styleId="775">
    <w:name w:val="TOC Heading"/>
    <w:uiPriority w:val="39"/>
    <w:unhideWhenUsed/>
  </w:style>
  <w:style w:type="paragraph" w:styleId="776" w:default="1">
    <w:name w:val="Normal"/>
    <w:qFormat/>
    <w:pPr>
      <w:jc w:val="both"/>
      <w:widowControl w:val="off"/>
    </w:pPr>
    <w:rPr>
      <w:sz w:val="21"/>
      <w:szCs w:val="21"/>
    </w:rPr>
  </w:style>
  <w:style w:type="paragraph" w:styleId="777">
    <w:name w:val="Heading 2"/>
    <w:basedOn w:val="776"/>
    <w:uiPriority w:val="1"/>
    <w:qFormat/>
    <w:pPr>
      <w:ind w:left="100"/>
      <w:spacing w:before="201"/>
      <w:outlineLvl w:val="1"/>
    </w:pPr>
    <w:rPr>
      <w:rFonts w:ascii="微软雅黑" w:hAnsi="微软雅黑" w:eastAsia="微软雅黑" w:cs="微软雅黑"/>
      <w:b/>
      <w:bCs/>
      <w:sz w:val="23"/>
      <w:szCs w:val="23"/>
    </w:rPr>
  </w:style>
  <w:style w:type="paragraph" w:styleId="778">
    <w:name w:val="Heading 3"/>
    <w:basedOn w:val="776"/>
    <w:qFormat/>
    <w:pPr>
      <w:jc w:val="left"/>
      <w:keepLines/>
      <w:keepNext/>
      <w:spacing w:before="360" w:after="120"/>
      <w:outlineLvl w:val="2"/>
    </w:pPr>
    <w:rPr>
      <w:rFonts w:ascii="宋体"/>
      <w:b/>
      <w:sz w:val="24"/>
      <w:szCs w:val="20"/>
      <w:u w:val="single"/>
    </w:rPr>
  </w:style>
  <w:style w:type="paragraph" w:styleId="779">
    <w:name w:val="Heading 4"/>
    <w:next w:val="776"/>
    <w:qFormat/>
    <w:pPr>
      <w:jc w:val="both"/>
      <w:keepLines/>
      <w:keepNext/>
      <w:spacing w:before="200" w:line="300" w:lineRule="auto"/>
      <w:widowControl w:val="off"/>
      <w:outlineLvl w:val="3"/>
    </w:pPr>
    <w:rPr>
      <w:rFonts w:eastAsia="黑体"/>
      <w:bCs/>
      <w:sz w:val="28"/>
      <w:szCs w:val="28"/>
    </w:rPr>
  </w:style>
  <w:style w:type="character" w:styleId="780" w:default="1">
    <w:name w:val="Default Paragraph Font"/>
    <w:uiPriority w:val="1"/>
    <w:semiHidden/>
    <w:unhideWhenUsed/>
  </w:style>
  <w:style w:type="table" w:styleId="781" w:default="1">
    <w:name w:val="Normal Table"/>
    <w:uiPriority w:val="99"/>
    <w:semiHidden/>
    <w:unhideWhenUsed/>
    <w:qFormat/>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toc 7"/>
    <w:basedOn w:val="776"/>
    <w:next w:val="776"/>
    <w:uiPriority w:val="39"/>
    <w:unhideWhenUsed/>
    <w:qFormat/>
    <w:pPr>
      <w:ind w:left="1701"/>
      <w:spacing w:after="57"/>
    </w:pPr>
  </w:style>
  <w:style w:type="paragraph" w:styleId="784">
    <w:name w:val="Normal Indent"/>
    <w:basedOn w:val="776"/>
    <w:qFormat/>
    <w:pPr>
      <w:ind w:firstLine="420"/>
      <w:jc w:val="left"/>
    </w:pPr>
    <w:rPr>
      <w:rFonts w:ascii="宋体"/>
      <w:sz w:val="24"/>
    </w:rPr>
  </w:style>
  <w:style w:type="paragraph" w:styleId="785">
    <w:name w:val="annotation text"/>
    <w:basedOn w:val="776"/>
    <w:uiPriority w:val="99"/>
    <w:unhideWhenUsed/>
    <w:qFormat/>
    <w:pPr>
      <w:jc w:val="left"/>
    </w:pPr>
  </w:style>
  <w:style w:type="paragraph" w:styleId="786">
    <w:name w:val="Body Text"/>
    <w:basedOn w:val="776"/>
    <w:next w:val="776"/>
    <w:qFormat/>
    <w:rPr>
      <w:rFonts w:ascii="楷体_GB2312" w:hAnsi="Arial" w:eastAsia="楷体_GB2312"/>
      <w:sz w:val="28"/>
      <w:szCs w:val="28"/>
    </w:rPr>
  </w:style>
  <w:style w:type="paragraph" w:styleId="787">
    <w:name w:val="Body Text Indent"/>
    <w:basedOn w:val="776"/>
    <w:qFormat/>
    <w:pPr>
      <w:ind w:firstLine="570"/>
      <w:spacing w:line="360" w:lineRule="auto"/>
    </w:pPr>
    <w:rPr>
      <w:sz w:val="24"/>
    </w:rPr>
  </w:style>
  <w:style w:type="paragraph" w:styleId="788">
    <w:name w:val="toc 5"/>
    <w:basedOn w:val="776"/>
    <w:next w:val="776"/>
    <w:uiPriority w:val="39"/>
    <w:unhideWhenUsed/>
    <w:qFormat/>
    <w:pPr>
      <w:ind w:left="1134"/>
      <w:spacing w:after="57"/>
    </w:pPr>
  </w:style>
  <w:style w:type="paragraph" w:styleId="789">
    <w:name w:val="toc 3"/>
    <w:basedOn w:val="776"/>
    <w:next w:val="776"/>
    <w:uiPriority w:val="39"/>
    <w:unhideWhenUsed/>
    <w:qFormat/>
    <w:pPr>
      <w:ind w:left="567"/>
      <w:spacing w:after="57"/>
    </w:pPr>
  </w:style>
  <w:style w:type="paragraph" w:styleId="790">
    <w:name w:val="Plain Text"/>
    <w:basedOn w:val="776"/>
    <w:link w:val="1100"/>
    <w:qFormat/>
    <w:rPr>
      <w:rFonts w:hint="eastAsia" w:ascii="宋体" w:hAnsi="Courier New"/>
      <w:szCs w:val="20"/>
    </w:rPr>
  </w:style>
  <w:style w:type="paragraph" w:styleId="791">
    <w:name w:val="toc 8"/>
    <w:basedOn w:val="776"/>
    <w:next w:val="776"/>
    <w:uiPriority w:val="39"/>
    <w:unhideWhenUsed/>
    <w:qFormat/>
    <w:pPr>
      <w:ind w:left="1984"/>
      <w:spacing w:after="57"/>
    </w:pPr>
  </w:style>
  <w:style w:type="paragraph" w:styleId="792">
    <w:name w:val="endnote text"/>
    <w:basedOn w:val="776"/>
    <w:link w:val="816"/>
    <w:uiPriority w:val="99"/>
    <w:unhideWhenUsed/>
    <w:qFormat/>
    <w:rPr>
      <w:sz w:val="20"/>
    </w:rPr>
  </w:style>
  <w:style w:type="paragraph" w:styleId="793">
    <w:name w:val="Balloon Text"/>
    <w:basedOn w:val="776"/>
    <w:link w:val="1099"/>
    <w:uiPriority w:val="99"/>
    <w:semiHidden/>
    <w:unhideWhenUsed/>
    <w:qFormat/>
    <w:rPr>
      <w:sz w:val="18"/>
      <w:szCs w:val="18"/>
    </w:rPr>
  </w:style>
  <w:style w:type="paragraph" w:styleId="794">
    <w:name w:val="Footer"/>
    <w:basedOn w:val="776"/>
    <w:link w:val="1098"/>
    <w:uiPriority w:val="99"/>
    <w:semiHidden/>
    <w:unhideWhenUsed/>
    <w:qFormat/>
    <w:pPr>
      <w:jc w:val="left"/>
      <w:tabs>
        <w:tab w:val="center" w:pos="4153" w:leader="none"/>
        <w:tab w:val="right" w:pos="8306" w:leader="none"/>
      </w:tabs>
    </w:pPr>
    <w:rPr>
      <w:sz w:val="18"/>
      <w:szCs w:val="18"/>
    </w:rPr>
  </w:style>
  <w:style w:type="paragraph" w:styleId="795">
    <w:name w:val="Header"/>
    <w:basedOn w:val="776"/>
    <w:link w:val="109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96">
    <w:name w:val="toc 1"/>
    <w:basedOn w:val="776"/>
    <w:next w:val="776"/>
    <w:uiPriority w:val="39"/>
    <w:unhideWhenUsed/>
    <w:qFormat/>
    <w:pPr>
      <w:spacing w:after="57"/>
    </w:pPr>
  </w:style>
  <w:style w:type="paragraph" w:styleId="797">
    <w:name w:val="toc 4"/>
    <w:basedOn w:val="776"/>
    <w:next w:val="776"/>
    <w:uiPriority w:val="39"/>
    <w:unhideWhenUsed/>
    <w:qFormat/>
    <w:pPr>
      <w:ind w:left="850"/>
      <w:spacing w:after="57"/>
    </w:pPr>
  </w:style>
  <w:style w:type="paragraph" w:styleId="798">
    <w:name w:val="Subtitle"/>
    <w:basedOn w:val="776"/>
    <w:next w:val="776"/>
    <w:link w:val="817"/>
    <w:uiPriority w:val="11"/>
    <w:qFormat/>
    <w:pPr>
      <w:spacing w:before="200" w:after="200"/>
    </w:pPr>
    <w:rPr>
      <w:sz w:val="24"/>
      <w:szCs w:val="24"/>
    </w:rPr>
  </w:style>
  <w:style w:type="paragraph" w:styleId="799">
    <w:name w:val="footnote text"/>
    <w:basedOn w:val="776"/>
    <w:link w:val="818"/>
    <w:uiPriority w:val="99"/>
    <w:unhideWhenUsed/>
    <w:qFormat/>
    <w:pPr>
      <w:spacing w:after="40"/>
    </w:pPr>
    <w:rPr>
      <w:sz w:val="18"/>
    </w:rPr>
  </w:style>
  <w:style w:type="paragraph" w:styleId="800">
    <w:name w:val="toc 6"/>
    <w:basedOn w:val="776"/>
    <w:next w:val="776"/>
    <w:uiPriority w:val="39"/>
    <w:unhideWhenUsed/>
    <w:qFormat/>
    <w:pPr>
      <w:ind w:left="1417"/>
      <w:spacing w:after="57"/>
    </w:pPr>
  </w:style>
  <w:style w:type="paragraph" w:styleId="801">
    <w:name w:val="table of figures"/>
    <w:basedOn w:val="776"/>
    <w:next w:val="776"/>
    <w:uiPriority w:val="99"/>
    <w:unhideWhenUsed/>
    <w:qFormat/>
  </w:style>
  <w:style w:type="paragraph" w:styleId="802">
    <w:name w:val="toc 2"/>
    <w:basedOn w:val="776"/>
    <w:next w:val="776"/>
    <w:uiPriority w:val="39"/>
    <w:unhideWhenUsed/>
    <w:qFormat/>
    <w:pPr>
      <w:ind w:left="283"/>
      <w:spacing w:after="57"/>
    </w:pPr>
  </w:style>
  <w:style w:type="paragraph" w:styleId="803">
    <w:name w:val="toc 9"/>
    <w:basedOn w:val="776"/>
    <w:next w:val="776"/>
    <w:uiPriority w:val="39"/>
    <w:unhideWhenUsed/>
    <w:qFormat/>
    <w:pPr>
      <w:ind w:left="2268"/>
      <w:spacing w:after="57"/>
    </w:pPr>
  </w:style>
  <w:style w:type="paragraph" w:styleId="804">
    <w:name w:val="Normal (Web)"/>
    <w:basedOn w:val="776"/>
    <w:unhideWhenUsed/>
    <w:qFormat/>
    <w:pPr>
      <w:jc w:val="left"/>
      <w:spacing w:beforeAutospacing="1" w:afterAutospacing="1"/>
    </w:pPr>
    <w:rPr>
      <w:sz w:val="24"/>
    </w:rPr>
  </w:style>
  <w:style w:type="paragraph" w:styleId="805">
    <w:name w:val="Title"/>
    <w:basedOn w:val="776"/>
    <w:next w:val="776"/>
    <w:link w:val="819"/>
    <w:uiPriority w:val="10"/>
    <w:qFormat/>
    <w:pPr>
      <w:contextualSpacing/>
      <w:spacing w:before="300" w:after="200"/>
    </w:pPr>
    <w:rPr>
      <w:sz w:val="48"/>
      <w:szCs w:val="48"/>
    </w:rPr>
  </w:style>
  <w:style w:type="paragraph" w:styleId="806">
    <w:name w:val="Body Text First Indent 2"/>
    <w:basedOn w:val="787"/>
    <w:qFormat/>
    <w:pPr>
      <w:ind w:left="420" w:firstLine="420"/>
      <w:spacing w:after="120" w:line="480" w:lineRule="exact"/>
    </w:pPr>
    <w:rPr>
      <w:szCs w:val="20"/>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80"/>
    <w:uiPriority w:val="22"/>
    <w:qFormat/>
    <w:rPr>
      <w:b/>
    </w:rPr>
  </w:style>
  <w:style w:type="character" w:styleId="809">
    <w:name w:val="endnote reference"/>
    <w:uiPriority w:val="99"/>
    <w:unhideWhenUsed/>
    <w:qFormat/>
    <w:rPr>
      <w:vertAlign w:val="superscript"/>
    </w:rPr>
  </w:style>
  <w:style w:type="character" w:styleId="810">
    <w:name w:val="Emphasis"/>
    <w:qFormat/>
    <w:rPr>
      <w:i/>
    </w:rPr>
  </w:style>
  <w:style w:type="character" w:styleId="811">
    <w:name w:val="Hyperlink"/>
    <w:uiPriority w:val="99"/>
    <w:unhideWhenUsed/>
    <w:qFormat/>
    <w:rPr>
      <w:color w:val="0000ff"/>
      <w:u w:val="single"/>
    </w:rPr>
  </w:style>
  <w:style w:type="character" w:styleId="812">
    <w:name w:val="footnote reference"/>
    <w:uiPriority w:val="99"/>
    <w:unhideWhenUsed/>
    <w:qFormat/>
    <w:rPr>
      <w:vertAlign w:val="superscript"/>
    </w:rPr>
  </w:style>
  <w:style w:type="paragraph" w:styleId="813" w:customStyle="1">
    <w:name w:val="正文文本缩进1"/>
    <w:basedOn w:val="776"/>
    <w:next w:val="814"/>
    <w:link w:val="1008"/>
    <w:qFormat/>
    <w:pPr>
      <w:ind w:firstLine="645"/>
    </w:pPr>
    <w:rPr>
      <w:rFonts w:ascii="楷体_GB2312" w:eastAsia="楷体_GB2312"/>
      <w:sz w:val="32"/>
      <w:szCs w:val="32"/>
    </w:rPr>
  </w:style>
  <w:style w:type="paragraph" w:styleId="814" w:customStyle="1">
    <w:name w:val="正文首行缩进 21"/>
    <w:basedOn w:val="813"/>
    <w:next w:val="776"/>
    <w:link w:val="1042"/>
    <w:qFormat/>
    <w:pPr>
      <w:ind w:firstLine="420"/>
      <w:spacing w:line="360" w:lineRule="auto"/>
    </w:pPr>
    <w:rPr>
      <w:rFonts w:ascii="宋体" w:hAnsi="宋体" w:eastAsia="宋体"/>
      <w:sz w:val="21"/>
      <w:szCs w:val="20"/>
    </w:rPr>
  </w:style>
  <w:style w:type="paragraph" w:styleId="815" w:customStyle="1">
    <w:name w:val="AONormal"/>
    <w:qFormat/>
    <w:pPr>
      <w:ind w:firstLine="440"/>
      <w:spacing w:line="400" w:lineRule="exact"/>
    </w:pPr>
    <w:rPr>
      <w:rFonts w:ascii="华文楷体" w:hAnsi="华文楷体" w:eastAsia="华文楷体" w:cs="华文楷体"/>
      <w:sz w:val="22"/>
      <w:szCs w:val="21"/>
    </w:rPr>
  </w:style>
  <w:style w:type="character" w:styleId="816" w:customStyle="1">
    <w:name w:val="尾注文本 Char"/>
    <w:link w:val="792"/>
    <w:uiPriority w:val="99"/>
    <w:qFormat/>
    <w:rPr>
      <w:sz w:val="20"/>
    </w:rPr>
  </w:style>
  <w:style w:type="character" w:styleId="817" w:customStyle="1">
    <w:name w:val="副标题 Char"/>
    <w:link w:val="798"/>
    <w:uiPriority w:val="11"/>
    <w:qFormat/>
    <w:rPr>
      <w:sz w:val="24"/>
      <w:szCs w:val="24"/>
    </w:rPr>
  </w:style>
  <w:style w:type="character" w:styleId="818" w:customStyle="1">
    <w:name w:val="脚注文本 Char"/>
    <w:link w:val="799"/>
    <w:uiPriority w:val="99"/>
    <w:qFormat/>
    <w:rPr>
      <w:sz w:val="18"/>
    </w:rPr>
  </w:style>
  <w:style w:type="character" w:styleId="819" w:customStyle="1">
    <w:name w:val="标题 Char"/>
    <w:link w:val="805"/>
    <w:uiPriority w:val="10"/>
    <w:qFormat/>
    <w:rPr>
      <w:sz w:val="48"/>
      <w:szCs w:val="48"/>
    </w:rPr>
  </w:style>
  <w:style w:type="paragraph" w:styleId="820" w:customStyle="1">
    <w:name w:val="Heading 1"/>
    <w:basedOn w:val="776"/>
    <w:next w:val="776"/>
    <w:link w:val="821"/>
    <w:uiPriority w:val="9"/>
    <w:qFormat/>
    <w:pPr>
      <w:keepLines/>
      <w:keepNext/>
      <w:spacing w:before="480" w:after="200"/>
      <w:outlineLvl w:val="0"/>
    </w:pPr>
    <w:rPr>
      <w:rFonts w:ascii="Arial" w:hAnsi="Arial" w:eastAsia="Arial" w:cs="Arial"/>
      <w:sz w:val="40"/>
      <w:szCs w:val="40"/>
    </w:rPr>
  </w:style>
  <w:style w:type="character" w:styleId="821" w:customStyle="1">
    <w:name w:val="Heading 1 Char"/>
    <w:link w:val="820"/>
    <w:uiPriority w:val="9"/>
    <w:qFormat/>
    <w:rPr>
      <w:rFonts w:ascii="Arial" w:hAnsi="Arial" w:eastAsia="Arial" w:cs="Arial"/>
      <w:sz w:val="40"/>
      <w:szCs w:val="40"/>
    </w:rPr>
  </w:style>
  <w:style w:type="paragraph" w:styleId="822" w:customStyle="1">
    <w:name w:val="Heading 2"/>
    <w:basedOn w:val="776"/>
    <w:next w:val="776"/>
    <w:link w:val="823"/>
    <w:uiPriority w:val="9"/>
    <w:unhideWhenUsed/>
    <w:qFormat/>
    <w:pPr>
      <w:keepLines/>
      <w:keepNext/>
      <w:spacing w:before="360" w:after="200"/>
      <w:outlineLvl w:val="1"/>
    </w:pPr>
    <w:rPr>
      <w:rFonts w:ascii="Arial" w:hAnsi="Arial" w:eastAsia="Arial" w:cs="Arial"/>
      <w:sz w:val="34"/>
    </w:rPr>
  </w:style>
  <w:style w:type="character" w:styleId="823" w:customStyle="1">
    <w:name w:val="Heading 2 Char"/>
    <w:link w:val="822"/>
    <w:uiPriority w:val="9"/>
    <w:qFormat/>
    <w:rPr>
      <w:rFonts w:ascii="Arial" w:hAnsi="Arial" w:eastAsia="Arial" w:cs="Arial"/>
      <w:sz w:val="34"/>
    </w:rPr>
  </w:style>
  <w:style w:type="paragraph" w:styleId="824" w:customStyle="1">
    <w:name w:val="Heading 3"/>
    <w:basedOn w:val="776"/>
    <w:next w:val="776"/>
    <w:link w:val="825"/>
    <w:uiPriority w:val="9"/>
    <w:unhideWhenUsed/>
    <w:qFormat/>
    <w:pPr>
      <w:keepLines/>
      <w:keepNext/>
      <w:spacing w:before="320" w:after="200"/>
      <w:outlineLvl w:val="2"/>
    </w:pPr>
    <w:rPr>
      <w:rFonts w:ascii="Arial" w:hAnsi="Arial" w:eastAsia="Arial" w:cs="Arial"/>
      <w:sz w:val="30"/>
      <w:szCs w:val="30"/>
    </w:rPr>
  </w:style>
  <w:style w:type="character" w:styleId="825" w:customStyle="1">
    <w:name w:val="Heading 3 Char"/>
    <w:link w:val="824"/>
    <w:uiPriority w:val="9"/>
    <w:qFormat/>
    <w:rPr>
      <w:rFonts w:ascii="Arial" w:hAnsi="Arial" w:eastAsia="Arial" w:cs="Arial"/>
      <w:sz w:val="30"/>
      <w:szCs w:val="30"/>
    </w:rPr>
  </w:style>
  <w:style w:type="paragraph" w:styleId="826" w:customStyle="1">
    <w:name w:val="Heading 4"/>
    <w:basedOn w:val="776"/>
    <w:next w:val="776"/>
    <w:link w:val="827"/>
    <w:uiPriority w:val="9"/>
    <w:unhideWhenUsed/>
    <w:qFormat/>
    <w:pPr>
      <w:keepLines/>
      <w:keepNext/>
      <w:spacing w:before="320" w:after="200"/>
      <w:outlineLvl w:val="3"/>
    </w:pPr>
    <w:rPr>
      <w:rFonts w:ascii="Arial" w:hAnsi="Arial" w:eastAsia="Arial" w:cs="Arial"/>
      <w:b/>
      <w:bCs/>
      <w:sz w:val="26"/>
      <w:szCs w:val="26"/>
    </w:rPr>
  </w:style>
  <w:style w:type="character" w:styleId="827" w:customStyle="1">
    <w:name w:val="Heading 4 Char"/>
    <w:link w:val="826"/>
    <w:uiPriority w:val="9"/>
    <w:qFormat/>
    <w:rPr>
      <w:rFonts w:ascii="Arial" w:hAnsi="Arial" w:eastAsia="Arial" w:cs="Arial"/>
      <w:b/>
      <w:bCs/>
      <w:sz w:val="26"/>
      <w:szCs w:val="26"/>
    </w:rPr>
  </w:style>
  <w:style w:type="paragraph" w:styleId="828" w:customStyle="1">
    <w:name w:val="Heading 5"/>
    <w:basedOn w:val="776"/>
    <w:next w:val="776"/>
    <w:link w:val="829"/>
    <w:uiPriority w:val="9"/>
    <w:unhideWhenUsed/>
    <w:qFormat/>
    <w:pPr>
      <w:keepLines/>
      <w:keepNext/>
      <w:spacing w:before="320" w:after="200"/>
      <w:outlineLvl w:val="4"/>
    </w:pPr>
    <w:rPr>
      <w:rFonts w:ascii="Arial" w:hAnsi="Arial" w:eastAsia="Arial" w:cs="Arial"/>
      <w:b/>
      <w:bCs/>
      <w:sz w:val="24"/>
      <w:szCs w:val="24"/>
    </w:rPr>
  </w:style>
  <w:style w:type="character" w:styleId="829" w:customStyle="1">
    <w:name w:val="Heading 5 Char"/>
    <w:link w:val="828"/>
    <w:uiPriority w:val="9"/>
    <w:qFormat/>
    <w:rPr>
      <w:rFonts w:ascii="Arial" w:hAnsi="Arial" w:eastAsia="Arial" w:cs="Arial"/>
      <w:b/>
      <w:bCs/>
      <w:sz w:val="24"/>
      <w:szCs w:val="24"/>
    </w:rPr>
  </w:style>
  <w:style w:type="paragraph" w:styleId="830" w:customStyle="1">
    <w:name w:val="Heading 6"/>
    <w:basedOn w:val="776"/>
    <w:next w:val="776"/>
    <w:link w:val="831"/>
    <w:uiPriority w:val="9"/>
    <w:unhideWhenUsed/>
    <w:qFormat/>
    <w:pPr>
      <w:keepLines/>
      <w:keepNext/>
      <w:spacing w:before="320" w:after="200"/>
      <w:outlineLvl w:val="5"/>
    </w:pPr>
    <w:rPr>
      <w:rFonts w:ascii="Arial" w:hAnsi="Arial" w:eastAsia="Arial" w:cs="Arial"/>
      <w:b/>
      <w:bCs/>
      <w:sz w:val="22"/>
      <w:szCs w:val="22"/>
    </w:rPr>
  </w:style>
  <w:style w:type="character" w:styleId="831" w:customStyle="1">
    <w:name w:val="Heading 6 Char"/>
    <w:link w:val="830"/>
    <w:uiPriority w:val="9"/>
    <w:qFormat/>
    <w:rPr>
      <w:rFonts w:ascii="Arial" w:hAnsi="Arial" w:eastAsia="Arial" w:cs="Arial"/>
      <w:b/>
      <w:bCs/>
      <w:sz w:val="22"/>
      <w:szCs w:val="22"/>
    </w:rPr>
  </w:style>
  <w:style w:type="paragraph" w:styleId="832" w:customStyle="1">
    <w:name w:val="Heading 7"/>
    <w:basedOn w:val="776"/>
    <w:next w:val="776"/>
    <w:link w:val="833"/>
    <w:uiPriority w:val="9"/>
    <w:unhideWhenUsed/>
    <w:qFormat/>
    <w:pPr>
      <w:keepLines/>
      <w:keepNext/>
      <w:spacing w:before="320" w:after="200"/>
      <w:outlineLvl w:val="6"/>
    </w:pPr>
    <w:rPr>
      <w:rFonts w:ascii="Arial" w:hAnsi="Arial" w:eastAsia="Arial" w:cs="Arial"/>
      <w:b/>
      <w:bCs/>
      <w:i/>
      <w:iCs/>
      <w:sz w:val="22"/>
      <w:szCs w:val="22"/>
    </w:rPr>
  </w:style>
  <w:style w:type="character" w:styleId="833" w:customStyle="1">
    <w:name w:val="Heading 7 Char"/>
    <w:link w:val="832"/>
    <w:uiPriority w:val="9"/>
    <w:qFormat/>
    <w:rPr>
      <w:rFonts w:ascii="Arial" w:hAnsi="Arial" w:eastAsia="Arial" w:cs="Arial"/>
      <w:b/>
      <w:bCs/>
      <w:i/>
      <w:iCs/>
      <w:sz w:val="22"/>
      <w:szCs w:val="22"/>
    </w:rPr>
  </w:style>
  <w:style w:type="paragraph" w:styleId="834" w:customStyle="1">
    <w:name w:val="Heading 8"/>
    <w:basedOn w:val="776"/>
    <w:next w:val="776"/>
    <w:link w:val="835"/>
    <w:uiPriority w:val="9"/>
    <w:unhideWhenUsed/>
    <w:qFormat/>
    <w:pPr>
      <w:keepLines/>
      <w:keepNext/>
      <w:spacing w:before="320" w:after="200"/>
      <w:outlineLvl w:val="7"/>
    </w:pPr>
    <w:rPr>
      <w:rFonts w:ascii="Arial" w:hAnsi="Arial" w:eastAsia="Arial" w:cs="Arial"/>
      <w:i/>
      <w:iCs/>
      <w:sz w:val="22"/>
      <w:szCs w:val="22"/>
    </w:rPr>
  </w:style>
  <w:style w:type="character" w:styleId="835" w:customStyle="1">
    <w:name w:val="Heading 8 Char"/>
    <w:link w:val="834"/>
    <w:uiPriority w:val="9"/>
    <w:qFormat/>
    <w:rPr>
      <w:rFonts w:ascii="Arial" w:hAnsi="Arial" w:eastAsia="Arial" w:cs="Arial"/>
      <w:i/>
      <w:iCs/>
      <w:sz w:val="22"/>
      <w:szCs w:val="22"/>
    </w:rPr>
  </w:style>
  <w:style w:type="paragraph" w:styleId="836" w:customStyle="1">
    <w:name w:val="Heading 9"/>
    <w:basedOn w:val="776"/>
    <w:next w:val="776"/>
    <w:link w:val="837"/>
    <w:uiPriority w:val="9"/>
    <w:unhideWhenUsed/>
    <w:qFormat/>
    <w:pPr>
      <w:keepLines/>
      <w:keepNext/>
      <w:spacing w:before="320" w:after="200"/>
      <w:outlineLvl w:val="8"/>
    </w:pPr>
    <w:rPr>
      <w:rFonts w:ascii="Arial" w:hAnsi="Arial" w:eastAsia="Arial" w:cs="Arial"/>
      <w:i/>
      <w:iCs/>
    </w:rPr>
  </w:style>
  <w:style w:type="character" w:styleId="837" w:customStyle="1">
    <w:name w:val="Heading 9 Char"/>
    <w:link w:val="836"/>
    <w:uiPriority w:val="9"/>
    <w:qFormat/>
    <w:rPr>
      <w:rFonts w:ascii="Arial" w:hAnsi="Arial" w:eastAsia="Arial" w:cs="Arial"/>
      <w:i/>
      <w:iCs/>
      <w:sz w:val="21"/>
      <w:szCs w:val="21"/>
    </w:rPr>
  </w:style>
  <w:style w:type="paragraph" w:styleId="838">
    <w:name w:val="List Paragraph"/>
    <w:basedOn w:val="776"/>
    <w:uiPriority w:val="34"/>
    <w:qFormat/>
    <w:pPr>
      <w:contextualSpacing/>
      <w:ind w:left="720"/>
    </w:pPr>
  </w:style>
  <w:style w:type="paragraph" w:styleId="839">
    <w:name w:val="No Spacing"/>
    <w:uiPriority w:val="1"/>
    <w:qFormat/>
  </w:style>
  <w:style w:type="paragraph" w:styleId="840">
    <w:name w:val="Quote"/>
    <w:basedOn w:val="776"/>
    <w:next w:val="776"/>
    <w:link w:val="841"/>
    <w:uiPriority w:val="29"/>
    <w:qFormat/>
    <w:pPr>
      <w:ind w:left="720" w:right="720"/>
    </w:pPr>
    <w:rPr>
      <w:i/>
    </w:rPr>
  </w:style>
  <w:style w:type="character" w:styleId="841" w:customStyle="1">
    <w:name w:val="引用 Char"/>
    <w:link w:val="840"/>
    <w:uiPriority w:val="29"/>
    <w:qFormat/>
    <w:rPr>
      <w:i/>
    </w:rPr>
  </w:style>
  <w:style w:type="paragraph" w:styleId="842">
    <w:name w:val="Intense Quote"/>
    <w:basedOn w:val="776"/>
    <w:next w:val="776"/>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paragraph" w:styleId="844" w:customStyle="1">
    <w:name w:val="Header"/>
    <w:basedOn w:val="776"/>
    <w:link w:val="845"/>
    <w:uiPriority w:val="99"/>
    <w:unhideWhenUsed/>
    <w:qFormat/>
    <w:pPr>
      <w:tabs>
        <w:tab w:val="center" w:pos="7143" w:leader="none"/>
        <w:tab w:val="right" w:pos="14287" w:leader="none"/>
      </w:tabs>
    </w:pPr>
  </w:style>
  <w:style w:type="character" w:styleId="845" w:customStyle="1">
    <w:name w:val="Header Char"/>
    <w:link w:val="844"/>
    <w:uiPriority w:val="99"/>
    <w:qFormat/>
  </w:style>
  <w:style w:type="paragraph" w:styleId="846" w:customStyle="1">
    <w:name w:val="Footer"/>
    <w:basedOn w:val="776"/>
    <w:link w:val="848"/>
    <w:uiPriority w:val="99"/>
    <w:unhideWhenUsed/>
    <w:qFormat/>
    <w:pPr>
      <w:tabs>
        <w:tab w:val="center" w:pos="7143" w:leader="none"/>
        <w:tab w:val="right" w:pos="14287" w:leader="none"/>
      </w:tabs>
    </w:pPr>
  </w:style>
  <w:style w:type="character" w:styleId="847" w:customStyle="1">
    <w:name w:val="Footer Char"/>
    <w:link w:val="846"/>
    <w:uiPriority w:val="99"/>
    <w:qFormat/>
  </w:style>
  <w:style w:type="character" w:styleId="848" w:customStyle="1">
    <w:name w:val="Caption Char"/>
    <w:link w:val="846"/>
    <w:uiPriority w:val="99"/>
    <w:qFormat/>
  </w:style>
  <w:style w:type="paragraph" w:styleId="849" w:customStyle="1">
    <w:name w:val="Caption"/>
    <w:basedOn w:val="776"/>
    <w:next w:val="776"/>
    <w:uiPriority w:val="35"/>
    <w:unhideWhenUsed/>
    <w:qFormat/>
    <w:pPr>
      <w:spacing w:line="276" w:lineRule="auto"/>
    </w:pPr>
    <w:rPr>
      <w:b/>
      <w:bCs/>
      <w:color w:val="4f81bd"/>
      <w:sz w:val="18"/>
      <w:szCs w:val="18"/>
    </w:rPr>
  </w:style>
  <w:style w:type="table" w:styleId="850"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customStyle="1">
    <w:name w:val="_Style 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汉仪书宋二S" w:hAnsi="汉仪书宋二S"/>
        <w:b/>
        <w:color w:val="404040"/>
        <w:sz w:val="22"/>
      </w:rPr>
    </w:tblStylePr>
    <w:tblStylePr w:type="firstRow">
      <w:rPr>
        <w:rFonts w:ascii="汉仪书宋二S" w:hAnsi="汉仪书宋二S"/>
        <w:b/>
        <w:color w:val="404040"/>
        <w:sz w:val="22"/>
      </w:rPr>
    </w:tblStylePr>
    <w:tblStylePr w:type="lastCol">
      <w:rPr>
        <w:rFonts w:ascii="汉仪书宋二S" w:hAnsi="汉仪书宋二S"/>
        <w:b/>
        <w:color w:val="404040"/>
        <w:sz w:val="22"/>
      </w:rPr>
    </w:tblStylePr>
    <w:tblStylePr w:type="lastRow">
      <w:rPr>
        <w:rFonts w:ascii="汉仪书宋二S" w:hAnsi="汉仪书宋二S"/>
        <w:b/>
        <w:color w:val="404040"/>
        <w:sz w:val="22"/>
      </w:rPr>
    </w:tblStylePr>
  </w:style>
  <w:style w:type="table" w:styleId="852" w:customStyle="1">
    <w:name w:val="_Style 58"/>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b/>
        <w:color w:val="404040"/>
        <w:sz w:val="22"/>
      </w:rPr>
    </w:tblStylePr>
    <w:tblStylePr w:type="fir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b/>
        <w:color w:val="404040"/>
        <w:sz w:val="22"/>
      </w:rPr>
    </w:tblStylePr>
    <w:tblStylePr w:type="lastRow">
      <w:rPr>
        <w:rFonts w:ascii="汉仪书宋二S" w:hAnsi="汉仪书宋二S"/>
        <w:b/>
        <w:color w:val="404040"/>
        <w:sz w:val="22"/>
      </w:rPr>
    </w:tblStylePr>
  </w:style>
  <w:style w:type="table" w:styleId="853" w:customStyle="1">
    <w:name w:val="_Style 59"/>
    <w:uiPriority w:val="99"/>
    <w:qFormat/>
    <w:tblPr>
      <w:tblCellMar>
        <w:left w:w="0" w:type="dxa"/>
        <w:top w:w="0" w:type="dxa"/>
        <w:right w:w="0" w:type="dxa"/>
        <w:bottom w:w="0" w:type="dxa"/>
      </w:tblCellMar>
    </w:tblPr>
    <w:tblStylePr w:type="band1Horz">
      <w:rPr>
        <w:rFonts w:ascii="汉仪书宋二S" w:hAnsi="汉仪书宋二S"/>
        <w:color w:val="404040"/>
        <w:sz w:val="22"/>
      </w:rPr>
      <w:tcPr>
        <w:shd w:val="clear" w:color="ffffff" w:fill="f2f2f2"/>
      </w:tcPr>
    </w:tblStylePr>
    <w:tblStylePr w:type="band1Vert">
      <w:rPr>
        <w:rFonts w:ascii="汉仪书宋二S" w:hAnsi="汉仪书宋二S"/>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54" w:customStyle="1">
    <w:name w:val="_Style 60"/>
    <w:uiPriority w:val="99"/>
    <w:qFormat/>
    <w:tblPr>
      <w:tblCellMar>
        <w:left w:w="0" w:type="dxa"/>
        <w:top w:w="0" w:type="dxa"/>
        <w:right w:w="0" w:type="dxa"/>
        <w:bottom w:w="0" w:type="dxa"/>
      </w:tblCellMar>
    </w:tblPr>
    <w:tblStylePr w:type="band1Horz">
      <w:rPr>
        <w:rFonts w:ascii="汉仪书宋二S" w:hAnsi="汉仪书宋二S"/>
        <w:color w:val="404040"/>
        <w:sz w:val="22"/>
      </w:rPr>
      <w:tcPr>
        <w:shd w:val="clear" w:color="ffffff" w:fill="f2f2f2"/>
      </w:tcPr>
    </w:tblStylePr>
    <w:tblStylePr w:type="band1Vert">
      <w:rPr>
        <w:rFonts w:ascii="汉仪书宋二S" w:hAnsi="汉仪书宋二S"/>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_Style 61"/>
    <w:uiPriority w:val="99"/>
    <w:qFormat/>
    <w:tblPr>
      <w:tblCellMar>
        <w:left w:w="0" w:type="dxa"/>
        <w:top w:w="0" w:type="dxa"/>
        <w:right w:w="0" w:type="dxa"/>
        <w:bottom w:w="0" w:type="dxa"/>
      </w:tblCellMar>
    </w:tblPr>
    <w:tblStylePr w:type="band1Horz">
      <w:rPr>
        <w:rFonts w:ascii="汉仪书宋二S" w:hAnsi="汉仪书宋二S"/>
        <w:color w:val="404040"/>
        <w:sz w:val="22"/>
      </w:rPr>
      <w:tcPr>
        <w:shd w:val="clear" w:color="ffffff" w:fill="f2f2f2"/>
      </w:tcPr>
    </w:tblStylePr>
    <w:tblStylePr w:type="band1Vert">
      <w:rPr>
        <w:rFonts w:ascii="汉仪书宋二S" w:hAnsi="汉仪书宋二S"/>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_Style 6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3" w:customStyle="1">
    <w:name w:val="_Style 69"/>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cbcbcb"/>
      </w:tcPr>
    </w:tblStylePr>
    <w:tblStylePr w:type="band1Vert">
      <w:rPr>
        <w:rFonts w:ascii="汉仪书宋二S" w:hAnsi="汉仪书宋二S"/>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ae5f1"/>
      </w:tcPr>
    </w:tblStylePr>
    <w:tblStylePr w:type="band1Vert">
      <w:rPr>
        <w:rFonts w:ascii="汉仪书宋二S" w:hAnsi="汉仪书宋二S"/>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2dcdb"/>
      </w:tcPr>
    </w:tblStylePr>
    <w:tblStylePr w:type="band1Vert">
      <w:rPr>
        <w:rFonts w:ascii="汉仪书宋二S" w:hAnsi="汉仪书宋二S"/>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af0dd"/>
      </w:tcPr>
    </w:tblStylePr>
    <w:tblStylePr w:type="band1Vert">
      <w:rPr>
        <w:rFonts w:ascii="汉仪书宋二S" w:hAnsi="汉仪书宋二S"/>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5dfec"/>
      </w:tcPr>
    </w:tblStylePr>
    <w:tblStylePr w:type="band1Vert">
      <w:rPr>
        <w:rFonts w:ascii="汉仪书宋二S" w:hAnsi="汉仪书宋二S"/>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aeef3"/>
      </w:tcPr>
    </w:tblStylePr>
    <w:tblStylePr w:type="band1Vert">
      <w:rPr>
        <w:rFonts w:ascii="汉仪书宋二S" w:hAnsi="汉仪书宋二S"/>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de9d8"/>
      </w:tcPr>
    </w:tblStylePr>
    <w:tblStylePr w:type="band1Vert">
      <w:rPr>
        <w:rFonts w:ascii="汉仪书宋二S" w:hAnsi="汉仪书宋二S"/>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_Style 7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cbcbcb"/>
      </w:tcPr>
    </w:tblStylePr>
    <w:tblStylePr w:type="band1Vert">
      <w:rPr>
        <w:rFonts w:ascii="汉仪书宋二S" w:hAnsi="汉仪书宋二S"/>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ae5f1"/>
      </w:tcPr>
    </w:tblStylePr>
    <w:tblStylePr w:type="band1Vert">
      <w:rPr>
        <w:rFonts w:ascii="汉仪书宋二S" w:hAnsi="汉仪书宋二S"/>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2dcdb"/>
      </w:tcPr>
    </w:tblStylePr>
    <w:tblStylePr w:type="band1Vert">
      <w:rPr>
        <w:rFonts w:ascii="汉仪书宋二S" w:hAnsi="汉仪书宋二S"/>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af0dd"/>
      </w:tcPr>
    </w:tblStylePr>
    <w:tblStylePr w:type="band1Vert">
      <w:rPr>
        <w:rFonts w:ascii="汉仪书宋二S" w:hAnsi="汉仪书宋二S"/>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5dfec"/>
      </w:tcPr>
    </w:tblStylePr>
    <w:tblStylePr w:type="band1Vert">
      <w:rPr>
        <w:rFonts w:ascii="汉仪书宋二S" w:hAnsi="汉仪书宋二S"/>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aeef3"/>
      </w:tcPr>
    </w:tblStylePr>
    <w:tblStylePr w:type="band1Vert">
      <w:rPr>
        <w:rFonts w:ascii="汉仪书宋二S" w:hAnsi="汉仪书宋二S"/>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de9d8"/>
      </w:tcPr>
    </w:tblStylePr>
    <w:tblStylePr w:type="band1Vert">
      <w:rPr>
        <w:rFonts w:ascii="汉仪书宋二S" w:hAnsi="汉仪书宋二S"/>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_Style 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cbcbcb"/>
      </w:tcPr>
    </w:tblStylePr>
    <w:tblStylePr w:type="band1Vert">
      <w:rPr>
        <w:rFonts w:ascii="汉仪书宋二S" w:hAnsi="汉仪书宋二S"/>
        <w:color w:val="404040"/>
        <w:sz w:val="22"/>
      </w:rPr>
      <w:tcPr>
        <w:shd w:val="clear" w:color="ffffff" w:fill="cbcbcb"/>
      </w:tcPr>
    </w:tblStylePr>
    <w:tblStylePr w:type="firstCol">
      <w:rPr>
        <w:b/>
        <w:color w:val="404040"/>
      </w:rPr>
    </w:tblStylePr>
    <w:tblStylePr w:type="firstRow">
      <w:rPr>
        <w:rFonts w:ascii="汉仪书宋二S" w:hAnsi="汉仪书宋二S"/>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ce6f1"/>
      </w:tcPr>
    </w:tblStylePr>
    <w:tblStylePr w:type="band1Vert">
      <w:rPr>
        <w:rFonts w:ascii="汉仪书宋二S" w:hAnsi="汉仪书宋二S"/>
        <w:color w:val="404040"/>
        <w:sz w:val="22"/>
      </w:rPr>
      <w:tcPr>
        <w:shd w:val="clear" w:color="ffffff" w:fill="dce6f1"/>
      </w:tcPr>
    </w:tblStylePr>
    <w:tblStylePr w:type="firstCol">
      <w:rPr>
        <w:b/>
        <w:color w:val="404040"/>
      </w:rPr>
    </w:tblStylePr>
    <w:tblStylePr w:type="firstRow">
      <w:rPr>
        <w:rFonts w:ascii="汉仪书宋二S" w:hAnsi="汉仪书宋二S"/>
        <w:b/>
        <w:color w:val="ffffff"/>
        <w:sz w:val="22"/>
      </w:rPr>
      <w:tcPr>
        <w:shd w:val="clear" w:color="ffffff" w:fill="5d8dc2"/>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2dcdb"/>
      </w:tcPr>
    </w:tblStylePr>
    <w:tblStylePr w:type="band1Vert">
      <w:rPr>
        <w:rFonts w:ascii="汉仪书宋二S" w:hAnsi="汉仪书宋二S"/>
        <w:color w:val="404040"/>
        <w:sz w:val="22"/>
      </w:rPr>
      <w:tcPr>
        <w:shd w:val="clear" w:color="ffffff" w:fill="f2dcdb"/>
      </w:tcPr>
    </w:tblStylePr>
    <w:tblStylePr w:type="firstCol">
      <w:rPr>
        <w:b/>
        <w:color w:val="404040"/>
      </w:rPr>
    </w:tblStylePr>
    <w:tblStylePr w:type="firstRow">
      <w:rPr>
        <w:rFonts w:ascii="汉仪书宋二S" w:hAnsi="汉仪书宋二S"/>
        <w:b/>
        <w:color w:val="ffffff"/>
        <w:sz w:val="22"/>
      </w:rPr>
      <w:tcPr>
        <w:shd w:val="clear" w:color="ffffff" w:fill="d9969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af0dd"/>
      </w:tcPr>
    </w:tblStylePr>
    <w:tblStylePr w:type="band1Vert">
      <w:rPr>
        <w:rFonts w:ascii="汉仪书宋二S" w:hAnsi="汉仪书宋二S"/>
        <w:color w:val="404040"/>
        <w:sz w:val="22"/>
      </w:rPr>
      <w:tcPr>
        <w:shd w:val="clear" w:color="ffffff" w:fill="eaf0dd"/>
      </w:tcPr>
    </w:tblStylePr>
    <w:tblStylePr w:type="firstCol">
      <w:rPr>
        <w:b/>
        <w:color w:val="404040"/>
      </w:rPr>
    </w:tblStylePr>
    <w:tblStylePr w:type="firstRow">
      <w:rPr>
        <w:rFonts w:ascii="汉仪书宋二S" w:hAnsi="汉仪书宋二S"/>
        <w:b/>
        <w:color w:val="ffffff"/>
        <w:sz w:val="22"/>
      </w:rPr>
      <w:tcPr>
        <w:shd w:val="clear" w:color="ffffff" w:fill="9bba59"/>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5dfec"/>
      </w:tcPr>
    </w:tblStylePr>
    <w:tblStylePr w:type="band1Vert">
      <w:rPr>
        <w:rFonts w:ascii="汉仪书宋二S" w:hAnsi="汉仪书宋二S"/>
        <w:color w:val="404040"/>
        <w:sz w:val="22"/>
      </w:rPr>
      <w:tcPr>
        <w:shd w:val="clear" w:color="ffffff" w:fill="e5dfec"/>
      </w:tcPr>
    </w:tblStylePr>
    <w:tblStylePr w:type="firstCol">
      <w:rPr>
        <w:b/>
        <w:color w:val="404040"/>
      </w:rPr>
    </w:tblStylePr>
    <w:tblStylePr w:type="firstRow">
      <w:rPr>
        <w:rFonts w:ascii="汉仪书宋二S" w:hAnsi="汉仪书宋二S"/>
        <w:b/>
        <w:color w:val="ffffff"/>
        <w:sz w:val="22"/>
      </w:rPr>
      <w:tcPr>
        <w:shd w:val="clear" w:color="ffffff" w:fill="b2a1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aeef3"/>
      </w:tcPr>
    </w:tblStylePr>
    <w:tblStylePr w:type="band1Vert">
      <w:rPr>
        <w:rFonts w:ascii="汉仪书宋二S" w:hAnsi="汉仪书宋二S"/>
        <w:color w:val="404040"/>
        <w:sz w:val="22"/>
      </w:rPr>
      <w:tcPr>
        <w:shd w:val="clear" w:color="ffffff" w:fill="daeef3"/>
      </w:tcPr>
    </w:tblStylePr>
    <w:tblStylePr w:type="firstCol">
      <w:rPr>
        <w:b/>
        <w:color w:val="404040"/>
      </w:rPr>
    </w:tblStylePr>
    <w:tblStylePr w:type="firstRow">
      <w:rPr>
        <w:rFonts w:ascii="汉仪书宋二S" w:hAnsi="汉仪书宋二S"/>
        <w:b/>
        <w:color w:val="ffffff"/>
        <w:sz w:val="22"/>
      </w:rPr>
      <w:tcPr>
        <w:shd w:val="clear" w:color="ffffff" w:fill="4bac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de9d8"/>
      </w:tcPr>
    </w:tblStylePr>
    <w:tblStylePr w:type="band1Vert">
      <w:rPr>
        <w:rFonts w:ascii="汉仪书宋二S" w:hAnsi="汉仪书宋二S"/>
        <w:color w:val="404040"/>
        <w:sz w:val="22"/>
      </w:rPr>
      <w:tcPr>
        <w:shd w:val="clear" w:color="ffffff" w:fill="fde9d8"/>
      </w:tcPr>
    </w:tblStylePr>
    <w:tblStylePr w:type="firstCol">
      <w:rPr>
        <w:b/>
        <w:color w:val="404040"/>
      </w:rPr>
    </w:tblStylePr>
    <w:tblStylePr w:type="firstRow">
      <w:rPr>
        <w:rFonts w:ascii="汉仪书宋二S" w:hAnsi="汉仪书宋二S"/>
        <w:b/>
        <w:color w:val="ffffff"/>
        <w:sz w:val="22"/>
      </w:rPr>
      <w:tcPr>
        <w:shd w:val="clear" w:color="ffffff" w:fill="f7964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_Style 9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汉仪书宋二S" w:hAnsi="汉仪书宋二S"/>
        <w:b/>
        <w:color w:val="ffffff"/>
        <w:sz w:val="22"/>
      </w:rPr>
      <w:tcPr>
        <w:shd w:val="clear" w:color="ffffff" w:fill="000000"/>
      </w:tcPr>
    </w:tblStylePr>
    <w:tblStylePr w:type="firstRow">
      <w:rPr>
        <w:rFonts w:ascii="汉仪书宋二S" w:hAnsi="汉仪书宋二S"/>
        <w:b/>
        <w:color w:val="ffffff"/>
        <w:sz w:val="22"/>
      </w:rPr>
      <w:tcPr>
        <w:shd w:val="clear" w:color="ffffff" w:fill="000000"/>
      </w:tcPr>
    </w:tblStylePr>
    <w:tblStylePr w:type="lastCol">
      <w:rPr>
        <w:rFonts w:ascii="汉仪书宋二S" w:hAnsi="汉仪书宋二S"/>
        <w:b/>
        <w:color w:val="ffffff"/>
        <w:sz w:val="22"/>
      </w:rPr>
      <w:tcPr>
        <w:shd w:val="clear" w:color="ffffff" w:fill="000000"/>
      </w:tcPr>
    </w:tblStylePr>
    <w:tblStylePr w:type="lastRow">
      <w:rPr>
        <w:rFonts w:ascii="汉仪书宋二S" w:hAnsi="汉仪书宋二S"/>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汉仪书宋二S" w:hAnsi="汉仪书宋二S"/>
        <w:b/>
        <w:color w:val="ffffff"/>
        <w:sz w:val="22"/>
      </w:rPr>
      <w:tcPr>
        <w:shd w:val="clear" w:color="ffffff" w:fill="4f81bd"/>
      </w:tcPr>
    </w:tblStylePr>
    <w:tblStylePr w:type="firstRow">
      <w:rPr>
        <w:rFonts w:ascii="汉仪书宋二S" w:hAnsi="汉仪书宋二S"/>
        <w:b/>
        <w:color w:val="ffffff"/>
        <w:sz w:val="22"/>
      </w:rPr>
      <w:tcPr>
        <w:shd w:val="clear" w:color="ffffff" w:fill="4f81bd"/>
      </w:tcPr>
    </w:tblStylePr>
    <w:tblStylePr w:type="lastCol">
      <w:rPr>
        <w:rFonts w:ascii="汉仪书宋二S" w:hAnsi="汉仪书宋二S"/>
        <w:b/>
        <w:color w:val="ffffff"/>
        <w:sz w:val="22"/>
      </w:rPr>
      <w:tcPr>
        <w:shd w:val="clear" w:color="ffffff" w:fill="4f81bd"/>
      </w:tcPr>
    </w:tblStylePr>
    <w:tblStylePr w:type="lastRow">
      <w:rPr>
        <w:rFonts w:ascii="汉仪书宋二S" w:hAnsi="汉仪书宋二S"/>
        <w:b/>
        <w:color w:val="ffffff"/>
        <w:sz w:val="22"/>
      </w:rPr>
      <w:tcPr>
        <w:shd w:val="clear" w:color="ffffff" w:fill="4f81b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汉仪书宋二S" w:hAnsi="汉仪书宋二S"/>
        <w:b/>
        <w:color w:val="ffffff"/>
        <w:sz w:val="22"/>
      </w:rPr>
      <w:tcPr>
        <w:shd w:val="clear" w:color="ffffff" w:fill="c0504d"/>
      </w:tcPr>
    </w:tblStylePr>
    <w:tblStylePr w:type="firstRow">
      <w:rPr>
        <w:rFonts w:ascii="汉仪书宋二S" w:hAnsi="汉仪书宋二S"/>
        <w:b/>
        <w:color w:val="ffffff"/>
        <w:sz w:val="22"/>
      </w:rPr>
      <w:tcPr>
        <w:shd w:val="clear" w:color="ffffff" w:fill="c0504d"/>
      </w:tcPr>
    </w:tblStylePr>
    <w:tblStylePr w:type="lastCol">
      <w:rPr>
        <w:rFonts w:ascii="汉仪书宋二S" w:hAnsi="汉仪书宋二S"/>
        <w:b/>
        <w:color w:val="ffffff"/>
        <w:sz w:val="22"/>
      </w:rPr>
      <w:tcPr>
        <w:shd w:val="clear" w:color="ffffff" w:fill="c0504d"/>
      </w:tcPr>
    </w:tblStylePr>
    <w:tblStylePr w:type="lastRow">
      <w:rPr>
        <w:rFonts w:ascii="汉仪书宋二S" w:hAnsi="汉仪书宋二S"/>
        <w:b/>
        <w:color w:val="ffffff"/>
        <w:sz w:val="22"/>
      </w:rPr>
      <w:tcPr>
        <w:shd w:val="clear" w:color="ffffff" w:fill="c0504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汉仪书宋二S" w:hAnsi="汉仪书宋二S"/>
        <w:b/>
        <w:color w:val="ffffff"/>
        <w:sz w:val="22"/>
      </w:rPr>
      <w:tcPr>
        <w:shd w:val="clear" w:color="ffffff" w:fill="9bbb59"/>
      </w:tcPr>
    </w:tblStylePr>
    <w:tblStylePr w:type="firstRow">
      <w:rPr>
        <w:rFonts w:ascii="汉仪书宋二S" w:hAnsi="汉仪书宋二S"/>
        <w:b/>
        <w:color w:val="ffffff"/>
        <w:sz w:val="22"/>
      </w:rPr>
      <w:tcPr>
        <w:shd w:val="clear" w:color="ffffff" w:fill="9bbb59"/>
      </w:tcPr>
    </w:tblStylePr>
    <w:tblStylePr w:type="lastCol">
      <w:rPr>
        <w:rFonts w:ascii="汉仪书宋二S" w:hAnsi="汉仪书宋二S"/>
        <w:b/>
        <w:color w:val="ffffff"/>
        <w:sz w:val="22"/>
      </w:rPr>
      <w:tcPr>
        <w:shd w:val="clear" w:color="ffffff" w:fill="9bbb59"/>
      </w:tcPr>
    </w:tblStylePr>
    <w:tblStylePr w:type="lastRow">
      <w:rPr>
        <w:rFonts w:ascii="汉仪书宋二S" w:hAnsi="汉仪书宋二S"/>
        <w:b/>
        <w:color w:val="ffffff"/>
        <w:sz w:val="22"/>
      </w:rPr>
      <w:tcPr>
        <w:shd w:val="clear" w:color="ffffff" w:fill="9bbb59"/>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汉仪书宋二S" w:hAnsi="汉仪书宋二S"/>
        <w:b/>
        <w:color w:val="ffffff"/>
        <w:sz w:val="22"/>
      </w:rPr>
      <w:tcPr>
        <w:shd w:val="clear" w:color="ffffff" w:fill="8064a2"/>
      </w:tcPr>
    </w:tblStylePr>
    <w:tblStylePr w:type="firstRow">
      <w:rPr>
        <w:rFonts w:ascii="汉仪书宋二S" w:hAnsi="汉仪书宋二S"/>
        <w:b/>
        <w:color w:val="ffffff"/>
        <w:sz w:val="22"/>
      </w:rPr>
      <w:tcPr>
        <w:shd w:val="clear" w:color="ffffff" w:fill="8064a2"/>
      </w:tcPr>
    </w:tblStylePr>
    <w:tblStylePr w:type="lastCol">
      <w:rPr>
        <w:rFonts w:ascii="汉仪书宋二S" w:hAnsi="汉仪书宋二S"/>
        <w:b/>
        <w:color w:val="ffffff"/>
        <w:sz w:val="22"/>
      </w:rPr>
      <w:tcPr>
        <w:shd w:val="clear" w:color="ffffff" w:fill="8064a2"/>
      </w:tcPr>
    </w:tblStylePr>
    <w:tblStylePr w:type="lastRow">
      <w:rPr>
        <w:rFonts w:ascii="汉仪书宋二S" w:hAnsi="汉仪书宋二S"/>
        <w:b/>
        <w:color w:val="ffffff"/>
        <w:sz w:val="22"/>
      </w:rPr>
      <w:tcPr>
        <w:shd w:val="clear" w:color="ffffff" w:fill="8064a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汉仪书宋二S" w:hAnsi="汉仪书宋二S"/>
        <w:b/>
        <w:color w:val="ffffff"/>
        <w:sz w:val="22"/>
      </w:rPr>
      <w:tcPr>
        <w:shd w:val="clear" w:color="ffffff" w:fill="4bacc6"/>
      </w:tcPr>
    </w:tblStylePr>
    <w:tblStylePr w:type="firstRow">
      <w:rPr>
        <w:rFonts w:ascii="汉仪书宋二S" w:hAnsi="汉仪书宋二S"/>
        <w:b/>
        <w:color w:val="ffffff"/>
        <w:sz w:val="22"/>
      </w:rPr>
      <w:tcPr>
        <w:shd w:val="clear" w:color="ffffff" w:fill="4bacc6"/>
      </w:tcPr>
    </w:tblStylePr>
    <w:tblStylePr w:type="lastCol">
      <w:rPr>
        <w:rFonts w:ascii="汉仪书宋二S" w:hAnsi="汉仪书宋二S"/>
        <w:b/>
        <w:color w:val="ffffff"/>
        <w:sz w:val="22"/>
      </w:rPr>
      <w:tcPr>
        <w:shd w:val="clear" w:color="ffffff" w:fill="4bacc6"/>
      </w:tcPr>
    </w:tblStylePr>
    <w:tblStylePr w:type="lastRow">
      <w:rPr>
        <w:rFonts w:ascii="汉仪书宋二S" w:hAnsi="汉仪书宋二S"/>
        <w:b/>
        <w:color w:val="ffffff"/>
        <w:sz w:val="22"/>
      </w:rPr>
      <w:tcPr>
        <w:shd w:val="clear" w:color="ffffff" w:fill="4bacc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汉仪书宋二S" w:hAnsi="汉仪书宋二S"/>
        <w:b/>
        <w:color w:val="ffffff"/>
        <w:sz w:val="22"/>
      </w:rPr>
      <w:tcPr>
        <w:shd w:val="clear" w:color="ffffff" w:fill="f79646"/>
      </w:tcPr>
    </w:tblStylePr>
    <w:tblStylePr w:type="firstRow">
      <w:rPr>
        <w:rFonts w:ascii="汉仪书宋二S" w:hAnsi="汉仪书宋二S"/>
        <w:b/>
        <w:color w:val="ffffff"/>
        <w:sz w:val="22"/>
      </w:rPr>
      <w:tcPr>
        <w:shd w:val="clear" w:color="ffffff" w:fill="f79646"/>
      </w:tcPr>
    </w:tblStylePr>
    <w:tblStylePr w:type="lastCol">
      <w:rPr>
        <w:rFonts w:ascii="汉仪书宋二S" w:hAnsi="汉仪书宋二S"/>
        <w:b/>
        <w:color w:val="ffffff"/>
        <w:sz w:val="22"/>
      </w:rPr>
      <w:tcPr>
        <w:shd w:val="clear" w:color="ffffff" w:fill="f79646"/>
      </w:tcPr>
    </w:tblStylePr>
    <w:tblStylePr w:type="lastRow">
      <w:rPr>
        <w:rFonts w:ascii="汉仪书宋二S" w:hAnsi="汉仪书宋二S"/>
        <w:b/>
        <w:color w:val="ffffff"/>
        <w:sz w:val="22"/>
      </w:rPr>
      <w:tcPr>
        <w:shd w:val="clear" w:color="ffffff" w:fill="f7964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_Style 9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cbcbcb"/>
      </w:tcPr>
    </w:tblStylePr>
    <w:tblStylePr w:type="band1Vert">
      <w:tcPr>
        <w:shd w:val="clear" w:color="ffffff" w:fill="cbcbcb"/>
      </w:tcPr>
    </w:tblStylePr>
    <w:tblStylePr w:type="band2Horz">
      <w:rPr>
        <w:rFonts w:ascii="汉仪书宋二S" w:hAnsi="汉仪书宋二S"/>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892"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ae5f1"/>
      </w:tcPr>
    </w:tblStylePr>
    <w:tblStylePr w:type="band1Vert">
      <w:tcPr>
        <w:shd w:val="clear" w:color="ffffff" w:fill="dae5f1"/>
      </w:tcPr>
    </w:tblStylePr>
    <w:tblStylePr w:type="band2Horz">
      <w:rPr>
        <w:rFonts w:ascii="汉仪书宋二S" w:hAnsi="汉仪书宋二S"/>
        <w:color w:val="404040"/>
        <w:sz w:val="22"/>
      </w:rPr>
    </w:tblStylePr>
    <w:tblStylePr w:type="firstCol">
      <w:rPr>
        <w:b/>
        <w:color w:val="3e70a3"/>
      </w:rPr>
    </w:tblStylePr>
    <w:tblStylePr w:type="firstRow">
      <w:rPr>
        <w:b/>
        <w:color w:val="3e70a3"/>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e70a3"/>
      </w:rPr>
    </w:tblStylePr>
    <w:tblStylePr w:type="lastRow">
      <w:rPr>
        <w:b/>
        <w:color w:val="3e70a3"/>
      </w:rPr>
    </w:tblStylePr>
  </w:style>
  <w:style w:type="table" w:styleId="893"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2dcdb"/>
      </w:tcPr>
    </w:tblStylePr>
    <w:tblStylePr w:type="band1Vert">
      <w:tcPr>
        <w:shd w:val="clear" w:color="ffffff" w:fill="f2dcdb"/>
      </w:tcPr>
    </w:tblStylePr>
    <w:tblStylePr w:type="band2Horz">
      <w:rPr>
        <w:rFonts w:ascii="汉仪书宋二S" w:hAnsi="汉仪书宋二S"/>
        <w:color w:val="404040"/>
        <w:sz w:val="22"/>
      </w:rPr>
    </w:tblStylePr>
    <w:tblStylePr w:type="firstCol">
      <w:rPr>
        <w:b/>
        <w:color w:val="9c3a37"/>
      </w:rPr>
    </w:tblStylePr>
    <w:tblStylePr w:type="firstRow">
      <w:rPr>
        <w:b/>
        <w:color w:val="9c3a3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blStylePr>
  </w:style>
  <w:style w:type="table" w:styleId="894"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af0dd"/>
      </w:tcPr>
    </w:tblStylePr>
    <w:tblStylePr w:type="band1Vert">
      <w:tcPr>
        <w:shd w:val="clear" w:color="ffffff" w:fill="eaf0dd"/>
      </w:tcPr>
    </w:tblStylePr>
    <w:tblStylePr w:type="band2Horz">
      <w:rPr>
        <w:rFonts w:ascii="汉仪书宋二S" w:hAnsi="汉仪书宋二S"/>
        <w:color w:val="404040"/>
        <w:sz w:val="22"/>
      </w:rPr>
    </w:tblStylePr>
    <w:tblStylePr w:type="firstCol">
      <w:rPr>
        <w:b/>
        <w:color w:val="5c702f"/>
      </w:rPr>
    </w:tblStylePr>
    <w:tblStylePr w:type="firstRow">
      <w:rPr>
        <w:b/>
        <w:color w:val="5c702f"/>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5c702f"/>
      </w:rPr>
    </w:tblStylePr>
    <w:tblStylePr w:type="lastRow">
      <w:rPr>
        <w:b/>
        <w:color w:val="5c702f"/>
      </w:rPr>
    </w:tblStylePr>
  </w:style>
  <w:style w:type="table" w:styleId="895"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5dfec"/>
      </w:tcPr>
    </w:tblStylePr>
    <w:tblStylePr w:type="band1Vert">
      <w:tcPr>
        <w:shd w:val="clear" w:color="ffffff" w:fill="e5dfec"/>
      </w:tcPr>
    </w:tblStylePr>
    <w:tblStylePr w:type="band2Horz">
      <w:rPr>
        <w:rFonts w:ascii="汉仪书宋二S" w:hAnsi="汉仪书宋二S"/>
        <w:color w:val="404040"/>
        <w:sz w:val="22"/>
      </w:rPr>
    </w:tblStylePr>
    <w:tblStylePr w:type="firstCol">
      <w:rPr>
        <w:b/>
        <w:color w:val="664f82"/>
      </w:rPr>
    </w:tblStylePr>
    <w:tblStylePr w:type="firstRow">
      <w:rPr>
        <w:b/>
        <w:color w:val="664f8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blStylePr>
  </w:style>
  <w:style w:type="table" w:styleId="896"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266779"/>
        <w:sz w:val="22"/>
      </w:rPr>
      <w:tcPr>
        <w:shd w:val="clear" w:color="ffffff" w:fill="daeef3"/>
      </w:tcPr>
    </w:tblStylePr>
    <w:tblStylePr w:type="band1Vert">
      <w:tcPr>
        <w:shd w:val="clear" w:color="ffffff" w:fill="daeef3"/>
      </w:tcPr>
    </w:tblStylePr>
    <w:tblStylePr w:type="band2Horz">
      <w:rPr>
        <w:rFonts w:ascii="汉仪书宋二S" w:hAnsi="汉仪书宋二S"/>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897"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266779"/>
        <w:sz w:val="22"/>
      </w:rPr>
      <w:tcPr>
        <w:shd w:val="clear" w:color="ffffff" w:fill="fde9d8"/>
      </w:tcPr>
    </w:tblStylePr>
    <w:tblStylePr w:type="band1Vert">
      <w:tcPr>
        <w:shd w:val="clear" w:color="ffffff" w:fill="fde9d8"/>
      </w:tcPr>
    </w:tblStylePr>
    <w:tblStylePr w:type="band2Horz">
      <w:rPr>
        <w:rFonts w:ascii="汉仪书宋二S" w:hAnsi="汉仪书宋二S"/>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898" w:customStyle="1">
    <w:name w:val="_Style 10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a4a4a"/>
        <w:sz w:val="22"/>
      </w:rPr>
      <w:tcPr>
        <w:shd w:val="clear" w:color="ffffff" w:fill="f2f2f2"/>
      </w:tcPr>
    </w:tblStylePr>
    <w:tblStylePr w:type="band1Vert">
      <w:tcPr>
        <w:shd w:val="clear" w:color="ffffff" w:fill="f2f2f2"/>
      </w:tcPr>
    </w:tblStylePr>
    <w:tblStylePr w:type="band2Horz">
      <w:rPr>
        <w:rFonts w:ascii="汉仪书宋二S" w:hAnsi="汉仪书宋二S"/>
        <w:color w:val="4a4a4a"/>
        <w:sz w:val="22"/>
      </w:rPr>
    </w:tblStylePr>
    <w:tblStylePr w:type="firstCol">
      <w:rPr>
        <w:rFonts w:ascii="汉仪书宋二S" w:hAnsi="汉仪书宋二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3e70a3"/>
        <w:sz w:val="22"/>
      </w:rPr>
      <w:tcPr>
        <w:shd w:val="clear" w:color="ffffff" w:fill="dae5f1"/>
      </w:tcPr>
    </w:tblStylePr>
    <w:tblStylePr w:type="band1Vert">
      <w:tcPr>
        <w:shd w:val="clear" w:color="ffffff" w:fill="dae5f1"/>
      </w:tcPr>
    </w:tblStylePr>
    <w:tblStylePr w:type="band2Horz">
      <w:rPr>
        <w:rFonts w:ascii="汉仪书宋二S" w:hAnsi="汉仪书宋二S"/>
        <w:color w:val="3e70a3"/>
        <w:sz w:val="22"/>
      </w:rPr>
    </w:tblStylePr>
    <w:tblStylePr w:type="firstCol">
      <w:rPr>
        <w:rFonts w:ascii="汉仪书宋二S" w:hAnsi="汉仪书宋二S"/>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b/>
        <w:color w:val="3e70a3"/>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3e70a3"/>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b/>
        <w:color w:val="3e70a3"/>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9c3a37"/>
        <w:sz w:val="22"/>
      </w:rPr>
      <w:tcPr>
        <w:shd w:val="clear" w:color="ffffff" w:fill="f2dcdb"/>
      </w:tcPr>
    </w:tblStylePr>
    <w:tblStylePr w:type="band1Vert">
      <w:tcPr>
        <w:shd w:val="clear" w:color="ffffff" w:fill="f2dcdb"/>
      </w:tcPr>
    </w:tblStylePr>
    <w:tblStylePr w:type="band2Horz">
      <w:rPr>
        <w:rFonts w:ascii="汉仪书宋二S" w:hAnsi="汉仪书宋二S"/>
        <w:color w:val="9c3a37"/>
        <w:sz w:val="22"/>
      </w:rPr>
    </w:tblStylePr>
    <w:tblStylePr w:type="firstCol">
      <w:rPr>
        <w:rFonts w:ascii="汉仪书宋二S" w:hAnsi="汉仪书宋二S"/>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b/>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b/>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5c702f"/>
        <w:sz w:val="22"/>
      </w:rPr>
      <w:tcPr>
        <w:shd w:val="clear" w:color="ffffff" w:fill="eaf0dd"/>
      </w:tcPr>
    </w:tblStylePr>
    <w:tblStylePr w:type="band1Vert">
      <w:tcPr>
        <w:shd w:val="clear" w:color="ffffff" w:fill="eaf0dd"/>
      </w:tcPr>
    </w:tblStylePr>
    <w:tblStylePr w:type="band2Horz">
      <w:rPr>
        <w:rFonts w:ascii="汉仪书宋二S" w:hAnsi="汉仪书宋二S"/>
        <w:color w:val="5c702f"/>
        <w:sz w:val="22"/>
      </w:rPr>
    </w:tblStylePr>
    <w:tblStylePr w:type="firstCol">
      <w:rPr>
        <w:rFonts w:ascii="汉仪书宋二S" w:hAnsi="汉仪书宋二S"/>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b/>
        <w:color w:val="5c702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5c702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b/>
        <w:color w:val="5c702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664f82"/>
        <w:sz w:val="22"/>
      </w:rPr>
      <w:tcPr>
        <w:shd w:val="clear" w:color="ffffff" w:fill="e5dfec"/>
      </w:tcPr>
    </w:tblStylePr>
    <w:tblStylePr w:type="band1Vert">
      <w:tcPr>
        <w:shd w:val="clear" w:color="ffffff" w:fill="e5dfec"/>
      </w:tcPr>
    </w:tblStylePr>
    <w:tblStylePr w:type="band2Horz">
      <w:rPr>
        <w:rFonts w:ascii="汉仪书宋二S" w:hAnsi="汉仪书宋二S"/>
        <w:color w:val="664f82"/>
        <w:sz w:val="22"/>
      </w:rPr>
    </w:tblStylePr>
    <w:tblStylePr w:type="firstCol">
      <w:rPr>
        <w:rFonts w:ascii="汉仪书宋二S" w:hAnsi="汉仪书宋二S"/>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b/>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b/>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266777"/>
        <w:sz w:val="22"/>
      </w:rPr>
      <w:tcPr>
        <w:shd w:val="clear" w:color="ffffff" w:fill="daeef3"/>
      </w:tcPr>
    </w:tblStylePr>
    <w:tblStylePr w:type="band1Vert">
      <w:tcPr>
        <w:shd w:val="clear" w:color="ffffff" w:fill="daeef3"/>
      </w:tcPr>
    </w:tblStylePr>
    <w:tblStylePr w:type="band2Horz">
      <w:rPr>
        <w:rFonts w:ascii="汉仪书宋二S" w:hAnsi="汉仪书宋二S"/>
        <w:color w:val="266777"/>
        <w:sz w:val="22"/>
      </w:rPr>
    </w:tblStylePr>
    <w:tblStylePr w:type="firstCol">
      <w:rPr>
        <w:rFonts w:ascii="汉仪书宋二S" w:hAnsi="汉仪书宋二S"/>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b/>
        <w:color w:val="26677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26677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b/>
        <w:color w:val="26677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b05307"/>
        <w:sz w:val="22"/>
      </w:rPr>
      <w:tcPr>
        <w:shd w:val="clear" w:color="ffffff" w:fill="fde9d8"/>
      </w:tcPr>
    </w:tblStylePr>
    <w:tblStylePr w:type="band1Vert">
      <w:tcPr>
        <w:shd w:val="clear" w:color="ffffff" w:fill="fde9d8"/>
      </w:tcPr>
    </w:tblStylePr>
    <w:tblStylePr w:type="band2Horz">
      <w:rPr>
        <w:rFonts w:ascii="汉仪书宋二S" w:hAnsi="汉仪书宋二S"/>
        <w:color w:val="b05307"/>
        <w:sz w:val="22"/>
      </w:rPr>
    </w:tblStylePr>
    <w:tblStylePr w:type="firstCol">
      <w:rPr>
        <w:rFonts w:ascii="汉仪书宋二S" w:hAnsi="汉仪书宋二S"/>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b/>
        <w:color w:val="b0530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b0530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b/>
        <w:color w:val="b0530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_Style 111"/>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_Style 118"/>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bfbfbf"/>
      </w:tcPr>
    </w:tblStylePr>
    <w:tblStylePr w:type="band1Vert">
      <w:rPr>
        <w:rFonts w:ascii="汉仪书宋二S" w:hAnsi="汉仪书宋二S"/>
        <w:color w:val="404040"/>
        <w:sz w:val="22"/>
      </w:rPr>
      <w:tcPr>
        <w:shd w:val="clear" w:color="ffffff" w:fill="bfbfbf"/>
      </w:tcPr>
    </w:tblStylePr>
    <w:tblStylePr w:type="firstCol">
      <w:rPr>
        <w:rFonts w:ascii="汉仪书宋二S" w:hAnsi="汉仪书宋二S"/>
        <w:b/>
        <w:color w:val="404040"/>
        <w:sz w:val="22"/>
      </w:rPr>
    </w:tblStylePr>
    <w:tblStylePr w:type="fir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b/>
        <w:color w:val="404040"/>
        <w:sz w:val="22"/>
      </w:rPr>
    </w:tblStylePr>
    <w:tblStylePr w:type="la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3e0ee"/>
      </w:tcPr>
    </w:tblStylePr>
    <w:tblStylePr w:type="band1Vert">
      <w:rPr>
        <w:rFonts w:ascii="汉仪书宋二S" w:hAnsi="汉仪书宋二S"/>
        <w:color w:val="404040"/>
        <w:sz w:val="22"/>
      </w:rPr>
      <w:tcPr>
        <w:shd w:val="clear" w:color="ffffff" w:fill="d3e0ee"/>
      </w:tcPr>
    </w:tblStylePr>
    <w:tblStylePr w:type="firstCol">
      <w:rPr>
        <w:rFonts w:ascii="汉仪书宋二S" w:hAnsi="汉仪书宋二S"/>
        <w:b/>
        <w:color w:val="404040"/>
        <w:sz w:val="22"/>
      </w:rPr>
    </w:tblStylePr>
    <w:tblStylePr w:type="fir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b/>
        <w:color w:val="404040"/>
        <w:sz w:val="22"/>
      </w:rPr>
    </w:tblStylePr>
    <w:tblStylePr w:type="la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fd3d2"/>
      </w:tcPr>
    </w:tblStylePr>
    <w:tblStylePr w:type="band1Vert">
      <w:rPr>
        <w:rFonts w:ascii="汉仪书宋二S" w:hAnsi="汉仪书宋二S"/>
        <w:color w:val="404040"/>
        <w:sz w:val="22"/>
      </w:rPr>
      <w:tcPr>
        <w:shd w:val="clear" w:color="ffffff" w:fill="efd3d2"/>
      </w:tcPr>
    </w:tblStylePr>
    <w:tblStylePr w:type="firstCol">
      <w:rPr>
        <w:rFonts w:ascii="汉仪书宋二S" w:hAnsi="汉仪书宋二S"/>
        <w:b/>
        <w:color w:val="404040"/>
        <w:sz w:val="22"/>
      </w:rPr>
    </w:tblStylePr>
    <w:tblStylePr w:type="fir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b/>
        <w:color w:val="404040"/>
        <w:sz w:val="22"/>
      </w:rPr>
    </w:tblStylePr>
    <w:tblStylePr w:type="la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6eed5"/>
      </w:tcPr>
    </w:tblStylePr>
    <w:tblStylePr w:type="band1Vert">
      <w:rPr>
        <w:rFonts w:ascii="汉仪书宋二S" w:hAnsi="汉仪书宋二S"/>
        <w:color w:val="404040"/>
        <w:sz w:val="22"/>
      </w:rPr>
      <w:tcPr>
        <w:shd w:val="clear" w:color="ffffff" w:fill="e6eed5"/>
      </w:tcPr>
    </w:tblStylePr>
    <w:tblStylePr w:type="firstCol">
      <w:rPr>
        <w:rFonts w:ascii="汉仪书宋二S" w:hAnsi="汉仪书宋二S"/>
        <w:b/>
        <w:color w:val="404040"/>
        <w:sz w:val="22"/>
      </w:rPr>
    </w:tblStylePr>
    <w:tblStylePr w:type="fir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b/>
        <w:color w:val="404040"/>
        <w:sz w:val="22"/>
      </w:rPr>
    </w:tblStylePr>
    <w:tblStylePr w:type="la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fd8e7"/>
      </w:tcPr>
    </w:tblStylePr>
    <w:tblStylePr w:type="band1Vert">
      <w:rPr>
        <w:rFonts w:ascii="汉仪书宋二S" w:hAnsi="汉仪书宋二S"/>
        <w:color w:val="404040"/>
        <w:sz w:val="22"/>
      </w:rPr>
      <w:tcPr>
        <w:shd w:val="clear" w:color="ffffff" w:fill="dfd8e7"/>
      </w:tcPr>
    </w:tblStylePr>
    <w:tblStylePr w:type="firstCol">
      <w:rPr>
        <w:rFonts w:ascii="汉仪书宋二S" w:hAnsi="汉仪书宋二S"/>
        <w:b/>
        <w:color w:val="404040"/>
        <w:sz w:val="22"/>
      </w:rPr>
    </w:tblStylePr>
    <w:tblStylePr w:type="fir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b/>
        <w:color w:val="404040"/>
        <w:sz w:val="22"/>
      </w:rPr>
    </w:tblStylePr>
    <w:tblStylePr w:type="la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1eaf0"/>
      </w:tcPr>
    </w:tblStylePr>
    <w:tblStylePr w:type="band1Vert">
      <w:rPr>
        <w:rFonts w:ascii="汉仪书宋二S" w:hAnsi="汉仪书宋二S"/>
        <w:color w:val="404040"/>
        <w:sz w:val="22"/>
      </w:rPr>
      <w:tcPr>
        <w:shd w:val="clear" w:color="ffffff" w:fill="d1eaf0"/>
      </w:tcPr>
    </w:tblStylePr>
    <w:tblStylePr w:type="firstCol">
      <w:rPr>
        <w:rFonts w:ascii="汉仪书宋二S" w:hAnsi="汉仪书宋二S"/>
        <w:b/>
        <w:color w:val="404040"/>
        <w:sz w:val="22"/>
      </w:rPr>
    </w:tblStylePr>
    <w:tblStylePr w:type="fir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b/>
        <w:color w:val="404040"/>
        <w:sz w:val="22"/>
      </w:rPr>
    </w:tblStylePr>
    <w:tblStylePr w:type="la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ce4d1"/>
      </w:tcPr>
    </w:tblStylePr>
    <w:tblStylePr w:type="band1Vert">
      <w:rPr>
        <w:rFonts w:ascii="汉仪书宋二S" w:hAnsi="汉仪书宋二S"/>
        <w:color w:val="404040"/>
        <w:sz w:val="22"/>
      </w:rPr>
      <w:tcPr>
        <w:shd w:val="clear" w:color="ffffff" w:fill="fce4d1"/>
      </w:tcPr>
    </w:tblStylePr>
    <w:tblStylePr w:type="firstCol">
      <w:rPr>
        <w:rFonts w:ascii="汉仪书宋二S" w:hAnsi="汉仪书宋二S"/>
        <w:b/>
        <w:color w:val="404040"/>
        <w:sz w:val="22"/>
      </w:rPr>
    </w:tblStylePr>
    <w:tblStylePr w:type="fir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b/>
        <w:color w:val="404040"/>
        <w:sz w:val="22"/>
      </w:rPr>
    </w:tblStylePr>
    <w:tblStylePr w:type="lastRow">
      <w:rPr>
        <w:rFonts w:ascii="汉仪书宋二S" w:hAnsi="汉仪书宋二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_Style 12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汉仪书宋二S" w:hAnsi="汉仪书宋二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汉仪书宋二S" w:hAnsi="汉仪书宋二S"/>
        <w:b/>
        <w:color w:val="ffffff"/>
        <w:sz w:val="22"/>
      </w:rPr>
      <w:tcPr>
        <w:shd w:val="clear" w:color="ffffff" w:fill="000000"/>
      </w:tcPr>
    </w:tblStylePr>
    <w:tblStylePr w:type="lastCol">
      <w:rPr>
        <w:b/>
        <w:color w:val="404040"/>
      </w:rPr>
    </w:tblStylePr>
    <w:tblStylePr w:type="lastRow">
      <w:rPr>
        <w:b/>
        <w:color w:val="404040"/>
      </w:rPr>
    </w:tblStylePr>
  </w:style>
  <w:style w:type="table" w:styleId="920"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汉仪书宋二S" w:hAnsi="汉仪书宋二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汉仪书宋二S" w:hAnsi="汉仪书宋二S"/>
        <w:b/>
        <w:color w:val="ffffff"/>
        <w:sz w:val="22"/>
      </w:rPr>
      <w:tcPr>
        <w:shd w:val="clear" w:color="ffffff" w:fill="4f81bd"/>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汉仪书宋二S" w:hAnsi="汉仪书宋二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汉仪书宋二S" w:hAnsi="汉仪书宋二S"/>
        <w:b/>
        <w:color w:val="ffffff"/>
        <w:sz w:val="22"/>
      </w:rPr>
      <w:tcPr>
        <w:shd w:val="clear" w:color="ffffff" w:fill="d99694"/>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汉仪书宋二S" w:hAnsi="汉仪书宋二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汉仪书宋二S" w:hAnsi="汉仪书宋二S"/>
        <w:b/>
        <w:color w:val="ffffff"/>
        <w:sz w:val="22"/>
      </w:rPr>
      <w:tcPr>
        <w:shd w:val="clear" w:color="ffffff" w:fill="c3d69b"/>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汉仪书宋二S" w:hAnsi="汉仪书宋二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汉仪书宋二S" w:hAnsi="汉仪书宋二S"/>
        <w:b/>
        <w:color w:val="ffffff"/>
        <w:sz w:val="22"/>
      </w:rPr>
      <w:tcPr>
        <w:shd w:val="clear" w:color="ffffff" w:fill="b2a1c6"/>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汉仪书宋二S" w:hAnsi="汉仪书宋二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汉仪书宋二S" w:hAnsi="汉仪书宋二S"/>
        <w:b/>
        <w:color w:val="ffffff"/>
        <w:sz w:val="22"/>
      </w:rPr>
      <w:tcPr>
        <w:shd w:val="clear" w:color="ffffff" w:fill="91cddc"/>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汉仪书宋二S" w:hAnsi="汉仪书宋二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汉仪书宋二S" w:hAnsi="汉仪书宋二S"/>
        <w:b/>
        <w:color w:val="ffffff"/>
        <w:sz w:val="22"/>
      </w:rPr>
      <w:tcPr>
        <w:shd w:val="clear" w:color="ffffff" w:fill="f9bf90"/>
      </w:tcPr>
    </w:tblStylePr>
    <w:tblStylePr w:type="lastCol">
      <w:rPr>
        <w:b/>
        <w:color w:val="404040"/>
      </w:rPr>
    </w:tblStylePr>
    <w:tblStylePr w:type="lastRow">
      <w:rPr>
        <w:b/>
        <w:color w:val="404040"/>
      </w:rPr>
    </w:tblStylePr>
  </w:style>
  <w:style w:type="table" w:styleId="926" w:customStyle="1">
    <w:name w:val="_Style 13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bfbfbf"/>
      </w:tcPr>
    </w:tblStylePr>
    <w:tblStylePr w:type="band1Vert">
      <w:rPr>
        <w:rFonts w:ascii="汉仪书宋二S" w:hAnsi="汉仪书宋二S"/>
        <w:color w:val="404040"/>
        <w:sz w:val="22"/>
      </w:rPr>
      <w:tcPr>
        <w:shd w:val="clear" w:color="ffffff" w:fill="bfbfbf"/>
      </w:tcPr>
    </w:tblStylePr>
    <w:tblStylePr w:type="firstCol">
      <w:rPr>
        <w:b/>
        <w:color w:val="404040"/>
      </w:rPr>
    </w:tblStylePr>
    <w:tblStylePr w:type="firstRow">
      <w:rPr>
        <w:rFonts w:ascii="汉仪书宋二S" w:hAnsi="汉仪书宋二S"/>
        <w:b/>
        <w:color w:val="ffffff"/>
        <w:sz w:val="22"/>
      </w:rPr>
      <w:tcPr>
        <w:shd w:val="clear" w:color="ffffff" w:fill="000000"/>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3e0ee"/>
      </w:tcPr>
    </w:tblStylePr>
    <w:tblStylePr w:type="band1Vert">
      <w:rPr>
        <w:rFonts w:ascii="汉仪书宋二S" w:hAnsi="汉仪书宋二S"/>
        <w:color w:val="404040"/>
        <w:sz w:val="22"/>
      </w:rPr>
      <w:tcPr>
        <w:shd w:val="clear" w:color="ffffff" w:fill="d3e0ee"/>
      </w:tcPr>
    </w:tblStylePr>
    <w:tblStylePr w:type="firstCol">
      <w:rPr>
        <w:b/>
        <w:color w:val="404040"/>
      </w:rPr>
    </w:tblStylePr>
    <w:tblStylePr w:type="firstRow">
      <w:rPr>
        <w:rFonts w:ascii="汉仪书宋二S" w:hAnsi="汉仪书宋二S"/>
        <w:b/>
        <w:color w:val="ffffff"/>
        <w:sz w:val="22"/>
      </w:rPr>
      <w:tcPr>
        <w:shd w:val="clear" w:color="ffffff" w:fill="4f81bd"/>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fd3d2"/>
      </w:tcPr>
    </w:tblStylePr>
    <w:tblStylePr w:type="band1Vert">
      <w:rPr>
        <w:rFonts w:ascii="汉仪书宋二S" w:hAnsi="汉仪书宋二S"/>
        <w:color w:val="404040"/>
        <w:sz w:val="22"/>
      </w:rPr>
      <w:tcPr>
        <w:shd w:val="clear" w:color="ffffff" w:fill="efd3d2"/>
      </w:tcPr>
    </w:tblStylePr>
    <w:tblStylePr w:type="firstCol">
      <w:rPr>
        <w:b/>
        <w:color w:val="404040"/>
      </w:rPr>
    </w:tblStylePr>
    <w:tblStylePr w:type="firstRow">
      <w:rPr>
        <w:rFonts w:ascii="汉仪书宋二S" w:hAnsi="汉仪书宋二S"/>
        <w:b/>
        <w:color w:val="ffffff"/>
        <w:sz w:val="22"/>
      </w:rPr>
      <w:tcPr>
        <w:shd w:val="clear" w:color="ffffff" w:fill="c0504d"/>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6eed5"/>
      </w:tcPr>
    </w:tblStylePr>
    <w:tblStylePr w:type="band1Vert">
      <w:rPr>
        <w:rFonts w:ascii="汉仪书宋二S" w:hAnsi="汉仪书宋二S"/>
        <w:color w:val="404040"/>
        <w:sz w:val="22"/>
      </w:rPr>
      <w:tcPr>
        <w:shd w:val="clear" w:color="ffffff" w:fill="e6eed5"/>
      </w:tcPr>
    </w:tblStylePr>
    <w:tblStylePr w:type="firstCol">
      <w:rPr>
        <w:b/>
        <w:color w:val="404040"/>
      </w:rPr>
    </w:tblStylePr>
    <w:tblStylePr w:type="firstRow">
      <w:rPr>
        <w:rFonts w:ascii="汉仪书宋二S" w:hAnsi="汉仪书宋二S"/>
        <w:b/>
        <w:color w:val="ffffff"/>
        <w:sz w:val="22"/>
      </w:rPr>
      <w:tcPr>
        <w:shd w:val="clear" w:color="ffffff" w:fill="9bbb59"/>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fd8e7"/>
      </w:tcPr>
    </w:tblStylePr>
    <w:tblStylePr w:type="band1Vert">
      <w:rPr>
        <w:rFonts w:ascii="汉仪书宋二S" w:hAnsi="汉仪书宋二S"/>
        <w:color w:val="404040"/>
        <w:sz w:val="22"/>
      </w:rPr>
      <w:tcPr>
        <w:shd w:val="clear" w:color="ffffff" w:fill="dfd8e7"/>
      </w:tcPr>
    </w:tblStylePr>
    <w:tblStylePr w:type="firstCol">
      <w:rPr>
        <w:b/>
        <w:color w:val="404040"/>
      </w:rPr>
    </w:tblStylePr>
    <w:tblStylePr w:type="firstRow">
      <w:rPr>
        <w:rFonts w:ascii="汉仪书宋二S" w:hAnsi="汉仪书宋二S"/>
        <w:b/>
        <w:color w:val="ffffff"/>
        <w:sz w:val="22"/>
      </w:rPr>
      <w:tcPr>
        <w:shd w:val="clear" w:color="ffffff" w:fill="8064a2"/>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1eaf0"/>
      </w:tcPr>
    </w:tblStylePr>
    <w:tblStylePr w:type="band1Vert">
      <w:rPr>
        <w:rFonts w:ascii="汉仪书宋二S" w:hAnsi="汉仪书宋二S"/>
        <w:color w:val="404040"/>
        <w:sz w:val="22"/>
      </w:rPr>
      <w:tcPr>
        <w:shd w:val="clear" w:color="ffffff" w:fill="d1eaf0"/>
      </w:tcPr>
    </w:tblStylePr>
    <w:tblStylePr w:type="firstCol">
      <w:rPr>
        <w:b/>
        <w:color w:val="404040"/>
      </w:rPr>
    </w:tblStylePr>
    <w:tblStylePr w:type="firstRow">
      <w:rPr>
        <w:rFonts w:ascii="汉仪书宋二S" w:hAnsi="汉仪书宋二S"/>
        <w:b/>
        <w:color w:val="ffffff"/>
        <w:sz w:val="22"/>
      </w:rPr>
      <w:tcPr>
        <w:shd w:val="clear" w:color="ffffff" w:fill="4bacc6"/>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ce4d1"/>
      </w:tcPr>
    </w:tblStylePr>
    <w:tblStylePr w:type="band1Vert">
      <w:rPr>
        <w:rFonts w:ascii="汉仪书宋二S" w:hAnsi="汉仪书宋二S"/>
        <w:color w:val="404040"/>
        <w:sz w:val="22"/>
      </w:rPr>
      <w:tcPr>
        <w:shd w:val="clear" w:color="ffffff" w:fill="fce4d1"/>
      </w:tcPr>
    </w:tblStylePr>
    <w:tblStylePr w:type="firstCol">
      <w:rPr>
        <w:b/>
        <w:color w:val="404040"/>
      </w:rPr>
    </w:tblStylePr>
    <w:tblStylePr w:type="firstRow">
      <w:rPr>
        <w:rFonts w:ascii="汉仪书宋二S" w:hAnsi="汉仪书宋二S"/>
        <w:b/>
        <w:color w:val="ffffff"/>
        <w:sz w:val="22"/>
      </w:rPr>
      <w:tcPr>
        <w:shd w:val="clear" w:color="ffffff" w:fill="f79646"/>
      </w:tcPr>
    </w:tblStylePr>
    <w:tblStylePr w:type="lastCol">
      <w:rPr>
        <w:b/>
        <w:color w:val="404040"/>
      </w:rPr>
    </w:tblStylePr>
    <w:tblStylePr w:type="lastRow">
      <w:rPr>
        <w:b/>
        <w:color w:val="404040"/>
      </w:rPr>
    </w:tblStylePr>
  </w:style>
  <w:style w:type="table" w:styleId="933" w:customStyle="1">
    <w:name w:val="_Style 139"/>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汉仪书宋二S" w:hAnsi="汉仪书宋二S"/>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汉仪书宋二S" w:hAnsi="汉仪书宋二S"/>
        <w:b/>
        <w:color w:val="ffffff"/>
        <w:sz w:val="22"/>
      </w:rPr>
    </w:tblStylePr>
  </w:style>
  <w:style w:type="table" w:styleId="934"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f81bd"/>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汉仪书宋二S" w:hAnsi="汉仪书宋二S"/>
        <w:b/>
        <w:color w:val="ffffff"/>
        <w:sz w:val="22"/>
      </w:rPr>
      <w:tcPr>
        <w:shd w:val="clear" w:color="ffffff" w:fill="4f81bd"/>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汉仪书宋二S" w:hAnsi="汉仪书宋二S"/>
        <w:b/>
        <w:color w:val="ffffff"/>
        <w:sz w:val="22"/>
      </w:rPr>
    </w:tblStylePr>
  </w:style>
  <w:style w:type="table" w:styleId="935"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d9969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汉仪书宋二S" w:hAnsi="汉仪书宋二S"/>
        <w:b/>
        <w:color w:val="ffffff"/>
        <w:sz w:val="22"/>
      </w:rPr>
      <w:tcPr>
        <w:shd w:val="clear" w:color="ffffff" w:fill="d9969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汉仪书宋二S" w:hAnsi="汉仪书宋二S"/>
        <w:b/>
        <w:color w:val="ffffff"/>
        <w:sz w:val="22"/>
      </w:rPr>
    </w:tblStylePr>
  </w:style>
  <w:style w:type="table" w:styleId="936"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3d69b"/>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汉仪书宋二S" w:hAnsi="汉仪书宋二S"/>
        <w:b/>
        <w:color w:val="ffffff"/>
        <w:sz w:val="22"/>
      </w:rPr>
      <w:tcPr>
        <w:shd w:val="clear" w:color="ffffff" w:fill="c3d69b"/>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汉仪书宋二S" w:hAnsi="汉仪书宋二S"/>
        <w:b/>
        <w:color w:val="ffffff"/>
        <w:sz w:val="22"/>
      </w:rPr>
    </w:tblStylePr>
  </w:style>
  <w:style w:type="table" w:styleId="937"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b2a1c6"/>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汉仪书宋二S" w:hAnsi="汉仪书宋二S"/>
        <w:b/>
        <w:color w:val="ffffff"/>
        <w:sz w:val="22"/>
      </w:rPr>
      <w:tcPr>
        <w:shd w:val="clear" w:color="ffffff" w:fill="b2a1c6"/>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汉仪书宋二S" w:hAnsi="汉仪书宋二S"/>
        <w:b/>
        <w:color w:val="ffffff"/>
        <w:sz w:val="22"/>
      </w:rPr>
    </w:tblStylePr>
  </w:style>
  <w:style w:type="table" w:styleId="938"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1cddc"/>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汉仪书宋二S" w:hAnsi="汉仪书宋二S"/>
        <w:b/>
        <w:color w:val="ffffff"/>
        <w:sz w:val="22"/>
      </w:rPr>
      <w:tcPr>
        <w:shd w:val="clear" w:color="ffffff" w:fill="91cddc"/>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汉仪书宋二S" w:hAnsi="汉仪书宋二S"/>
        <w:b/>
        <w:color w:val="ffffff"/>
        <w:sz w:val="22"/>
      </w:rPr>
    </w:tblStylePr>
  </w:style>
  <w:style w:type="table" w:styleId="939"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9bf90"/>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汉仪书宋二S" w:hAnsi="汉仪书宋二S"/>
        <w:b/>
        <w:color w:val="ffffff"/>
        <w:sz w:val="22"/>
      </w:rPr>
      <w:tcPr>
        <w:shd w:val="clear" w:color="ffffff" w:fill="f9bf90"/>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汉仪书宋二S" w:hAnsi="汉仪书宋二S"/>
        <w:b/>
        <w:color w:val="ffffff"/>
        <w:sz w:val="22"/>
      </w:rPr>
    </w:tblStylePr>
  </w:style>
  <w:style w:type="table" w:styleId="940" w:customStyle="1">
    <w:name w:val="_Style 14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汉仪书宋二S" w:hAnsi="汉仪书宋二S"/>
        <w:color w:val="000000"/>
        <w:sz w:val="22"/>
      </w:rPr>
      <w:tcPr>
        <w:shd w:val="clear" w:color="ffffff" w:fill="bfbfbf"/>
      </w:tcPr>
    </w:tblStylePr>
    <w:tblStylePr w:type="band1Vert">
      <w:tcPr>
        <w:shd w:val="clear" w:color="ffffff" w:fill="bfbfbf"/>
      </w:tcPr>
    </w:tblStylePr>
    <w:tblStylePr w:type="band2Horz">
      <w:rPr>
        <w:rFonts w:ascii="汉仪书宋二S" w:hAnsi="汉仪书宋二S"/>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汉仪书宋二S" w:hAnsi="汉仪书宋二S"/>
        <w:color w:val="2a4b71"/>
        <w:sz w:val="22"/>
      </w:rPr>
      <w:tcPr>
        <w:shd w:val="clear" w:color="ffffff" w:fill="d3e0ee"/>
      </w:tcPr>
    </w:tblStylePr>
    <w:tblStylePr w:type="band1Vert">
      <w:tcPr>
        <w:shd w:val="clear" w:color="ffffff" w:fill="d3e0ee"/>
      </w:tcPr>
    </w:tblStylePr>
    <w:tblStylePr w:type="band2Horz">
      <w:rPr>
        <w:rFonts w:ascii="汉仪书宋二S" w:hAnsi="汉仪书宋二S"/>
        <w:color w:val="2a4b71"/>
        <w:sz w:val="22"/>
      </w:rPr>
    </w:tblStylePr>
    <w:tblStylePr w:type="firstCol">
      <w:rPr>
        <w:b/>
        <w:color w:val="2a4b71"/>
      </w:rPr>
    </w:tblStylePr>
    <w:tblStylePr w:type="firstRow">
      <w:rPr>
        <w:b/>
        <w:color w:val="2a4b7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fd3d2"/>
      </w:tcPr>
    </w:tblStylePr>
    <w:tblStylePr w:type="band1Vert">
      <w:tcPr>
        <w:shd w:val="clear" w:color="ffffff" w:fill="efd3d2"/>
      </w:tcPr>
    </w:tblStylePr>
    <w:tblStylePr w:type="band2Horz">
      <w:rPr>
        <w:rFonts w:ascii="汉仪书宋二S" w:hAnsi="汉仪书宋二S"/>
        <w:color w:val="404040"/>
        <w:sz w:val="22"/>
      </w:rPr>
    </w:tblStylePr>
    <w:tblStylePr w:type="firstCol">
      <w:rPr>
        <w:b/>
        <w:color w:val="9c3a37"/>
      </w:rPr>
    </w:tblStylePr>
    <w:tblStylePr w:type="firstRow">
      <w:rPr>
        <w:b/>
        <w:color w:val="9c3a37"/>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e6eed5"/>
      </w:tcPr>
    </w:tblStylePr>
    <w:tblStylePr w:type="band1Vert">
      <w:tcPr>
        <w:shd w:val="clear" w:color="ffffff" w:fill="e6eed5"/>
      </w:tcPr>
    </w:tblStylePr>
    <w:tblStylePr w:type="band2Horz">
      <w:rPr>
        <w:rFonts w:ascii="汉仪书宋二S" w:hAnsi="汉仪书宋二S"/>
        <w:color w:val="404040"/>
        <w:sz w:val="22"/>
      </w:rPr>
    </w:tblStylePr>
    <w:tblStylePr w:type="firstCol">
      <w:rPr>
        <w:b/>
        <w:color w:val="7c983f"/>
      </w:rPr>
    </w:tblStylePr>
    <w:tblStylePr w:type="firstRow">
      <w:rPr>
        <w:b/>
        <w:color w:val="7c983f"/>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c983f"/>
      </w:rPr>
    </w:tblStylePr>
    <w:tblStylePr w:type="lastRow">
      <w:rPr>
        <w:b/>
        <w:color w:val="7c983f"/>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fd8e7"/>
      </w:tcPr>
    </w:tblStylePr>
    <w:tblStylePr w:type="band1Vert">
      <w:tcPr>
        <w:shd w:val="clear" w:color="ffffff" w:fill="dfd8e7"/>
      </w:tcPr>
    </w:tblStylePr>
    <w:tblStylePr w:type="band2Horz">
      <w:rPr>
        <w:rFonts w:ascii="汉仪书宋二S" w:hAnsi="汉仪书宋二S"/>
        <w:color w:val="404040"/>
        <w:sz w:val="22"/>
      </w:rPr>
    </w:tblStylePr>
    <w:tblStylePr w:type="firstCol">
      <w:rPr>
        <w:b/>
        <w:color w:val="664f82"/>
      </w:rPr>
    </w:tblStylePr>
    <w:tblStylePr w:type="firstRow">
      <w:rPr>
        <w:b/>
        <w:color w:val="664f8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d1eaf0"/>
      </w:tcPr>
    </w:tblStylePr>
    <w:tblStylePr w:type="band1Vert">
      <w:tcPr>
        <w:shd w:val="clear" w:color="ffffff" w:fill="d1eaf0"/>
      </w:tcPr>
    </w:tblStylePr>
    <w:tblStylePr w:type="band2Horz">
      <w:rPr>
        <w:rFonts w:ascii="汉仪书宋二S" w:hAnsi="汉仪书宋二S"/>
        <w:color w:val="404040"/>
        <w:sz w:val="22"/>
      </w:rPr>
    </w:tblStylePr>
    <w:tblStylePr w:type="firstCol">
      <w:rPr>
        <w:b/>
        <w:color w:val="338aa0"/>
      </w:rPr>
    </w:tblStylePr>
    <w:tblStylePr w:type="firstRow">
      <w:rPr>
        <w:b/>
        <w:color w:val="338aa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338aa0"/>
      </w:rPr>
    </w:tblStylePr>
    <w:tblStylePr w:type="lastRow">
      <w:rPr>
        <w:b/>
        <w:color w:val="338aa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shd w:val="clear" w:color="ffffff" w:fill="fce4d1"/>
      </w:tcPr>
    </w:tblStylePr>
    <w:tblStylePr w:type="band1Vert">
      <w:tcPr>
        <w:shd w:val="clear" w:color="ffffff" w:fill="fce4d1"/>
      </w:tcPr>
    </w:tblStylePr>
    <w:tblStylePr w:type="band2Horz">
      <w:rPr>
        <w:rFonts w:ascii="汉仪书宋二S" w:hAnsi="汉仪书宋二S"/>
        <w:color w:val="404040"/>
        <w:sz w:val="22"/>
      </w:rPr>
    </w:tblStylePr>
    <w:tblStylePr w:type="firstCol">
      <w:rPr>
        <w:b/>
        <w:color w:val="d9680c"/>
      </w:rPr>
    </w:tblStylePr>
    <w:tblStylePr w:type="firstRow">
      <w:rPr>
        <w:b/>
        <w:color w:val="d9680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d9680c"/>
      </w:rPr>
    </w:tblStylePr>
    <w:tblStylePr w:type="lastRow">
      <w:rPr>
        <w:b/>
        <w:color w:val="d9680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_Style 153"/>
    <w:uiPriority w:val="99"/>
    <w:qFormat/>
    <w:tblPr>
      <w:tblBorders>
        <w:right w:val="single" w:color="000000" w:sz="4" w:space="0"/>
      </w:tblBorders>
      <w:tblCellMar>
        <w:left w:w="0" w:type="dxa"/>
        <w:top w:w="0" w:type="dxa"/>
        <w:right w:w="0" w:type="dxa"/>
        <w:bottom w:w="0" w:type="dxa"/>
      </w:tblCellMar>
    </w:tblPr>
    <w:tblStylePr w:type="band1Horz">
      <w:rPr>
        <w:rFonts w:ascii="汉仪书宋二S" w:hAnsi="汉仪书宋二S"/>
        <w:color w:val="4a4a4a"/>
        <w:sz w:val="22"/>
      </w:rPr>
      <w:tcPr>
        <w:shd w:val="clear" w:color="ffffff" w:fill="bfbfbf"/>
      </w:tcPr>
    </w:tblStylePr>
    <w:tblStylePr w:type="band1Vert">
      <w:tcPr>
        <w:shd w:val="clear" w:color="ffffff" w:fill="bfbfbf"/>
      </w:tcPr>
    </w:tblStylePr>
    <w:tblStylePr w:type="band2Horz">
      <w:rPr>
        <w:rFonts w:ascii="汉仪书宋二S" w:hAnsi="汉仪书宋二S"/>
        <w:color w:val="4a4a4a"/>
        <w:sz w:val="22"/>
      </w:rPr>
    </w:tblStylePr>
    <w:tblStylePr w:type="firstCol">
      <w:rPr>
        <w:rFonts w:ascii="汉仪书宋二S" w:hAnsi="汉仪书宋二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汉仪书宋二S" w:hAnsi="汉仪书宋二S"/>
        <w:color w:val="2a4b71"/>
        <w:sz w:val="22"/>
      </w:rPr>
      <w:tcPr>
        <w:shd w:val="clear" w:color="ffffff" w:fill="d3e0ee"/>
      </w:tcPr>
    </w:tblStylePr>
    <w:tblStylePr w:type="band1Vert">
      <w:tcPr>
        <w:shd w:val="clear" w:color="ffffff" w:fill="d3e0ee"/>
      </w:tcPr>
    </w:tblStylePr>
    <w:tblStylePr w:type="band2Horz">
      <w:rPr>
        <w:rFonts w:ascii="汉仪书宋二S" w:hAnsi="汉仪书宋二S"/>
        <w:color w:val="2a4b71"/>
        <w:sz w:val="22"/>
      </w:rPr>
    </w:tblStylePr>
    <w:tblStylePr w:type="firstCol">
      <w:rPr>
        <w:rFonts w:ascii="汉仪书宋二S" w:hAnsi="汉仪书宋二S"/>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i/>
        <w:color w:val="2a4b7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2a4b7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i/>
        <w:color w:val="2a4b7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汉仪书宋二S" w:hAnsi="汉仪书宋二S"/>
        <w:color w:val="9c3a37"/>
        <w:sz w:val="22"/>
      </w:rPr>
      <w:tcPr>
        <w:shd w:val="clear" w:color="ffffff" w:fill="efd3d2"/>
      </w:tcPr>
    </w:tblStylePr>
    <w:tblStylePr w:type="band1Vert">
      <w:tcPr>
        <w:shd w:val="clear" w:color="ffffff" w:fill="efd3d2"/>
      </w:tcPr>
    </w:tblStylePr>
    <w:tblStylePr w:type="band2Horz">
      <w:rPr>
        <w:rFonts w:ascii="汉仪书宋二S" w:hAnsi="汉仪书宋二S"/>
        <w:color w:val="9c3a37"/>
        <w:sz w:val="22"/>
      </w:rPr>
    </w:tblStylePr>
    <w:tblStylePr w:type="firstCol">
      <w:rPr>
        <w:rFonts w:ascii="汉仪书宋二S" w:hAnsi="汉仪书宋二S"/>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i/>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i/>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汉仪书宋二S" w:hAnsi="汉仪书宋二S"/>
        <w:color w:val="7c983f"/>
        <w:sz w:val="22"/>
      </w:rPr>
      <w:tcPr>
        <w:shd w:val="clear" w:color="ffffff" w:fill="e6eed5"/>
      </w:tcPr>
    </w:tblStylePr>
    <w:tblStylePr w:type="band1Vert">
      <w:tcPr>
        <w:shd w:val="clear" w:color="ffffff" w:fill="e6eed5"/>
      </w:tcPr>
    </w:tblStylePr>
    <w:tblStylePr w:type="band2Horz">
      <w:rPr>
        <w:rFonts w:ascii="汉仪书宋二S" w:hAnsi="汉仪书宋二S"/>
        <w:color w:val="7c983f"/>
        <w:sz w:val="22"/>
      </w:rPr>
    </w:tblStylePr>
    <w:tblStylePr w:type="firstCol">
      <w:rPr>
        <w:rFonts w:ascii="汉仪书宋二S" w:hAnsi="汉仪书宋二S"/>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i/>
        <w:color w:val="7c983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7c983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i/>
        <w:color w:val="7c983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汉仪书宋二S" w:hAnsi="汉仪书宋二S"/>
        <w:color w:val="664f82"/>
        <w:sz w:val="22"/>
      </w:rPr>
      <w:tcPr>
        <w:shd w:val="clear" w:color="ffffff" w:fill="dfd8e7"/>
      </w:tcPr>
    </w:tblStylePr>
    <w:tblStylePr w:type="band1Vert">
      <w:tcPr>
        <w:shd w:val="clear" w:color="ffffff" w:fill="dfd8e7"/>
      </w:tcPr>
    </w:tblStylePr>
    <w:tblStylePr w:type="band2Horz">
      <w:rPr>
        <w:rFonts w:ascii="汉仪书宋二S" w:hAnsi="汉仪书宋二S"/>
        <w:color w:val="664f82"/>
        <w:sz w:val="22"/>
      </w:rPr>
    </w:tblStylePr>
    <w:tblStylePr w:type="firstCol">
      <w:rPr>
        <w:rFonts w:ascii="汉仪书宋二S" w:hAnsi="汉仪书宋二S"/>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i/>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i/>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汉仪书宋二S" w:hAnsi="汉仪书宋二S"/>
        <w:color w:val="338aa0"/>
        <w:sz w:val="22"/>
      </w:rPr>
      <w:tcPr>
        <w:shd w:val="clear" w:color="ffffff" w:fill="d1eaf0"/>
      </w:tcPr>
    </w:tblStylePr>
    <w:tblStylePr w:type="band1Vert">
      <w:tcPr>
        <w:shd w:val="clear" w:color="ffffff" w:fill="d1eaf0"/>
      </w:tcPr>
    </w:tblStylePr>
    <w:tblStylePr w:type="band2Horz">
      <w:rPr>
        <w:rFonts w:ascii="汉仪书宋二S" w:hAnsi="汉仪书宋二S"/>
        <w:color w:val="338aa0"/>
        <w:sz w:val="22"/>
      </w:rPr>
    </w:tblStylePr>
    <w:tblStylePr w:type="firstCol">
      <w:rPr>
        <w:rFonts w:ascii="汉仪书宋二S" w:hAnsi="汉仪书宋二S"/>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i/>
        <w:color w:val="338aa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338aa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i/>
        <w:color w:val="338aa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汉仪书宋二S" w:hAnsi="汉仪书宋二S"/>
        <w:color w:val="d9680c"/>
        <w:sz w:val="22"/>
      </w:rPr>
      <w:tcPr>
        <w:shd w:val="clear" w:color="ffffff" w:fill="fce4d1"/>
      </w:tcPr>
    </w:tblStylePr>
    <w:tblStylePr w:type="band1Vert">
      <w:tcPr>
        <w:shd w:val="clear" w:color="ffffff" w:fill="fce4d1"/>
      </w:tcPr>
    </w:tblStylePr>
    <w:tblStylePr w:type="band2Horz">
      <w:rPr>
        <w:rFonts w:ascii="汉仪书宋二S" w:hAnsi="汉仪书宋二S"/>
        <w:color w:val="d9680c"/>
        <w:sz w:val="22"/>
      </w:rPr>
    </w:tblStylePr>
    <w:tblStylePr w:type="firstCol">
      <w:rPr>
        <w:rFonts w:ascii="汉仪书宋二S" w:hAnsi="汉仪书宋二S"/>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汉仪书宋二S" w:hAnsi="汉仪书宋二S"/>
        <w:i/>
        <w:color w:val="d9680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i/>
        <w:color w:val="d9680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汉仪书宋二S" w:hAnsi="汉仪书宋二S"/>
        <w:i/>
        <w:color w:val="d9680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f2f2f2"/>
      </w:tcPr>
    </w:tblStylePr>
    <w:tblStylePr w:type="band2Vert">
      <w:rPr>
        <w:rFonts w:ascii="汉仪书宋二S" w:hAnsi="汉仪书宋二S"/>
        <w:color w:val="404040"/>
        <w:sz w:val="22"/>
      </w:rPr>
      <w:tcPr>
        <w:shd w:val="clear" w:color="ffffff" w:fill="f2f2f2"/>
      </w:tcPr>
    </w:tblStylePr>
    <w:tblStylePr w:type="firstCol">
      <w:rPr>
        <w:rFonts w:ascii="汉仪书宋二S" w:hAnsi="汉仪书宋二S"/>
        <w:color w:val="f2f2f2"/>
        <w:sz w:val="22"/>
      </w:rPr>
      <w:tcPr>
        <w:shd w:val="clear" w:color="ffffff" w:fill="7f7f7f"/>
      </w:tcPr>
    </w:tblStylePr>
    <w:tblStylePr w:type="firstRow">
      <w:rPr>
        <w:rFonts w:ascii="汉仪书宋二S" w:hAnsi="汉仪书宋二S"/>
        <w:color w:val="f2f2f2"/>
        <w:sz w:val="22"/>
      </w:rPr>
      <w:tcPr>
        <w:shd w:val="clear" w:color="ffffff" w:fill="7f7f7f"/>
      </w:tcPr>
    </w:tblStylePr>
    <w:tblStylePr w:type="lastCol">
      <w:rPr>
        <w:rFonts w:ascii="汉仪书宋二S" w:hAnsi="汉仪书宋二S"/>
        <w:color w:val="f2f2f2"/>
        <w:sz w:val="22"/>
      </w:rPr>
      <w:tcPr>
        <w:shd w:val="clear" w:color="ffffff" w:fill="7f7f7f"/>
      </w:tcPr>
    </w:tblStylePr>
    <w:tblStylePr w:type="lastRow">
      <w:rPr>
        <w:rFonts w:ascii="汉仪书宋二S" w:hAnsi="汉仪书宋二S"/>
        <w:color w:val="f2f2f2"/>
        <w:sz w:val="22"/>
      </w:rPr>
      <w:tcPr>
        <w:shd w:val="clear" w:color="ffffff" w:fill="7f7f7f"/>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c7d7ea"/>
      </w:tcPr>
    </w:tblStylePr>
    <w:tblStylePr w:type="band2Vert">
      <w:rPr>
        <w:rFonts w:ascii="汉仪书宋二S" w:hAnsi="汉仪书宋二S"/>
        <w:color w:val="404040"/>
        <w:sz w:val="22"/>
      </w:rPr>
      <w:tcPr>
        <w:shd w:val="clear" w:color="ffffff" w:fill="c7d7ea"/>
      </w:tcPr>
    </w:tblStylePr>
    <w:tblStylePr w:type="firstCol">
      <w:rPr>
        <w:rFonts w:ascii="汉仪书宋二S" w:hAnsi="汉仪书宋二S"/>
        <w:color w:val="f2f2f2"/>
        <w:sz w:val="22"/>
      </w:rPr>
      <w:tcPr>
        <w:shd w:val="clear" w:color="ffffff" w:fill="5d8dc2"/>
      </w:tcPr>
    </w:tblStylePr>
    <w:tblStylePr w:type="firstRow">
      <w:rPr>
        <w:rFonts w:ascii="汉仪书宋二S" w:hAnsi="汉仪书宋二S"/>
        <w:color w:val="f2f2f2"/>
        <w:sz w:val="22"/>
      </w:rPr>
      <w:tcPr>
        <w:shd w:val="clear" w:color="ffffff" w:fill="5d8dc2"/>
      </w:tcPr>
    </w:tblStylePr>
    <w:tblStylePr w:type="lastCol">
      <w:rPr>
        <w:rFonts w:ascii="汉仪书宋二S" w:hAnsi="汉仪书宋二S"/>
        <w:color w:val="f2f2f2"/>
        <w:sz w:val="22"/>
      </w:rPr>
      <w:tcPr>
        <w:shd w:val="clear" w:color="ffffff" w:fill="5d8dc2"/>
      </w:tcPr>
    </w:tblStylePr>
    <w:tblStylePr w:type="lastRow">
      <w:rPr>
        <w:rFonts w:ascii="汉仪书宋二S" w:hAnsi="汉仪书宋二S"/>
        <w:color w:val="f2f2f2"/>
        <w:sz w:val="22"/>
      </w:rPr>
      <w:tcPr>
        <w:shd w:val="clear" w:color="ffffff" w:fill="5d8dc2"/>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f2dcdb"/>
      </w:tcPr>
    </w:tblStylePr>
    <w:tblStylePr w:type="band2Vert">
      <w:rPr>
        <w:rFonts w:ascii="汉仪书宋二S" w:hAnsi="汉仪书宋二S"/>
        <w:color w:val="404040"/>
        <w:sz w:val="22"/>
      </w:rPr>
      <w:tcPr>
        <w:shd w:val="clear" w:color="ffffff" w:fill="f2dcdb"/>
      </w:tcPr>
    </w:tblStylePr>
    <w:tblStylePr w:type="firstCol">
      <w:rPr>
        <w:rFonts w:ascii="汉仪书宋二S" w:hAnsi="汉仪书宋二S"/>
        <w:color w:val="f2f2f2"/>
        <w:sz w:val="22"/>
      </w:rPr>
      <w:tcPr>
        <w:shd w:val="clear" w:color="ffffff" w:fill="d99694"/>
      </w:tcPr>
    </w:tblStylePr>
    <w:tblStylePr w:type="firstRow">
      <w:rPr>
        <w:rFonts w:ascii="汉仪书宋二S" w:hAnsi="汉仪书宋二S"/>
        <w:color w:val="f2f2f2"/>
        <w:sz w:val="22"/>
      </w:rPr>
      <w:tcPr>
        <w:shd w:val="clear" w:color="ffffff" w:fill="d99694"/>
      </w:tcPr>
    </w:tblStylePr>
    <w:tblStylePr w:type="lastCol">
      <w:rPr>
        <w:rFonts w:ascii="汉仪书宋二S" w:hAnsi="汉仪书宋二S"/>
        <w:color w:val="f2f2f2"/>
        <w:sz w:val="22"/>
      </w:rPr>
      <w:tcPr>
        <w:shd w:val="clear" w:color="ffffff" w:fill="d99694"/>
      </w:tcPr>
    </w:tblStylePr>
    <w:tblStylePr w:type="lastRow">
      <w:rPr>
        <w:rFonts w:ascii="汉仪书宋二S" w:hAnsi="汉仪书宋二S"/>
        <w:color w:val="f2f2f2"/>
        <w:sz w:val="22"/>
      </w:rPr>
      <w:tcPr>
        <w:shd w:val="clear" w:color="ffffff" w:fill="d99694"/>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eaf0dd"/>
      </w:tcPr>
    </w:tblStylePr>
    <w:tblStylePr w:type="band2Vert">
      <w:rPr>
        <w:rFonts w:ascii="汉仪书宋二S" w:hAnsi="汉仪书宋二S"/>
        <w:color w:val="404040"/>
        <w:sz w:val="22"/>
      </w:rPr>
      <w:tcPr>
        <w:shd w:val="clear" w:color="ffffff" w:fill="eaf0dd"/>
      </w:tcPr>
    </w:tblStylePr>
    <w:tblStylePr w:type="firstCol">
      <w:rPr>
        <w:rFonts w:ascii="汉仪书宋二S" w:hAnsi="汉仪书宋二S"/>
        <w:color w:val="f2f2f2"/>
        <w:sz w:val="22"/>
      </w:rPr>
      <w:tcPr>
        <w:shd w:val="clear" w:color="ffffff" w:fill="9bba59"/>
      </w:tcPr>
    </w:tblStylePr>
    <w:tblStylePr w:type="firstRow">
      <w:rPr>
        <w:rFonts w:ascii="汉仪书宋二S" w:hAnsi="汉仪书宋二S"/>
        <w:color w:val="f2f2f2"/>
        <w:sz w:val="22"/>
      </w:rPr>
      <w:tcPr>
        <w:shd w:val="clear" w:color="ffffff" w:fill="9bba59"/>
      </w:tcPr>
    </w:tblStylePr>
    <w:tblStylePr w:type="lastCol">
      <w:rPr>
        <w:rFonts w:ascii="汉仪书宋二S" w:hAnsi="汉仪书宋二S"/>
        <w:color w:val="f2f2f2"/>
        <w:sz w:val="22"/>
      </w:rPr>
      <w:tcPr>
        <w:shd w:val="clear" w:color="ffffff" w:fill="9bba59"/>
      </w:tcPr>
    </w:tblStylePr>
    <w:tblStylePr w:type="lastRow">
      <w:rPr>
        <w:rFonts w:ascii="汉仪书宋二S" w:hAnsi="汉仪书宋二S"/>
        <w:color w:val="f2f2f2"/>
        <w:sz w:val="22"/>
      </w:rPr>
      <w:tcPr>
        <w:shd w:val="clear" w:color="ffffff" w:fill="9bba59"/>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e5dfec"/>
      </w:tcPr>
    </w:tblStylePr>
    <w:tblStylePr w:type="band2Vert">
      <w:rPr>
        <w:rFonts w:ascii="汉仪书宋二S" w:hAnsi="汉仪书宋二S"/>
        <w:color w:val="404040"/>
        <w:sz w:val="22"/>
      </w:rPr>
      <w:tcPr>
        <w:shd w:val="clear" w:color="ffffff" w:fill="e5dfec"/>
      </w:tcPr>
    </w:tblStylePr>
    <w:tblStylePr w:type="firstCol">
      <w:rPr>
        <w:rFonts w:ascii="汉仪书宋二S" w:hAnsi="汉仪书宋二S"/>
        <w:color w:val="f2f2f2"/>
        <w:sz w:val="22"/>
      </w:rPr>
      <w:tcPr>
        <w:shd w:val="clear" w:color="ffffff" w:fill="b2a1c6"/>
      </w:tcPr>
    </w:tblStylePr>
    <w:tblStylePr w:type="firstRow">
      <w:rPr>
        <w:rFonts w:ascii="汉仪书宋二S" w:hAnsi="汉仪书宋二S"/>
        <w:color w:val="f2f2f2"/>
        <w:sz w:val="22"/>
      </w:rPr>
      <w:tcPr>
        <w:shd w:val="clear" w:color="ffffff" w:fill="b2a1c6"/>
      </w:tcPr>
    </w:tblStylePr>
    <w:tblStylePr w:type="lastCol">
      <w:rPr>
        <w:rFonts w:ascii="汉仪书宋二S" w:hAnsi="汉仪书宋二S"/>
        <w:color w:val="f2f2f2"/>
        <w:sz w:val="22"/>
      </w:rPr>
      <w:tcPr>
        <w:shd w:val="clear" w:color="ffffff" w:fill="b2a1c6"/>
      </w:tcPr>
    </w:tblStylePr>
    <w:tblStylePr w:type="lastRow">
      <w:rPr>
        <w:rFonts w:ascii="汉仪书宋二S" w:hAnsi="汉仪书宋二S"/>
        <w:color w:val="f2f2f2"/>
        <w:sz w:val="22"/>
      </w:rPr>
      <w:tcPr>
        <w:shd w:val="clear" w:color="ffffff" w:fill="b2a1c6"/>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daeef3"/>
      </w:tcPr>
    </w:tblStylePr>
    <w:tblStylePr w:type="band2Vert">
      <w:rPr>
        <w:rFonts w:ascii="汉仪书宋二S" w:hAnsi="汉仪书宋二S"/>
        <w:color w:val="404040"/>
        <w:sz w:val="22"/>
      </w:rPr>
      <w:tcPr>
        <w:shd w:val="clear" w:color="ffffff" w:fill="daeef3"/>
      </w:tcPr>
    </w:tblStylePr>
    <w:tblStylePr w:type="firstCol">
      <w:rPr>
        <w:rFonts w:ascii="汉仪书宋二S" w:hAnsi="汉仪书宋二S"/>
        <w:color w:val="f2f2f2"/>
        <w:sz w:val="22"/>
      </w:rPr>
      <w:tcPr>
        <w:shd w:val="clear" w:color="ffffff" w:fill="4bacc6"/>
      </w:tcPr>
    </w:tblStylePr>
    <w:tblStylePr w:type="firstRow">
      <w:rPr>
        <w:rFonts w:ascii="汉仪书宋二S" w:hAnsi="汉仪书宋二S"/>
        <w:color w:val="f2f2f2"/>
        <w:sz w:val="22"/>
      </w:rPr>
      <w:tcPr>
        <w:shd w:val="clear" w:color="ffffff" w:fill="4bacc6"/>
      </w:tcPr>
    </w:tblStylePr>
    <w:tblStylePr w:type="lastCol">
      <w:rPr>
        <w:rFonts w:ascii="汉仪书宋二S" w:hAnsi="汉仪书宋二S"/>
        <w:color w:val="f2f2f2"/>
        <w:sz w:val="22"/>
      </w:rPr>
      <w:tcPr>
        <w:shd w:val="clear" w:color="ffffff" w:fill="4bacc6"/>
      </w:tcPr>
    </w:tblStylePr>
    <w:tblStylePr w:type="lastRow">
      <w:rPr>
        <w:rFonts w:ascii="汉仪书宋二S" w:hAnsi="汉仪书宋二S"/>
        <w:color w:val="f2f2f2"/>
        <w:sz w:val="22"/>
      </w:rPr>
      <w:tcPr>
        <w:shd w:val="clear" w:color="ffffff" w:fill="4bacc6"/>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fde9d8"/>
      </w:tcPr>
    </w:tblStylePr>
    <w:tblStylePr w:type="band2Vert">
      <w:rPr>
        <w:rFonts w:ascii="汉仪书宋二S" w:hAnsi="汉仪书宋二S"/>
        <w:color w:val="404040"/>
        <w:sz w:val="22"/>
      </w:rPr>
      <w:tcPr>
        <w:shd w:val="clear" w:color="ffffff" w:fill="fde9d8"/>
      </w:tcPr>
    </w:tblStylePr>
    <w:tblStylePr w:type="firstCol">
      <w:rPr>
        <w:rFonts w:ascii="汉仪书宋二S" w:hAnsi="汉仪书宋二S"/>
        <w:color w:val="f2f2f2"/>
        <w:sz w:val="22"/>
      </w:rPr>
      <w:tcPr>
        <w:shd w:val="clear" w:color="ffffff" w:fill="f79646"/>
      </w:tcPr>
    </w:tblStylePr>
    <w:tblStylePr w:type="firstRow">
      <w:rPr>
        <w:rFonts w:ascii="汉仪书宋二S" w:hAnsi="汉仪书宋二S"/>
        <w:color w:val="f2f2f2"/>
        <w:sz w:val="22"/>
      </w:rPr>
      <w:tcPr>
        <w:shd w:val="clear" w:color="ffffff" w:fill="f79646"/>
      </w:tcPr>
    </w:tblStylePr>
    <w:tblStylePr w:type="lastCol">
      <w:rPr>
        <w:rFonts w:ascii="汉仪书宋二S" w:hAnsi="汉仪书宋二S"/>
        <w:color w:val="f2f2f2"/>
        <w:sz w:val="22"/>
      </w:rPr>
      <w:tcPr>
        <w:shd w:val="clear" w:color="ffffff" w:fill="f79646"/>
      </w:tcPr>
    </w:tblStylePr>
    <w:tblStylePr w:type="lastRow">
      <w:rPr>
        <w:rFonts w:ascii="汉仪书宋二S" w:hAnsi="汉仪书宋二S"/>
        <w:color w:val="f2f2f2"/>
        <w:sz w:val="22"/>
      </w:rPr>
      <w:tcPr>
        <w:shd w:val="clear" w:color="ffffff" w:fill="f79646"/>
      </w:tcPr>
    </w:tblStylePr>
  </w:style>
  <w:style w:type="table" w:styleId="961"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f2f2f2"/>
      </w:tcPr>
    </w:tblStylePr>
    <w:tblStylePr w:type="band2Vert">
      <w:rPr>
        <w:rFonts w:ascii="汉仪书宋二S" w:hAnsi="汉仪书宋二S"/>
        <w:color w:val="404040"/>
        <w:sz w:val="22"/>
      </w:rPr>
      <w:tcPr>
        <w:shd w:val="clear" w:color="ffffff" w:fill="f2f2f2"/>
      </w:tcPr>
    </w:tblStylePr>
    <w:tblStylePr w:type="firstCol">
      <w:rPr>
        <w:rFonts w:ascii="汉仪书宋二S" w:hAnsi="汉仪书宋二S"/>
        <w:color w:val="f2f2f2"/>
        <w:sz w:val="22"/>
      </w:rPr>
      <w:tcPr>
        <w:shd w:val="clear" w:color="ffffff" w:fill="7f7f7f"/>
      </w:tcPr>
    </w:tblStylePr>
    <w:tblStylePr w:type="firstRow">
      <w:rPr>
        <w:rFonts w:ascii="汉仪书宋二S" w:hAnsi="汉仪书宋二S"/>
        <w:color w:val="f2f2f2"/>
        <w:sz w:val="22"/>
      </w:rPr>
      <w:tcPr>
        <w:shd w:val="clear" w:color="ffffff" w:fill="7f7f7f"/>
      </w:tcPr>
    </w:tblStylePr>
    <w:tblStylePr w:type="lastCol">
      <w:rPr>
        <w:rFonts w:ascii="汉仪书宋二S" w:hAnsi="汉仪书宋二S"/>
        <w:color w:val="f2f2f2"/>
        <w:sz w:val="22"/>
      </w:rPr>
      <w:tcPr>
        <w:shd w:val="clear" w:color="ffffff" w:fill="7f7f7f"/>
      </w:tcPr>
    </w:tblStylePr>
    <w:tblStylePr w:type="lastRow">
      <w:rPr>
        <w:rFonts w:ascii="汉仪书宋二S" w:hAnsi="汉仪书宋二S"/>
        <w:color w:val="f2f2f2"/>
        <w:sz w:val="22"/>
      </w:rPr>
      <w:tcPr>
        <w:shd w:val="clear" w:color="ffffff" w:fill="7f7f7f"/>
      </w:tcPr>
    </w:tblStylePr>
  </w:style>
  <w:style w:type="table" w:styleId="962"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c7d7ea"/>
      </w:tcPr>
    </w:tblStylePr>
    <w:tblStylePr w:type="band2Vert">
      <w:rPr>
        <w:rFonts w:ascii="汉仪书宋二S" w:hAnsi="汉仪书宋二S"/>
        <w:color w:val="404040"/>
        <w:sz w:val="22"/>
      </w:rPr>
      <w:tcPr>
        <w:shd w:val="clear" w:color="ffffff" w:fill="c7d7ea"/>
      </w:tcPr>
    </w:tblStylePr>
    <w:tblStylePr w:type="firstCol">
      <w:rPr>
        <w:rFonts w:ascii="汉仪书宋二S" w:hAnsi="汉仪书宋二S"/>
        <w:color w:val="f2f2f2"/>
        <w:sz w:val="22"/>
      </w:rPr>
      <w:tcPr>
        <w:shd w:val="clear" w:color="ffffff" w:fill="5d8dc2"/>
      </w:tcPr>
    </w:tblStylePr>
    <w:tblStylePr w:type="firstRow">
      <w:rPr>
        <w:rFonts w:ascii="汉仪书宋二S" w:hAnsi="汉仪书宋二S"/>
        <w:color w:val="f2f2f2"/>
        <w:sz w:val="22"/>
      </w:rPr>
      <w:tcPr>
        <w:shd w:val="clear" w:color="ffffff" w:fill="5d8dc2"/>
      </w:tcPr>
    </w:tblStylePr>
    <w:tblStylePr w:type="lastCol">
      <w:rPr>
        <w:rFonts w:ascii="汉仪书宋二S" w:hAnsi="汉仪书宋二S"/>
        <w:color w:val="f2f2f2"/>
        <w:sz w:val="22"/>
      </w:rPr>
      <w:tcPr>
        <w:shd w:val="clear" w:color="ffffff" w:fill="5d8dc2"/>
      </w:tcPr>
    </w:tblStylePr>
    <w:tblStylePr w:type="lastRow">
      <w:rPr>
        <w:rFonts w:ascii="汉仪书宋二S" w:hAnsi="汉仪书宋二S"/>
        <w:color w:val="f2f2f2"/>
        <w:sz w:val="22"/>
      </w:rPr>
      <w:tcPr>
        <w:shd w:val="clear" w:color="ffffff" w:fill="5d8dc2"/>
      </w:tcPr>
    </w:tblStylePr>
  </w:style>
  <w:style w:type="table" w:styleId="963"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f2dcdb"/>
      </w:tcPr>
    </w:tblStylePr>
    <w:tblStylePr w:type="band2Vert">
      <w:rPr>
        <w:rFonts w:ascii="汉仪书宋二S" w:hAnsi="汉仪书宋二S"/>
        <w:color w:val="404040"/>
        <w:sz w:val="22"/>
      </w:rPr>
      <w:tcPr>
        <w:shd w:val="clear" w:color="ffffff" w:fill="f2dcdb"/>
      </w:tcPr>
    </w:tblStylePr>
    <w:tblStylePr w:type="firstCol">
      <w:rPr>
        <w:rFonts w:ascii="汉仪书宋二S" w:hAnsi="汉仪书宋二S"/>
        <w:color w:val="f2f2f2"/>
        <w:sz w:val="22"/>
      </w:rPr>
      <w:tcPr>
        <w:shd w:val="clear" w:color="ffffff" w:fill="d99694"/>
      </w:tcPr>
    </w:tblStylePr>
    <w:tblStylePr w:type="firstRow">
      <w:rPr>
        <w:rFonts w:ascii="汉仪书宋二S" w:hAnsi="汉仪书宋二S"/>
        <w:color w:val="f2f2f2"/>
        <w:sz w:val="22"/>
      </w:rPr>
      <w:tcPr>
        <w:shd w:val="clear" w:color="ffffff" w:fill="d99694"/>
      </w:tcPr>
    </w:tblStylePr>
    <w:tblStylePr w:type="lastCol">
      <w:rPr>
        <w:rFonts w:ascii="汉仪书宋二S" w:hAnsi="汉仪书宋二S"/>
        <w:color w:val="f2f2f2"/>
        <w:sz w:val="22"/>
      </w:rPr>
      <w:tcPr>
        <w:shd w:val="clear" w:color="ffffff" w:fill="d99694"/>
      </w:tcPr>
    </w:tblStylePr>
    <w:tblStylePr w:type="lastRow">
      <w:rPr>
        <w:rFonts w:ascii="汉仪书宋二S" w:hAnsi="汉仪书宋二S"/>
        <w:color w:val="f2f2f2"/>
        <w:sz w:val="22"/>
      </w:rPr>
      <w:tcPr>
        <w:shd w:val="clear" w:color="ffffff" w:fill="d99694"/>
      </w:tcPr>
    </w:tblStylePr>
  </w:style>
  <w:style w:type="table" w:styleId="964"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eaf0dd"/>
      </w:tcPr>
    </w:tblStylePr>
    <w:tblStylePr w:type="band2Vert">
      <w:rPr>
        <w:rFonts w:ascii="汉仪书宋二S" w:hAnsi="汉仪书宋二S"/>
        <w:color w:val="404040"/>
        <w:sz w:val="22"/>
      </w:rPr>
      <w:tcPr>
        <w:shd w:val="clear" w:color="ffffff" w:fill="eaf0dd"/>
      </w:tcPr>
    </w:tblStylePr>
    <w:tblStylePr w:type="firstCol">
      <w:rPr>
        <w:rFonts w:ascii="汉仪书宋二S" w:hAnsi="汉仪书宋二S"/>
        <w:color w:val="f2f2f2"/>
        <w:sz w:val="22"/>
      </w:rPr>
      <w:tcPr>
        <w:shd w:val="clear" w:color="ffffff" w:fill="9bba59"/>
      </w:tcPr>
    </w:tblStylePr>
    <w:tblStylePr w:type="firstRow">
      <w:rPr>
        <w:rFonts w:ascii="汉仪书宋二S" w:hAnsi="汉仪书宋二S"/>
        <w:color w:val="f2f2f2"/>
        <w:sz w:val="22"/>
      </w:rPr>
      <w:tcPr>
        <w:shd w:val="clear" w:color="ffffff" w:fill="9bba59"/>
      </w:tcPr>
    </w:tblStylePr>
    <w:tblStylePr w:type="lastCol">
      <w:rPr>
        <w:rFonts w:ascii="汉仪书宋二S" w:hAnsi="汉仪书宋二S"/>
        <w:color w:val="f2f2f2"/>
        <w:sz w:val="22"/>
      </w:rPr>
      <w:tcPr>
        <w:shd w:val="clear" w:color="ffffff" w:fill="9bba59"/>
      </w:tcPr>
    </w:tblStylePr>
    <w:tblStylePr w:type="lastRow">
      <w:rPr>
        <w:rFonts w:ascii="汉仪书宋二S" w:hAnsi="汉仪书宋二S"/>
        <w:color w:val="f2f2f2"/>
        <w:sz w:val="22"/>
      </w:rPr>
      <w:tcPr>
        <w:shd w:val="clear" w:color="ffffff" w:fill="9bba59"/>
      </w:tcPr>
    </w:tblStylePr>
  </w:style>
  <w:style w:type="table" w:styleId="965"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e5dfec"/>
      </w:tcPr>
    </w:tblStylePr>
    <w:tblStylePr w:type="band2Vert">
      <w:rPr>
        <w:rFonts w:ascii="汉仪书宋二S" w:hAnsi="汉仪书宋二S"/>
        <w:color w:val="404040"/>
        <w:sz w:val="22"/>
      </w:rPr>
      <w:tcPr>
        <w:shd w:val="clear" w:color="ffffff" w:fill="e5dfec"/>
      </w:tcPr>
    </w:tblStylePr>
    <w:tblStylePr w:type="firstCol">
      <w:rPr>
        <w:rFonts w:ascii="汉仪书宋二S" w:hAnsi="汉仪书宋二S"/>
        <w:color w:val="f2f2f2"/>
        <w:sz w:val="22"/>
      </w:rPr>
      <w:tcPr>
        <w:shd w:val="clear" w:color="ffffff" w:fill="b2a1c6"/>
      </w:tcPr>
    </w:tblStylePr>
    <w:tblStylePr w:type="firstRow">
      <w:rPr>
        <w:rFonts w:ascii="汉仪书宋二S" w:hAnsi="汉仪书宋二S"/>
        <w:color w:val="f2f2f2"/>
        <w:sz w:val="22"/>
      </w:rPr>
      <w:tcPr>
        <w:shd w:val="clear" w:color="ffffff" w:fill="b2a1c6"/>
      </w:tcPr>
    </w:tblStylePr>
    <w:tblStylePr w:type="lastCol">
      <w:rPr>
        <w:rFonts w:ascii="汉仪书宋二S" w:hAnsi="汉仪书宋二S"/>
        <w:color w:val="f2f2f2"/>
        <w:sz w:val="22"/>
      </w:rPr>
      <w:tcPr>
        <w:shd w:val="clear" w:color="ffffff" w:fill="b2a1c6"/>
      </w:tcPr>
    </w:tblStylePr>
    <w:tblStylePr w:type="lastRow">
      <w:rPr>
        <w:rFonts w:ascii="汉仪书宋二S" w:hAnsi="汉仪书宋二S"/>
        <w:color w:val="f2f2f2"/>
        <w:sz w:val="22"/>
      </w:rPr>
      <w:tcPr>
        <w:shd w:val="clear" w:color="ffffff" w:fill="b2a1c6"/>
      </w:tcPr>
    </w:tblStylePr>
  </w:style>
  <w:style w:type="table" w:styleId="966"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daeef3"/>
      </w:tcPr>
    </w:tblStylePr>
    <w:tblStylePr w:type="band2Vert">
      <w:rPr>
        <w:rFonts w:ascii="汉仪书宋二S" w:hAnsi="汉仪书宋二S"/>
        <w:color w:val="404040"/>
        <w:sz w:val="22"/>
      </w:rPr>
      <w:tcPr>
        <w:shd w:val="clear" w:color="ffffff" w:fill="daeef3"/>
      </w:tcPr>
    </w:tblStylePr>
    <w:tblStylePr w:type="firstCol">
      <w:rPr>
        <w:rFonts w:ascii="汉仪书宋二S" w:hAnsi="汉仪书宋二S"/>
        <w:color w:val="f2f2f2"/>
        <w:sz w:val="22"/>
      </w:rPr>
      <w:tcPr>
        <w:shd w:val="clear" w:color="ffffff" w:fill="4bacc6"/>
      </w:tcPr>
    </w:tblStylePr>
    <w:tblStylePr w:type="firstRow">
      <w:rPr>
        <w:rFonts w:ascii="汉仪书宋二S" w:hAnsi="汉仪书宋二S"/>
        <w:color w:val="f2f2f2"/>
        <w:sz w:val="22"/>
      </w:rPr>
      <w:tcPr>
        <w:shd w:val="clear" w:color="ffffff" w:fill="4bacc6"/>
      </w:tcPr>
    </w:tblStylePr>
    <w:tblStylePr w:type="lastCol">
      <w:rPr>
        <w:rFonts w:ascii="汉仪书宋二S" w:hAnsi="汉仪书宋二S"/>
        <w:color w:val="f2f2f2"/>
        <w:sz w:val="22"/>
      </w:rPr>
      <w:tcPr>
        <w:shd w:val="clear" w:color="ffffff" w:fill="4bacc6"/>
      </w:tcPr>
    </w:tblStylePr>
    <w:tblStylePr w:type="lastRow">
      <w:rPr>
        <w:rFonts w:ascii="汉仪书宋二S" w:hAnsi="汉仪书宋二S"/>
        <w:color w:val="f2f2f2"/>
        <w:sz w:val="22"/>
      </w:rPr>
      <w:tcPr>
        <w:shd w:val="clear" w:color="ffffff" w:fill="4bacc6"/>
      </w:tcPr>
    </w:tblStylePr>
  </w:style>
  <w:style w:type="table" w:styleId="967"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blStylePr>
    <w:tblStylePr w:type="band1Vert">
      <w:rPr>
        <w:rFonts w:ascii="汉仪书宋二S" w:hAnsi="汉仪书宋二S"/>
        <w:color w:val="404040"/>
        <w:sz w:val="22"/>
      </w:rPr>
    </w:tblStylePr>
    <w:tblStylePr w:type="band2Horz">
      <w:rPr>
        <w:rFonts w:ascii="汉仪书宋二S" w:hAnsi="汉仪书宋二S"/>
        <w:color w:val="404040"/>
        <w:sz w:val="22"/>
      </w:rPr>
      <w:tcPr>
        <w:shd w:val="clear" w:color="ffffff" w:fill="fde9d8"/>
      </w:tcPr>
    </w:tblStylePr>
    <w:tblStylePr w:type="band2Vert">
      <w:rPr>
        <w:rFonts w:ascii="汉仪书宋二S" w:hAnsi="汉仪书宋二S"/>
        <w:color w:val="404040"/>
        <w:sz w:val="22"/>
      </w:rPr>
      <w:tcPr>
        <w:shd w:val="clear" w:color="ffffff" w:fill="fde9d8"/>
      </w:tcPr>
    </w:tblStylePr>
    <w:tblStylePr w:type="firstCol">
      <w:rPr>
        <w:rFonts w:ascii="汉仪书宋二S" w:hAnsi="汉仪书宋二S"/>
        <w:color w:val="f2f2f2"/>
        <w:sz w:val="22"/>
      </w:rPr>
      <w:tcPr>
        <w:shd w:val="clear" w:color="ffffff" w:fill="f79646"/>
      </w:tcPr>
    </w:tblStylePr>
    <w:tblStylePr w:type="firstRow">
      <w:rPr>
        <w:rFonts w:ascii="汉仪书宋二S" w:hAnsi="汉仪书宋二S"/>
        <w:color w:val="f2f2f2"/>
        <w:sz w:val="22"/>
      </w:rPr>
      <w:tcPr>
        <w:shd w:val="clear" w:color="ffffff" w:fill="f79646"/>
      </w:tcPr>
    </w:tblStylePr>
    <w:tblStylePr w:type="lastCol">
      <w:rPr>
        <w:rFonts w:ascii="汉仪书宋二S" w:hAnsi="汉仪书宋二S"/>
        <w:color w:val="f2f2f2"/>
        <w:sz w:val="22"/>
      </w:rPr>
      <w:tcPr>
        <w:shd w:val="clear" w:color="ffffff" w:fill="f79646"/>
      </w:tcPr>
    </w:tblStylePr>
    <w:tblStylePr w:type="lastRow">
      <w:rPr>
        <w:rFonts w:ascii="汉仪书宋二S" w:hAnsi="汉仪书宋二S"/>
        <w:color w:val="f2f2f2"/>
        <w:sz w:val="22"/>
      </w:rPr>
      <w:tcPr>
        <w:shd w:val="clear" w:color="ffffff" w:fill="f79646"/>
      </w:tcPr>
    </w:tblStylePr>
  </w:style>
  <w:style w:type="table" w:styleId="968"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color w:val="404040"/>
        <w:sz w:val="22"/>
      </w:rPr>
    </w:tblStylePr>
    <w:tblStylePr w:type="firstRow">
      <w:rPr>
        <w:rFonts w:ascii="汉仪书宋二S" w:hAnsi="汉仪书宋二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汉仪书宋二S" w:hAnsi="汉仪书宋二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color w:val="404040"/>
        <w:sz w:val="22"/>
      </w:rPr>
    </w:tblStylePr>
    <w:tblStylePr w:type="firstRow">
      <w:rPr>
        <w:rFonts w:ascii="汉仪书宋二S" w:hAnsi="汉仪书宋二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汉仪书宋二S" w:hAnsi="汉仪书宋二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color w:val="404040"/>
        <w:sz w:val="22"/>
      </w:rPr>
    </w:tblStylePr>
    <w:tblStylePr w:type="firstRow">
      <w:rPr>
        <w:rFonts w:ascii="汉仪书宋二S" w:hAnsi="汉仪书宋二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汉仪书宋二S" w:hAnsi="汉仪书宋二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color w:val="404040"/>
        <w:sz w:val="22"/>
      </w:rPr>
    </w:tblStylePr>
    <w:tblStylePr w:type="firstRow">
      <w:rPr>
        <w:rFonts w:ascii="汉仪书宋二S" w:hAnsi="汉仪书宋二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汉仪书宋二S" w:hAnsi="汉仪书宋二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color w:val="404040"/>
        <w:sz w:val="22"/>
      </w:rPr>
    </w:tblStylePr>
    <w:tblStylePr w:type="firstRow">
      <w:rPr>
        <w:rFonts w:ascii="汉仪书宋二S" w:hAnsi="汉仪书宋二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汉仪书宋二S" w:hAnsi="汉仪书宋二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color w:val="404040"/>
        <w:sz w:val="22"/>
      </w:rPr>
    </w:tblStylePr>
    <w:tblStylePr w:type="firstRow">
      <w:rPr>
        <w:rFonts w:ascii="汉仪书宋二S" w:hAnsi="汉仪书宋二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汉仪书宋二S" w:hAnsi="汉仪书宋二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汉仪书宋二S" w:hAnsi="汉仪书宋二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汉仪书宋二S" w:hAnsi="汉仪书宋二S"/>
        <w:color w:val="404040"/>
        <w:sz w:val="22"/>
      </w:rPr>
    </w:tblStylePr>
    <w:tblStylePr w:type="firstRow">
      <w:rPr>
        <w:rFonts w:ascii="汉仪书宋二S" w:hAnsi="汉仪书宋二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汉仪书宋二S" w:hAnsi="汉仪书宋二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汉仪书宋二S" w:hAnsi="汉仪书宋二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5" w:customStyle="1">
    <w:name w:val="_Style 181"/>
    <w:uiPriority w:val="39"/>
    <w:unhideWhenUsed/>
    <w:qFormat/>
  </w:style>
  <w:style w:type="paragraph" w:styleId="976" w:customStyle="1">
    <w:name w:val="标题 111"/>
    <w:basedOn w:val="776"/>
    <w:next w:val="776"/>
    <w:link w:val="977"/>
    <w:qFormat/>
    <w:pPr>
      <w:jc w:val="center"/>
      <w:keepNext/>
      <w:outlineLvl w:val="0"/>
    </w:pPr>
    <w:rPr>
      <w:rFonts w:ascii="楷体_GB2312" w:eastAsia="楷体_GB2312"/>
      <w:sz w:val="28"/>
      <w:szCs w:val="28"/>
    </w:rPr>
  </w:style>
  <w:style w:type="character" w:styleId="977" w:customStyle="1">
    <w:name w:val="标题 1 字符"/>
    <w:link w:val="976"/>
    <w:qFormat/>
    <w:rPr>
      <w:rFonts w:ascii="楷体_GB2312" w:hAnsi="Times New Roman" w:eastAsia="楷体_GB2312" w:cs="Times New Roman"/>
      <w:sz w:val="28"/>
      <w:szCs w:val="28"/>
    </w:rPr>
  </w:style>
  <w:style w:type="paragraph" w:styleId="978" w:customStyle="1">
    <w:name w:val="标题 21"/>
    <w:basedOn w:val="776"/>
    <w:next w:val="979"/>
    <w:link w:val="980"/>
    <w:qFormat/>
    <w:pPr>
      <w:jc w:val="center"/>
      <w:keepLines/>
      <w:keepNext/>
      <w:spacing w:before="260" w:after="260" w:line="416" w:lineRule="auto"/>
      <w:outlineLvl w:val="1"/>
    </w:pPr>
    <w:rPr>
      <w:rFonts w:ascii="Arial" w:hAnsi="Arial" w:eastAsia="幼圆" w:cs="Arial"/>
      <w:b/>
      <w:bCs/>
      <w:sz w:val="44"/>
      <w:szCs w:val="44"/>
    </w:rPr>
  </w:style>
  <w:style w:type="paragraph" w:styleId="979" w:customStyle="1">
    <w:name w:val="正文缩进1"/>
    <w:basedOn w:val="776"/>
    <w:link w:val="981"/>
    <w:uiPriority w:val="99"/>
    <w:qFormat/>
    <w:pPr>
      <w:ind w:firstLine="420"/>
    </w:pPr>
  </w:style>
  <w:style w:type="character" w:styleId="980" w:customStyle="1">
    <w:name w:val="标题 2 字符"/>
    <w:link w:val="978"/>
    <w:qFormat/>
    <w:rPr>
      <w:rFonts w:ascii="Arial" w:hAnsi="Arial" w:eastAsia="幼圆" w:cs="Arial"/>
      <w:b/>
      <w:bCs/>
      <w:sz w:val="44"/>
      <w:szCs w:val="44"/>
    </w:rPr>
  </w:style>
  <w:style w:type="character" w:styleId="981" w:customStyle="1">
    <w:name w:val="正文缩进 字符"/>
    <w:link w:val="979"/>
    <w:qFormat/>
    <w:rPr>
      <w:rFonts w:ascii="Times New Roman" w:hAnsi="Times New Roman" w:eastAsia="宋体" w:cs="Times New Roman"/>
      <w:szCs w:val="21"/>
    </w:rPr>
  </w:style>
  <w:style w:type="paragraph" w:styleId="982" w:customStyle="1">
    <w:name w:val="标题 31"/>
    <w:basedOn w:val="776"/>
    <w:next w:val="979"/>
    <w:link w:val="983"/>
    <w:qFormat/>
    <w:pPr>
      <w:keepLines/>
      <w:keepNext/>
      <w:spacing w:before="260" w:after="260" w:line="416" w:lineRule="auto"/>
      <w:outlineLvl w:val="2"/>
    </w:pPr>
    <w:rPr>
      <w:b/>
      <w:bCs/>
      <w:sz w:val="32"/>
      <w:szCs w:val="32"/>
    </w:rPr>
  </w:style>
  <w:style w:type="character" w:styleId="983" w:customStyle="1">
    <w:name w:val="标题 3 字符"/>
    <w:link w:val="982"/>
    <w:qFormat/>
    <w:rPr>
      <w:rFonts w:ascii="Times New Roman" w:hAnsi="Times New Roman" w:eastAsia="宋体" w:cs="Times New Roman"/>
      <w:b/>
      <w:bCs/>
      <w:sz w:val="32"/>
      <w:szCs w:val="32"/>
    </w:rPr>
  </w:style>
  <w:style w:type="paragraph" w:styleId="984" w:customStyle="1">
    <w:name w:val="标题 41"/>
    <w:basedOn w:val="776"/>
    <w:next w:val="979"/>
    <w:link w:val="985"/>
    <w:qFormat/>
    <w:pPr>
      <w:keepLines/>
      <w:keepNext/>
      <w:spacing w:before="280" w:after="290" w:line="376" w:lineRule="auto"/>
      <w:outlineLvl w:val="3"/>
    </w:pPr>
    <w:rPr>
      <w:rFonts w:ascii="Arial" w:hAnsi="Arial" w:eastAsia="黑体" w:cs="Arial"/>
      <w:b/>
      <w:bCs/>
      <w:sz w:val="28"/>
      <w:szCs w:val="28"/>
    </w:rPr>
  </w:style>
  <w:style w:type="character" w:styleId="985" w:customStyle="1">
    <w:name w:val="标题 4 字符"/>
    <w:link w:val="984"/>
    <w:qFormat/>
    <w:rPr>
      <w:rFonts w:ascii="Arial" w:hAnsi="Arial" w:eastAsia="黑体" w:cs="Arial"/>
      <w:b/>
      <w:bCs/>
      <w:sz w:val="28"/>
      <w:szCs w:val="28"/>
    </w:rPr>
  </w:style>
  <w:style w:type="paragraph" w:styleId="986" w:customStyle="1">
    <w:name w:val="标题 51"/>
    <w:basedOn w:val="776"/>
    <w:next w:val="979"/>
    <w:link w:val="987"/>
    <w:qFormat/>
    <w:pPr>
      <w:keepNext/>
      <w:outlineLvl w:val="4"/>
    </w:pPr>
    <w:rPr>
      <w:rFonts w:ascii="宋体"/>
      <w:color w:val="000000"/>
      <w:sz w:val="28"/>
      <w:szCs w:val="28"/>
    </w:rPr>
  </w:style>
  <w:style w:type="character" w:styleId="987" w:customStyle="1">
    <w:name w:val="标题 5 字符"/>
    <w:link w:val="986"/>
    <w:qFormat/>
    <w:rPr>
      <w:rFonts w:ascii="宋体" w:hAnsi="Times New Roman" w:eastAsia="宋体" w:cs="Times New Roman"/>
      <w:color w:val="000000"/>
      <w:sz w:val="28"/>
      <w:szCs w:val="28"/>
    </w:rPr>
  </w:style>
  <w:style w:type="paragraph" w:styleId="988" w:customStyle="1">
    <w:name w:val="标题 61"/>
    <w:basedOn w:val="776"/>
    <w:next w:val="776"/>
    <w:link w:val="989"/>
    <w:qFormat/>
    <w:pPr>
      <w:numPr>
        <w:ilvl w:val="5"/>
        <w:numId w:val="1"/>
      </w:numPr>
      <w:keepLines/>
      <w:keepNext/>
      <w:spacing w:before="240" w:after="64" w:line="320" w:lineRule="auto"/>
      <w:outlineLvl w:val="5"/>
    </w:pPr>
    <w:rPr>
      <w:rFonts w:ascii="Arial" w:hAnsi="Arial" w:eastAsia="黑体"/>
      <w:b/>
      <w:bCs/>
      <w:sz w:val="24"/>
      <w:szCs w:val="24"/>
    </w:rPr>
  </w:style>
  <w:style w:type="character" w:styleId="989" w:customStyle="1">
    <w:name w:val="标题 6 字符"/>
    <w:link w:val="988"/>
    <w:qFormat/>
    <w:rPr>
      <w:rFonts w:ascii="Arial" w:hAnsi="Arial" w:eastAsia="黑体" w:cs="Times New Roman"/>
      <w:b/>
      <w:bCs/>
      <w:sz w:val="24"/>
      <w:szCs w:val="24"/>
    </w:rPr>
  </w:style>
  <w:style w:type="paragraph" w:styleId="990" w:customStyle="1">
    <w:name w:val="标题 71"/>
    <w:basedOn w:val="776"/>
    <w:next w:val="776"/>
    <w:link w:val="991"/>
    <w:qFormat/>
    <w:pPr>
      <w:numPr>
        <w:ilvl w:val="6"/>
        <w:numId w:val="1"/>
      </w:numPr>
      <w:keepLines/>
      <w:keepNext/>
      <w:spacing w:before="240" w:after="64" w:line="320" w:lineRule="auto"/>
      <w:outlineLvl w:val="6"/>
    </w:pPr>
    <w:rPr>
      <w:b/>
      <w:bCs/>
      <w:sz w:val="24"/>
      <w:szCs w:val="24"/>
    </w:rPr>
  </w:style>
  <w:style w:type="character" w:styleId="991" w:customStyle="1">
    <w:name w:val="标题 7 字符"/>
    <w:link w:val="990"/>
    <w:qFormat/>
    <w:rPr>
      <w:rFonts w:ascii="Times New Roman" w:hAnsi="Times New Roman" w:eastAsia="宋体" w:cs="Times New Roman"/>
      <w:b/>
      <w:bCs/>
      <w:sz w:val="24"/>
      <w:szCs w:val="24"/>
    </w:rPr>
  </w:style>
  <w:style w:type="paragraph" w:styleId="992" w:customStyle="1">
    <w:name w:val="标题 81"/>
    <w:basedOn w:val="776"/>
    <w:next w:val="776"/>
    <w:link w:val="993"/>
    <w:qFormat/>
    <w:pPr>
      <w:numPr>
        <w:ilvl w:val="7"/>
        <w:numId w:val="1"/>
      </w:numPr>
      <w:keepLines/>
      <w:keepNext/>
      <w:spacing w:before="240" w:after="64" w:line="320" w:lineRule="auto"/>
      <w:outlineLvl w:val="7"/>
    </w:pPr>
    <w:rPr>
      <w:rFonts w:ascii="Arial" w:hAnsi="Arial" w:eastAsia="黑体"/>
      <w:sz w:val="24"/>
      <w:szCs w:val="24"/>
    </w:rPr>
  </w:style>
  <w:style w:type="character" w:styleId="993" w:customStyle="1">
    <w:name w:val="标题 8 字符"/>
    <w:link w:val="992"/>
    <w:qFormat/>
    <w:rPr>
      <w:rFonts w:ascii="Arial" w:hAnsi="Arial" w:eastAsia="黑体" w:cs="Times New Roman"/>
      <w:sz w:val="24"/>
      <w:szCs w:val="24"/>
    </w:rPr>
  </w:style>
  <w:style w:type="paragraph" w:styleId="994" w:customStyle="1">
    <w:name w:val="标题 91"/>
    <w:basedOn w:val="776"/>
    <w:next w:val="776"/>
    <w:link w:val="995"/>
    <w:qFormat/>
    <w:pPr>
      <w:numPr>
        <w:ilvl w:val="8"/>
        <w:numId w:val="1"/>
      </w:numPr>
      <w:keepLines/>
      <w:keepNext/>
      <w:spacing w:before="240" w:after="64" w:line="320" w:lineRule="auto"/>
      <w:outlineLvl w:val="8"/>
    </w:pPr>
    <w:rPr>
      <w:rFonts w:ascii="Arial" w:hAnsi="Arial" w:eastAsia="黑体"/>
    </w:rPr>
  </w:style>
  <w:style w:type="character" w:styleId="995" w:customStyle="1">
    <w:name w:val="标题 9 字符"/>
    <w:link w:val="994"/>
    <w:qFormat/>
    <w:rPr>
      <w:rFonts w:ascii="Arial" w:hAnsi="Arial" w:eastAsia="黑体" w:cs="Times New Roman"/>
      <w:szCs w:val="21"/>
    </w:rPr>
  </w:style>
  <w:style w:type="character" w:styleId="996" w:customStyle="1">
    <w:name w:val="默认段落字体1"/>
    <w:uiPriority w:val="1"/>
    <w:unhideWhenUsed/>
    <w:qFormat/>
  </w:style>
  <w:style w:type="table" w:styleId="997" w:customStyle="1">
    <w:name w:val="普通表格1"/>
    <w:uiPriority w:val="99"/>
    <w:unhideWhenUsed/>
    <w:qFormat/>
    <w:tblPr>
      <w:tblCellMar>
        <w:left w:w="0" w:type="dxa"/>
        <w:top w:w="0" w:type="dxa"/>
        <w:right w:w="0" w:type="dxa"/>
        <w:bottom w:w="0" w:type="dxa"/>
      </w:tblCellMar>
    </w:tblPr>
  </w:style>
  <w:style w:type="paragraph" w:styleId="998" w:customStyle="1">
    <w:name w:val="列表 31"/>
    <w:basedOn w:val="776"/>
    <w:qFormat/>
    <w:pPr>
      <w:ind w:left="100" w:hanging="200"/>
    </w:pPr>
  </w:style>
  <w:style w:type="paragraph" w:styleId="999" w:customStyle="1">
    <w:name w:val="目录 71"/>
    <w:basedOn w:val="776"/>
    <w:next w:val="776"/>
    <w:semiHidden/>
    <w:qFormat/>
    <w:pPr>
      <w:ind w:left="1260"/>
      <w:jc w:val="left"/>
    </w:pPr>
  </w:style>
  <w:style w:type="paragraph" w:styleId="1000" w:customStyle="1">
    <w:name w:val="文档结构图1"/>
    <w:basedOn w:val="776"/>
    <w:link w:val="1001"/>
    <w:semiHidden/>
    <w:qFormat/>
    <w:pPr>
      <w:shd w:val="clear" w:color="auto" w:fill="000080"/>
    </w:pPr>
  </w:style>
  <w:style w:type="character" w:styleId="1001" w:customStyle="1">
    <w:name w:val="文档结构图 字符"/>
    <w:link w:val="1000"/>
    <w:semiHidden/>
    <w:qFormat/>
    <w:rPr>
      <w:rFonts w:ascii="Times New Roman" w:hAnsi="Times New Roman" w:eastAsia="宋体" w:cs="Times New Roman"/>
      <w:szCs w:val="21"/>
      <w:shd w:val="clear" w:color="auto" w:fill="000080"/>
    </w:rPr>
  </w:style>
  <w:style w:type="paragraph" w:styleId="1002" w:customStyle="1">
    <w:name w:val="批注文字1"/>
    <w:basedOn w:val="776"/>
    <w:link w:val="1003"/>
    <w:uiPriority w:val="99"/>
    <w:qFormat/>
    <w:pPr>
      <w:jc w:val="left"/>
    </w:pPr>
  </w:style>
  <w:style w:type="character" w:styleId="1003" w:customStyle="1">
    <w:name w:val="批注文字 字符"/>
    <w:link w:val="1002"/>
    <w:uiPriority w:val="99"/>
    <w:qFormat/>
    <w:rPr>
      <w:rFonts w:ascii="Times New Roman" w:hAnsi="Times New Roman" w:eastAsia="宋体" w:cs="Times New Roman"/>
      <w:szCs w:val="21"/>
    </w:rPr>
  </w:style>
  <w:style w:type="paragraph" w:styleId="1004" w:customStyle="1">
    <w:name w:val="正文文本 31"/>
    <w:basedOn w:val="776"/>
    <w:link w:val="1005"/>
    <w:qFormat/>
    <w:rPr>
      <w:rFonts w:ascii="仿宋_GB2312" w:hAnsi="Arial" w:eastAsia="仿宋_GB2312"/>
      <w:sz w:val="32"/>
      <w:szCs w:val="32"/>
    </w:rPr>
  </w:style>
  <w:style w:type="character" w:styleId="1005" w:customStyle="1">
    <w:name w:val="正文文本 3 字符"/>
    <w:link w:val="1004"/>
    <w:qFormat/>
    <w:rPr>
      <w:rFonts w:ascii="仿宋_GB2312" w:hAnsi="Arial" w:eastAsia="仿宋_GB2312" w:cs="Times New Roman"/>
      <w:sz w:val="32"/>
      <w:szCs w:val="32"/>
    </w:rPr>
  </w:style>
  <w:style w:type="paragraph" w:styleId="1006" w:customStyle="1">
    <w:name w:val="正文文本1"/>
    <w:basedOn w:val="776"/>
    <w:link w:val="1007"/>
    <w:qFormat/>
    <w:rPr>
      <w:rFonts w:ascii="楷体_GB2312" w:hAnsi="Arial" w:eastAsia="楷体_GB2312"/>
      <w:sz w:val="28"/>
      <w:szCs w:val="28"/>
    </w:rPr>
  </w:style>
  <w:style w:type="character" w:styleId="1007" w:customStyle="1">
    <w:name w:val="正文文本 字符"/>
    <w:link w:val="1006"/>
    <w:qFormat/>
    <w:rPr>
      <w:rFonts w:ascii="楷体_GB2312" w:hAnsi="Arial" w:eastAsia="楷体_GB2312" w:cs="Times New Roman"/>
      <w:sz w:val="28"/>
      <w:szCs w:val="28"/>
    </w:rPr>
  </w:style>
  <w:style w:type="character" w:styleId="1008" w:customStyle="1">
    <w:name w:val="正文文本缩进 字符"/>
    <w:link w:val="813"/>
    <w:qFormat/>
    <w:rPr>
      <w:rFonts w:ascii="楷体_GB2312" w:hAnsi="Times New Roman" w:eastAsia="楷体_GB2312" w:cs="Times New Roman"/>
      <w:sz w:val="32"/>
      <w:szCs w:val="32"/>
    </w:rPr>
  </w:style>
  <w:style w:type="paragraph" w:styleId="1009" w:customStyle="1">
    <w:name w:val="列表 21"/>
    <w:basedOn w:val="776"/>
    <w:qFormat/>
    <w:pPr>
      <w:ind w:left="100" w:hanging="200"/>
    </w:pPr>
  </w:style>
  <w:style w:type="paragraph" w:styleId="1010" w:customStyle="1">
    <w:name w:val="目录 51"/>
    <w:basedOn w:val="776"/>
    <w:next w:val="776"/>
    <w:semiHidden/>
    <w:qFormat/>
    <w:pPr>
      <w:ind w:left="840"/>
      <w:jc w:val="left"/>
    </w:pPr>
  </w:style>
  <w:style w:type="paragraph" w:styleId="1011" w:customStyle="1">
    <w:name w:val="目录 31"/>
    <w:basedOn w:val="776"/>
    <w:next w:val="776"/>
    <w:semiHidden/>
    <w:qFormat/>
    <w:pPr>
      <w:ind w:left="420"/>
      <w:jc w:val="left"/>
    </w:pPr>
    <w:rPr>
      <w:i/>
      <w:iCs/>
      <w:szCs w:val="24"/>
    </w:rPr>
  </w:style>
  <w:style w:type="paragraph" w:styleId="1012" w:customStyle="1">
    <w:name w:val="纯文本1"/>
    <w:basedOn w:val="776"/>
    <w:link w:val="1013"/>
    <w:qFormat/>
    <w:rPr>
      <w:rFonts w:ascii="宋体" w:hAnsi="Courier New" w:cs="Courier New"/>
    </w:rPr>
  </w:style>
  <w:style w:type="character" w:styleId="1013" w:customStyle="1">
    <w:name w:val="纯文本 字符"/>
    <w:link w:val="1012"/>
    <w:qFormat/>
    <w:rPr>
      <w:rFonts w:ascii="宋体" w:hAnsi="Courier New" w:eastAsia="宋体" w:cs="Courier New"/>
      <w:szCs w:val="21"/>
    </w:rPr>
  </w:style>
  <w:style w:type="paragraph" w:styleId="1014" w:customStyle="1">
    <w:name w:val="目录 81"/>
    <w:basedOn w:val="776"/>
    <w:next w:val="776"/>
    <w:semiHidden/>
    <w:qFormat/>
    <w:pPr>
      <w:ind w:left="1470"/>
      <w:jc w:val="left"/>
    </w:pPr>
  </w:style>
  <w:style w:type="paragraph" w:styleId="1015" w:customStyle="1">
    <w:name w:val="日期1"/>
    <w:basedOn w:val="776"/>
    <w:next w:val="776"/>
    <w:link w:val="1016"/>
    <w:qFormat/>
    <w:rPr>
      <w:sz w:val="24"/>
      <w:szCs w:val="24"/>
    </w:rPr>
  </w:style>
  <w:style w:type="character" w:styleId="1016" w:customStyle="1">
    <w:name w:val="日期 字符"/>
    <w:link w:val="1015"/>
    <w:qFormat/>
    <w:rPr>
      <w:rFonts w:ascii="Times New Roman" w:hAnsi="Times New Roman" w:eastAsia="宋体" w:cs="Times New Roman"/>
      <w:sz w:val="24"/>
      <w:szCs w:val="24"/>
    </w:rPr>
  </w:style>
  <w:style w:type="paragraph" w:styleId="1017" w:customStyle="1">
    <w:name w:val="正文文本缩进 21"/>
    <w:basedOn w:val="776"/>
    <w:link w:val="1018"/>
    <w:qFormat/>
    <w:pPr>
      <w:ind w:left="630" w:firstLine="645"/>
    </w:pPr>
    <w:rPr>
      <w:rFonts w:ascii="Arial" w:hAnsi="Arial" w:eastAsia="仿宋_GB2312" w:cs="Arial"/>
      <w:sz w:val="32"/>
      <w:szCs w:val="32"/>
    </w:rPr>
  </w:style>
  <w:style w:type="character" w:styleId="1018" w:customStyle="1">
    <w:name w:val="正文文本缩进 2 字符"/>
    <w:link w:val="1017"/>
    <w:qFormat/>
    <w:rPr>
      <w:rFonts w:ascii="Arial" w:hAnsi="Arial" w:eastAsia="仿宋_GB2312" w:cs="Arial"/>
      <w:sz w:val="32"/>
      <w:szCs w:val="32"/>
    </w:rPr>
  </w:style>
  <w:style w:type="paragraph" w:styleId="1019" w:customStyle="1">
    <w:name w:val="批注框文本1"/>
    <w:basedOn w:val="776"/>
    <w:link w:val="1020"/>
    <w:semiHidden/>
    <w:qFormat/>
    <w:rPr>
      <w:sz w:val="18"/>
      <w:szCs w:val="18"/>
    </w:rPr>
  </w:style>
  <w:style w:type="character" w:styleId="1020" w:customStyle="1">
    <w:name w:val="批注框文本 字符"/>
    <w:link w:val="1019"/>
    <w:semiHidden/>
    <w:qFormat/>
    <w:rPr>
      <w:rFonts w:ascii="Times New Roman" w:hAnsi="Times New Roman" w:eastAsia="宋体" w:cs="Times New Roman"/>
      <w:sz w:val="18"/>
      <w:szCs w:val="18"/>
    </w:rPr>
  </w:style>
  <w:style w:type="paragraph" w:styleId="1021" w:customStyle="1">
    <w:name w:val="页脚1"/>
    <w:basedOn w:val="776"/>
    <w:link w:val="1022"/>
    <w:uiPriority w:val="99"/>
    <w:qFormat/>
    <w:pPr>
      <w:jc w:val="left"/>
      <w:tabs>
        <w:tab w:val="center" w:pos="4153" w:leader="none"/>
        <w:tab w:val="right" w:pos="8306" w:leader="none"/>
      </w:tabs>
    </w:pPr>
    <w:rPr>
      <w:sz w:val="18"/>
      <w:szCs w:val="18"/>
    </w:rPr>
  </w:style>
  <w:style w:type="character" w:styleId="1022" w:customStyle="1">
    <w:name w:val="页脚 字符"/>
    <w:link w:val="1021"/>
    <w:uiPriority w:val="99"/>
    <w:qFormat/>
    <w:rPr>
      <w:rFonts w:ascii="Times New Roman" w:hAnsi="Times New Roman" w:eastAsia="宋体" w:cs="Times New Roman"/>
      <w:sz w:val="18"/>
      <w:szCs w:val="18"/>
    </w:rPr>
  </w:style>
  <w:style w:type="paragraph" w:styleId="1023" w:customStyle="1">
    <w:name w:val="页眉1"/>
    <w:basedOn w:val="776"/>
    <w:link w:val="1024"/>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字符"/>
    <w:link w:val="1023"/>
    <w:qFormat/>
    <w:rPr>
      <w:rFonts w:ascii="Times New Roman" w:hAnsi="Times New Roman" w:eastAsia="宋体" w:cs="Times New Roman"/>
      <w:sz w:val="18"/>
      <w:szCs w:val="18"/>
    </w:rPr>
  </w:style>
  <w:style w:type="paragraph" w:styleId="1025" w:customStyle="1">
    <w:name w:val="目录 11"/>
    <w:basedOn w:val="776"/>
    <w:next w:val="776"/>
    <w:semiHidden/>
    <w:qFormat/>
    <w:pPr>
      <w:jc w:val="left"/>
      <w:spacing w:before="120" w:after="120" w:line="400" w:lineRule="exact"/>
      <w:tabs>
        <w:tab w:val="right" w:pos="8720" w:leader="dot"/>
      </w:tabs>
    </w:pPr>
    <w:rPr>
      <w:rFonts w:ascii="宋体" w:hAnsi="宋体"/>
      <w:caps/>
      <w:sz w:val="24"/>
      <w:szCs w:val="24"/>
    </w:rPr>
  </w:style>
  <w:style w:type="paragraph" w:styleId="1026" w:customStyle="1">
    <w:name w:val="目录 41"/>
    <w:basedOn w:val="776"/>
    <w:next w:val="776"/>
    <w:semiHidden/>
    <w:qFormat/>
    <w:pPr>
      <w:ind w:left="630"/>
      <w:jc w:val="left"/>
    </w:pPr>
  </w:style>
  <w:style w:type="paragraph" w:styleId="1027" w:customStyle="1">
    <w:name w:val="列表1"/>
    <w:basedOn w:val="776"/>
    <w:qFormat/>
    <w:pPr>
      <w:ind w:left="200" w:hanging="200"/>
    </w:pPr>
  </w:style>
  <w:style w:type="paragraph" w:styleId="1028" w:customStyle="1">
    <w:name w:val="目录 61"/>
    <w:basedOn w:val="776"/>
    <w:next w:val="776"/>
    <w:semiHidden/>
    <w:qFormat/>
    <w:pPr>
      <w:ind w:left="1050"/>
      <w:jc w:val="left"/>
    </w:pPr>
  </w:style>
  <w:style w:type="paragraph" w:styleId="1029" w:customStyle="1">
    <w:name w:val="正文文本缩进 31"/>
    <w:basedOn w:val="776"/>
    <w:link w:val="1030"/>
    <w:qFormat/>
    <w:pPr>
      <w:ind w:left="645" w:firstLine="645"/>
    </w:pPr>
    <w:rPr>
      <w:rFonts w:ascii="Arial" w:hAnsi="Arial" w:eastAsia="仿宋_GB2312" w:cs="Arial"/>
      <w:color w:val="ffff00"/>
      <w:sz w:val="32"/>
      <w:szCs w:val="32"/>
    </w:rPr>
  </w:style>
  <w:style w:type="character" w:styleId="1030" w:customStyle="1">
    <w:name w:val="正文文本缩进 3 字符"/>
    <w:link w:val="1029"/>
    <w:qFormat/>
    <w:rPr>
      <w:rFonts w:ascii="Arial" w:hAnsi="Arial" w:eastAsia="仿宋_GB2312" w:cs="Arial"/>
      <w:color w:val="ffff00"/>
      <w:sz w:val="32"/>
      <w:szCs w:val="32"/>
    </w:rPr>
  </w:style>
  <w:style w:type="paragraph" w:styleId="1031" w:customStyle="1">
    <w:name w:val="图表目录1"/>
    <w:basedOn w:val="776"/>
    <w:next w:val="776"/>
    <w:semiHidden/>
    <w:qFormat/>
    <w:pPr>
      <w:ind w:left="840" w:hanging="420"/>
    </w:pPr>
  </w:style>
  <w:style w:type="paragraph" w:styleId="1032" w:customStyle="1">
    <w:name w:val="目录 21"/>
    <w:basedOn w:val="776"/>
    <w:next w:val="776"/>
    <w:semiHidden/>
    <w:qFormat/>
    <w:pPr>
      <w:ind w:left="210"/>
      <w:jc w:val="left"/>
    </w:pPr>
    <w:rPr>
      <w:smallCaps/>
      <w:szCs w:val="24"/>
    </w:rPr>
  </w:style>
  <w:style w:type="paragraph" w:styleId="1033" w:customStyle="1">
    <w:name w:val="目录 91"/>
    <w:basedOn w:val="776"/>
    <w:next w:val="776"/>
    <w:semiHidden/>
    <w:qFormat/>
    <w:pPr>
      <w:ind w:left="1680"/>
      <w:jc w:val="left"/>
    </w:pPr>
  </w:style>
  <w:style w:type="paragraph" w:styleId="1034" w:customStyle="1">
    <w:name w:val="正文文本 21"/>
    <w:basedOn w:val="776"/>
    <w:link w:val="1035"/>
    <w:qFormat/>
    <w:pPr>
      <w:jc w:val="center"/>
      <w:widowControl/>
    </w:pPr>
    <w:rPr>
      <w:rFonts w:ascii="楷体_GB2312" w:eastAsia="楷体_GB2312"/>
      <w:sz w:val="28"/>
      <w:szCs w:val="28"/>
    </w:rPr>
  </w:style>
  <w:style w:type="character" w:styleId="1035" w:customStyle="1">
    <w:name w:val="正文文本 2 字符"/>
    <w:link w:val="1034"/>
    <w:qFormat/>
    <w:rPr>
      <w:rFonts w:ascii="楷体_GB2312" w:hAnsi="Times New Roman" w:eastAsia="楷体_GB2312" w:cs="Times New Roman"/>
      <w:sz w:val="28"/>
      <w:szCs w:val="28"/>
    </w:rPr>
  </w:style>
  <w:style w:type="paragraph" w:styleId="1036"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1037" w:customStyle="1">
    <w:name w:val="索引 11"/>
    <w:basedOn w:val="776"/>
    <w:next w:val="776"/>
    <w:semiHidden/>
    <w:qFormat/>
    <w:pPr>
      <w:spacing w:line="240" w:lineRule="atLeast"/>
    </w:pPr>
    <w:rPr>
      <w:b/>
      <w:bCs/>
    </w:rPr>
  </w:style>
  <w:style w:type="paragraph" w:styleId="1038" w:customStyle="1">
    <w:name w:val="批注主题1"/>
    <w:basedOn w:val="1002"/>
    <w:next w:val="1002"/>
    <w:link w:val="1039"/>
    <w:semiHidden/>
    <w:qFormat/>
    <w:rPr>
      <w:b/>
      <w:bCs/>
    </w:rPr>
  </w:style>
  <w:style w:type="character" w:styleId="1039" w:customStyle="1">
    <w:name w:val="批注主题 字符"/>
    <w:link w:val="1038"/>
    <w:semiHidden/>
    <w:qFormat/>
    <w:rPr>
      <w:rFonts w:ascii="Times New Roman" w:hAnsi="Times New Roman" w:eastAsia="宋体" w:cs="Times New Roman"/>
      <w:b/>
      <w:bCs/>
      <w:szCs w:val="21"/>
    </w:rPr>
  </w:style>
  <w:style w:type="paragraph" w:styleId="1040" w:customStyle="1">
    <w:name w:val="正文首行缩进1"/>
    <w:basedOn w:val="776"/>
    <w:link w:val="1041"/>
    <w:qFormat/>
    <w:pPr>
      <w:ind w:firstLine="200"/>
      <w:spacing w:line="360" w:lineRule="auto"/>
    </w:pPr>
    <w:rPr>
      <w:rFonts w:ascii="仿宋_GB2312" w:eastAsia="仿宋_GB2312"/>
      <w:sz w:val="30"/>
      <w:szCs w:val="30"/>
    </w:rPr>
  </w:style>
  <w:style w:type="character" w:styleId="1041" w:customStyle="1">
    <w:name w:val="正文文本首行缩进 字符"/>
    <w:link w:val="1040"/>
    <w:qFormat/>
    <w:rPr>
      <w:rFonts w:ascii="仿宋_GB2312" w:hAnsi="Times New Roman" w:eastAsia="仿宋_GB2312" w:cs="Times New Roman"/>
      <w:sz w:val="30"/>
      <w:szCs w:val="30"/>
    </w:rPr>
  </w:style>
  <w:style w:type="character" w:styleId="1042" w:customStyle="1">
    <w:name w:val="正文文本首行缩进 2 字符"/>
    <w:link w:val="814"/>
    <w:qFormat/>
    <w:rPr>
      <w:rFonts w:ascii="宋体" w:hAnsi="宋体" w:eastAsia="宋体" w:cs="Times New Roman"/>
      <w:sz w:val="32"/>
      <w:szCs w:val="20"/>
    </w:rPr>
  </w:style>
  <w:style w:type="table" w:styleId="1043" w:customStyle="1">
    <w:name w:val="网格型1"/>
    <w:basedOn w:val="997"/>
    <w:qFormat/>
    <w:pPr>
      <w:jc w:val="both"/>
      <w:widowControl w:val="off"/>
    </w:pPr>
    <w:tblPr>
      <w:tblCellMar>
        <w:left w:w="0" w:type="dxa"/>
        <w:top w:w="0" w:type="dxa"/>
        <w:right w:w="0" w:type="dxa"/>
        <w:bottom w:w="0" w:type="dxa"/>
      </w:tblCellMar>
    </w:tblPr>
  </w:style>
  <w:style w:type="character" w:styleId="1044" w:customStyle="1">
    <w:name w:val="要点1"/>
    <w:qFormat/>
    <w:rPr>
      <w:b/>
      <w:bCs/>
    </w:rPr>
  </w:style>
  <w:style w:type="character" w:styleId="1045" w:customStyle="1">
    <w:name w:val="页码1"/>
    <w:qFormat/>
  </w:style>
  <w:style w:type="character" w:styleId="1046" w:customStyle="1">
    <w:name w:val="已访问的超链接1"/>
    <w:qFormat/>
    <w:rPr>
      <w:color w:val="800080"/>
      <w:u w:val="single"/>
    </w:rPr>
  </w:style>
  <w:style w:type="character" w:styleId="1047" w:customStyle="1">
    <w:name w:val="超链接1"/>
    <w:qFormat/>
    <w:rPr>
      <w:color w:val="0000ff"/>
      <w:u w:val="single"/>
    </w:rPr>
  </w:style>
  <w:style w:type="character" w:styleId="1048" w:customStyle="1">
    <w:name w:val="批注引用1"/>
    <w:uiPriority w:val="99"/>
    <w:qFormat/>
    <w:rPr>
      <w:sz w:val="21"/>
      <w:szCs w:val="21"/>
    </w:rPr>
  </w:style>
  <w:style w:type="character" w:styleId="1049" w:customStyle="1">
    <w:name w:val="font5 Char"/>
    <w:qFormat/>
    <w:rPr>
      <w:rFonts w:ascii="宋体" w:hAnsi="宋体" w:eastAsia="宋体"/>
      <w:sz w:val="28"/>
      <w:szCs w:val="28"/>
      <w:lang w:val="en-US" w:eastAsia="zh-CN" w:bidi="ar-SA"/>
    </w:rPr>
  </w:style>
  <w:style w:type="character" w:styleId="1050" w:customStyle="1">
    <w:name w:val="二级目录 Char"/>
    <w:link w:val="1051"/>
    <w:qFormat/>
    <w:rPr>
      <w:b/>
      <w:sz w:val="30"/>
      <w:szCs w:val="28"/>
    </w:rPr>
  </w:style>
  <w:style w:type="paragraph" w:styleId="1051" w:customStyle="1">
    <w:name w:val="二级目录"/>
    <w:next w:val="776"/>
    <w:link w:val="1050"/>
    <w:qFormat/>
    <w:pPr>
      <w:ind w:left="907" w:hanging="907"/>
      <w:tabs>
        <w:tab w:val="left" w:pos="907" w:leader="none"/>
        <w:tab w:val="left" w:pos="1145" w:leader="none"/>
      </w:tabs>
      <w:outlineLvl w:val="1"/>
    </w:pPr>
    <w:rPr>
      <w:b/>
      <w:sz w:val="30"/>
      <w:szCs w:val="28"/>
    </w:rPr>
  </w:style>
  <w:style w:type="character" w:styleId="1052" w:customStyle="1">
    <w:name w:val="列出段落 Char"/>
    <w:link w:val="1053"/>
    <w:qFormat/>
    <w:rPr>
      <w:rFonts w:ascii="Calibri" w:hAnsi="Calibri"/>
      <w:sz w:val="24"/>
      <w:szCs w:val="24"/>
      <w:lang w:eastAsia="en-US" w:bidi="en-US"/>
    </w:rPr>
  </w:style>
  <w:style w:type="paragraph" w:styleId="1053" w:customStyle="1">
    <w:name w:val="列出段落1"/>
    <w:basedOn w:val="776"/>
    <w:link w:val="1052"/>
    <w:qFormat/>
    <w:pPr>
      <w:contextualSpacing/>
      <w:ind w:left="720"/>
      <w:jc w:val="left"/>
      <w:widowControl/>
    </w:pPr>
    <w:rPr>
      <w:rFonts w:ascii="Calibri" w:hAnsi="Calibri"/>
      <w:sz w:val="24"/>
      <w:szCs w:val="24"/>
      <w:lang w:eastAsia="en-US" w:bidi="en-US"/>
    </w:rPr>
  </w:style>
  <w:style w:type="paragraph" w:styleId="1054" w:customStyle="1">
    <w:name w:val="Body Text(ch)"/>
    <w:basedOn w:val="776"/>
    <w:next w:val="1006"/>
    <w:qFormat/>
    <w:pPr>
      <w:spacing w:after="120"/>
    </w:pPr>
    <w:rPr>
      <w:rFonts w:ascii="宋体" w:hAnsi="Arial"/>
      <w:bCs/>
      <w:iCs/>
      <w:szCs w:val="24"/>
    </w:rPr>
  </w:style>
  <w:style w:type="paragraph" w:styleId="1055" w:customStyle="1">
    <w:name w:val="xl27"/>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6" w:customStyle="1">
    <w:name w:val="xl26"/>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customStyle="1">
    <w:name w:val="Char"/>
    <w:basedOn w:val="776"/>
    <w:qFormat/>
    <w:pPr>
      <w:ind w:firstLine="200"/>
      <w:tabs>
        <w:tab w:val="left" w:pos="360" w:leader="none"/>
      </w:tabs>
    </w:pPr>
    <w:rPr>
      <w:sz w:val="28"/>
      <w:szCs w:val="30"/>
    </w:rPr>
  </w:style>
  <w:style w:type="paragraph" w:styleId="1058" w:customStyle="1">
    <w:name w:val="Char1"/>
    <w:basedOn w:val="1000"/>
    <w:qFormat/>
    <w:rPr>
      <w:rFonts w:ascii="Tahoma" w:hAnsi="Tahoma"/>
      <w:sz w:val="24"/>
      <w:szCs w:val="24"/>
    </w:rPr>
  </w:style>
  <w:style w:type="paragraph" w:styleId="1059" w:customStyle="1">
    <w:name w:val="普通正文"/>
    <w:basedOn w:val="776"/>
    <w:qFormat/>
    <w:pPr>
      <w:ind w:firstLine="480"/>
      <w:jc w:val="left"/>
      <w:spacing w:before="120" w:after="120" w:line="360" w:lineRule="auto"/>
    </w:pPr>
    <w:rPr>
      <w:rFonts w:ascii="Arial" w:hAnsi="Arial"/>
      <w:sz w:val="24"/>
      <w:szCs w:val="24"/>
    </w:rPr>
  </w:style>
  <w:style w:type="paragraph" w:styleId="1060" w:customStyle="1">
    <w:name w:val="table_lines"/>
    <w:basedOn w:val="776"/>
    <w:qFormat/>
    <w:pPr>
      <w:jc w:val="left"/>
      <w:widowControl/>
    </w:pPr>
    <w:rPr>
      <w:sz w:val="20"/>
      <w:szCs w:val="20"/>
      <w:lang w:val="de-DE" w:eastAsia="de-DE"/>
    </w:rPr>
  </w:style>
  <w:style w:type="paragraph" w:styleId="1061" w:customStyle="1">
    <w:name w:val="附录1"/>
    <w:qFormat/>
    <w:pPr>
      <w:numPr>
        <w:numId w:val="2"/>
      </w:numPr>
      <w:spacing w:before="240" w:line="600" w:lineRule="atLeast"/>
    </w:pPr>
    <w:rPr>
      <w:b/>
      <w:i/>
      <w:sz w:val="28"/>
    </w:rPr>
  </w:style>
  <w:style w:type="paragraph" w:styleId="1062" w:customStyle="1">
    <w:name w:val="font7"/>
    <w:basedOn w:val="776"/>
    <w:qFormat/>
    <w:pPr>
      <w:jc w:val="left"/>
      <w:spacing w:before="100" w:beforeAutospacing="1" w:after="100" w:afterAutospacing="1"/>
      <w:widowControl/>
    </w:pPr>
    <w:rPr>
      <w:rFonts w:hint="eastAsia" w:ascii="宋体" w:hAnsi="宋体"/>
      <w:sz w:val="18"/>
      <w:szCs w:val="18"/>
    </w:rPr>
  </w:style>
  <w:style w:type="paragraph" w:styleId="1063" w:customStyle="1">
    <w:name w:val="Char Char Char Char"/>
    <w:basedOn w:val="1000"/>
    <w:qFormat/>
    <w:pPr>
      <w:spacing w:line="360" w:lineRule="auto"/>
    </w:pPr>
    <w:rPr>
      <w:rFonts w:ascii="Tahoma" w:hAnsi="Tahoma"/>
      <w:sz w:val="24"/>
      <w:szCs w:val="24"/>
    </w:rPr>
  </w:style>
  <w:style w:type="paragraph" w:styleId="1064" w:customStyle="1">
    <w:name w:val="列表段落"/>
    <w:basedOn w:val="776"/>
    <w:link w:val="1065"/>
    <w:uiPriority w:val="34"/>
    <w:qFormat/>
    <w:pPr>
      <w:contextualSpacing/>
      <w:ind w:left="720"/>
      <w:jc w:val="left"/>
      <w:widowControl/>
    </w:pPr>
    <w:rPr>
      <w:rFonts w:ascii="Calibri" w:hAnsi="Calibri"/>
      <w:sz w:val="24"/>
      <w:szCs w:val="24"/>
      <w:lang w:eastAsia="en-US" w:bidi="en-US"/>
    </w:rPr>
  </w:style>
  <w:style w:type="character" w:styleId="1065" w:customStyle="1">
    <w:name w:val="列表段落 字符"/>
    <w:link w:val="1064"/>
    <w:uiPriority w:val="34"/>
    <w:qFormat/>
    <w:rPr>
      <w:sz w:val="24"/>
      <w:szCs w:val="24"/>
      <w:lang w:eastAsia="en-US" w:bidi="en-US"/>
    </w:rPr>
  </w:style>
  <w:style w:type="paragraph" w:styleId="1066" w:customStyle="1">
    <w:name w:val="4"/>
    <w:basedOn w:val="776"/>
    <w:next w:val="1029"/>
    <w:qFormat/>
    <w:pPr>
      <w:ind w:firstLine="420"/>
      <w:spacing w:line="360" w:lineRule="auto"/>
    </w:pPr>
    <w:rPr>
      <w:color w:val="ff0000"/>
      <w:sz w:val="24"/>
      <w:szCs w:val="24"/>
    </w:rPr>
  </w:style>
  <w:style w:type="paragraph" w:styleId="1067" w:customStyle="1">
    <w:name w:val="普通 (Web)"/>
    <w:basedOn w:val="776"/>
    <w:qFormat/>
    <w:pPr>
      <w:jc w:val="left"/>
      <w:spacing w:before="100" w:beforeAutospacing="1" w:after="100" w:afterAutospacing="1"/>
      <w:widowControl/>
    </w:pPr>
    <w:rPr>
      <w:rFonts w:ascii="宋体" w:hAnsi="宋体"/>
      <w:sz w:val="24"/>
      <w:szCs w:val="24"/>
    </w:rPr>
  </w:style>
  <w:style w:type="paragraph" w:styleId="1068" w:customStyle="1">
    <w:name w:val="Char Char Char Char Char Char Char Char Char Char"/>
    <w:basedOn w:val="776"/>
    <w:qFormat/>
    <w:pPr>
      <w:spacing w:line="360" w:lineRule="auto"/>
    </w:pPr>
    <w:rPr>
      <w:sz w:val="24"/>
      <w:szCs w:val="20"/>
    </w:rPr>
  </w:style>
  <w:style w:type="paragraph" w:styleId="1069" w:customStyle="1">
    <w:name w:val="样式1"/>
    <w:basedOn w:val="776"/>
    <w:qFormat/>
    <w:pPr>
      <w:numPr>
        <w:numId w:val="3"/>
      </w:numPr>
    </w:pPr>
    <w:rPr>
      <w:rFonts w:ascii="宋体" w:hAnsi="宋体"/>
    </w:rPr>
  </w:style>
  <w:style w:type="paragraph" w:styleId="1070" w:customStyle="1">
    <w:name w:val="font6"/>
    <w:basedOn w:val="776"/>
    <w:qFormat/>
    <w:pPr>
      <w:jc w:val="left"/>
      <w:spacing w:before="100" w:beforeAutospacing="1" w:after="100" w:afterAutospacing="1"/>
      <w:widowControl/>
    </w:pPr>
    <w:rPr>
      <w:rFonts w:hint="eastAsia" w:ascii="宋体" w:hAnsi="宋体"/>
      <w:sz w:val="28"/>
      <w:szCs w:val="28"/>
      <w:u w:val="single"/>
    </w:rPr>
  </w:style>
  <w:style w:type="paragraph" w:styleId="1071" w:customStyle="1">
    <w:name w:val="xl25"/>
    <w:basedOn w:val="77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2" w:customStyle="1">
    <w:name w:val="图标"/>
    <w:basedOn w:val="776"/>
    <w:next w:val="7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3" w:customStyle="1">
    <w:name w:val="标题3"/>
    <w:basedOn w:val="776"/>
    <w:next w:val="776"/>
    <w:qFormat/>
    <w:pPr>
      <w:ind w:firstLine="624"/>
      <w:spacing w:line="590" w:lineRule="atLeast"/>
    </w:pPr>
    <w:rPr>
      <w:rFonts w:ascii="方正黑体_GBK" w:eastAsia="方正黑体_GBK"/>
      <w:sz w:val="32"/>
      <w:szCs w:val="32"/>
    </w:rPr>
  </w:style>
  <w:style w:type="paragraph" w:styleId="1074" w:customStyle="1">
    <w:name w:val="xl24"/>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customStyle="1">
    <w:name w:val="xl29"/>
    <w:basedOn w:val="77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6" w:customStyle="1">
    <w:name w:val="Char Char Char Char Char Char Char Char"/>
    <w:basedOn w:val="776"/>
    <w:qFormat/>
    <w:pPr>
      <w:jc w:val="left"/>
      <w:spacing w:after="160" w:line="240" w:lineRule="exact"/>
      <w:widowControl/>
    </w:pPr>
    <w:rPr>
      <w:rFonts w:ascii="Verdana" w:hAnsi="Verdana"/>
      <w:sz w:val="20"/>
      <w:szCs w:val="20"/>
      <w:lang w:eastAsia="en-US"/>
    </w:rPr>
  </w:style>
  <w:style w:type="paragraph" w:styleId="1077" w:customStyle="1">
    <w:name w:val="xl28"/>
    <w:basedOn w:val="7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8" w:customStyle="1">
    <w:name w:val="Char Char Char Char Char Char Char Char1"/>
    <w:basedOn w:val="776"/>
    <w:qFormat/>
    <w:pPr>
      <w:jc w:val="left"/>
      <w:spacing w:after="160" w:line="240" w:lineRule="exact"/>
      <w:widowControl/>
    </w:pPr>
    <w:rPr>
      <w:rFonts w:ascii="Verdana" w:hAnsi="Verdana"/>
      <w:sz w:val="20"/>
      <w:szCs w:val="20"/>
      <w:lang w:eastAsia="en-US"/>
    </w:rPr>
  </w:style>
  <w:style w:type="paragraph" w:styleId="1079" w:customStyle="1">
    <w:name w:val="xl30"/>
    <w:basedOn w:val="776"/>
    <w:qFormat/>
    <w:pPr>
      <w:jc w:val="center"/>
      <w:spacing w:before="100" w:beforeAutospacing="1" w:after="100" w:afterAutospacing="1"/>
      <w:widowControl/>
    </w:pPr>
    <w:rPr>
      <w:rFonts w:ascii="宋体" w:hAnsi="宋体"/>
      <w:b/>
      <w:bCs/>
      <w:sz w:val="36"/>
      <w:szCs w:val="36"/>
    </w:rPr>
  </w:style>
  <w:style w:type="paragraph" w:styleId="1080" w:customStyle="1">
    <w:name w:val="Char Char Char Char1"/>
    <w:basedOn w:val="1000"/>
    <w:qFormat/>
    <w:pPr>
      <w:spacing w:line="360" w:lineRule="auto"/>
    </w:pPr>
    <w:rPr>
      <w:rFonts w:ascii="Tahoma" w:hAnsi="Tahoma"/>
      <w:sz w:val="24"/>
      <w:szCs w:val="24"/>
    </w:rPr>
  </w:style>
  <w:style w:type="paragraph" w:styleId="1081" w:customStyle="1">
    <w:name w:val="table_1stline"/>
    <w:basedOn w:val="776"/>
    <w:qFormat/>
    <w:pPr>
      <w:jc w:val="left"/>
      <w:spacing w:before="120"/>
      <w:widowControl/>
    </w:pPr>
    <w:rPr>
      <w:bCs/>
      <w:sz w:val="20"/>
      <w:szCs w:val="20"/>
      <w:lang w:val="de-DE" w:eastAsia="de-DE"/>
    </w:rPr>
  </w:style>
  <w:style w:type="paragraph" w:styleId="1082" w:customStyle="1">
    <w:name w:val="font5"/>
    <w:basedOn w:val="776"/>
    <w:qFormat/>
    <w:pPr>
      <w:jc w:val="left"/>
      <w:spacing w:before="100" w:beforeAutospacing="1" w:after="100" w:afterAutospacing="1"/>
      <w:widowControl/>
    </w:pPr>
    <w:rPr>
      <w:rFonts w:hint="eastAsia" w:ascii="宋体" w:hAnsi="宋体"/>
      <w:sz w:val="28"/>
      <w:szCs w:val="28"/>
    </w:rPr>
  </w:style>
  <w:style w:type="paragraph" w:styleId="1083" w:customStyle="1">
    <w:name w:val="标题1"/>
    <w:basedOn w:val="776"/>
    <w:next w:val="7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4" w:customStyle="1">
    <w:name w:val="修订1"/>
    <w:uiPriority w:val="99"/>
    <w:semiHidden/>
    <w:qFormat/>
    <w:rPr>
      <w:sz w:val="21"/>
      <w:szCs w:val="21"/>
    </w:rPr>
  </w:style>
  <w:style w:type="paragraph" w:styleId="1085" w:customStyle="1">
    <w:name w:val="无间隔1"/>
    <w:uiPriority w:val="99"/>
    <w:qFormat/>
    <w:pPr>
      <w:jc w:val="both"/>
      <w:widowControl w:val="off"/>
    </w:pPr>
    <w:rPr>
      <w:sz w:val="21"/>
      <w:szCs w:val="21"/>
    </w:rPr>
  </w:style>
  <w:style w:type="paragraph" w:styleId="1086" w:customStyle="1">
    <w:name w:val="标题 11"/>
    <w:basedOn w:val="776"/>
    <w:next w:val="776"/>
    <w:qFormat/>
    <w:pPr>
      <w:jc w:val="left"/>
      <w:keepNext/>
      <w:outlineLvl w:val="0"/>
    </w:pPr>
    <w:rPr>
      <w:rFonts w:ascii="楷体_GB2312" w:hAnsi="楷体_GB2312"/>
      <w:b/>
      <w:sz w:val="32"/>
      <w:szCs w:val="28"/>
    </w:rPr>
  </w:style>
  <w:style w:type="paragraph" w:styleId="1087" w:customStyle="1">
    <w:name w:val="WPSOffice手动目录 1"/>
    <w:qFormat/>
  </w:style>
  <w:style w:type="paragraph" w:styleId="1088" w:customStyle="1">
    <w:name w:val="UserStyle_64"/>
    <w:basedOn w:val="776"/>
    <w:next w:val="1064"/>
    <w:uiPriority w:val="34"/>
    <w:qFormat/>
    <w:pPr>
      <w:ind w:firstLine="420"/>
    </w:pPr>
    <w:rPr>
      <w:rFonts w:ascii="Calibri" w:hAnsi="Calibri"/>
      <w:szCs w:val="22"/>
      <w:lang w:eastAsia="en-US"/>
    </w:rPr>
  </w:style>
  <w:style w:type="table" w:styleId="1089" w:customStyle="1">
    <w:name w:val="Table Normal"/>
    <w:semiHidden/>
    <w:unhideWhenUsed/>
    <w:qFormat/>
    <w:tblPr>
      <w:tblCellMar>
        <w:left w:w="0" w:type="dxa"/>
        <w:top w:w="0" w:type="dxa"/>
        <w:right w:w="0" w:type="dxa"/>
        <w:bottom w:w="0" w:type="dxa"/>
      </w:tblCellMar>
    </w:tblPr>
  </w:style>
  <w:style w:type="paragraph" w:styleId="1090" w:customStyle="1">
    <w:name w:val="Table Text"/>
    <w:basedOn w:val="776"/>
    <w:semiHidden/>
    <w:qFormat/>
    <w:rPr>
      <w:rFonts w:ascii="宋体" w:hAnsi="宋体" w:cs="宋体"/>
      <w:sz w:val="26"/>
      <w:szCs w:val="26"/>
      <w:lang w:eastAsia="en-US"/>
    </w:rPr>
  </w:style>
  <w:style w:type="character" w:styleId="1091" w:customStyle="1">
    <w:name w:val="font21"/>
    <w:basedOn w:val="780"/>
    <w:qFormat/>
    <w:rPr>
      <w:rFonts w:ascii="Arial" w:hAnsi="Arial" w:cs="Arial"/>
      <w:color w:val="000000"/>
      <w:sz w:val="24"/>
      <w:szCs w:val="24"/>
      <w:u w:val="none"/>
    </w:rPr>
  </w:style>
  <w:style w:type="character" w:styleId="1092" w:customStyle="1">
    <w:name w:val="font11"/>
    <w:basedOn w:val="780"/>
    <w:qFormat/>
    <w:rPr>
      <w:rFonts w:hint="eastAsia" w:ascii="宋体" w:hAnsi="宋体" w:eastAsia="宋体" w:cs="宋体"/>
      <w:color w:val="000000"/>
      <w:sz w:val="24"/>
      <w:szCs w:val="24"/>
      <w:u w:val="none"/>
    </w:rPr>
  </w:style>
  <w:style w:type="character" w:styleId="1093" w:customStyle="1">
    <w:name w:val="font01"/>
    <w:basedOn w:val="780"/>
    <w:qFormat/>
    <w:rPr>
      <w:rFonts w:hint="default" w:ascii="Arial" w:hAnsi="Arial" w:cs="Arial"/>
      <w:color w:val="000000"/>
      <w:sz w:val="20"/>
      <w:szCs w:val="20"/>
      <w:u w:val="none"/>
    </w:rPr>
  </w:style>
  <w:style w:type="character" w:styleId="1094" w:customStyle="1">
    <w:name w:val="font31"/>
    <w:basedOn w:val="780"/>
    <w:qFormat/>
    <w:rPr>
      <w:rFonts w:hint="eastAsia" w:ascii="宋体" w:hAnsi="宋体" w:eastAsia="宋体" w:cs="宋体"/>
      <w:color w:val="000000"/>
      <w:sz w:val="20"/>
      <w:szCs w:val="20"/>
      <w:u w:val="none"/>
    </w:rPr>
  </w:style>
  <w:style w:type="paragraph" w:styleId="1095" w:customStyle="1">
    <w:name w:val="列表段落1"/>
    <w:basedOn w:val="776"/>
    <w:uiPriority w:val="34"/>
    <w:qFormat/>
    <w:pPr>
      <w:contextualSpacing/>
      <w:ind w:left="720"/>
      <w:jc w:val="left"/>
      <w:widowControl/>
    </w:pPr>
    <w:rPr>
      <w:rFonts w:ascii="Calibri" w:hAnsi="Calibri"/>
      <w:sz w:val="24"/>
      <w:szCs w:val="24"/>
      <w:lang w:eastAsia="en-US" w:bidi="en-US"/>
    </w:rPr>
  </w:style>
  <w:style w:type="paragraph" w:styleId="1096" w:customStyle="1">
    <w:name w:val="成文日期"/>
    <w:basedOn w:val="776"/>
    <w:qFormat/>
    <w:pPr>
      <w:ind w:right="400" w:firstLine="200"/>
      <w:jc w:val="right"/>
      <w:spacing w:line="570" w:lineRule="exact"/>
    </w:pPr>
    <w:rPr>
      <w:rFonts w:ascii="仿宋_GB2312" w:eastAsia="仿宋_GB2312"/>
      <w:sz w:val="32"/>
      <w:szCs w:val="20"/>
    </w:rPr>
  </w:style>
  <w:style w:type="character" w:styleId="1097" w:customStyle="1">
    <w:name w:val="页眉 Char"/>
    <w:basedOn w:val="780"/>
    <w:link w:val="795"/>
    <w:uiPriority w:val="99"/>
    <w:semiHidden/>
    <w:qFormat/>
    <w:rPr>
      <w:sz w:val="18"/>
      <w:szCs w:val="18"/>
    </w:rPr>
  </w:style>
  <w:style w:type="character" w:styleId="1098" w:customStyle="1">
    <w:name w:val="页脚 Char"/>
    <w:basedOn w:val="780"/>
    <w:link w:val="794"/>
    <w:uiPriority w:val="99"/>
    <w:semiHidden/>
    <w:qFormat/>
    <w:rPr>
      <w:sz w:val="18"/>
      <w:szCs w:val="18"/>
    </w:rPr>
  </w:style>
  <w:style w:type="character" w:styleId="1099" w:customStyle="1">
    <w:name w:val="批注框文本 Char"/>
    <w:basedOn w:val="780"/>
    <w:link w:val="793"/>
    <w:uiPriority w:val="99"/>
    <w:semiHidden/>
    <w:qFormat/>
    <w:rPr>
      <w:sz w:val="18"/>
      <w:szCs w:val="18"/>
    </w:rPr>
  </w:style>
  <w:style w:type="character" w:styleId="1100" w:customStyle="1">
    <w:name w:val="纯文本 Char"/>
    <w:basedOn w:val="780"/>
    <w:link w:val="790"/>
    <w:qFormat/>
    <w:rPr>
      <w:rFonts w:ascii="宋体" w:hAnsi="Courier New"/>
      <w:sz w:val="21"/>
    </w:rPr>
  </w:style>
  <w:style w:type="paragraph" w:styleId="1101" w:customStyle="1">
    <w:name w:val="标题 311"/>
    <w:basedOn w:val="776"/>
    <w:next w:val="979"/>
    <w:qFormat/>
    <w:pPr>
      <w:keepLines/>
      <w:keepNext/>
      <w:spacing w:before="260" w:after="260" w:line="416" w:lineRule="auto"/>
      <w:outlineLvl w:val="2"/>
    </w:pPr>
    <w:rPr>
      <w:b/>
      <w:bCs/>
      <w:sz w:val="32"/>
      <w:szCs w:val="32"/>
    </w:rPr>
  </w:style>
  <w:style w:type="paragraph" w:styleId="1102" w:customStyle="1">
    <w:name w:val="标题 211"/>
    <w:basedOn w:val="776"/>
    <w:next w:val="979"/>
    <w:qFormat/>
    <w:pPr>
      <w:jc w:val="center"/>
      <w:keepLines/>
      <w:keepNext/>
      <w:spacing w:before="260" w:after="260" w:line="416" w:lineRule="auto"/>
      <w:outlineLvl w:val="1"/>
    </w:pPr>
    <w:rPr>
      <w:rFonts w:ascii="Arial" w:hAnsi="Arial" w:eastAsia="幼圆" w:cs="Arial"/>
      <w:b/>
      <w:bCs/>
      <w:sz w:val="44"/>
      <w:szCs w:val="44"/>
    </w:rPr>
  </w:style>
  <w:style w:type="paragraph" w:styleId="1103" w:customStyle="1">
    <w:name w:val="标题 411"/>
    <w:basedOn w:val="776"/>
    <w:next w:val="979"/>
    <w:qFormat/>
    <w:pPr>
      <w:keepLines/>
      <w:keepNext/>
      <w:spacing w:before="280" w:after="290" w:line="376" w:lineRule="auto"/>
      <w:outlineLvl w:val="3"/>
    </w:pPr>
    <w:rPr>
      <w:rFonts w:ascii="Arial" w:hAnsi="Arial" w:eastAsia="黑体" w:cs="Arial"/>
      <w:b/>
      <w:bCs/>
      <w:sz w:val="28"/>
      <w:szCs w:val="28"/>
    </w:rPr>
  </w:style>
  <w:style w:type="paragraph" w:styleId="1104" w:customStyle="1">
    <w:name w:val="页脚11"/>
    <w:basedOn w:val="776"/>
    <w:uiPriority w:val="99"/>
    <w:qFormat/>
    <w:pPr>
      <w:jc w:val="left"/>
      <w:tabs>
        <w:tab w:val="center" w:pos="4153" w:leader="none"/>
        <w:tab w:val="right" w:pos="8306" w:leader="none"/>
      </w:tabs>
    </w:pPr>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7DEFA2-6C24-47AF-A9A9-C3C90B6A7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张晓琴</cp:lastModifiedBy>
  <cp:revision>1034</cp:revision>
  <dcterms:created xsi:type="dcterms:W3CDTF">2024-11-01T17:10:00Z</dcterms:created>
  <dcterms:modified xsi:type="dcterms:W3CDTF">2026-07-20T05:39:06Z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DB0073913CE34678BAEF26F0363250C8_13</vt:lpwstr>
  </property>
  <property fmtid="{D5CDD505-2E9C-101B-9397-08002B2CF9AE}" pid="4" name="KSOTemplateDocerSaveRecord">
    <vt:lpwstr>eyJoZGlkIjoiMjZmNTIyY2VkNTc0ZDU5MzQ4Mzk5Y2Q0MDYxN2ExYTMifQ==</vt:lpwstr>
  </property>
</Properties>
</file>