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rFonts w:hint="eastAsia" w:ascii="宋体" w:hAnsi="宋体" w:cs="宋体"/>
          <w:color w:val="auto"/>
          <w:szCs w:val="21"/>
          <w:highlight w:val="none"/>
          <w:lang w:val="en-US" w:eastAsia="zh-CN" w:bidi="ar-SA"/>
        </w:rPr>
      </w:pPr>
      <w:r/>
      <w:bookmarkStart w:id="0" w:name="_Toc120614210"/>
      <w:r/>
      <w:bookmarkStart w:id="1" w:name="_Toc20823272"/>
      <w:r/>
      <w:bookmarkStart w:id="2" w:name="_Toc513029200"/>
      <w:r/>
      <w:bookmarkStart w:id="3" w:name="_Toc523127445"/>
      <w:r/>
      <w:bookmarkStart w:id="4" w:name="_Toc479757206"/>
      <w:r/>
      <w:bookmarkStart w:id="5" w:name="_Toc16938516"/>
      <w:r/>
      <w:r/>
    </w:p>
    <w:p>
      <w:pPr>
        <w:ind w:firstLine="42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42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42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center"/>
        <w:spacing w:line="360" w:lineRule="auto"/>
        <w:widowControl w:val="off"/>
        <w:rPr>
          <w:rFonts w:hint="eastAsia" w:ascii="宋体" w:hAnsi="宋体" w:eastAsia="宋体" w:cs="宋体"/>
          <w:b/>
          <w:bCs/>
          <w:color w:val="auto"/>
          <w:sz w:val="44"/>
          <w:szCs w:val="44"/>
          <w:highlight w:val="none"/>
          <w:lang w:val="en-US" w:eastAsia="zh-CN" w:bidi="ar-SA"/>
        </w:rPr>
      </w:pPr>
      <w:r>
        <w:rPr>
          <w:rFonts w:hint="eastAsia" w:ascii="宋体" w:hAnsi="宋体" w:cs="宋体"/>
          <w:b/>
          <w:bCs/>
          <w:color w:val="auto"/>
          <w:sz w:val="44"/>
          <w:szCs w:val="44"/>
          <w:highlight w:val="none"/>
          <w:lang w:val="en-US" w:eastAsia="zh-CN" w:bidi="ar-SA"/>
        </w:rPr>
        <w:t xml:space="preserve">江苏检察侦查指挥中心办公家具采购</w:t>
      </w:r>
      <w:r/>
    </w:p>
    <w:p>
      <w:pPr>
        <w:ind w:firstLine="0"/>
        <w:jc w:val="center"/>
        <w:spacing w:line="240" w:lineRule="auto"/>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r>
      <w:r/>
    </w:p>
    <w:p>
      <w:pPr>
        <w:ind w:firstLine="0"/>
        <w:jc w:val="center"/>
        <w:spacing w:line="240" w:lineRule="auto"/>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r>
      <w:r/>
    </w:p>
    <w:p>
      <w:pPr>
        <w:ind w:firstLine="0"/>
        <w:jc w:val="center"/>
        <w:spacing w:line="240" w:lineRule="auto"/>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r>
      <w:r/>
    </w:p>
    <w:p>
      <w:pPr>
        <w:ind w:firstLine="0"/>
        <w:jc w:val="center"/>
        <w:spacing w:line="240" w:lineRule="auto"/>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r>
      <w:r/>
    </w:p>
    <w:p>
      <w:pPr>
        <w:ind w:firstLine="0"/>
        <w:jc w:val="center"/>
        <w:spacing w:line="240" w:lineRule="auto"/>
        <w:widowControl w:val="off"/>
        <w:rPr>
          <w:rFonts w:hint="eastAsia" w:ascii="宋体" w:hAnsi="宋体" w:eastAsia="宋体" w:cs="Times New Roman"/>
          <w:b/>
          <w:bCs/>
          <w:color w:val="auto"/>
          <w:sz w:val="52"/>
          <w:szCs w:val="52"/>
          <w:highlight w:val="none"/>
          <w:lang w:val="en-US" w:eastAsia="zh-CN" w:bidi="ar-SA"/>
        </w:rPr>
      </w:pPr>
      <w:r>
        <w:rPr>
          <w:rFonts w:hint="eastAsia" w:ascii="Microsoft New Tai Lue" w:hAnsi="Microsoft New Tai Lue" w:eastAsia="宋体" w:cs="Microsoft New Tai Lue"/>
          <w:b/>
          <w:bCs w:val="0"/>
          <w:color w:val="auto"/>
          <w:sz w:val="84"/>
          <w:szCs w:val="84"/>
          <w:highlight w:val="none"/>
          <w:lang w:val="en-US" w:eastAsia="zh-CN" w:bidi="ar-SA"/>
        </w:rPr>
        <w:t xml:space="preserve">招标文件</w:t>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center"/>
        <w:spacing w:before="100" w:after="100" w:line="360" w:lineRule="auto"/>
        <w:rPr>
          <w:rFonts w:hint="default" w:ascii="Microsoft New Tai Lue" w:hAnsi="Microsoft New Tai Lue" w:eastAsia="宋体" w:cs="Microsoft New Tai Lue"/>
          <w:b/>
          <w:color w:val="auto"/>
          <w:sz w:val="44"/>
          <w:szCs w:val="44"/>
          <w:highlight w:val="none"/>
          <w:lang w:val="en-US" w:eastAsia="zh-CN" w:bidi="ar-SA"/>
        </w:rPr>
      </w:pPr>
      <w:r>
        <w:rPr>
          <w:rFonts w:hint="eastAsia" w:ascii="Microsoft New Tai Lue" w:hAnsi="Microsoft New Tai Lue" w:cs="Microsoft New Tai Lue"/>
          <w:b/>
          <w:color w:val="auto"/>
          <w:sz w:val="36"/>
          <w:szCs w:val="36"/>
          <w:highlight w:val="none"/>
          <w:lang w:val="en-US" w:eastAsia="zh-CN" w:bidi="ar-SA"/>
        </w:rPr>
        <w:t xml:space="preserve">项目编号：JSZC-320000-JITC-G2026-0304</w:t>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left"/>
        <w:spacing w:line="360" w:lineRule="auto"/>
        <w:widowControl w:val="off"/>
        <w:rPr>
          <w:rFonts w:hint="default" w:ascii="Microsoft New Tai Lue" w:hAnsi="Microsoft New Tai Lue" w:eastAsia="宋体" w:cs="Microsoft New Tai Lue"/>
          <w:i/>
          <w:iCs/>
          <w:color w:val="auto"/>
          <w:position w:val="-10"/>
          <w:sz w:val="21"/>
          <w:szCs w:val="21"/>
          <w:highlight w:val="none"/>
          <w:u w:val="single"/>
          <w:lang w:val="en-US" w:eastAsia="zh-CN" w:bidi="ar-SA"/>
        </w:rPr>
      </w:pPr>
      <w:r>
        <w:rPr>
          <w:rFonts w:hint="default" w:ascii="Microsoft New Tai Lue" w:hAnsi="Microsoft New Tai Lue" w:eastAsia="宋体" w:cs="Microsoft New Tai Lue"/>
          <w:i/>
          <w:iCs/>
          <w:color w:val="auto"/>
          <w:position w:val="-10"/>
          <w:sz w:val="21"/>
          <w:szCs w:val="21"/>
          <w:highlight w:val="none"/>
          <w:u w:val="single"/>
          <w:lang w:val="en-US" w:eastAsia="zh-CN" w:bidi="ar-SA"/>
        </w:rPr>
      </w:r>
      <w:r/>
    </w:p>
    <w:p>
      <w:pPr>
        <w:ind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center"/>
        <w:spacing w:line="360"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t xml:space="preserve">采购人：</w:t>
      </w:r>
      <w:r>
        <w:rPr>
          <w:rFonts w:hint="eastAsia" w:ascii="Arial" w:hAnsi="Arial" w:cs="宋体"/>
          <w:b/>
          <w:bCs/>
          <w:sz w:val="32"/>
          <w:szCs w:val="21"/>
          <w:highlight w:val="none"/>
          <w:lang w:val="en-US" w:eastAsia="zh-CN" w:bidi="ar-SA"/>
        </w:rPr>
        <w:t xml:space="preserve">江苏省人民检察院</w:t>
      </w:r>
      <w:r/>
    </w:p>
    <w:p>
      <w:pPr>
        <w:ind w:firstLine="0"/>
        <w:jc w:val="center"/>
        <w:spacing w:line="360" w:lineRule="auto"/>
        <w:rPr>
          <w:rFonts w:hint="eastAsia" w:ascii="宋体" w:hAnsi="宋体" w:cs="Times New Roman"/>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t xml:space="preserve">采购代理机构：江苏省招标中心有限公司</w:t>
      </w:r>
      <w:r/>
    </w:p>
    <w:p>
      <w:pPr>
        <w:ind w:firstLine="0"/>
        <w:jc w:val="center"/>
        <w:spacing w:line="360" w:lineRule="auto"/>
        <w:rPr>
          <w:rFonts w:cs="Times New Roman"/>
          <w:color w:val="auto"/>
          <w:highlight w:val="none"/>
        </w:rPr>
        <w:sectPr>
          <w:headerReference w:type="even" r:id="rId9"/>
          <w:headerReference w:type="first" r:id="rId10"/>
          <w:footerReference w:type="even" r:id="rId12"/>
          <w:footerReference w:type="first" r:id="rId13"/>
          <w:footnotePr/>
          <w:endnotePr/>
          <w:type w:val="nextPage"/>
          <w:pgSz w:w="11906" w:h="16838" w:orient="portrait"/>
          <w:pgMar w:top="1474" w:right="1274" w:bottom="1474" w:left="1134" w:header="737" w:footer="0" w:gutter="0"/>
          <w:pgNumType w:start="1"/>
          <w:cols w:num="1" w:sep="0" w:space="720" w:equalWidth="1"/>
          <w:docGrid w:linePitch="360"/>
        </w:sectPr>
      </w:pPr>
      <w:r>
        <w:rPr>
          <w:rFonts w:hint="eastAsia" w:ascii="宋体" w:hAnsi="宋体" w:cs="宋体"/>
          <w:b/>
          <w:bCs/>
          <w:color w:val="auto"/>
          <w:sz w:val="32"/>
          <w:szCs w:val="32"/>
          <w:highlight w:val="none"/>
          <w:lang w:val="en-US" w:eastAsia="zh-CN" w:bidi="ar-SA"/>
        </w:rPr>
        <w:t xml:space="preserve">二〇二六年八月</w:t>
      </w:r>
      <w:r/>
    </w:p>
    <w:p>
      <w:pPr>
        <w:rPr>
          <w:rFonts w:hint="eastAsia" w:cs="Times New Roman"/>
          <w:color w:val="auto"/>
          <w:highlight w:val="none"/>
        </w:rPr>
      </w:pPr>
      <w:r>
        <w:rPr>
          <w:rFonts w:hint="eastAsia" w:cs="Times New Roman"/>
          <w:color w:val="auto"/>
          <w:highlight w:val="none"/>
        </w:rPr>
      </w:r>
      <w:r/>
    </w:p>
    <w:p>
      <w:pPr>
        <w:ind w:left="0" w:right="0" w:firstLine="0"/>
        <w:jc w:val="left"/>
        <w:spacing w:before="0" w:after="0" w:line="240" w:lineRule="auto"/>
        <w:tabs>
          <w:tab w:val="center" w:pos="4216" w:leader="none"/>
          <w:tab w:val="left" w:pos="7020" w:leader="none"/>
        </w:tabs>
        <w:rPr>
          <w:rFonts w:hint="eastAsia" w:eastAsia="方正黑体_GBK"/>
          <w:highlight w:val="none"/>
          <w:lang w:eastAsia="zh-CN"/>
        </w:rPr>
      </w:pPr>
      <w:r>
        <w:rPr>
          <w:rFonts w:hint="eastAsia" w:ascii="方正黑体_GBK" w:hAnsi="方正黑体_GBK" w:eastAsia="方正黑体_GBK" w:cs="方正黑体_GBK"/>
          <w:sz w:val="28"/>
          <w:szCs w:val="28"/>
          <w:highlight w:val="none"/>
          <w:lang w:eastAsia="zh-CN"/>
        </w:rPr>
        <w:tab/>
      </w:r>
      <w:r>
        <w:rPr>
          <w:rFonts w:hint="eastAsia" w:ascii="方正黑体_GBK" w:hAnsi="方正黑体_GBK" w:eastAsia="方正黑体_GBK" w:cs="方正黑体_GBK"/>
          <w:sz w:val="28"/>
          <w:szCs w:val="28"/>
          <w:highlight w:val="none"/>
        </w:rPr>
        <w:t xml:space="preserve">目录</w:t>
      </w:r>
      <w:r>
        <w:rPr>
          <w:rFonts w:hint="eastAsia" w:ascii="方正黑体_GBK" w:hAnsi="方正黑体_GBK" w:eastAsia="方正黑体_GBK" w:cs="方正黑体_GBK"/>
          <w:sz w:val="28"/>
          <w:szCs w:val="28"/>
          <w:highlight w:val="none"/>
          <w:lang w:eastAsia="zh-CN"/>
        </w:rPr>
        <w:tab/>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ascii="Times New Roman" w:hAnsi="Times New Roman" w:eastAsia="Heiti SC Medium"/>
          <w:caps w:val="0"/>
          <w:smallCaps w:val="0"/>
          <w:highlight w:val="none"/>
        </w:rPr>
        <w:fldChar w:fldCharType="begin"/>
      </w:r>
      <w:r>
        <w:rPr>
          <w:rFonts w:ascii="Times New Roman" w:hAnsi="Times New Roman" w:eastAsia="Heiti SC Medium"/>
          <w:caps w:val="0"/>
          <w:smallCaps w:val="0"/>
          <w:highlight w:val="none"/>
        </w:rPr>
        <w:instrText xml:space="preserve">TOC \o "1-2" \h \u </w:instrText>
      </w:r>
      <w:r>
        <w:rPr>
          <w:rFonts w:ascii="Times New Roman" w:hAnsi="Times New Roman" w:eastAsia="Heiti SC Medium"/>
          <w:caps w:val="0"/>
          <w:smallCaps w:val="0"/>
          <w:highlight w:val="none"/>
        </w:rPr>
        <w:fldChar w:fldCharType="separate"/>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_Toc21053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第一章 招标公告</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_Toc21053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_Toc28818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第二章 投标人须知</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_Toc28818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5</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_Toc3591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一．总则</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_Toc3591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8</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_Toc25388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二．招标文件</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_Toc25388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13</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_Toc2432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三．投标文件</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_Toc2432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14</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_Toc8293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四．投标文件的递交</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_Toc8293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16</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_Toc3204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五．开标和评标</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_Toc3204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17</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_Toc2673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六．确定中标</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_Toc2673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21</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_Toc3009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七．询问与质疑</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_Toc3009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22</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_Toc4278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八．其他</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_Toc4278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22</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_Toc14488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第三章 政府采购合同条款及格式</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_Toc14488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24</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_Toc17459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第四章 采购需求</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_Toc17459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40</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_Toc26155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第五章  评标方法与评标标准</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_Toc26155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142</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_Toc31187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第六章投标文件格式</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_Toc31187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152</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865"/>
        <w:jc w:val="both"/>
        <w:spacing w:before="0" w:after="0" w:line="360" w:lineRule="auto"/>
        <w:tabs>
          <w:tab w:val="left" w:pos="780" w:leader="none"/>
          <w:tab w:val="clear" w:pos="8720" w:leader="none"/>
          <w:tab w:val="right" w:pos="8834" w:leader="dot"/>
        </w:tabs>
        <w:rPr>
          <w:highlight w:val="none"/>
        </w:rPr>
      </w:pPr>
      <w:r>
        <w:rPr>
          <w:highlight w:val="none"/>
        </w:rPr>
      </w:r>
      <w:r/>
    </w:p>
    <w:p>
      <w:pPr>
        <w:rPr>
          <w:rFonts w:ascii="方正黑体_GBK" w:hAnsi="方正黑体_GBK" w:eastAsia="方正黑体_GBK" w:cs="方正黑体_GBK"/>
          <w:sz w:val="28"/>
          <w:szCs w:val="28"/>
          <w:highlight w:val="none"/>
        </w:rPr>
        <w:sectPr>
          <w:footerReference w:type="default" r:id="rId14"/>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Heiti SC Medium"/>
          <w:caps w:val="0"/>
          <w:smallCaps w:val="0"/>
          <w:highlight w:val="none"/>
        </w:rPr>
        <w:fldChar w:fldCharType="end"/>
      </w:r>
      <w:bookmarkEnd w:id="0"/>
      <w:r/>
      <w:r/>
    </w:p>
    <w:p>
      <w:pPr>
        <w:pStyle w:val="874"/>
        <w:numPr>
          <w:ilvl w:val="0"/>
          <w:numId w:val="4"/>
        </w:numPr>
        <w:contextualSpacing w:val="0"/>
        <w:ind w:left="0" w:firstLine="0"/>
        <w:jc w:val="center"/>
        <w:keepLines w:val="0"/>
        <w:keepNext w:val="0"/>
        <w:pageBreakBefore w:val="0"/>
        <w:spacing w:before="240" w:after="60" w:line="360" w:lineRule="auto"/>
        <w:widowControl w:val="off"/>
        <w:rPr>
          <w:rFonts w:hint="eastAsia" w:ascii="Cambria" w:hAnsi="Cambria" w:cs="宋体"/>
          <w:b/>
          <w:bCs/>
          <w:color w:val="auto"/>
          <w:sz w:val="32"/>
          <w:szCs w:val="32"/>
          <w:highlight w:val="none"/>
          <w:lang w:val="en-US" w:eastAsia="zh-CN" w:bidi="ar-SA"/>
        </w:rPr>
        <w:outlineLvl w:val="0"/>
      </w:pPr>
      <w:r/>
      <w:bookmarkStart w:id="6" w:name="_Toc21053"/>
      <w:r>
        <w:rPr>
          <w:rFonts w:hint="eastAsia" w:ascii="Cambria" w:hAnsi="Cambria" w:cs="宋体"/>
          <w:b/>
          <w:bCs/>
          <w:color w:val="auto"/>
          <w:sz w:val="32"/>
          <w:szCs w:val="32"/>
          <w:highlight w:val="none"/>
          <w:lang w:val="en-US" w:eastAsia="zh-CN" w:bidi="ar-SA"/>
        </w:rPr>
        <w:t xml:space="preserve">招标公告</w:t>
      </w:r>
      <w:bookmarkEnd w:id="6"/>
      <w:r/>
      <w:r/>
    </w:p>
    <w:p>
      <w:pPr>
        <w:ind w:firstLine="0"/>
        <w:jc w:val="left"/>
        <w:keepLines w:val="0"/>
        <w:keepNext w:val="0"/>
        <w:pageBreakBefore w:val="0"/>
        <w:spacing w:line="400" w:lineRule="exact"/>
        <w:widowControl w:val="off"/>
        <w:rPr>
          <w:rFonts w:hint="eastAsia" w:ascii="宋体" w:hAnsi="宋体" w:eastAsia="宋体" w:cs="宋体"/>
          <w:b/>
          <w:bCs/>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1"/>
          <w:szCs w:val="21"/>
          <w:highlight w:val="none"/>
        </w:rPr>
        <w:t xml:space="preserve">项目概况</w:t>
      </w:r>
      <w:r/>
    </w:p>
    <w:p>
      <w:pPr>
        <w:ind w:firstLine="560"/>
        <w:spacing w:line="400" w:lineRule="exact"/>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highlight w:val="none"/>
          <w:u w:val="single"/>
          <w:lang w:eastAsia="zh-CN"/>
        </w:rPr>
        <w:t xml:space="preserve">江苏检察侦查指挥中心办公家具采购JSZC-320000-JITC-G2026-0304</w:t>
      </w:r>
      <w:r>
        <w:rPr>
          <w:rFonts w:hint="eastAsia" w:ascii="宋体" w:hAnsi="宋体" w:eastAsia="宋体" w:cs="宋体"/>
          <w:sz w:val="21"/>
          <w:szCs w:val="21"/>
          <w:highlight w:val="none"/>
        </w:rPr>
        <w:t xml:space="preserve">招标项目的潜在投标人应在</w:t>
      </w:r>
      <w:r>
        <w:rPr>
          <w:rFonts w:hint="eastAsia" w:ascii="宋体" w:hAnsi="宋体" w:eastAsia="宋体" w:cs="宋体"/>
          <w:sz w:val="21"/>
          <w:szCs w:val="21"/>
          <w:highlight w:val="none"/>
          <w:u w:val="single"/>
        </w:rPr>
        <w:t xml:space="preserve">“江苏省政府采购网”自行免费下载</w:t>
      </w:r>
      <w:r>
        <w:rPr>
          <w:rFonts w:hint="eastAsia" w:ascii="宋体" w:hAnsi="宋体" w:eastAsia="宋体" w:cs="宋体"/>
          <w:sz w:val="21"/>
          <w:szCs w:val="21"/>
          <w:highlight w:val="none"/>
        </w:rPr>
        <w:t xml:space="preserve">获取招标文件，并于</w:t>
      </w:r>
      <w:r>
        <w:rPr>
          <w:rFonts w:hint="eastAsia" w:ascii="宋体" w:hAnsi="宋体" w:eastAsia="宋体" w:cs="宋体"/>
          <w:sz w:val="21"/>
          <w:szCs w:val="21"/>
          <w:highlight w:val="none"/>
          <w:u w:val="single"/>
        </w:rPr>
        <w:t xml:space="preserve">2026-</w:t>
      </w:r>
      <w:r>
        <w:rPr>
          <w:rFonts w:hint="eastAsia" w:ascii="宋体" w:hAnsi="宋体" w:cs="宋体"/>
          <w:sz w:val="21"/>
          <w:szCs w:val="21"/>
          <w:highlight w:val="none"/>
          <w:u w:val="single"/>
          <w:lang w:val="en-US" w:eastAsia="zh-CN"/>
        </w:rPr>
        <w:t xml:space="preserve">09</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val="en-US" w:eastAsia="zh-CN"/>
        </w:rPr>
        <w:t xml:space="preserve">23</w:t>
      </w:r>
      <w:r>
        <w:rPr>
          <w:rFonts w:hint="eastAsia" w:ascii="宋体" w:hAnsi="宋体" w:eastAsia="宋体" w:cs="宋体"/>
          <w:sz w:val="21"/>
          <w:szCs w:val="21"/>
          <w:highlight w:val="none"/>
          <w:u w:val="single"/>
        </w:rPr>
        <w:t xml:space="preserve"> 09:30</w:t>
      </w:r>
      <w:r>
        <w:rPr>
          <w:rFonts w:hint="eastAsia" w:ascii="宋体" w:hAnsi="宋体" w:eastAsia="宋体" w:cs="宋体"/>
          <w:sz w:val="21"/>
          <w:szCs w:val="21"/>
          <w:highlight w:val="none"/>
        </w:rPr>
        <w:t xml:space="preserve">（北京时间）前递交投标文件。</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bookmarkStart w:id="7" w:name="_Toc96347851"/>
      <w:r/>
      <w:bookmarkStart w:id="8" w:name="_Toc93909065"/>
      <w:r>
        <w:rPr>
          <w:rFonts w:hint="eastAsia" w:ascii="Microsoft New Tai Lue" w:hAnsi="Microsoft New Tai Lue" w:cs="宋体"/>
          <w:b/>
          <w:bCs/>
          <w:color w:val="auto"/>
          <w:szCs w:val="21"/>
          <w:highlight w:val="none"/>
          <w:lang w:val="en-US" w:eastAsia="zh-CN" w:bidi="ar-SA"/>
        </w:rPr>
        <w:t xml:space="preserve">一、项目基本情况</w:t>
      </w:r>
      <w:bookmarkEnd w:id="7"/>
      <w:r/>
      <w:bookmarkEnd w:id="8"/>
      <w:r/>
      <w:r/>
    </w:p>
    <w:p>
      <w:pPr>
        <w:ind w:firstLine="315"/>
        <w:spacing w:line="360" w:lineRule="auto"/>
        <w:rPr>
          <w:rFonts w:hint="eastAsia" w:ascii="宋体" w:hAnsi="宋体" w:eastAsia="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项目编号：JSZC-320000-JITC-G2026-0304</w:t>
      </w:r>
      <w:r/>
    </w:p>
    <w:p>
      <w:pPr>
        <w:ind w:firstLine="315"/>
        <w:spacing w:line="360" w:lineRule="auto"/>
        <w:rPr>
          <w:rFonts w:hint="eastAsia" w:ascii="宋体" w:hAnsi="宋体" w:eastAsia="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项目名称：江苏检察侦查指挥中心办公家具采购</w:t>
      </w:r>
      <w:r/>
    </w:p>
    <w:p>
      <w:pPr>
        <w:ind w:firstLine="315"/>
        <w:spacing w:line="360" w:lineRule="auto"/>
        <w:rPr>
          <w:rFonts w:hint="eastAsia" w:ascii="宋体" w:hAnsi="宋体" w:eastAsia="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预算金额：500万元人民币，其中采购包1预算金额405万元人民币；采购包2预算金额95万元人民币</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最高限价（如有）：494.515万元人民币，其中采购包1最高限价402.441万元人民币；采购包2最高限价92.074万元人民币，超过采购预算金额及最高限价的作无效投标处理。</w:t>
      </w:r>
      <w:r/>
    </w:p>
    <w:p>
      <w:pPr>
        <w:ind w:firstLine="315"/>
        <w:spacing w:line="360" w:lineRule="auto"/>
        <w:rPr>
          <w:rFonts w:hint="default" w:ascii="宋体" w:hAnsi="宋体" w:eastAsia="宋体" w:cs="Times New Roman"/>
          <w:b/>
          <w:bCs/>
          <w:color w:val="auto"/>
          <w:szCs w:val="21"/>
          <w:highlight w:val="none"/>
          <w:lang w:val="en-US" w:eastAsia="zh-CN" w:bidi="ar-SA"/>
        </w:rPr>
      </w:pPr>
      <w:r>
        <w:rPr>
          <w:rFonts w:hint="eastAsia" w:ascii="宋体" w:hAnsi="宋体" w:cs="宋体"/>
          <w:color w:val="auto"/>
          <w:szCs w:val="21"/>
          <w:highlight w:val="none"/>
          <w:lang w:val="en-US" w:eastAsia="zh-CN" w:bidi="ar-SA"/>
        </w:rPr>
        <w:t xml:space="preserve">采购需求：江苏省检察侦查指挥中心，需采购一批定制家具，具体详见采购文件（详细内容见本招标文件第四章）</w:t>
      </w:r>
      <w:r/>
    </w:p>
    <w:p>
      <w:pPr>
        <w:ind w:firstLine="315"/>
        <w:spacing w:line="360" w:lineRule="auto"/>
        <w:rPr>
          <w:rFonts w:hint="eastAsia" w:ascii="Microsoft New Tai Lue" w:hAnsi="Microsoft New Tai Lue" w:cs="宋体"/>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合同履行期限：签订合同后 30 </w:t>
      </w:r>
      <w:bookmarkStart w:id="413" w:name="_GoBack"/>
      <w:r/>
      <w:bookmarkEnd w:id="413"/>
      <w:r>
        <w:rPr>
          <w:rFonts w:hint="eastAsia" w:ascii="Microsoft New Tai Lue" w:hAnsi="Microsoft New Tai Lue" w:cs="宋体"/>
          <w:color w:val="auto"/>
          <w:szCs w:val="21"/>
          <w:highlight w:val="none"/>
          <w:lang w:val="en-US" w:eastAsia="zh-CN" w:bidi="ar-SA"/>
        </w:rPr>
        <w:t xml:space="preserve">日历天内完成项目验收，安装调试完毕交付甲方正常使用，并提供2年质保（自交付验收合格之日起计算）。</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本项目是否接受联合体投标：不接受</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bookmarkStart w:id="9" w:name="_Toc80264698"/>
      <w:r/>
      <w:bookmarkStart w:id="10" w:name="_Toc80792689"/>
      <w:r/>
      <w:bookmarkStart w:id="11" w:name="_Toc93909066"/>
      <w:r/>
      <w:bookmarkStart w:id="12" w:name="_Toc96347852"/>
      <w:r>
        <w:rPr>
          <w:rFonts w:hint="eastAsia" w:ascii="Microsoft New Tai Lue" w:hAnsi="Microsoft New Tai Lue" w:cs="宋体"/>
          <w:b/>
          <w:bCs/>
          <w:color w:val="auto"/>
          <w:szCs w:val="21"/>
          <w:highlight w:val="none"/>
          <w:lang w:val="en-US" w:eastAsia="zh-CN" w:bidi="ar-SA"/>
        </w:rPr>
        <w:t xml:space="preserve">二、</w:t>
      </w:r>
      <w:bookmarkEnd w:id="9"/>
      <w:r>
        <w:rPr>
          <w:rFonts w:hint="eastAsia" w:ascii="Microsoft New Tai Lue" w:hAnsi="Microsoft New Tai Lue" w:cs="宋体"/>
          <w:b/>
          <w:bCs/>
          <w:color w:val="auto"/>
          <w:szCs w:val="21"/>
          <w:highlight w:val="none"/>
          <w:lang w:val="en-US" w:eastAsia="zh-CN" w:bidi="ar-SA"/>
        </w:rPr>
        <w:t xml:space="preserve">申请人的资格要求</w:t>
      </w:r>
      <w:bookmarkEnd w:id="10"/>
      <w:r/>
      <w:bookmarkEnd w:id="11"/>
      <w:r>
        <w:rPr>
          <w:rFonts w:hint="eastAsia" w:ascii="Microsoft New Tai Lue" w:hAnsi="Microsoft New Tai Lue" w:cs="宋体"/>
          <w:b/>
          <w:bCs/>
          <w:color w:val="auto"/>
          <w:szCs w:val="21"/>
          <w:highlight w:val="none"/>
          <w:lang w:val="en-US" w:eastAsia="zh-CN" w:bidi="ar-SA"/>
        </w:rPr>
        <w:t xml:space="preserve">：</w:t>
      </w:r>
      <w:bookmarkEnd w:id="12"/>
      <w:r/>
      <w:r/>
    </w:p>
    <w:p>
      <w:pPr>
        <w:ind w:firstLine="315"/>
        <w:spacing w:line="360" w:lineRule="auto"/>
        <w:rPr>
          <w:rFonts w:hint="eastAsia" w:ascii="宋体" w:hAnsi="宋体" w:cs="Times New Roman"/>
          <w:color w:val="auto"/>
          <w:szCs w:val="21"/>
          <w:highlight w:val="none"/>
          <w:lang w:val="en-US" w:eastAsia="zh-CN" w:bidi="ar-SA"/>
        </w:rPr>
      </w:pPr>
      <w:r/>
      <w:bookmarkStart w:id="13" w:name="_Toc93909067"/>
      <w:r/>
      <w:bookmarkStart w:id="14" w:name="_Toc80264699"/>
      <w:r/>
      <w:bookmarkStart w:id="15" w:name="_Toc80792690"/>
      <w:r/>
      <w:bookmarkStart w:id="16" w:name="_Toc96347853"/>
      <w:r>
        <w:rPr>
          <w:rFonts w:hint="eastAsia" w:ascii="宋体" w:hAnsi="宋体" w:cs="宋体"/>
          <w:color w:val="auto"/>
          <w:szCs w:val="21"/>
          <w:highlight w:val="none"/>
          <w:lang w:val="en-US" w:eastAsia="zh-CN" w:bidi="ar-SA"/>
        </w:rPr>
        <w:t xml:space="preserve">（一）满足《中华人民共和国政府采购法》第二十二条规定：</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具有独立承担民事责任的能力（提供法人或者其他组织的营业执照等证明文件，自然人的身份证明扫描件加盖公章）；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具有良好的商业信誉和健全的财务会计制度（提供开标时间前12个月内任意1个月的财务状况报告（至少包括资产负债表和利润表）（法人或者其他组织成立未满3个月的可以不提供）、或开标时间前12个月内银行出具的资信证书扫描件、或其2025年度经审计的财务报告扫描件，加盖公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具有履行合同所必需的设备和专业技术能力（根据项目需求提供履行合同所必需的设备和专业技术能力的证明材料扫描件加盖公章或承诺书原件）；</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有依法缴纳税收和社会保障资金的良好记录（提供开标时间前6个月内任意1个月依法缴纳税收和社会保障资金的相关材料扫描件加盖公章，依法享受免缴、缓缴的提供证明材料扫描件加盖公章）；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.参加政府采购活动前3年内，在经营活动中没有重大违法记录（提供声明函原件（重大违法记录是指供应商因违法经营受到刑事处罚或责令停产停业、吊销许可证或者执照、较大数额罚款等行政处罚））。</w:t>
      </w:r>
      <w:r/>
    </w:p>
    <w:p>
      <w:pPr>
        <w:ind w:firstLine="315"/>
        <w:spacing w:line="360" w:lineRule="auto"/>
        <w:rPr>
          <w:rFonts w:ascii="Microsoft New Tai Lue" w:hAnsi="Microsoft New Tai Lue" w:cs="Microsoft New Tai Lue"/>
          <w:color w:val="auto"/>
          <w:szCs w:val="21"/>
          <w:highlight w:val="none"/>
          <w:lang w:val="en-US" w:eastAsia="zh-CN" w:bidi="ar-SA"/>
        </w:rPr>
      </w:pPr>
      <w:r>
        <w:rPr>
          <w:rFonts w:ascii="宋体" w:hAnsi="宋体" w:cs="宋体"/>
          <w:color w:val="auto"/>
          <w:szCs w:val="21"/>
          <w:highlight w:val="none"/>
          <w:lang w:val="en-US" w:eastAsia="zh-CN" w:bidi="ar-SA"/>
        </w:rPr>
        <w:t xml:space="preserve">6</w:t>
      </w:r>
      <w:r>
        <w:rPr>
          <w:rFonts w:hint="eastAsia" w:ascii="宋体" w:hAnsi="宋体" w:cs="宋体"/>
          <w:color w:val="auto"/>
          <w:szCs w:val="21"/>
          <w:highlight w:val="none"/>
          <w:lang w:val="en-US" w:eastAsia="zh-CN" w:bidi="ar-SA"/>
        </w:rPr>
        <w:t xml:space="preserve">.法律、行政法规规定的其他条件。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（二）落实政府采购政策需满足的资格要求：无。</w:t>
      </w:r>
      <w:r/>
    </w:p>
    <w:p>
      <w:pPr>
        <w:ind w:firstLine="315"/>
        <w:spacing w:line="36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（三）本项目的特定资格要求：</w:t>
      </w:r>
      <w:r/>
    </w:p>
    <w:p>
      <w:pPr>
        <w:ind w:firstLine="315"/>
        <w:spacing w:line="360" w:lineRule="auto"/>
        <w:rPr>
          <w:rFonts w:hint="default" w:ascii="宋体" w:hAnsi="宋体" w:cs="宋体"/>
          <w:color w:val="auto"/>
          <w:szCs w:val="21"/>
          <w:highlight w:val="none"/>
          <w:lang w:val="en-US" w:eastAsia="zh-CN" w:bidi="ar-SA"/>
        </w:rPr>
      </w:pP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.特定资格条件：无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.供应商存在下列情形的不得参加本次招标活动：</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（1）单位负责人为同一人或者存在直接控股、管理关系的不同供应商，不得参加同一合同项下的政府采购活动。</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（2）除单一来源项目外，凡为采购项目提供整体设计、规范编制或者项目管理、监理、检测等服务的供应商不得再参加本项目的采购活动。</w:t>
      </w:r>
      <w:r/>
    </w:p>
    <w:p>
      <w:pPr>
        <w:ind w:left="-141" w:firstLine="420"/>
        <w:spacing w:line="360" w:lineRule="auto"/>
        <w:rPr>
          <w:rFonts w:hint="eastAsia" w:ascii="宋体" w:hAnsi="宋体" w:cs="Microsoft New Tai Lue"/>
          <w:bCs/>
          <w:color w:val="auto"/>
          <w:szCs w:val="21"/>
          <w:highlight w:val="none"/>
          <w:lang w:val="en-US" w:eastAsia="zh-CN" w:bidi="ar-SA"/>
        </w:rPr>
      </w:pPr>
      <w:r>
        <w:rPr>
          <w:rFonts w:hint="eastAsia" w:ascii="宋体" w:hAnsi="宋体" w:cs="宋体"/>
          <w:color w:val="auto"/>
          <w:szCs w:val="21"/>
          <w:highlight w:val="none"/>
          <w:lang w:val="en-US" w:eastAsia="zh-CN" w:bidi="ar-SA"/>
        </w:rPr>
        <w:t xml:space="preserve">（3）</w:t>
      </w:r>
      <w:r>
        <w:rPr>
          <w:rFonts w:hint="eastAsia" w:ascii="宋体" w:hAnsi="宋体" w:cs="Microsoft New Tai Lue"/>
          <w:bCs/>
          <w:color w:val="auto"/>
          <w:szCs w:val="21"/>
          <w:highlight w:val="none"/>
          <w:lang w:val="en-US" w:eastAsia="zh-CN" w:bidi="ar-SA"/>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投标</w:t>
      </w:r>
      <w:r>
        <w:rPr>
          <w:rFonts w:ascii="宋体" w:hAnsi="宋体" w:cs="Microsoft New Tai Lue"/>
          <w:bCs/>
          <w:color w:val="auto"/>
          <w:szCs w:val="21"/>
          <w:highlight w:val="none"/>
          <w:lang w:val="en-US" w:eastAsia="zh-CN" w:bidi="ar-SA"/>
        </w:rPr>
        <w:t xml:space="preserve">截止时间以后、资格审查阶段采购人或采购代理机构的实际查询时间</w:t>
      </w:r>
      <w:r>
        <w:rPr>
          <w:rFonts w:hint="eastAsia" w:ascii="宋体" w:hAnsi="宋体" w:cs="Microsoft New Tai Lue"/>
          <w:bCs/>
          <w:color w:val="auto"/>
          <w:szCs w:val="21"/>
          <w:highlight w:val="none"/>
          <w:lang w:val="en-US" w:eastAsia="zh-CN" w:bidi="ar-SA"/>
        </w:rPr>
        <w:t xml:space="preserve">）</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三、获取招标文件</w:t>
      </w:r>
      <w:bookmarkEnd w:id="13"/>
      <w:r/>
      <w:bookmarkEnd w:id="14"/>
      <w:r/>
      <w:bookmarkEnd w:id="15"/>
      <w:r/>
      <w:bookmarkEnd w:id="16"/>
      <w:r/>
      <w:r/>
    </w:p>
    <w:p>
      <w:pPr>
        <w:ind w:firstLine="315"/>
        <w:spacing w:line="300" w:lineRule="auto"/>
        <w:rPr>
          <w:rFonts w:hint="eastAsia" w:ascii="宋体" w:hAnsi="宋体" w:cs="宋体"/>
          <w:color w:val="auto"/>
          <w:szCs w:val="21"/>
          <w:highlight w:val="none"/>
          <w:lang w:val="en-US" w:eastAsia="zh-CN" w:bidi="ar-SA"/>
        </w:rPr>
      </w:pPr>
      <w:r/>
      <w:bookmarkStart w:id="17" w:name="_Toc80264700"/>
      <w:r>
        <w:rPr>
          <w:rFonts w:hint="eastAsia" w:ascii="宋体" w:hAnsi="宋体" w:cs="宋体"/>
          <w:color w:val="auto"/>
          <w:szCs w:val="21"/>
          <w:highlight w:val="none"/>
          <w:lang w:val="en-US" w:eastAsia="zh-CN" w:bidi="ar-SA"/>
        </w:rPr>
        <w:t xml:space="preserve">时间：自招标文件公告发布之日起5个工作日 </w:t>
      </w:r>
      <w:r/>
    </w:p>
    <w:p>
      <w:pPr>
        <w:ind w:firstLine="315"/>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地点：江苏政府采购网 </w:t>
      </w:r>
      <w:r/>
    </w:p>
    <w:p>
      <w:pPr>
        <w:ind w:firstLine="315"/>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方式：“苏采云”政府采购一体化平台自行免费下载 </w:t>
      </w:r>
      <w:r/>
    </w:p>
    <w:p>
      <w:pPr>
        <w:ind w:firstLine="315"/>
        <w:spacing w:line="300" w:lineRule="auto"/>
        <w:rPr>
          <w:rFonts w:hint="eastAsia" w:ascii="宋体" w:hAnsi="宋体" w:cs="宋体"/>
          <w:color w:val="auto"/>
          <w:sz w:val="24"/>
          <w:szCs w:val="24"/>
          <w:highlight w:val="none"/>
          <w:lang w:val="en-US" w:eastAsia="zh-CN" w:bidi="ar-SA"/>
        </w:rPr>
      </w:pPr>
      <w:r>
        <w:rPr>
          <w:rFonts w:hint="eastAsia" w:ascii="宋体" w:hAnsi="宋体" w:cs="宋体"/>
          <w:color w:val="auto"/>
          <w:szCs w:val="21"/>
          <w:highlight w:val="none"/>
          <w:lang w:val="en-US" w:eastAsia="zh-CN" w:bidi="ar-SA"/>
        </w:rPr>
        <w:t xml:space="preserve">售价：0.00元 </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bookmarkStart w:id="18" w:name="_Toc80792691"/>
      <w:r/>
      <w:bookmarkStart w:id="19" w:name="_Toc93909068"/>
      <w:r/>
      <w:bookmarkStart w:id="20" w:name="_Toc96347854"/>
      <w:r>
        <w:rPr>
          <w:rFonts w:hint="eastAsia" w:ascii="Microsoft New Tai Lue" w:hAnsi="Microsoft New Tai Lue" w:cs="宋体"/>
          <w:b/>
          <w:bCs/>
          <w:color w:val="auto"/>
          <w:szCs w:val="21"/>
          <w:highlight w:val="none"/>
          <w:lang w:val="en-US" w:eastAsia="zh-CN" w:bidi="ar-SA"/>
        </w:rPr>
        <w:t xml:space="preserve">四、</w:t>
      </w:r>
      <w:bookmarkEnd w:id="17"/>
      <w:r/>
      <w:bookmarkEnd w:id="18"/>
      <w:r>
        <w:rPr>
          <w:rFonts w:hint="eastAsia" w:ascii="Microsoft New Tai Lue" w:hAnsi="Microsoft New Tai Lue" w:cs="宋体"/>
          <w:b/>
          <w:bCs/>
          <w:color w:val="auto"/>
          <w:szCs w:val="21"/>
          <w:highlight w:val="none"/>
          <w:lang w:val="en-US" w:eastAsia="zh-CN" w:bidi="ar-SA"/>
        </w:rPr>
        <w:t xml:space="preserve">提交投标文件截止时间、开标时间和地点</w:t>
      </w:r>
      <w:bookmarkEnd w:id="19"/>
      <w:r/>
      <w:bookmarkEnd w:id="20"/>
      <w:r/>
      <w:r/>
    </w:p>
    <w:p>
      <w:pPr>
        <w:ind w:firstLine="315"/>
        <w:spacing w:line="300" w:lineRule="auto"/>
        <w:rPr>
          <w:rFonts w:hint="eastAsia" w:ascii="宋体" w:hAnsi="宋体" w:cs="宋体"/>
          <w:color w:val="auto"/>
          <w:szCs w:val="21"/>
          <w:highlight w:val="none"/>
          <w:lang w:val="en-US" w:eastAsia="zh-CN" w:bidi="ar-SA"/>
        </w:rPr>
      </w:pPr>
      <w:r/>
      <w:bookmarkStart w:id="21" w:name="_Toc80792693"/>
      <w:r/>
      <w:bookmarkStart w:id="22" w:name="_Toc96347855"/>
      <w:r/>
      <w:bookmarkStart w:id="23" w:name="_Toc93909069"/>
      <w:r>
        <w:rPr>
          <w:rFonts w:hint="eastAsia" w:ascii="宋体" w:hAnsi="宋体" w:cs="宋体"/>
          <w:color w:val="auto"/>
          <w:szCs w:val="21"/>
          <w:highlight w:val="none"/>
          <w:lang w:val="en-US" w:eastAsia="zh-CN" w:bidi="ar-SA"/>
        </w:rPr>
        <w:t xml:space="preserve">2026-09-23  09:30（北京时间）</w:t>
      </w:r>
      <w:r/>
    </w:p>
    <w:p>
      <w:pPr>
        <w:ind w:firstLine="315"/>
        <w:spacing w:line="300" w:lineRule="auto"/>
        <w:rPr>
          <w:rFonts w:hint="eastAsia" w:ascii="宋体" w:hAnsi="宋体" w:cs="宋体"/>
          <w:bCs/>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地点：江苏省政府采购管理交易系统（苏采云）（以下简称“苏采云”）（网址： http://jszfcg.jsczt.cn/） </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五、</w:t>
      </w:r>
      <w:bookmarkEnd w:id="21"/>
      <w:r>
        <w:rPr>
          <w:rFonts w:hint="eastAsia" w:ascii="Microsoft New Tai Lue" w:hAnsi="Microsoft New Tai Lue" w:cs="宋体"/>
          <w:b/>
          <w:bCs/>
          <w:color w:val="auto"/>
          <w:szCs w:val="21"/>
          <w:highlight w:val="none"/>
          <w:lang w:val="en-US" w:eastAsia="zh-CN" w:bidi="ar-SA"/>
        </w:rPr>
        <w:t xml:space="preserve">公告期</w:t>
      </w:r>
      <w:bookmarkEnd w:id="22"/>
      <w:r/>
      <w:bookmarkEnd w:id="23"/>
      <w:r>
        <w:rPr>
          <w:rFonts w:hint="eastAsia" w:ascii="Microsoft New Tai Lue" w:hAnsi="Microsoft New Tai Lue" w:cs="宋体"/>
          <w:b/>
          <w:bCs/>
          <w:color w:val="auto"/>
          <w:szCs w:val="21"/>
          <w:highlight w:val="none"/>
          <w:lang w:val="en-US" w:eastAsia="zh-CN" w:bidi="ar-SA"/>
        </w:rPr>
        <w:t xml:space="preserve">限</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自本公告发布之日起</w:t>
      </w: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个工作日。</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bookmarkStart w:id="24" w:name="_Toc93909070"/>
      <w:r/>
      <w:bookmarkStart w:id="25" w:name="_Toc96347856"/>
      <w:r>
        <w:rPr>
          <w:rFonts w:hint="eastAsia" w:ascii="Microsoft New Tai Lue" w:hAnsi="Microsoft New Tai Lue" w:cs="宋体"/>
          <w:b/>
          <w:bCs/>
          <w:color w:val="auto"/>
          <w:szCs w:val="21"/>
          <w:highlight w:val="none"/>
          <w:lang w:val="en-US" w:eastAsia="zh-CN" w:bidi="ar-SA"/>
        </w:rPr>
        <w:t xml:space="preserve">六、其他补充事宜</w:t>
      </w:r>
      <w:bookmarkEnd w:id="24"/>
      <w:r/>
      <w:bookmarkEnd w:id="25"/>
      <w:r/>
      <w:r/>
    </w:p>
    <w:p>
      <w:pPr>
        <w:ind w:firstLine="315"/>
        <w:spacing w:line="360" w:lineRule="auto"/>
        <w:rPr>
          <w:rFonts w:hint="eastAsia" w:ascii="宋体" w:hAnsi="宋体" w:cs="宋体"/>
          <w:color w:val="auto"/>
          <w:szCs w:val="21"/>
          <w:highlight w:val="none"/>
          <w:lang w:val="en-US" w:eastAsia="zh-CN" w:bidi="ar-SA"/>
        </w:rPr>
      </w:pPr>
      <w:r/>
      <w:bookmarkStart w:id="26" w:name="_Toc80792694"/>
      <w:r/>
      <w:bookmarkStart w:id="27" w:name="_Toc80264702"/>
      <w:r/>
      <w:bookmarkStart w:id="28" w:name="_Toc96347857"/>
      <w:r/>
      <w:bookmarkStart w:id="29" w:name="_Toc93909071"/>
      <w:r>
        <w:rPr>
          <w:rFonts w:hint="eastAsia" w:ascii="宋体" w:hAnsi="宋体" w:cs="宋体"/>
          <w:color w:val="auto"/>
          <w:szCs w:val="21"/>
          <w:highlight w:val="none"/>
          <w:lang w:val="en-US" w:eastAsia="zh-CN" w:bidi="ar-SA"/>
        </w:rPr>
        <w:t xml:space="preserve">1．政府采购支持政策:</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（一）《政府采购促进中小企业发展管理办法》</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（二）《关于政府采购支持监狱企业发展有关问题的通知》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（三）《关于促进残疾人就业政府采购政策的通知》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（四）《关于调整优化节能产品、环境标志产品政府采购执行机制的通知》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（五）《关于做好政府采购支持企业发展有关事项的通知》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（六）《关于进一步加大政府采购支持中小企业力度的通知》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（七）《国务院办公厅关于在政府采购中实施本国产品标准及相关政策的通知》、关于贯彻落实《国务院办公厅关于在政府采购中实施本国产品标准及相关政策的通知》的意见</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2.获取招标文件时间：2026年09月02日至2026年09月08日，每天上午08:30至11:30，下午14:00至17:30（北京时间，法定节假日除外）</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3.潜在投标人访问政府采购管理交易系统（苏采云）的网络地址和方法：</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（2）“CA数字证书”的获取：供应商需办理CA锁，“苏采云”系统目前仅支持“苏采云”系统下的政务CA，省内各地区办理的“苏采云”系统下的政务CA全省通用。</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（3）“CA数字证书”的办理材料以及供应商操作手册详见：</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http://www.ccgp-jiangsu.gov.cn/jiangsu/zlxz/ee/ee3a4bc5a3454aa2b0d9312230633ce9.html。</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（4）潜在供应商访问“苏采云”系统的网络地址和方法：“苏采云”系统的网址：http://jszfcg.jsczt.cn/。</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（5）采购文件（后缀名为“.kedt”）、供应商操作手册及政府采购客户端工具也可通过“苏采云”系统--已报名项目--报名详情页面内相应链接进行下载。</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（6）招标代理机构（采购代理机构）将数据电文形式的采购文件加载至“苏采云”系统，供潜在供应商下载或者查阅。</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（7）苏采云系统使用谷歌浏览器参与不见面开标。</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七、</w:t>
      </w:r>
      <w:bookmarkEnd w:id="26"/>
      <w:r/>
      <w:bookmarkEnd w:id="27"/>
      <w:r>
        <w:rPr>
          <w:rFonts w:hint="eastAsia" w:ascii="Microsoft New Tai Lue" w:hAnsi="Microsoft New Tai Lue" w:cs="宋体"/>
          <w:b/>
          <w:bCs/>
          <w:color w:val="auto"/>
          <w:szCs w:val="21"/>
          <w:highlight w:val="none"/>
          <w:lang w:val="en-US" w:eastAsia="zh-CN" w:bidi="ar-SA"/>
        </w:rPr>
        <w:t xml:space="preserve">对本次招标提出询问，请按以下方式联系。</w:t>
      </w:r>
      <w:bookmarkEnd w:id="28"/>
      <w:r/>
      <w:bookmarkEnd w:id="29"/>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1.采购人信息</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名称：江苏省人民检察院</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地址：南京市鼓楼区宁海路73号</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联系人：汤开斌</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联系方式：025−83798132</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2．采购代理机构信息</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名称：江苏省招标中心有限公司</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地址：南京市鼓楼区郑和中路118号D栋17楼</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联系人：张浩宇、郁鹏程</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联系方式：13851833296、16605236463</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3、项目联系方式</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联系人：张浩宇</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联系方式：13851833296</w:t>
      </w:r>
      <w:r/>
    </w:p>
    <w:p>
      <w:pPr>
        <w:ind w:right="840"/>
        <w:rPr>
          <w:rFonts w:hint="eastAsia" w:ascii="宋体" w:hAnsi="宋体"/>
          <w:sz w:val="24"/>
          <w:szCs w:val="24"/>
          <w:highlight w:val="none"/>
        </w:rPr>
      </w:pPr>
      <w:r>
        <w:rPr>
          <w:rFonts w:hint="eastAsia" w:ascii="宋体" w:hAnsi="宋体"/>
          <w:sz w:val="24"/>
          <w:szCs w:val="24"/>
          <w:highlight w:val="none"/>
        </w:rPr>
        <w:br w:type="page" w:clear="all"/>
      </w:r>
      <w:r/>
    </w:p>
    <w:p>
      <w:pPr>
        <w:numPr>
          <w:ilvl w:val="0"/>
          <w:numId w:val="4"/>
        </w:numPr>
        <w:ind w:left="0" w:firstLine="0"/>
        <w:jc w:val="center"/>
        <w:keepLines w:val="0"/>
        <w:keepNext w:val="0"/>
        <w:pageBreakBefore w:val="0"/>
        <w:spacing w:before="240" w:after="60" w:line="360" w:lineRule="auto"/>
        <w:widowControl w:val="off"/>
        <w:rPr>
          <w:rFonts w:hint="default" w:ascii="Cambria" w:hAnsi="Cambria" w:eastAsia="宋体" w:cs="Times New Roman"/>
          <w:b/>
          <w:bCs/>
          <w:color w:val="auto"/>
          <w:sz w:val="32"/>
          <w:szCs w:val="32"/>
          <w:highlight w:val="none"/>
          <w:lang w:val="en-US" w:eastAsia="zh-CN" w:bidi="ar-SA"/>
        </w:rPr>
        <w:outlineLvl w:val="0"/>
      </w:pPr>
      <w:r/>
      <w:bookmarkStart w:id="30" w:name="_Toc80264704"/>
      <w:r/>
      <w:bookmarkStart w:id="31" w:name="_Toc107246212"/>
      <w:r/>
      <w:bookmarkStart w:id="32" w:name="_Toc28818"/>
      <w:r>
        <w:rPr>
          <w:rFonts w:hint="eastAsia" w:ascii="Cambria" w:hAnsi="Cambria" w:eastAsia="宋体" w:cs="宋体"/>
          <w:b/>
          <w:bCs/>
          <w:color w:val="auto"/>
          <w:sz w:val="32"/>
          <w:szCs w:val="32"/>
          <w:highlight w:val="none"/>
          <w:lang w:val="en-US" w:eastAsia="zh-CN" w:bidi="ar-SA"/>
        </w:rPr>
        <w:t xml:space="preserve">投标人须知</w:t>
      </w:r>
      <w:bookmarkEnd w:id="30"/>
      <w:r/>
      <w:bookmarkEnd w:id="31"/>
      <w:r/>
      <w:bookmarkEnd w:id="32"/>
      <w:r/>
      <w:r/>
    </w:p>
    <w:p>
      <w:pPr>
        <w:ind w:left="-141" w:firstLine="0"/>
        <w:jc w:val="center"/>
        <w:spacing w:line="240" w:lineRule="auto"/>
        <w:rPr>
          <w:rFonts w:ascii="Microsoft New Tai Lue" w:hAnsi="Microsoft New Tai Lue" w:cs="Microsoft New Tai Lue"/>
          <w:b/>
          <w:bCs/>
          <w:color w:val="auto"/>
          <w:sz w:val="32"/>
          <w:szCs w:val="32"/>
          <w:highlight w:val="none"/>
          <w:lang w:val="en-US" w:eastAsia="zh-CN" w:bidi="ar-SA"/>
        </w:rPr>
      </w:pPr>
      <w:r>
        <w:rPr>
          <w:rFonts w:hint="eastAsia" w:ascii="Microsoft New Tai Lue" w:hAnsi="Microsoft New Tai Lue" w:cs="宋体"/>
          <w:b/>
          <w:bCs/>
          <w:color w:val="auto"/>
          <w:sz w:val="32"/>
          <w:szCs w:val="32"/>
          <w:highlight w:val="none"/>
          <w:lang w:val="en-US" w:eastAsia="zh-CN" w:bidi="ar-SA"/>
        </w:rPr>
        <w:t xml:space="preserve">投标人须知前附表</w:t>
      </w:r>
      <w:r/>
    </w:p>
    <w:p>
      <w:pPr>
        <w:ind w:firstLine="420"/>
        <w:jc w:val="left"/>
        <w:spacing w:line="240" w:lineRule="auto"/>
        <w:rPr>
          <w:rFonts w:hint="eastAsia"/>
          <w:highlight w:val="none"/>
        </w:rPr>
      </w:pPr>
      <w:r>
        <w:rPr>
          <w:rFonts w:hint="eastAsia" w:ascii="Microsoft New Tai Lue" w:hAnsi="Microsoft New Tai Lue" w:cs="宋体"/>
          <w:color w:val="auto"/>
          <w:szCs w:val="21"/>
          <w:highlight w:val="none"/>
          <w:lang w:val="en-US" w:eastAsia="zh-CN" w:bidi="ar-SA"/>
        </w:rPr>
        <w:t xml:space="preserve">本表是对《投标人须知》正文的具体补充和修改，如有矛盾，以本《前附表》为准。标记“■”的选项意为适用于本项目，标记“□”的选项意为不适用于本项目</w:t>
      </w:r>
      <w:r>
        <w:rPr>
          <w:rFonts w:hint="eastAsia"/>
          <w:highlight w:val="none"/>
        </w:rPr>
        <w:t xml:space="preserve">。</w:t>
      </w:r>
      <w:r/>
    </w:p>
    <w:tbl>
      <w:tblPr>
        <w:tblStyle w:val="852"/>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ind w:firstLine="0"/>
              <w:jc w:val="center"/>
              <w:spacing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850" w:type="dxa"/>
            <w:vAlign w:val="center"/>
            <w:textDirection w:val="lrTb"/>
            <w:noWrap w:val="false"/>
          </w:tcPr>
          <w:p>
            <w:pPr>
              <w:ind w:firstLine="0"/>
              <w:jc w:val="center"/>
              <w:spacing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条款号</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条款名称</w:t>
            </w:r>
            <w:r/>
          </w:p>
        </w:tc>
        <w:tc>
          <w:tcPr>
            <w:tcW w:w="6306" w:type="dxa"/>
            <w:vAlign w:val="center"/>
            <w:textDirection w:val="lrTb"/>
            <w:noWrap w:val="false"/>
          </w:tcPr>
          <w:p>
            <w:pPr>
              <w:ind w:firstLine="0"/>
              <w:jc w:val="center"/>
              <w:spacing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编列内容规定</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名称：江苏省人民检察院</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地址：南京市鼓楼区宁海路73号</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联系人：汤开斌</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联系方式：025−83798132</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2.2</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名称：江苏省招标中心有限公司 </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地址：南京市鼓楼区郑和中路118号D栋17楼</w:t>
            </w:r>
            <w:r/>
          </w:p>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联系人：张浩宇、郁鹏程</w:t>
            </w:r>
            <w:r/>
          </w:p>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联系方式：13851833296、16605236463</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4</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8.1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现场考察</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不组织</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组织</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9.1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不召开</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召开</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）召开时间：</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）召开地点：</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10.1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不接受</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接受</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联合体要求：详见招标文件第一章《招标公告》</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11.1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不允许</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□允许</w:t>
            </w:r>
            <w:r/>
          </w:p>
          <w:p>
            <w:pPr>
              <w:ind w:firstLine="0"/>
              <w:jc w:val="left"/>
              <w:spacing w:line="24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具体要求：</w:t>
            </w:r>
            <w:r>
              <w:rPr>
                <w:rFonts w:hint="eastAsia" w:ascii="宋体" w:hAnsi="宋体" w:eastAsia="宋体" w:cs="宋体"/>
                <w:color w:val="auto"/>
                <w:sz w:val="21"/>
                <w:szCs w:val="21"/>
                <w:highlight w:val="none"/>
                <w:u w:val="single"/>
                <w:lang w:val="en-US" w:eastAsia="zh-CN" w:bidi="ar-SA"/>
              </w:rPr>
              <w:t xml:space="preserve">                </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12.1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投标样品递交：</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□不需要</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需要，具体要求如下：</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）样品制作的标准和要求：详见第四章采购需求；</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）是否需要随样品提交相关检测报告：</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不需要</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□需要</w:t>
            </w:r>
            <w:r/>
          </w:p>
        </w:tc>
      </w:tr>
      <w:tr>
        <w:trPr>
          <w:trHeight w:val="734"/>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13.1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不接受</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接受</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14.1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74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14.2</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15.1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供应商资格条件</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申请人的资格要求</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20.5</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w:t>
            </w:r>
            <w:r/>
          </w:p>
        </w:tc>
        <w:tc>
          <w:tcPr>
            <w:tcW w:w="6306" w:type="dxa"/>
            <w:vAlign w:val="center"/>
            <w:textDirection w:val="lrTb"/>
            <w:noWrap w:val="false"/>
          </w:tcPr>
          <w:p>
            <w:pPr>
              <w:ind w:firstLine="0"/>
              <w:jc w:val="left"/>
              <w:spacing w:line="300" w:lineRule="auto"/>
              <w:widowControl w:val="off"/>
              <w:rPr>
                <w:rFonts w:hint="default" w:ascii="Times New Roman" w:hAnsi="Times New Roman" w:eastAsia="宋体" w:cs="Microsoft New Tai Lue"/>
                <w:bCs/>
                <w:color w:val="auto"/>
                <w:sz w:val="21"/>
                <w:szCs w:val="21"/>
                <w:highlight w:val="none"/>
                <w:lang w:val="en-US" w:eastAsia="zh-CN" w:bidi="ar-SA"/>
              </w:rPr>
            </w:pPr>
            <w:r>
              <w:rPr>
                <w:rFonts w:hint="eastAsia" w:ascii="Times New Roman" w:hAnsi="Times New Roman" w:eastAsia="宋体" w:cs="Microsoft New Tai Lue"/>
                <w:bCs/>
                <w:color w:val="auto"/>
                <w:sz w:val="21"/>
                <w:szCs w:val="21"/>
                <w:highlight w:val="none"/>
                <w:lang w:val="en-US" w:eastAsia="zh-CN" w:bidi="ar-SA"/>
              </w:rPr>
              <w:t xml:space="preserve">投标报价的其他要求：</w:t>
            </w:r>
            <w:r/>
          </w:p>
          <w:p>
            <w:pPr>
              <w:ind w:firstLine="0"/>
              <w:jc w:val="left"/>
              <w:spacing w:line="300" w:lineRule="auto"/>
              <w:widowControl w:val="off"/>
              <w:rPr>
                <w:rFonts w:hint="default" w:ascii="Times New Roman" w:hAnsi="Times New Roman" w:eastAsia="宋体" w:cs="Microsoft New Tai Lue"/>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Microsoft New Tai Lue"/>
                <w:bCs/>
                <w:color w:val="auto"/>
                <w:sz w:val="21"/>
                <w:szCs w:val="21"/>
                <w:highlight w:val="none"/>
                <w:lang w:val="en-US" w:eastAsia="zh-CN" w:bidi="ar-SA"/>
              </w:rPr>
              <w:t xml:space="preserve">无</w:t>
            </w:r>
            <w:r/>
          </w:p>
          <w:p>
            <w:pPr>
              <w:ind w:firstLine="0"/>
              <w:jc w:val="left"/>
              <w:spacing w:line="300" w:lineRule="auto"/>
              <w:widowControl w:val="off"/>
              <w:rPr>
                <w:rFonts w:hint="default" w:ascii="Times New Roman" w:hAnsi="Times New Roman" w:eastAsia="宋体" w:cs="Microsoft New Tai Lue"/>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Microsoft New Tai Lue"/>
                <w:bCs/>
                <w:color w:val="auto"/>
                <w:sz w:val="21"/>
                <w:szCs w:val="21"/>
                <w:highlight w:val="none"/>
                <w:lang w:val="en-US" w:eastAsia="zh-CN" w:bidi="ar-SA"/>
              </w:rPr>
              <w:t xml:space="preserve">有，具体情形：</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Times New Roman" w:hAnsi="Times New Roman" w:eastAsia="宋体" w:cs="Microsoft New Tai Lue"/>
                <w:bCs/>
                <w:color w:val="auto"/>
                <w:sz w:val="21"/>
                <w:szCs w:val="20"/>
                <w:highlight w:val="none"/>
                <w:u w:val="single"/>
                <w:lang w:val="en-US" w:eastAsia="zh-CN" w:bidi="ar-SA"/>
              </w:rPr>
              <w:t xml:space="preserve">（1）所有投标响应均以人民币报价。供应商的投标响应报价应遵守</w:t>
            </w:r>
            <w:r>
              <w:rPr>
                <w:rFonts w:hint="eastAsia" w:cs="Microsoft New Tai Lue"/>
                <w:bCs/>
                <w:color w:val="auto"/>
                <w:sz w:val="21"/>
                <w:szCs w:val="20"/>
                <w:highlight w:val="none"/>
                <w:u w:val="single"/>
                <w:lang w:val="en-US" w:eastAsia="zh-CN" w:bidi="ar-SA"/>
              </w:rPr>
              <w:t xml:space="preserve">《中华人民共和国价格法》</w:t>
            </w:r>
            <w:r>
              <w:rPr>
                <w:rFonts w:hint="eastAsia" w:ascii="Times New Roman" w:hAnsi="Times New Roman" w:eastAsia="宋体" w:cs="Microsoft New Tai Lue"/>
                <w:bCs/>
                <w:color w:val="auto"/>
                <w:sz w:val="21"/>
                <w:szCs w:val="20"/>
                <w:highlight w:val="none"/>
                <w:u w:val="single"/>
                <w:lang w:val="en-US" w:eastAsia="zh-CN" w:bidi="ar-SA"/>
              </w:rPr>
              <w:t xml:space="preserve">。该报价为完成项目全流程的所有费用，包含但不限于相关税费、原材料及辅料成本、加工与制作费用、包装费、运输费、保险费，售后服务费及相关服务费等一切可能发生的费用。</w:t>
            </w:r>
            <w:r/>
          </w:p>
        </w:tc>
      </w:tr>
      <w:tr>
        <w:trPr>
          <w:trHeight w:val="469"/>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21.1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自提交投标文件的截止之日起算</w:t>
            </w:r>
            <w:r>
              <w:rPr>
                <w:rFonts w:hint="default" w:ascii="宋体" w:hAnsi="宋体" w:eastAsia="宋体" w:cs="宋体"/>
                <w:color w:val="auto"/>
                <w:sz w:val="21"/>
                <w:szCs w:val="21"/>
                <w:highlight w:val="none"/>
                <w:lang w:val="en-US" w:eastAsia="zh-CN" w:bidi="ar-SA"/>
              </w:rPr>
              <w:t xml:space="preserve">90</w:t>
            </w:r>
            <w:r>
              <w:rPr>
                <w:rFonts w:hint="eastAsia" w:ascii="宋体" w:hAnsi="宋体" w:eastAsia="宋体" w:cs="宋体"/>
                <w:color w:val="auto"/>
                <w:sz w:val="21"/>
                <w:szCs w:val="21"/>
                <w:highlight w:val="none"/>
                <w:lang w:val="en-US" w:eastAsia="zh-CN" w:bidi="ar-SA"/>
              </w:rPr>
              <w:t xml:space="preserve">日历天</w:t>
            </w:r>
            <w:r/>
          </w:p>
        </w:tc>
      </w:tr>
      <w:tr>
        <w:trPr>
          <w:trHeight w:val="54"/>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22.1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不需要</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需要</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23.1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供应商应当按照《供应商操作手册》规定，在招标公告规定的投标截止时间前制作并上传电子投标文件。招标代理机构拒绝接收提交投标文件截止时间后上传的任何电子投标文件。</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提交采购包投标文件的供应商，需要按照采购包分别准备投标文件</w:t>
            </w:r>
            <w:r/>
          </w:p>
        </w:tc>
      </w:tr>
      <w:tr>
        <w:trPr>
          <w:trHeight w:val="777"/>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24.1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投标文件的密封和标记</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25.1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28.1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29.2.1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□供应商自行查询信用记录，如实提供《无不良信用记录承诺》并加盖供应商公章。联合体参加投标的，所有联合体成员均须加盖公章。本项目信用记录查询截止时点为</w:t>
            </w:r>
            <w:r>
              <w:rPr>
                <w:rFonts w:hint="default" w:ascii="宋体" w:hAnsi="宋体" w:eastAsia="宋体" w:cs="宋体"/>
                <w:color w:val="auto"/>
                <w:sz w:val="21"/>
                <w:szCs w:val="21"/>
                <w:highlight w:val="none"/>
                <w:lang w:val="en-US" w:eastAsia="zh-CN" w:bidi="ar-SA"/>
              </w:rPr>
              <w:t xml:space="preserve">____________________</w:t>
            </w:r>
            <w:r>
              <w:rPr>
                <w:rFonts w:hint="eastAsia" w:ascii="宋体" w:hAnsi="宋体" w:eastAsia="宋体" w:cs="宋体"/>
                <w:color w:val="auto"/>
                <w:sz w:val="21"/>
                <w:szCs w:val="21"/>
                <w:highlight w:val="none"/>
                <w:lang w:val="en-US" w:eastAsia="zh-CN" w:bidi="ar-SA"/>
              </w:rPr>
              <w:t xml:space="preserve">。</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30.1.1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5人以上单数。</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30.5.3</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default" w:ascii="宋体" w:hAnsi="宋体" w:eastAsia="宋体" w:cs="Times New Roman"/>
                <w:color w:val="auto"/>
                <w:sz w:val="21"/>
                <w:szCs w:val="21"/>
                <w:highlight w:val="none"/>
                <w:lang w:val="en-US" w:eastAsia="zh-CN" w:bidi="ar-SA"/>
              </w:rPr>
              <w:tab/>
            </w:r>
            <w:r/>
          </w:p>
        </w:tc>
        <w:tc>
          <w:tcPr>
            <w:tcW w:w="6306" w:type="dxa"/>
            <w:vAlign w:val="center"/>
            <w:textDirection w:val="lrTb"/>
            <w:noWrap w:val="false"/>
          </w:tcPr>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采购包1</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■货物类，单一产品或核心产品为：《需求清单》（采购包1）序号86操作台I</w:t>
            </w:r>
            <w:r>
              <w:rPr>
                <w:rFonts w:hint="eastAsia" w:ascii="宋体" w:hAnsi="宋体" w:cs="宋体"/>
                <w:color w:val="auto"/>
                <w:sz w:val="21"/>
                <w:szCs w:val="21"/>
                <w:highlight w:val="none"/>
                <w:lang w:val="en-US" w:eastAsia="zh-CN" w:bidi="ar-SA"/>
              </w:rPr>
              <w:t xml:space="preserve">；</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采购包2</w:t>
            </w:r>
            <w:r/>
          </w:p>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■货物类，单一产品或核心产品为：《需求清单》（采购包</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）序号12蝶形办公桌</w:t>
            </w:r>
            <w:r>
              <w:rPr>
                <w:rFonts w:hint="eastAsia" w:ascii="宋体" w:hAnsi="宋体" w:cs="宋体"/>
                <w:color w:val="auto"/>
                <w:sz w:val="21"/>
                <w:szCs w:val="21"/>
                <w:highlight w:val="none"/>
                <w:lang w:val="en-US" w:eastAsia="zh-CN" w:bidi="ar-SA"/>
              </w:rPr>
              <w:t xml:space="preserve">；</w:t>
            </w:r>
            <w:r/>
          </w:p>
        </w:tc>
      </w:tr>
      <w:tr>
        <w:trPr>
          <w:trHeight w:val="922"/>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31.3</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确定中标单位</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、从评标报告确定的中标候选人名单中按顺序确定排名第</w:t>
            </w: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名的为中标人。</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、中标候选人并列的，按照以下方式确定中标人。</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随机抽取</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■其他：按综合得分由高到低顺序排列。综合得分相同的，按价格分由高到低顺序排列；价格分也相同的，按技术部分得分由高到低顺序排列；分值均相同的，则由评标委员会决定排列顺序。</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31.4</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江苏政府采购网、中国政府采购网</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35.1</w:t>
            </w:r>
            <w:r/>
          </w:p>
        </w:tc>
        <w:tc>
          <w:tcPr>
            <w:tcW w:w="1872"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履约担保及支付担保</w:t>
            </w:r>
            <w:r/>
          </w:p>
        </w:tc>
        <w:tc>
          <w:tcPr>
            <w:tcW w:w="6306" w:type="dxa"/>
            <w:vAlign w:val="center"/>
            <w:textDirection w:val="lrTb"/>
            <w:noWrap w:val="false"/>
          </w:tcPr>
          <w:p>
            <w:pPr>
              <w:ind w:firstLine="0"/>
              <w:jc w:val="left"/>
              <w:spacing w:line="300" w:lineRule="auto"/>
              <w:widowControl w:val="off"/>
              <w:rPr>
                <w:rFonts w:hint="eastAsia" w:ascii="宋体" w:hAnsi="宋体" w:eastAsia="宋体" w:cs="Microsoft New Tai Lue"/>
                <w:bCs/>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default" w:ascii="宋体" w:hAnsi="宋体" w:eastAsia="宋体" w:cs="Microsoft New Tai Lue"/>
                <w:bCs/>
                <w:color w:val="auto"/>
                <w:sz w:val="21"/>
                <w:szCs w:val="21"/>
                <w:highlight w:val="none"/>
                <w:lang w:val="en-US" w:eastAsia="zh-CN" w:bidi="ar-SA"/>
              </w:rPr>
              <w:t xml:space="preserve">不要求提供</w:t>
            </w:r>
            <w:r/>
          </w:p>
          <w:p>
            <w:pPr>
              <w:ind w:firstLine="0"/>
              <w:jc w:val="left"/>
              <w:spacing w:line="300" w:lineRule="auto"/>
              <w:widowControl w:val="off"/>
              <w:rPr>
                <w:rFonts w:hint="eastAsia" w:ascii="宋体" w:hAnsi="宋体" w:eastAsia="宋体" w:cs="Microsoft New Tai Lue"/>
                <w:bCs/>
                <w:color w:val="auto"/>
                <w:sz w:val="21"/>
                <w:szCs w:val="21"/>
                <w:highlight w:val="none"/>
                <w:lang w:val="en-US" w:eastAsia="zh-CN" w:bidi="ar-SA"/>
              </w:rPr>
            </w:pPr>
            <w:r>
              <w:rPr>
                <w:rFonts w:hint="eastAsia" w:ascii="宋体" w:hAnsi="宋体" w:eastAsia="宋体" w:cs="宋体"/>
                <w:b/>
                <w:color w:val="auto"/>
                <w:sz w:val="24"/>
                <w:szCs w:val="21"/>
                <w:highlight w:val="none"/>
                <w:lang w:val="en-US" w:eastAsia="zh-CN" w:bidi="ar-SA"/>
              </w:rPr>
              <w:t xml:space="preserve">■</w:t>
            </w:r>
            <w:r>
              <w:rPr>
                <w:rFonts w:hint="default" w:ascii="宋体" w:hAnsi="宋体" w:eastAsia="宋体" w:cs="Microsoft New Tai Lue"/>
                <w:bCs/>
                <w:color w:val="auto"/>
                <w:sz w:val="21"/>
                <w:szCs w:val="21"/>
                <w:highlight w:val="none"/>
                <w:lang w:val="en-US" w:eastAsia="zh-CN" w:bidi="ar-SA"/>
              </w:rPr>
              <w:t xml:space="preserve">要求提供，履约保证金的数额</w:t>
            </w:r>
            <w:r>
              <w:rPr>
                <w:rFonts w:hint="eastAsia" w:ascii="宋体" w:hAnsi="宋体" w:eastAsia="宋体" w:cs="Microsoft New Tai Lue"/>
                <w:bCs/>
                <w:color w:val="auto"/>
                <w:sz w:val="21"/>
                <w:szCs w:val="21"/>
                <w:highlight w:val="none"/>
                <w:lang w:val="en-US" w:eastAsia="zh-CN" w:bidi="ar-SA"/>
              </w:rPr>
              <w:t xml:space="preserve">为</w:t>
            </w:r>
            <w:r>
              <w:rPr>
                <w:rFonts w:hint="default" w:ascii="宋体" w:hAnsi="宋体" w:eastAsia="宋体" w:cs="Microsoft New Tai Lue"/>
                <w:bCs/>
                <w:color w:val="auto"/>
                <w:sz w:val="21"/>
                <w:szCs w:val="21"/>
                <w:highlight w:val="none"/>
                <w:lang w:val="en-US" w:eastAsia="zh-CN" w:bidi="ar-SA"/>
              </w:rPr>
              <w:t xml:space="preserve">政府采购合同金额的</w:t>
            </w:r>
            <w:r>
              <w:rPr>
                <w:rFonts w:hint="default" w:ascii="宋体" w:hAnsi="宋体" w:eastAsia="宋体" w:cs="Microsoft New Tai Lue"/>
                <w:bCs/>
                <w:color w:val="auto"/>
                <w:sz w:val="21"/>
                <w:szCs w:val="21"/>
                <w:highlight w:val="none"/>
                <w:u w:val="single"/>
                <w:lang w:val="en-US" w:eastAsia="zh-CN" w:bidi="ar-SA"/>
              </w:rPr>
              <w:t xml:space="preserve"> </w:t>
            </w:r>
            <w:r>
              <w:rPr>
                <w:rFonts w:hint="eastAsia" w:ascii="宋体" w:hAnsi="宋体" w:eastAsia="宋体" w:cs="Microsoft New Tai Lue"/>
                <w:bCs/>
                <w:color w:val="auto"/>
                <w:sz w:val="21"/>
                <w:szCs w:val="21"/>
                <w:highlight w:val="none"/>
                <w:u w:val="single"/>
                <w:lang w:val="en-US" w:eastAsia="zh-CN" w:bidi="ar-SA"/>
              </w:rPr>
              <w:t xml:space="preserve">10</w:t>
            </w:r>
            <w:r>
              <w:rPr>
                <w:rFonts w:hint="default" w:ascii="宋体" w:hAnsi="宋体" w:eastAsia="宋体" w:cs="Microsoft New Tai Lue"/>
                <w:bCs/>
                <w:color w:val="auto"/>
                <w:sz w:val="21"/>
                <w:szCs w:val="21"/>
                <w:highlight w:val="none"/>
                <w:u w:val="single"/>
                <w:lang w:val="en-US" w:eastAsia="zh-CN" w:bidi="ar-SA"/>
              </w:rPr>
              <w:t xml:space="preserve"> </w:t>
            </w:r>
            <w:r>
              <w:rPr>
                <w:rFonts w:hint="default" w:ascii="宋体" w:hAnsi="宋体" w:eastAsia="宋体" w:cs="Microsoft New Tai Lue"/>
                <w:bCs/>
                <w:color w:val="auto"/>
                <w:sz w:val="21"/>
                <w:szCs w:val="21"/>
                <w:highlight w:val="none"/>
                <w:lang w:val="en-US" w:eastAsia="zh-CN" w:bidi="ar-SA"/>
              </w:rPr>
              <w:t xml:space="preserve">%。</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36.1</w:t>
            </w:r>
            <w:r/>
          </w:p>
        </w:tc>
        <w:tc>
          <w:tcPr>
            <w:tcW w:w="1872"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供应商对采购文件的询问</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形式：以书面形式通知采购代理机构。</w:t>
            </w:r>
            <w:r/>
          </w:p>
        </w:tc>
      </w:tr>
      <w:tr>
        <w:trPr>
          <w:trHeight w:val="603"/>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37.1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供应商对采购文件提出的质疑</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形式：以书面形式通知采购代理机构。</w:t>
            </w:r>
            <w:r/>
          </w:p>
        </w:tc>
      </w:tr>
      <w:tr>
        <w:trPr>
          <w:trHeight w:val="3058"/>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38.1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本项目代理费由社会代理机构向中标（成交）单位收取。供应商报价应当包含代理费。中标（成交）单位须在规定时间内向社会代理机构一次性缴清代理费。</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代理费具体标准为按照国家发展和改革委员会下发的《关于降低部分建设项目收费标准规范收费行为等有关问题的通知》（发改价格〔2011〕534 号）所列代理费收费标准的70%收取。</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上述费用均由中标单位在领取中标通知书前向采购代理机构一次性支付，交纳账户如下：</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户名：江苏省招标中心有限公司</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开户银行：中信银行江苏路支行</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银行账号：7321810182600023404</w:t>
            </w:r>
            <w:r/>
          </w:p>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bidi="ar-SA"/>
              </w:rPr>
              <w:t xml:space="preserve">本项目专家评审费，按实际发生，由采购人支付，投标人无需</w:t>
            </w:r>
            <w:r>
              <w:rPr>
                <w:rFonts w:hint="eastAsia" w:ascii="宋体" w:hAnsi="宋体" w:cs="宋体"/>
                <w:color w:val="auto"/>
                <w:sz w:val="21"/>
                <w:szCs w:val="21"/>
                <w:highlight w:val="none"/>
                <w:lang w:val="en-US" w:eastAsia="zh-CN" w:bidi="ar-SA"/>
              </w:rPr>
              <w:t xml:space="preserve">考虑。</w:t>
            </w:r>
            <w:r/>
          </w:p>
        </w:tc>
      </w:tr>
      <w:tr>
        <w:trPr>
          <w:trHeight w:val="303"/>
        </w:trPr>
        <w:tc>
          <w:tcPr>
            <w:tcW w:w="675"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39.1</w:t>
            </w:r>
            <w:r/>
          </w:p>
        </w:tc>
        <w:tc>
          <w:tcPr>
            <w:tcW w:w="1872" w:type="dxa"/>
            <w:vAlign w:val="center"/>
            <w:vMerge w:val="restart"/>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采购项目类型：货物</w:t>
            </w:r>
            <w:r/>
          </w:p>
        </w:tc>
      </w:tr>
      <w:tr>
        <w:trPr>
          <w:trHeight w:val="60"/>
        </w:trPr>
        <w:tc>
          <w:tcPr>
            <w:tcW w:w="675" w:type="dxa"/>
            <w:vAlign w:val="center"/>
            <w:vMerge w:val="continue"/>
            <w:textDirection w:val="lrTb"/>
            <w:noWrap w:val="false"/>
          </w:tcPr>
          <w:p>
            <w:pPr>
              <w:ind w:firstLine="0"/>
              <w:jc w:val="center"/>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850" w:type="dxa"/>
            <w:vAlign w:val="center"/>
            <w:vMerge w:val="continue"/>
            <w:textDirection w:val="lrTb"/>
            <w:noWrap w:val="false"/>
          </w:tcPr>
          <w:p>
            <w:pPr>
              <w:ind w:firstLine="0"/>
              <w:jc w:val="center"/>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1872" w:type="dxa"/>
            <w:vAlign w:val="center"/>
            <w:vMerge w:val="continue"/>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标的对应的中小企业划分标准所属行业：工业</w:t>
            </w:r>
            <w:r/>
          </w:p>
        </w:tc>
      </w:tr>
      <w:tr>
        <w:trPr>
          <w:trHeight w:val="656"/>
        </w:trPr>
        <w:tc>
          <w:tcPr>
            <w:tcW w:w="675" w:type="dxa"/>
            <w:vAlign w:val="center"/>
            <w:vMerge w:val="continue"/>
            <w:textDirection w:val="lrTb"/>
            <w:noWrap w:val="false"/>
          </w:tcPr>
          <w:p>
            <w:pPr>
              <w:ind w:firstLine="0"/>
              <w:jc w:val="center"/>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850" w:type="dxa"/>
            <w:vAlign w:val="center"/>
            <w:vMerge w:val="continue"/>
            <w:textDirection w:val="lrTb"/>
            <w:noWrap w:val="false"/>
          </w:tcPr>
          <w:p>
            <w:pPr>
              <w:ind w:firstLine="0"/>
              <w:jc w:val="center"/>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1872" w:type="dxa"/>
            <w:vAlign w:val="center"/>
            <w:vMerge w:val="continue"/>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其他规定：依据《政府采购促进中小企业发展管理办法》规定享受扶持政策获得政府采购合同的，小微企业不得将合同分包给大中型企业，中型企业不得将合同分包给大型企业。</w:t>
            </w:r>
            <w:r/>
          </w:p>
        </w:tc>
      </w:tr>
    </w:tbl>
    <w:p>
      <w:pPr>
        <w:rPr>
          <w:rFonts w:hint="eastAsia"/>
          <w:highlight w:val="none"/>
        </w:rPr>
      </w:pPr>
      <w:r>
        <w:rPr>
          <w:rFonts w:hint="eastAsia"/>
          <w:highlight w:val="none"/>
        </w:rPr>
        <w:br w:type="page" w:clear="all"/>
      </w:r>
      <w:bookmarkEnd w:id="1"/>
      <w:r/>
      <w:bookmarkEnd w:id="2"/>
      <w:r/>
      <w:bookmarkEnd w:id="3"/>
      <w:r/>
      <w:bookmarkEnd w:id="4"/>
      <w:r/>
      <w:bookmarkEnd w:id="5"/>
      <w:r/>
      <w:r/>
    </w:p>
    <w:p>
      <w:pPr>
        <w:ind w:left="74" w:firstLine="482"/>
        <w:jc w:val="center"/>
        <w:spacing w:before="240" w:after="60" w:line="360" w:lineRule="auto"/>
        <w:widowControl w:val="off"/>
        <w:rPr>
          <w:rFonts w:hint="default" w:ascii="宋体" w:hAnsi="Cambria" w:eastAsia="宋体" w:cs="Times New Roman"/>
          <w:b/>
          <w:bCs/>
          <w:color w:val="auto"/>
          <w:sz w:val="32"/>
          <w:szCs w:val="32"/>
          <w:highlight w:val="none"/>
          <w:lang w:val="en-US" w:eastAsia="zh-CN" w:bidi="ar-SA"/>
        </w:rPr>
        <w:outlineLvl w:val="1"/>
      </w:pPr>
      <w:r/>
      <w:bookmarkStart w:id="33" w:name="_Toc29483"/>
      <w:r/>
      <w:bookmarkStart w:id="34" w:name="_Toc513029242"/>
      <w:r/>
      <w:bookmarkStart w:id="35" w:name="_Toc16938558"/>
      <w:r/>
      <w:bookmarkStart w:id="36" w:name="_Toc20823314"/>
      <w:r/>
      <w:bookmarkStart w:id="37" w:name="_Toc120614221"/>
      <w:r/>
      <w:bookmarkStart w:id="38" w:name="_Toc479757207"/>
      <w:r>
        <w:rPr>
          <w:rFonts w:hint="eastAsia" w:ascii="宋体" w:hAnsi="宋体" w:eastAsia="宋体" w:cs="宋体"/>
          <w:b/>
          <w:bCs/>
          <w:color w:val="auto"/>
          <w:sz w:val="32"/>
          <w:szCs w:val="32"/>
          <w:highlight w:val="none"/>
          <w:lang w:val="en-US" w:eastAsia="zh-CN" w:bidi="ar-SA"/>
        </w:rPr>
        <w:t xml:space="preserve">投标人须知</w:t>
      </w:r>
      <w:bookmarkEnd w:id="33"/>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39" w:name="_Toc80264706"/>
      <w:r/>
      <w:bookmarkStart w:id="40" w:name="_Toc107246214"/>
      <w:r/>
      <w:bookmarkStart w:id="41" w:name="_Toc3591"/>
      <w:r>
        <w:rPr>
          <w:rFonts w:hint="eastAsia" w:ascii="宋体" w:hAnsi="宋体" w:eastAsia="宋体" w:cs="宋体"/>
          <w:b/>
          <w:bCs/>
          <w:color w:val="auto"/>
          <w:sz w:val="21"/>
          <w:szCs w:val="21"/>
          <w:highlight w:val="none"/>
          <w:lang w:val="en-US" w:eastAsia="zh-CN" w:bidi="ar-SA"/>
        </w:rPr>
        <w:t xml:space="preserve">一．</w:t>
      </w:r>
      <w:bookmarkEnd w:id="39"/>
      <w:r>
        <w:rPr>
          <w:rFonts w:hint="eastAsia" w:ascii="宋体" w:hAnsi="宋体" w:eastAsia="宋体" w:cs="宋体"/>
          <w:b/>
          <w:bCs/>
          <w:color w:val="auto"/>
          <w:sz w:val="21"/>
          <w:szCs w:val="21"/>
          <w:highlight w:val="none"/>
          <w:lang w:val="en-US" w:eastAsia="zh-CN" w:bidi="ar-SA"/>
        </w:rPr>
        <w:t xml:space="preserve">总则</w:t>
      </w:r>
      <w:bookmarkEnd w:id="40"/>
      <w:r/>
      <w:bookmarkEnd w:id="41"/>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42" w:name="_Toc107246215"/>
      <w:r/>
      <w:bookmarkStart w:id="43" w:name="_Toc100905201"/>
      <w:r/>
      <w:bookmarkStart w:id="44" w:name="_Toc104560839"/>
      <w:r/>
      <w:bookmarkStart w:id="45" w:name="_Toc103848528"/>
      <w:r/>
      <w:bookmarkStart w:id="46" w:name="_Toc96347862"/>
      <w:r>
        <w:rPr>
          <w:rFonts w:hint="default"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采购方式</w:t>
      </w:r>
      <w:bookmarkEnd w:id="42"/>
      <w:r/>
      <w:bookmarkEnd w:id="43"/>
      <w:r/>
      <w:bookmarkEnd w:id="44"/>
      <w:r/>
      <w:bookmarkEnd w:id="45"/>
      <w:r/>
      <w:bookmarkEnd w:id="46"/>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1.1</w:t>
      </w:r>
      <w:r>
        <w:rPr>
          <w:rFonts w:hint="eastAsia" w:ascii="宋体" w:hAnsi="宋体" w:cs="宋体"/>
          <w:color w:val="auto"/>
          <w:szCs w:val="21"/>
          <w:highlight w:val="none"/>
          <w:lang w:val="en-US" w:eastAsia="zh-CN" w:bidi="ar-SA"/>
        </w:rPr>
        <w:t xml:space="preserve">本次招标采取公开招标方式，本招标文件仅适用于招标公告中所述项目。</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47" w:name="_Toc104560840"/>
      <w:r/>
      <w:bookmarkStart w:id="48" w:name="_Toc107246216"/>
      <w:r/>
      <w:bookmarkStart w:id="49" w:name="_Toc96347863"/>
      <w:r/>
      <w:bookmarkStart w:id="50" w:name="_Toc103848529"/>
      <w:r/>
      <w:bookmarkStart w:id="51" w:name="_Toc100905202"/>
      <w:r>
        <w:rPr>
          <w:rFonts w:hint="default"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eastAsia="zh-CN" w:bidi="ar-SA"/>
        </w:rPr>
        <w:t xml:space="preserve">定义</w:t>
      </w:r>
      <w:bookmarkEnd w:id="47"/>
      <w:r/>
      <w:bookmarkEnd w:id="48"/>
      <w:r/>
      <w:bookmarkEnd w:id="49"/>
      <w:r/>
      <w:bookmarkEnd w:id="50"/>
      <w:r/>
      <w:bookmarkEnd w:id="51"/>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2.1</w:t>
      </w:r>
      <w:r>
        <w:rPr>
          <w:rFonts w:hint="eastAsia" w:ascii="宋体" w:hAnsi="宋体" w:cs="宋体"/>
          <w:color w:val="auto"/>
          <w:szCs w:val="21"/>
          <w:highlight w:val="none"/>
          <w:lang w:val="en-US" w:eastAsia="zh-CN" w:bidi="ar-SA"/>
        </w:rPr>
        <w:t xml:space="preserve">“采购人”是指依法进行政府采购的国家机关、事业单位、团体组织。本次政府采购的采购人名称、地址、电话、联系人见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2.2</w:t>
      </w:r>
      <w:r>
        <w:rPr>
          <w:rFonts w:hint="eastAsia" w:ascii="宋体" w:hAnsi="宋体" w:cs="宋体"/>
          <w:color w:val="auto"/>
          <w:szCs w:val="21"/>
          <w:highlight w:val="none"/>
          <w:lang w:val="en-US" w:eastAsia="zh-CN" w:bidi="ar-SA"/>
        </w:rPr>
        <w:t xml:space="preserve">“采购代理机构”是指集中采购机构和集中采购机构以外的采购代理机构。本次政府采购的采购代理机构名称、地址、电话、联系人见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2.3</w:t>
      </w:r>
      <w:r>
        <w:rPr>
          <w:rFonts w:hint="eastAsia" w:ascii="宋体" w:hAnsi="宋体" w:cs="宋体"/>
          <w:color w:val="auto"/>
          <w:szCs w:val="21"/>
          <w:highlight w:val="none"/>
          <w:lang w:val="en-US" w:eastAsia="zh-CN" w:bidi="ar-SA"/>
        </w:rPr>
        <w:t xml:space="preserve">“采购方”是指采购人和采购代理机构的合称。</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2.4</w:t>
      </w:r>
      <w:r>
        <w:rPr>
          <w:rFonts w:hint="eastAsia" w:ascii="宋体" w:hAnsi="宋体" w:cs="宋体"/>
          <w:color w:val="auto"/>
          <w:szCs w:val="21"/>
          <w:highlight w:val="none"/>
          <w:lang w:val="en-US" w:eastAsia="zh-CN" w:bidi="ar-SA"/>
        </w:rPr>
        <w:t xml:space="preserve">“供应商”亦称投标人，是指向采购人提供货物、工程或者服务的法人、其他组织或者自然人。本招标文件中供应商也称投标人。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2.5</w:t>
      </w:r>
      <w:r>
        <w:rPr>
          <w:rFonts w:hint="eastAsia" w:ascii="宋体" w:hAnsi="宋体" w:cs="宋体"/>
          <w:color w:val="auto"/>
          <w:szCs w:val="21"/>
          <w:highlight w:val="none"/>
          <w:lang w:val="en-US" w:eastAsia="zh-CN" w:bidi="ar-SA"/>
        </w:rPr>
        <w:t xml:space="preserve">“中标供应商”是指在投标过程中获得采购项目合同签订资格的供应商。中标供应商是由专家经过评审后推荐并经采购人确认的。本招标文件中中标供应商也称中标人。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2.6</w:t>
      </w:r>
      <w:r>
        <w:rPr>
          <w:rFonts w:hint="eastAsia" w:ascii="宋体" w:hAnsi="宋体" w:cs="宋体"/>
          <w:color w:val="auto"/>
          <w:szCs w:val="21"/>
          <w:highlight w:val="none"/>
          <w:lang w:val="en-US" w:eastAsia="zh-CN" w:bidi="ar-SA"/>
        </w:rPr>
        <w:t xml:space="preserve">“评标委员会”是依据政府采购相关法律法规规定组建，依法履行评审采购活动职责的评审成员。</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2.7</w:t>
      </w:r>
      <w:r>
        <w:rPr>
          <w:rFonts w:hint="eastAsia" w:ascii="宋体" w:hAnsi="宋体" w:cs="宋体"/>
          <w:color w:val="auto"/>
          <w:szCs w:val="21"/>
          <w:highlight w:val="none"/>
          <w:lang w:val="en-US" w:eastAsia="zh-CN" w:bidi="ar-SA"/>
        </w:rPr>
        <w:t xml:space="preserve">“货物”是指各种形态和种类的物品，包括原材料、燃料、设备、产品等。</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2.8</w:t>
      </w:r>
      <w:r>
        <w:rPr>
          <w:rFonts w:hint="eastAsia" w:ascii="宋体" w:hAnsi="宋体" w:cs="宋体"/>
          <w:color w:val="auto"/>
          <w:szCs w:val="21"/>
          <w:highlight w:val="none"/>
          <w:lang w:val="en-US" w:eastAsia="zh-CN" w:bidi="ar-SA"/>
        </w:rPr>
        <w:t xml:space="preserve">“工程”是指建设工程，包括建筑物和构筑物的新建、改建、扩建、装修、拆除、修缮等。</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2.9</w:t>
      </w:r>
      <w:r>
        <w:rPr>
          <w:rFonts w:hint="eastAsia" w:ascii="宋体" w:hAnsi="宋体" w:cs="宋体"/>
          <w:color w:val="auto"/>
          <w:szCs w:val="21"/>
          <w:highlight w:val="none"/>
          <w:lang w:val="en-US" w:eastAsia="zh-CN" w:bidi="ar-SA"/>
        </w:rPr>
        <w:t xml:space="preserve">“服务”是指除货物和工程以外的其他政府采购对象。</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2.10</w:t>
      </w:r>
      <w:r>
        <w:rPr>
          <w:rFonts w:hint="eastAsia" w:ascii="宋体" w:hAnsi="宋体" w:cs="宋体"/>
          <w:color w:val="auto"/>
          <w:szCs w:val="21"/>
          <w:highlight w:val="none"/>
          <w:lang w:val="en-US" w:eastAsia="zh-CN" w:bidi="ar-SA"/>
        </w:rPr>
        <w:t xml:space="preserve">“节能产品”或者“环保产品”是指国务院有关部门发布的最新一期《节能产品政府采购品目清单》或者《环境标志产品政府采购品目清单》内的产品。</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2.11</w:t>
      </w:r>
      <w:r>
        <w:rPr>
          <w:rFonts w:hint="eastAsia" w:ascii="宋体" w:hAnsi="宋体" w:cs="宋体"/>
          <w:color w:val="auto"/>
          <w:szCs w:val="21"/>
          <w:highlight w:val="none"/>
          <w:lang w:val="en-US" w:eastAsia="zh-CN" w:bidi="ar-SA"/>
        </w:rPr>
        <w:t xml:space="preserve">“进口产品”是指通过中国海关报关验放进入中国境内且产自关境外的产品。</w:t>
      </w:r>
      <w:r/>
    </w:p>
    <w:p>
      <w:pPr>
        <w:ind w:right="21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52" w:name="_Toc100905203"/>
      <w:r/>
      <w:bookmarkStart w:id="53" w:name="_Toc107246217"/>
      <w:r/>
      <w:bookmarkStart w:id="54" w:name="_Toc104560841"/>
      <w:r/>
      <w:bookmarkStart w:id="55" w:name="_Toc96347864"/>
      <w:r/>
      <w:bookmarkStart w:id="56" w:name="_Toc103848530"/>
      <w:r/>
      <w:bookmarkStart w:id="57" w:name="_Toc80264708"/>
      <w:r/>
      <w:bookmarkStart w:id="58" w:name="_Toc96347875"/>
      <w:r/>
      <w:bookmarkStart w:id="59" w:name="_Toc100905221"/>
      <w:r/>
      <w:bookmarkStart w:id="60" w:name="_Toc80264714"/>
      <w:r>
        <w:rPr>
          <w:rFonts w:hint="default"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适用法律</w:t>
      </w:r>
      <w:bookmarkEnd w:id="52"/>
      <w:r/>
      <w:bookmarkEnd w:id="53"/>
      <w:r/>
      <w:bookmarkEnd w:id="54"/>
      <w:r/>
      <w:bookmarkEnd w:id="55"/>
      <w:r/>
      <w:bookmarkEnd w:id="56"/>
      <w:r/>
      <w:r/>
    </w:p>
    <w:p>
      <w:pPr>
        <w:ind w:firstLine="315"/>
        <w:spacing w:line="360" w:lineRule="auto"/>
        <w:rPr>
          <w:rFonts w:hint="eastAsia" w:ascii="宋体" w:hAnsi="宋体" w:cs="Times New Roman"/>
          <w:color w:val="auto"/>
          <w:szCs w:val="21"/>
          <w:highlight w:val="none"/>
          <w:lang w:val="en-US" w:eastAsia="zh-CN" w:bidi="ar-SA"/>
        </w:rPr>
      </w:pPr>
      <w:r/>
      <w:bookmarkStart w:id="61" w:name="_Toc100905204"/>
      <w:r>
        <w:rPr>
          <w:rFonts w:ascii="宋体" w:hAnsi="宋体" w:cs="宋体"/>
          <w:color w:val="auto"/>
          <w:szCs w:val="21"/>
          <w:highlight w:val="none"/>
          <w:lang w:val="en-US" w:eastAsia="zh-CN" w:bidi="ar-SA"/>
        </w:rPr>
        <w:t xml:space="preserve">3.1</w:t>
      </w:r>
      <w:r>
        <w:rPr>
          <w:rFonts w:hint="eastAsia" w:ascii="宋体" w:hAnsi="宋体" w:cs="宋体"/>
          <w:color w:val="auto"/>
          <w:szCs w:val="21"/>
          <w:highlight w:val="none"/>
          <w:lang w:val="en-US" w:eastAsia="zh-CN" w:bidi="ar-SA"/>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right="21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62" w:name="_Toc103848531"/>
      <w:r/>
      <w:bookmarkStart w:id="63" w:name="_Toc104560842"/>
      <w:r/>
      <w:bookmarkStart w:id="64" w:name="_Toc107246218"/>
      <w:r>
        <w:rPr>
          <w:rFonts w:hint="default" w:ascii="宋体" w:hAnsi="宋体" w:eastAsia="宋体" w:cs="宋体"/>
          <w:b/>
          <w:bCs/>
          <w:color w:val="auto"/>
          <w:sz w:val="21"/>
          <w:szCs w:val="21"/>
          <w:highlight w:val="none"/>
          <w:lang w:val="en-US" w:eastAsia="zh-CN" w:bidi="ar-SA"/>
        </w:rPr>
        <w:t xml:space="preserve">4.</w:t>
      </w:r>
      <w:bookmarkEnd w:id="62"/>
      <w:r>
        <w:rPr>
          <w:rFonts w:hint="eastAsia" w:ascii="宋体" w:hAnsi="宋体" w:eastAsia="宋体" w:cs="宋体"/>
          <w:b/>
          <w:bCs/>
          <w:color w:val="auto"/>
          <w:sz w:val="21"/>
          <w:szCs w:val="21"/>
          <w:highlight w:val="none"/>
          <w:lang w:val="en-US" w:eastAsia="zh-CN" w:bidi="ar-SA"/>
        </w:rPr>
        <w:t xml:space="preserve">政府采购政策（包括但不限于下列具体政策要求）</w:t>
      </w:r>
      <w:bookmarkEnd w:id="63"/>
      <w:r/>
      <w:bookmarkEnd w:id="64"/>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4.1</w:t>
      </w:r>
      <w:r>
        <w:rPr>
          <w:rFonts w:hint="eastAsia" w:ascii="宋体" w:hAnsi="宋体" w:cs="宋体"/>
          <w:b/>
          <w:bCs/>
          <w:color w:val="auto"/>
          <w:szCs w:val="21"/>
          <w:highlight w:val="none"/>
          <w:lang w:val="en-US" w:eastAsia="zh-CN" w:bidi="ar-SA"/>
        </w:rPr>
        <w:t xml:space="preserve">中小企业、监狱企业及残疾人福利性单位</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w:t>
      </w:r>
      <w:r>
        <w:rPr>
          <w:rFonts w:hint="eastAsia" w:ascii="宋体" w:hAnsi="宋体" w:cs="宋体"/>
          <w:color w:val="auto"/>
          <w:szCs w:val="21"/>
          <w:highlight w:val="none"/>
          <w:lang w:val="en-US" w:eastAsia="zh-CN" w:bidi="ar-SA"/>
        </w:rPr>
        <w:t xml:space="preserve">中小企业定义：</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4.1.1.1</w:t>
      </w:r>
      <w:r>
        <w:rPr>
          <w:rFonts w:hint="eastAsia" w:ascii="宋体" w:hAnsi="宋体" w:cs="宋体"/>
          <w:color w:val="auto"/>
          <w:szCs w:val="21"/>
          <w:highlight w:val="none"/>
          <w:lang w:val="en-US" w:eastAsia="zh-CN" w:bidi="ar-SA"/>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宋体" w:hAnsi="宋体" w:cs="宋体"/>
          <w:color w:val="auto"/>
          <w:szCs w:val="21"/>
          <w:highlight w:val="none"/>
          <w:lang w:val="en-US" w:eastAsia="zh-CN" w:bidi="ar-SA"/>
        </w:rPr>
        <w:t xml:space="preserve">2020</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46</w:t>
      </w:r>
      <w:r>
        <w:rPr>
          <w:rFonts w:hint="eastAsia" w:ascii="宋体" w:hAnsi="宋体" w:cs="宋体"/>
          <w:color w:val="auto"/>
          <w:szCs w:val="21"/>
          <w:highlight w:val="none"/>
          <w:lang w:val="en-US" w:eastAsia="zh-CN" w:bidi="ar-SA"/>
        </w:rPr>
        <w:t xml:space="preserve">号）、《关于印发中小企业划型标准规定的通知》（工信部联企业〔</w:t>
      </w:r>
      <w:r>
        <w:rPr>
          <w:rFonts w:ascii="宋体" w:hAnsi="宋体" w:cs="宋体"/>
          <w:color w:val="auto"/>
          <w:szCs w:val="21"/>
          <w:highlight w:val="none"/>
          <w:lang w:val="en-US" w:eastAsia="zh-CN" w:bidi="ar-SA"/>
        </w:rPr>
        <w:t xml:space="preserve">2011</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300 </w:t>
      </w:r>
      <w:r>
        <w:rPr>
          <w:rFonts w:hint="eastAsia" w:ascii="宋体" w:hAnsi="宋体" w:cs="宋体"/>
          <w:color w:val="auto"/>
          <w:szCs w:val="21"/>
          <w:highlight w:val="none"/>
          <w:lang w:val="en-US" w:eastAsia="zh-CN" w:bidi="ar-SA"/>
        </w:rPr>
        <w:t xml:space="preserve">号）、《国务院关于进一步促进中小企业发展的若干意见》（国发〔</w:t>
      </w:r>
      <w:r>
        <w:rPr>
          <w:rFonts w:ascii="宋体" w:hAnsi="宋体" w:cs="宋体"/>
          <w:color w:val="auto"/>
          <w:szCs w:val="21"/>
          <w:highlight w:val="none"/>
          <w:lang w:val="en-US" w:eastAsia="zh-CN" w:bidi="ar-SA"/>
        </w:rPr>
        <w:t xml:space="preserve">2009</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36 </w:t>
      </w:r>
      <w:r>
        <w:rPr>
          <w:rFonts w:hint="eastAsia" w:ascii="宋体" w:hAnsi="宋体" w:cs="宋体"/>
          <w:color w:val="auto"/>
          <w:szCs w:val="21"/>
          <w:highlight w:val="none"/>
          <w:lang w:val="en-US" w:eastAsia="zh-CN" w:bidi="ar-SA"/>
        </w:rPr>
        <w:t xml:space="preserve">号）。</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4.1.1.2</w:t>
      </w:r>
      <w:r>
        <w:rPr>
          <w:rFonts w:hint="eastAsia" w:ascii="宋体" w:hAnsi="宋体" w:cs="宋体"/>
          <w:color w:val="auto"/>
          <w:szCs w:val="21"/>
          <w:highlight w:val="none"/>
          <w:lang w:val="en-US" w:eastAsia="zh-CN" w:bidi="ar-SA"/>
        </w:rPr>
        <w:t xml:space="preserve">供应商提供的货物、工程或者服务符合下列情形的，享受中小企业扶持政策：</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）在货物采购项目中，货物由中小企业制造，即货物由中小企业生产且使用该中小企业商号或者注册商标；</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）在工程采购项目中，工程由中小企业承建，即工程施工单位为中小企业；</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）在服务采购项目中，服务由中小企业承接，即提供服务的人员为中小企业依照《中华人民共和国劳动合同法》订立劳动合同的从业人员。</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4.1.1.3</w:t>
      </w:r>
      <w:r>
        <w:rPr>
          <w:rFonts w:hint="eastAsia" w:ascii="宋体" w:hAnsi="宋体" w:cs="宋体"/>
          <w:color w:val="auto"/>
          <w:szCs w:val="21"/>
          <w:highlight w:val="none"/>
          <w:lang w:val="en-US" w:eastAsia="zh-CN" w:bidi="ar-SA"/>
        </w:rPr>
        <w:t xml:space="preserve">在货物采购项目中，供应商提供的货物既有中小企业制造货物，也有大型企业制造货物的，不享受中小企业扶持政策。</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4.1.1.4</w:t>
      </w:r>
      <w:r>
        <w:rPr>
          <w:rFonts w:hint="eastAsia" w:ascii="宋体" w:hAnsi="宋体" w:cs="宋体"/>
          <w:color w:val="auto"/>
          <w:szCs w:val="21"/>
          <w:highlight w:val="none"/>
          <w:lang w:val="en-US" w:eastAsia="zh-CN" w:bidi="ar-SA"/>
        </w:rPr>
        <w:t xml:space="preserve">以联合体形式参加政府采购活动，联合体各方均为中小企业的，联合体视同中小企业。其中，联合体各方均为小微企业的，联合体视同小微企业。</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4.1.2</w:t>
      </w:r>
      <w:r>
        <w:rPr>
          <w:rFonts w:hint="eastAsia" w:ascii="宋体" w:hAnsi="宋体" w:cs="宋体"/>
          <w:color w:val="auto"/>
          <w:szCs w:val="21"/>
          <w:highlight w:val="none"/>
          <w:lang w:val="en-US" w:eastAsia="zh-CN" w:bidi="ar-SA"/>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4.1.3</w:t>
      </w:r>
      <w:r>
        <w:rPr>
          <w:rFonts w:hint="eastAsia" w:ascii="宋体" w:hAnsi="宋体" w:cs="宋体"/>
          <w:color w:val="auto"/>
          <w:szCs w:val="21"/>
          <w:highlight w:val="none"/>
          <w:lang w:val="en-US" w:eastAsia="zh-CN" w:bidi="ar-SA"/>
        </w:rPr>
        <w:t xml:space="preserve">残疾人福利单位定义：享受政府采购支持政策的残疾人福利性单位应当同时满足以下条件：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）安置的残疾人占本单位在职职工人数的比例不低于</w:t>
      </w:r>
      <w:r>
        <w:rPr>
          <w:rFonts w:ascii="宋体" w:hAnsi="宋体" w:cs="宋体"/>
          <w:color w:val="auto"/>
          <w:szCs w:val="21"/>
          <w:highlight w:val="none"/>
          <w:lang w:val="en-US" w:eastAsia="zh-CN" w:bidi="ar-SA"/>
        </w:rPr>
        <w:t xml:space="preserve">25%</w:t>
      </w:r>
      <w:r>
        <w:rPr>
          <w:rFonts w:hint="eastAsia" w:ascii="宋体" w:hAnsi="宋体" w:cs="宋体"/>
          <w:color w:val="auto"/>
          <w:szCs w:val="21"/>
          <w:highlight w:val="none"/>
          <w:lang w:val="en-US" w:eastAsia="zh-CN" w:bidi="ar-SA"/>
        </w:rPr>
        <w:t xml:space="preserve">（含</w:t>
      </w:r>
      <w:r>
        <w:rPr>
          <w:rFonts w:ascii="宋体" w:hAnsi="宋体" w:cs="宋体"/>
          <w:color w:val="auto"/>
          <w:szCs w:val="21"/>
          <w:highlight w:val="none"/>
          <w:lang w:val="en-US" w:eastAsia="zh-CN" w:bidi="ar-SA"/>
        </w:rPr>
        <w:t xml:space="preserve">25%</w:t>
      </w:r>
      <w:r>
        <w:rPr>
          <w:rFonts w:hint="eastAsia" w:ascii="宋体" w:hAnsi="宋体" w:cs="宋体"/>
          <w:color w:val="auto"/>
          <w:szCs w:val="21"/>
          <w:highlight w:val="none"/>
          <w:lang w:val="en-US" w:eastAsia="zh-CN" w:bidi="ar-SA"/>
        </w:rPr>
        <w:t xml:space="preserve">），并且安置的残疾人人数不少于</w:t>
      </w:r>
      <w:r>
        <w:rPr>
          <w:rFonts w:ascii="宋体" w:hAnsi="宋体" w:cs="宋体"/>
          <w:color w:val="auto"/>
          <w:szCs w:val="21"/>
          <w:highlight w:val="none"/>
          <w:lang w:val="en-US" w:eastAsia="zh-CN" w:bidi="ar-SA"/>
        </w:rPr>
        <w:t xml:space="preserve">10 </w:t>
      </w:r>
      <w:r>
        <w:rPr>
          <w:rFonts w:hint="eastAsia" w:ascii="宋体" w:hAnsi="宋体" w:cs="宋体"/>
          <w:color w:val="auto"/>
          <w:szCs w:val="21"/>
          <w:highlight w:val="none"/>
          <w:lang w:val="en-US" w:eastAsia="zh-CN" w:bidi="ar-SA"/>
        </w:rPr>
        <w:t xml:space="preserve">人（含</w:t>
      </w:r>
      <w:r>
        <w:rPr>
          <w:rFonts w:ascii="宋体" w:hAnsi="宋体" w:cs="宋体"/>
          <w:color w:val="auto"/>
          <w:szCs w:val="21"/>
          <w:highlight w:val="none"/>
          <w:lang w:val="en-US" w:eastAsia="zh-CN" w:bidi="ar-SA"/>
        </w:rPr>
        <w:t xml:space="preserve">10 </w:t>
      </w:r>
      <w:r>
        <w:rPr>
          <w:rFonts w:hint="eastAsia" w:ascii="宋体" w:hAnsi="宋体" w:cs="宋体"/>
          <w:color w:val="auto"/>
          <w:szCs w:val="21"/>
          <w:highlight w:val="none"/>
          <w:lang w:val="en-US" w:eastAsia="zh-CN" w:bidi="ar-SA"/>
        </w:rPr>
        <w:t xml:space="preserve">人）；</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）依法与安置的每位残疾人签订了一年以上（含一年）的劳动合同或服务协议；</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）为安置的每位残疾人按月足额缴纳了基本养老保险、基本医疗保险、失业保险、工伤保险和生育保险等社会保险费；</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）通过银行等金融机构向安置的每位残疾人，按月支付了不低于单位所在区县适用的经省级人民政府批准的月最低工资标准的工资；</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）提供本单位制造的货物、承担的工程或者服务（以下简称产品），或者提供其他残疾人福利性单位制造的货物（不包括使用非残疾人福利性单位注册商标的货物）；</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6</w:t>
      </w:r>
      <w:r>
        <w:rPr>
          <w:rFonts w:hint="eastAsia" w:ascii="宋体" w:hAnsi="宋体" w:cs="宋体"/>
          <w:color w:val="auto"/>
          <w:szCs w:val="21"/>
          <w:highlight w:val="none"/>
          <w:lang w:val="en-US" w:eastAsia="zh-CN" w:bidi="ar-SA"/>
        </w:rPr>
        <w:t xml:space="preserve">）前款所称残疾人是指法定劳动年龄内，持有《中华人民共和国残疾人证》或者《中华人民共和国残疾军人证（</w:t>
      </w:r>
      <w:r>
        <w:rPr>
          <w:rFonts w:ascii="宋体" w:hAnsi="宋体" w:cs="宋体"/>
          <w:color w:val="auto"/>
          <w:szCs w:val="21"/>
          <w:highlight w:val="none"/>
          <w:lang w:val="en-US" w:eastAsia="zh-CN" w:bidi="ar-SA"/>
        </w:rPr>
        <w:t xml:space="preserve">1 </w:t>
      </w:r>
      <w:r>
        <w:rPr>
          <w:rFonts w:hint="eastAsia" w:ascii="宋体" w:hAnsi="宋体" w:cs="宋体"/>
          <w:color w:val="auto"/>
          <w:szCs w:val="21"/>
          <w:highlight w:val="none"/>
          <w:lang w:val="en-US" w:eastAsia="zh-CN" w:bidi="ar-SA"/>
        </w:rPr>
        <w:t xml:space="preserve">至</w:t>
      </w:r>
      <w:r>
        <w:rPr>
          <w:rFonts w:ascii="宋体" w:hAnsi="宋体" w:cs="宋体"/>
          <w:color w:val="auto"/>
          <w:szCs w:val="21"/>
          <w:highlight w:val="none"/>
          <w:lang w:val="en-US" w:eastAsia="zh-CN" w:bidi="ar-SA"/>
        </w:rPr>
        <w:t xml:space="preserve">8 </w:t>
      </w:r>
      <w:r>
        <w:rPr>
          <w:rFonts w:hint="eastAsia" w:ascii="宋体" w:hAnsi="宋体" w:cs="宋体"/>
          <w:color w:val="auto"/>
          <w:szCs w:val="21"/>
          <w:highlight w:val="none"/>
          <w:lang w:val="en-US" w:eastAsia="zh-CN" w:bidi="ar-SA"/>
        </w:rPr>
        <w:t xml:space="preserve">级）》的自然人，包括具有劳动条件和劳动意愿的精神残疾人。在职职工人数是指与残疾人福利性单位建立劳动关系并依法签订劳动合同或服务协议的雇员人数。</w:t>
      </w:r>
      <w:r/>
    </w:p>
    <w:p>
      <w:pPr>
        <w:ind w:firstLine="315"/>
        <w:spacing w:line="360" w:lineRule="auto"/>
        <w:rPr>
          <w:rFonts w:hint="eastAsia" w:ascii="宋体" w:hAnsi="宋体" w:cs="Times New Roman"/>
          <w:b/>
          <w:bCs/>
          <w:color w:val="auto"/>
          <w:szCs w:val="21"/>
          <w:highlight w:val="none"/>
          <w:lang w:val="en-US" w:eastAsia="zh-CN" w:bidi="ar-SA"/>
        </w:rPr>
      </w:pPr>
      <w:r>
        <w:rPr>
          <w:rFonts w:ascii="宋体" w:hAnsi="宋体" w:cs="宋体"/>
          <w:color w:val="auto"/>
          <w:szCs w:val="21"/>
          <w:highlight w:val="none"/>
          <w:lang w:val="en-US" w:eastAsia="zh-CN" w:bidi="ar-SA"/>
        </w:rPr>
        <w:t xml:space="preserve">4.1.4</w:t>
      </w:r>
      <w:r>
        <w:rPr>
          <w:rFonts w:hint="eastAsia" w:ascii="宋体" w:hAnsi="宋体" w:cs="宋体"/>
          <w:color w:val="auto"/>
          <w:szCs w:val="21"/>
          <w:highlight w:val="none"/>
          <w:lang w:val="en-US" w:eastAsia="zh-CN" w:bidi="ar-SA"/>
        </w:rPr>
        <w:t xml:space="preserve">小微企业价格评审优惠的政策调整：见第五章《评标方法与评标标准》（如涉及）。</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4.2</w:t>
      </w:r>
      <w:r>
        <w:rPr>
          <w:rFonts w:hint="eastAsia" w:ascii="宋体" w:hAnsi="宋体" w:cs="宋体"/>
          <w:b/>
          <w:bCs/>
          <w:color w:val="auto"/>
          <w:szCs w:val="21"/>
          <w:highlight w:val="none"/>
          <w:lang w:val="en-US" w:eastAsia="zh-CN" w:bidi="ar-SA"/>
        </w:rPr>
        <w:t xml:space="preserve">政府采购节能产品、环境标志产品</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4.2.1</w:t>
      </w:r>
      <w:r>
        <w:rPr>
          <w:rFonts w:hint="eastAsia" w:ascii="宋体" w:hAnsi="宋体" w:cs="宋体"/>
          <w:color w:val="auto"/>
          <w:szCs w:val="21"/>
          <w:highlight w:val="none"/>
          <w:lang w:val="en-US" w:eastAsia="zh-CN" w:bidi="ar-SA"/>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315"/>
        <w:spacing w:line="360" w:lineRule="auto"/>
        <w:rPr>
          <w:rFonts w:hint="eastAsia" w:ascii="宋体" w:hAnsi="宋体" w:cs="宋体"/>
          <w:color w:val="auto"/>
          <w:szCs w:val="21"/>
          <w:highlight w:val="none"/>
          <w:lang w:val="en-US" w:eastAsia="zh-CN" w:bidi="ar-SA"/>
        </w:rPr>
      </w:pPr>
      <w:r>
        <w:rPr>
          <w:rFonts w:ascii="宋体" w:hAnsi="宋体" w:cs="宋体"/>
          <w:color w:val="auto"/>
          <w:szCs w:val="21"/>
          <w:highlight w:val="none"/>
          <w:lang w:val="en-US" w:eastAsia="zh-CN" w:bidi="ar-SA"/>
        </w:rPr>
        <w:t xml:space="preserve">4.2.2</w:t>
      </w:r>
      <w:r>
        <w:rPr>
          <w:rFonts w:hint="eastAsia" w:ascii="宋体" w:hAnsi="宋体" w:cs="宋体"/>
          <w:color w:val="auto"/>
          <w:szCs w:val="21"/>
          <w:highlight w:val="none"/>
          <w:lang w:val="en-US" w:eastAsia="zh-CN" w:bidi="ar-SA"/>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s="宋体"/>
          <w:color w:val="auto"/>
          <w:szCs w:val="21"/>
          <w:highlight w:val="none"/>
          <w:lang w:val="en-US" w:eastAsia="zh-CN" w:bidi="ar-SA"/>
        </w:rPr>
        <w:t xml:space="preserve">2019</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9</w:t>
      </w:r>
      <w:r>
        <w:rPr>
          <w:rFonts w:hint="eastAsia" w:ascii="宋体" w:hAnsi="宋体" w:cs="宋体"/>
          <w:color w:val="auto"/>
          <w:szCs w:val="21"/>
          <w:highlight w:val="none"/>
          <w:lang w:val="en-US" w:eastAsia="zh-CN" w:bidi="ar-SA"/>
        </w:rPr>
        <w:t xml:space="preserve">号）。</w:t>
      </w:r>
      <w:r>
        <w:rPr>
          <w:rFonts w:ascii="宋体" w:hAnsi="宋体" w:cs="宋体"/>
          <w:color w:val="auto"/>
          <w:szCs w:val="21"/>
          <w:highlight w:val="none"/>
          <w:lang w:val="en-US" w:eastAsia="zh-CN" w:bidi="ar-SA"/>
        </w:rPr>
        <w:t xml:space="preserve"> </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4.2.3</w:t>
      </w:r>
      <w:r>
        <w:rPr>
          <w:rFonts w:hint="eastAsia" w:ascii="宋体" w:hAnsi="宋体" w:cs="宋体"/>
          <w:color w:val="auto"/>
          <w:szCs w:val="21"/>
          <w:highlight w:val="none"/>
          <w:lang w:val="en-US" w:eastAsia="zh-CN" w:bidi="ar-SA"/>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4.2.4</w:t>
      </w:r>
      <w:r>
        <w:rPr>
          <w:rFonts w:hint="eastAsia" w:ascii="宋体" w:hAnsi="宋体" w:cs="宋体"/>
          <w:color w:val="auto"/>
          <w:szCs w:val="21"/>
          <w:highlight w:val="none"/>
          <w:lang w:val="en-US" w:eastAsia="zh-CN" w:bidi="ar-SA"/>
        </w:rPr>
        <w:t xml:space="preserve">非政府强制采购的节能产品或环境标志产品，依据品目清单和认证证书实施政府优先采购。优先采购的具体规定见第五章《评标方法与评标标准》（如涉及）。</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4.3</w:t>
      </w:r>
      <w:r>
        <w:rPr>
          <w:rFonts w:hint="eastAsia" w:ascii="宋体" w:hAnsi="宋体" w:cs="宋体"/>
          <w:b/>
          <w:bCs/>
          <w:color w:val="auto"/>
          <w:szCs w:val="21"/>
          <w:highlight w:val="none"/>
          <w:lang w:val="en-US" w:eastAsia="zh-CN" w:bidi="ar-SA"/>
        </w:rPr>
        <w:t xml:space="preserve">信息安全产品</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4.3.1</w:t>
      </w:r>
      <w:r>
        <w:rPr>
          <w:rFonts w:hint="eastAsia" w:ascii="宋体" w:hAnsi="宋体" w:cs="宋体"/>
          <w:color w:val="auto"/>
          <w:szCs w:val="21"/>
          <w:highlight w:val="none"/>
          <w:lang w:val="en-US" w:eastAsia="zh-CN" w:bidi="ar-SA"/>
        </w:rPr>
        <w:t xml:space="preserve">依据《关于信息安全产品实施政府采购的通知》（财库〔</w:t>
      </w:r>
      <w:r>
        <w:rPr>
          <w:rFonts w:ascii="宋体" w:hAnsi="宋体" w:cs="宋体"/>
          <w:color w:val="auto"/>
          <w:szCs w:val="21"/>
          <w:highlight w:val="none"/>
          <w:lang w:val="en-US" w:eastAsia="zh-CN" w:bidi="ar-SA"/>
        </w:rPr>
        <w:t xml:space="preserve">2010</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48 </w:t>
      </w:r>
      <w:r>
        <w:rPr>
          <w:rFonts w:hint="eastAsia" w:ascii="宋体" w:hAnsi="宋体" w:cs="宋体"/>
          <w:color w:val="auto"/>
          <w:szCs w:val="21"/>
          <w:highlight w:val="none"/>
          <w:lang w:val="en-US" w:eastAsia="zh-CN" w:bidi="ar-SA"/>
        </w:rPr>
        <w:t xml:space="preserve">号），所投产品属于《关于调整信息安全产品强制性认证实施要求的公告》（</w:t>
      </w:r>
      <w:r>
        <w:rPr>
          <w:rFonts w:ascii="宋体" w:hAnsi="宋体" w:cs="宋体"/>
          <w:color w:val="auto"/>
          <w:szCs w:val="21"/>
          <w:highlight w:val="none"/>
          <w:lang w:val="en-US" w:eastAsia="zh-CN" w:bidi="ar-SA"/>
        </w:rPr>
        <w:t xml:space="preserve">2009 </w:t>
      </w:r>
      <w:r>
        <w:rPr>
          <w:rFonts w:hint="eastAsia" w:ascii="宋体" w:hAnsi="宋体" w:cs="宋体"/>
          <w:color w:val="auto"/>
          <w:szCs w:val="21"/>
          <w:highlight w:val="none"/>
          <w:lang w:val="en-US" w:eastAsia="zh-CN" w:bidi="ar-SA"/>
        </w:rPr>
        <w:t xml:space="preserve">年第</w:t>
      </w:r>
      <w:r>
        <w:rPr>
          <w:rFonts w:ascii="宋体" w:hAnsi="宋体" w:cs="宋体"/>
          <w:color w:val="auto"/>
          <w:szCs w:val="21"/>
          <w:highlight w:val="none"/>
          <w:lang w:val="en-US" w:eastAsia="zh-CN" w:bidi="ar-SA"/>
        </w:rPr>
        <w:t xml:space="preserve">33 </w:t>
      </w:r>
      <w:r>
        <w:rPr>
          <w:rFonts w:hint="eastAsia" w:ascii="宋体" w:hAnsi="宋体" w:cs="宋体"/>
          <w:color w:val="auto"/>
          <w:szCs w:val="21"/>
          <w:highlight w:val="none"/>
          <w:lang w:val="en-US" w:eastAsia="zh-CN" w:bidi="ar-SA"/>
        </w:rPr>
        <w:t xml:space="preserve">号）范围的，应采用经国家认证的信息安全产品，否则投标无效。</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4.4采购本国产品的支持政策</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具体内容如下：</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w:t>
      </w:r>
      <w:r>
        <w:rPr>
          <w:rFonts w:ascii="宋体" w:hAnsi="宋体" w:cs="宋体"/>
          <w:color w:val="auto"/>
          <w:szCs w:val="21"/>
          <w:highlight w:val="none"/>
          <w:lang w:val="en-US" w:eastAsia="zh-CN" w:bidi="ar-SA"/>
        </w:rPr>
        <w:t xml:space="preserve">.1 </w:t>
      </w:r>
      <w:r>
        <w:rPr>
          <w:rFonts w:hint="eastAsia" w:ascii="宋体" w:hAnsi="宋体" w:cs="宋体"/>
          <w:color w:val="auto"/>
          <w:szCs w:val="21"/>
          <w:highlight w:val="none"/>
          <w:lang w:val="en-US" w:eastAsia="zh-CN" w:bidi="ar-SA"/>
        </w:rPr>
        <w:t xml:space="preserve">本项目政府采购活动中既有本国产品又有非本国产品参与竞争的，依法对本国产品给予价格评审优惠，对本国产品的报价给予</w:t>
      </w:r>
      <w:r>
        <w:rPr>
          <w:rFonts w:ascii="宋体" w:hAnsi="宋体" w:cs="宋体"/>
          <w:color w:val="auto"/>
          <w:szCs w:val="21"/>
          <w:highlight w:val="none"/>
          <w:lang w:val="en-US" w:eastAsia="zh-CN" w:bidi="ar-SA"/>
        </w:rPr>
        <w:t xml:space="preserve">20%的价格扣除，用扣除后的价格参与评审。</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w:t>
      </w:r>
      <w:r>
        <w:rPr>
          <w:rFonts w:ascii="宋体" w:hAnsi="宋体" w:cs="宋体"/>
          <w:color w:val="auto"/>
          <w:szCs w:val="21"/>
          <w:highlight w:val="none"/>
          <w:lang w:val="en-US" w:eastAsia="zh-CN" w:bidi="ar-SA"/>
        </w:rPr>
        <w:t xml:space="preserve">.2 </w:t>
      </w:r>
      <w:r>
        <w:rPr>
          <w:rFonts w:hint="eastAsia" w:ascii="宋体" w:hAnsi="宋体" w:cs="宋体"/>
          <w:color w:val="auto"/>
          <w:szCs w:val="21"/>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宋体"/>
          <w:color w:val="auto"/>
          <w:szCs w:val="21"/>
          <w:highlight w:val="none"/>
          <w:lang w:val="en-US" w:eastAsia="zh-CN" w:bidi="ar-SA"/>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w:t>
      </w:r>
      <w:r>
        <w:rPr>
          <w:rFonts w:ascii="宋体" w:hAnsi="宋体" w:cs="宋体"/>
          <w:color w:val="auto"/>
          <w:szCs w:val="21"/>
          <w:highlight w:val="none"/>
          <w:lang w:val="en-US" w:eastAsia="zh-CN" w:bidi="ar-SA"/>
        </w:rPr>
        <w:t xml:space="preserve">.3 </w:t>
      </w:r>
      <w:r>
        <w:rPr>
          <w:rFonts w:hint="eastAsia" w:ascii="宋体" w:hAnsi="宋体" w:cs="宋体"/>
          <w:color w:val="auto"/>
          <w:szCs w:val="21"/>
          <w:highlight w:val="none"/>
          <w:lang w:val="en-US" w:eastAsia="zh-CN" w:bidi="ar-SA"/>
        </w:rPr>
        <w:t xml:space="preserve">供应商需按照招标文件的要求提供《关于符合本国产品标准的声明函》（以下简称《声明函》），如不提供将不享受本国产品价格评审优惠。</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w:t>
      </w:r>
      <w:r>
        <w:rPr>
          <w:rFonts w:ascii="宋体" w:hAnsi="宋体" w:cs="宋体"/>
          <w:color w:val="auto"/>
          <w:szCs w:val="21"/>
          <w:highlight w:val="none"/>
          <w:lang w:val="en-US" w:eastAsia="zh-CN" w:bidi="ar-SA"/>
        </w:rPr>
        <w:t xml:space="preserve">.4 </w:t>
      </w:r>
      <w:r>
        <w:rPr>
          <w:rFonts w:hint="eastAsia" w:ascii="宋体" w:hAnsi="宋体" w:cs="宋体"/>
          <w:color w:val="auto"/>
          <w:szCs w:val="21"/>
          <w:highlight w:val="none"/>
          <w:lang w:val="en-US" w:eastAsia="zh-CN" w:bidi="ar-SA"/>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5未按要求提供相关材料的，不享受相关政策。</w:t>
      </w:r>
      <w:bookmarkEnd w:id="61"/>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65" w:name="_Toc107246219"/>
      <w:r/>
      <w:bookmarkStart w:id="66" w:name="_Toc96347865"/>
      <w:r/>
      <w:bookmarkStart w:id="67" w:name="_Toc100905205"/>
      <w:r/>
      <w:bookmarkStart w:id="68" w:name="_Toc104560843"/>
      <w:r/>
      <w:bookmarkStart w:id="69" w:name="_Toc103848532"/>
      <w:r>
        <w:rPr>
          <w:rFonts w:hint="default" w:ascii="宋体" w:hAnsi="宋体" w:eastAsia="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相关费用</w:t>
      </w:r>
      <w:bookmarkEnd w:id="65"/>
      <w:r/>
      <w:bookmarkEnd w:id="66"/>
      <w:r/>
      <w:bookmarkEnd w:id="67"/>
      <w:r/>
      <w:bookmarkEnd w:id="68"/>
      <w:r/>
      <w:bookmarkEnd w:id="69"/>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5.1</w:t>
      </w:r>
      <w:bookmarkStart w:id="70" w:name="_Toc80264707"/>
      <w:r>
        <w:rPr>
          <w:rFonts w:hint="eastAsia" w:ascii="宋体" w:hAnsi="宋体" w:cs="宋体"/>
          <w:color w:val="auto"/>
          <w:szCs w:val="21"/>
          <w:highlight w:val="none"/>
          <w:lang w:val="en-US" w:eastAsia="zh-CN" w:bidi="ar-SA"/>
        </w:rPr>
        <w:t xml:space="preserve">参加投标活动的投标人应自行承担所有与参加投标有关的费用，无论投标过程中的做法和结果如何，采购人在任何情况下均无义务和责任承担这些费用。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71" w:name="_Toc104560844"/>
      <w:r/>
      <w:bookmarkStart w:id="72" w:name="_Toc107246220"/>
      <w:r/>
      <w:bookmarkStart w:id="73" w:name="_Toc100905206"/>
      <w:r/>
      <w:bookmarkStart w:id="74" w:name="_Toc96347866"/>
      <w:r/>
      <w:bookmarkStart w:id="75" w:name="_Toc103848533"/>
      <w:r>
        <w:rPr>
          <w:rFonts w:hint="default" w:ascii="宋体" w:hAnsi="宋体" w:eastAsia="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保密</w:t>
      </w:r>
      <w:bookmarkEnd w:id="71"/>
      <w:r/>
      <w:bookmarkEnd w:id="72"/>
      <w:r/>
      <w:bookmarkEnd w:id="73"/>
      <w:r/>
      <w:bookmarkEnd w:id="74"/>
      <w:r/>
      <w:bookmarkEnd w:id="75"/>
      <w:r/>
      <w:r/>
    </w:p>
    <w:p>
      <w:pPr>
        <w:ind w:firstLine="315"/>
        <w:spacing w:line="360" w:lineRule="auto"/>
        <w:rPr>
          <w:rFonts w:hint="eastAsia" w:ascii="宋体" w:hAnsi="宋体" w:cs="Times New Roman"/>
          <w:color w:val="auto"/>
          <w:szCs w:val="21"/>
          <w:highlight w:val="none"/>
          <w:lang w:val="en-US" w:eastAsia="zh-CN" w:bidi="ar-SA"/>
        </w:rPr>
      </w:pPr>
      <w:r/>
      <w:bookmarkStart w:id="76" w:name="_Toc100905207"/>
      <w:r/>
      <w:bookmarkStart w:id="77" w:name="_Toc96347867"/>
      <w:r>
        <w:rPr>
          <w:rFonts w:ascii="宋体" w:hAnsi="宋体" w:cs="宋体"/>
          <w:color w:val="auto"/>
          <w:szCs w:val="21"/>
          <w:highlight w:val="none"/>
          <w:lang w:val="en-US" w:eastAsia="zh-CN" w:bidi="ar-SA"/>
        </w:rPr>
        <w:t xml:space="preserve">6.1</w:t>
      </w:r>
      <w:r>
        <w:rPr>
          <w:rFonts w:hint="eastAsia" w:ascii="宋体" w:hAnsi="宋体" w:cs="宋体"/>
          <w:color w:val="auto"/>
          <w:szCs w:val="21"/>
          <w:highlight w:val="none"/>
          <w:lang w:val="en-US" w:eastAsia="zh-CN" w:bidi="ar-SA"/>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78" w:name="_Toc104560845"/>
      <w:r/>
      <w:bookmarkStart w:id="79" w:name="_Toc107246221"/>
      <w:r/>
      <w:bookmarkStart w:id="80" w:name="_Toc103848534"/>
      <w:r>
        <w:rPr>
          <w:rFonts w:hint="default" w:ascii="宋体" w:hAnsi="宋体" w:eastAsia="宋体" w:cs="宋体"/>
          <w:b/>
          <w:bCs/>
          <w:color w:val="auto"/>
          <w:sz w:val="21"/>
          <w:szCs w:val="21"/>
          <w:highlight w:val="none"/>
          <w:lang w:val="en-US" w:eastAsia="zh-CN" w:bidi="ar-SA"/>
        </w:rPr>
        <w:t xml:space="preserve">7.</w:t>
      </w:r>
      <w:r>
        <w:rPr>
          <w:rFonts w:hint="eastAsia" w:ascii="宋体" w:hAnsi="宋体" w:eastAsia="宋体" w:cs="宋体"/>
          <w:b/>
          <w:bCs/>
          <w:color w:val="auto"/>
          <w:sz w:val="21"/>
          <w:szCs w:val="21"/>
          <w:highlight w:val="none"/>
          <w:lang w:val="en-US" w:eastAsia="zh-CN" w:bidi="ar-SA"/>
        </w:rPr>
        <w:t xml:space="preserve">语言文字、计量单位</w:t>
      </w:r>
      <w:bookmarkEnd w:id="76"/>
      <w:r/>
      <w:bookmarkEnd w:id="77"/>
      <w:r/>
      <w:bookmarkEnd w:id="78"/>
      <w:r/>
      <w:bookmarkEnd w:id="79"/>
      <w:r/>
      <w:bookmarkEnd w:id="80"/>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7.1</w:t>
      </w:r>
      <w:r>
        <w:rPr>
          <w:rFonts w:hint="eastAsia" w:ascii="宋体" w:hAnsi="宋体" w:cs="宋体"/>
          <w:color w:val="auto"/>
          <w:szCs w:val="21"/>
          <w:highlight w:val="none"/>
          <w:lang w:val="en-US" w:eastAsia="zh-CN" w:bidi="ar-SA"/>
        </w:rPr>
        <w:t xml:space="preserve">所有文件使用的语言文字为中文。专用术语使用外文的，应附有中文注释。</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7.2</w:t>
      </w:r>
      <w:r>
        <w:rPr>
          <w:rFonts w:hint="eastAsia" w:ascii="宋体" w:hAnsi="宋体" w:cs="宋体"/>
          <w:color w:val="auto"/>
          <w:szCs w:val="21"/>
          <w:highlight w:val="none"/>
          <w:lang w:val="en-US" w:eastAsia="zh-CN" w:bidi="ar-SA"/>
        </w:rPr>
        <w:t xml:space="preserve">所有文件中的计量单位，除招标文件有特殊要求外，应采用国家法定计量单位。</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81" w:name="_Toc107246222"/>
      <w:r/>
      <w:bookmarkStart w:id="82" w:name="_Toc100905208"/>
      <w:r/>
      <w:bookmarkStart w:id="83" w:name="_Toc96347868"/>
      <w:r/>
      <w:bookmarkStart w:id="84" w:name="_Toc103848535"/>
      <w:r/>
      <w:bookmarkStart w:id="85" w:name="_Toc104560846"/>
      <w:r>
        <w:rPr>
          <w:rFonts w:hint="default" w:ascii="宋体" w:hAnsi="宋体" w:eastAsia="宋体" w:cs="宋体"/>
          <w:b/>
          <w:bCs/>
          <w:color w:val="auto"/>
          <w:sz w:val="21"/>
          <w:szCs w:val="21"/>
          <w:highlight w:val="none"/>
          <w:lang w:val="en-US" w:eastAsia="zh-CN" w:bidi="ar-SA"/>
        </w:rPr>
        <w:t xml:space="preserve">8.</w:t>
      </w:r>
      <w:r>
        <w:rPr>
          <w:rFonts w:hint="eastAsia" w:ascii="宋体" w:hAnsi="宋体" w:eastAsia="宋体" w:cs="宋体"/>
          <w:b/>
          <w:bCs/>
          <w:color w:val="auto"/>
          <w:sz w:val="21"/>
          <w:szCs w:val="21"/>
          <w:highlight w:val="none"/>
          <w:lang w:val="en-US" w:eastAsia="zh-CN" w:bidi="ar-SA"/>
        </w:rPr>
        <w:t xml:space="preserve">现场考察</w:t>
      </w:r>
      <w:bookmarkEnd w:id="81"/>
      <w:r/>
      <w:bookmarkEnd w:id="82"/>
      <w:r/>
      <w:bookmarkEnd w:id="83"/>
      <w:r/>
      <w:bookmarkEnd w:id="84"/>
      <w:r/>
      <w:bookmarkEnd w:id="85"/>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8.1</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规定现场考察的，供应商须按照</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规定的时间、地点参加踏勘，以获得有关编制投标文件和签署合同所涉及现场的资料。供应商承担现场考察所发生的自身费用、责任和风险。</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8.2</w:t>
      </w:r>
      <w:r>
        <w:rPr>
          <w:rFonts w:hint="eastAsia" w:ascii="宋体" w:hAnsi="宋体" w:cs="宋体"/>
          <w:color w:val="auto"/>
          <w:szCs w:val="21"/>
          <w:highlight w:val="none"/>
          <w:lang w:val="en-US" w:eastAsia="zh-CN" w:bidi="ar-SA"/>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8.3</w:t>
      </w:r>
      <w:r>
        <w:rPr>
          <w:rFonts w:hint="eastAsia" w:ascii="宋体" w:hAnsi="宋体" w:cs="宋体"/>
          <w:color w:val="auto"/>
          <w:szCs w:val="21"/>
          <w:highlight w:val="none"/>
          <w:lang w:val="en-US" w:eastAsia="zh-CN" w:bidi="ar-SA"/>
        </w:rPr>
        <w:t xml:space="preserve">除非有特殊要求，招标文件不提供项目所在地的自然环境、气候条件、公用设施等情况，供应商被视为熟悉上述与履行合同有关的一切情况。</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86" w:name="_Toc107246223"/>
      <w:r/>
      <w:bookmarkStart w:id="87" w:name="_Toc102117275"/>
      <w:r>
        <w:rPr>
          <w:rFonts w:hint="default" w:ascii="宋体" w:hAnsi="宋体" w:eastAsia="宋体" w:cs="宋体"/>
          <w:b/>
          <w:bCs/>
          <w:color w:val="auto"/>
          <w:sz w:val="21"/>
          <w:szCs w:val="21"/>
          <w:highlight w:val="none"/>
          <w:lang w:val="en-US" w:eastAsia="zh-CN" w:bidi="ar-SA"/>
        </w:rPr>
        <w:t xml:space="preserve">9.</w:t>
      </w:r>
      <w:r>
        <w:rPr>
          <w:rFonts w:hint="eastAsia" w:ascii="宋体" w:hAnsi="宋体" w:eastAsia="宋体" w:cs="宋体"/>
          <w:b/>
          <w:bCs/>
          <w:color w:val="auto"/>
          <w:sz w:val="21"/>
          <w:szCs w:val="21"/>
          <w:highlight w:val="none"/>
          <w:lang w:val="en-US" w:eastAsia="zh-CN" w:bidi="ar-SA"/>
        </w:rPr>
        <w:t xml:space="preserve">开标前答疑会</w:t>
      </w:r>
      <w:bookmarkEnd w:id="86"/>
      <w:r/>
      <w:bookmarkEnd w:id="87"/>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9.1</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规定召开开标前答疑会的，采购方按</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规定的时间和地点召开开标前答疑会，澄清供应商提出的询问。</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9.2</w:t>
      </w:r>
      <w:r>
        <w:rPr>
          <w:rFonts w:hint="eastAsia" w:ascii="宋体" w:hAnsi="宋体" w:cs="宋体"/>
          <w:color w:val="auto"/>
          <w:szCs w:val="21"/>
          <w:highlight w:val="none"/>
          <w:lang w:val="en-US" w:eastAsia="zh-CN" w:bidi="ar-SA"/>
        </w:rPr>
        <w:t xml:space="preserve">供应商应按</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规定的时间和形式将提出的询问送达采购方，以便采购方在会议期间澄清，逾期的询问将不被接受。</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88" w:name="_Toc107246224"/>
      <w:r/>
      <w:bookmarkStart w:id="89" w:name="_Toc100905210"/>
      <w:r/>
      <w:bookmarkStart w:id="90" w:name="_Toc104560847"/>
      <w:r/>
      <w:bookmarkStart w:id="91" w:name="_Toc103848536"/>
      <w:r/>
      <w:bookmarkStart w:id="92" w:name="_Toc96347869"/>
      <w:r>
        <w:rPr>
          <w:rFonts w:hint="default" w:ascii="宋体" w:hAnsi="宋体" w:eastAsia="宋体" w:cs="宋体"/>
          <w:b/>
          <w:bCs/>
          <w:color w:val="auto"/>
          <w:sz w:val="21"/>
          <w:szCs w:val="21"/>
          <w:highlight w:val="none"/>
          <w:lang w:val="en-US" w:eastAsia="zh-CN" w:bidi="ar-SA"/>
        </w:rPr>
        <w:t xml:space="preserve">10.</w:t>
      </w:r>
      <w:r>
        <w:rPr>
          <w:rFonts w:hint="eastAsia" w:ascii="宋体" w:hAnsi="宋体" w:eastAsia="宋体" w:cs="宋体"/>
          <w:b/>
          <w:bCs/>
          <w:color w:val="auto"/>
          <w:sz w:val="21"/>
          <w:szCs w:val="21"/>
          <w:highlight w:val="none"/>
          <w:lang w:val="en-US" w:eastAsia="zh-CN" w:bidi="ar-SA"/>
        </w:rPr>
        <w:t xml:space="preserve">联合体投标</w:t>
      </w:r>
      <w:bookmarkEnd w:id="88"/>
      <w:r/>
      <w:bookmarkEnd w:id="89"/>
      <w:r/>
      <w:bookmarkEnd w:id="90"/>
      <w:r/>
      <w:bookmarkEnd w:id="91"/>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10.1</w:t>
      </w:r>
      <w:r>
        <w:rPr>
          <w:rFonts w:hint="eastAsia" w:ascii="宋体" w:hAnsi="宋体" w:cs="宋体"/>
          <w:color w:val="auto"/>
          <w:szCs w:val="21"/>
          <w:highlight w:val="none"/>
          <w:lang w:val="en-US" w:eastAsia="zh-CN" w:bidi="ar-SA"/>
        </w:rPr>
        <w:t xml:space="preserve">本项目是否接受联合体形式参与详见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10.2</w:t>
      </w:r>
      <w:r>
        <w:rPr>
          <w:rFonts w:hint="eastAsia" w:ascii="宋体" w:hAnsi="宋体" w:cs="宋体"/>
          <w:color w:val="auto"/>
          <w:szCs w:val="21"/>
          <w:highlight w:val="none"/>
          <w:lang w:val="en-US" w:eastAsia="zh-CN" w:bidi="ar-SA"/>
        </w:rPr>
        <w:t xml:space="preserve">供应商为联合体形式的，应遵守以下规定：</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）联合体各方必须签订联合体协议书，明确联合体牵头人和各方权利、义务及分工、合同工作量比例；</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）联合体各方均应当符合《政府采购法》第二十二条第一款规定的条件；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）除另有规定外，联合体各方中至少有一方应当符合采购人规定的特定资格条件；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）联合体中有同类资质的供应商按照联合体分工承担相同工作的，应当按照资质等级较低的供应商确定资质等级；</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）以联合体形式参加政府采购活动的，联合体各方不得再单独参加或者与其他供应商另外组成联合体参加同一合同项下的政府采购活动。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93" w:name="_Toc107246225"/>
      <w:r/>
      <w:bookmarkStart w:id="94" w:name="_Toc100905213"/>
      <w:r/>
      <w:bookmarkStart w:id="95" w:name="_Toc103848537"/>
      <w:r/>
      <w:bookmarkStart w:id="96" w:name="_Toc104560848"/>
      <w:r/>
      <w:bookmarkStart w:id="97" w:name="_Toc100905211"/>
      <w:r>
        <w:rPr>
          <w:rFonts w:hint="default" w:ascii="宋体" w:hAnsi="宋体" w:eastAsia="宋体" w:cs="宋体"/>
          <w:b/>
          <w:bCs/>
          <w:color w:val="auto"/>
          <w:sz w:val="21"/>
          <w:szCs w:val="21"/>
          <w:highlight w:val="none"/>
          <w:lang w:val="en-US" w:eastAsia="zh-CN" w:bidi="ar-SA"/>
        </w:rPr>
        <w:t xml:space="preserve">11.</w:t>
      </w:r>
      <w:r>
        <w:rPr>
          <w:rFonts w:hint="eastAsia" w:ascii="宋体" w:hAnsi="宋体" w:eastAsia="宋体" w:cs="宋体"/>
          <w:b/>
          <w:bCs/>
          <w:color w:val="auto"/>
          <w:sz w:val="21"/>
          <w:szCs w:val="21"/>
          <w:highlight w:val="none"/>
          <w:lang w:val="en-US" w:eastAsia="zh-CN" w:bidi="ar-SA"/>
        </w:rPr>
        <w:t xml:space="preserve">分包</w:t>
      </w:r>
      <w:bookmarkEnd w:id="93"/>
      <w:r/>
      <w:bookmarkEnd w:id="94"/>
      <w:r/>
      <w:bookmarkEnd w:id="95"/>
      <w:r/>
      <w:bookmarkEnd w:id="96"/>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11.1</w:t>
      </w:r>
      <w:r>
        <w:rPr>
          <w:rFonts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 xml:space="preserve">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11.2</w:t>
      </w:r>
      <w:r>
        <w:rPr>
          <w:rFonts w:hint="eastAsia" w:ascii="宋体" w:hAnsi="宋体" w:cs="宋体"/>
          <w:color w:val="auto"/>
          <w:szCs w:val="21"/>
          <w:highlight w:val="none"/>
          <w:lang w:val="en-US" w:eastAsia="zh-CN" w:bidi="ar-SA"/>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98" w:name="_Toc107246226"/>
      <w:r/>
      <w:bookmarkStart w:id="99" w:name="_Toc104560849"/>
      <w:r>
        <w:rPr>
          <w:rFonts w:hint="default" w:ascii="宋体" w:hAnsi="宋体" w:eastAsia="宋体" w:cs="宋体"/>
          <w:b/>
          <w:bCs/>
          <w:color w:val="auto"/>
          <w:sz w:val="21"/>
          <w:szCs w:val="21"/>
          <w:highlight w:val="none"/>
          <w:lang w:val="en-US" w:eastAsia="zh-CN" w:bidi="ar-SA"/>
        </w:rPr>
        <w:t xml:space="preserve">12.</w:t>
      </w:r>
      <w:r>
        <w:rPr>
          <w:rFonts w:hint="eastAsia" w:ascii="宋体" w:hAnsi="宋体" w:eastAsia="宋体" w:cs="宋体"/>
          <w:b/>
          <w:bCs/>
          <w:color w:val="auto"/>
          <w:sz w:val="21"/>
          <w:szCs w:val="21"/>
          <w:highlight w:val="none"/>
          <w:lang w:val="en-US" w:eastAsia="zh-CN" w:bidi="ar-SA"/>
        </w:rPr>
        <w:t xml:space="preserve">样品</w:t>
      </w:r>
      <w:bookmarkEnd w:id="98"/>
      <w:r/>
      <w:bookmarkEnd w:id="99"/>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12.1</w:t>
      </w:r>
      <w:r>
        <w:rPr>
          <w:rFonts w:hint="eastAsia" w:ascii="宋体" w:hAnsi="宋体" w:cs="宋体"/>
          <w:color w:val="auto"/>
          <w:szCs w:val="21"/>
          <w:highlight w:val="none"/>
          <w:lang w:val="en-US" w:eastAsia="zh-CN" w:bidi="ar-SA"/>
        </w:rPr>
        <w:t xml:space="preserve">本项目是否要求投标人提供样品，以及样品制作的标准和要求、是否需要随样品提交相关检测报告、样品的提交要求等详见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12.2</w:t>
      </w:r>
      <w:r>
        <w:rPr>
          <w:rFonts w:hint="eastAsia" w:ascii="宋体" w:hAnsi="宋体" w:cs="宋体"/>
          <w:color w:val="auto"/>
          <w:szCs w:val="21"/>
          <w:highlight w:val="none"/>
          <w:lang w:val="en-US" w:eastAsia="zh-CN" w:bidi="ar-SA"/>
        </w:rPr>
        <w:t xml:space="preserve">样品的评审方法以及评审标准等内容见第五章《评标方法与评标标准》。</w:t>
      </w:r>
      <w:bookmarkEnd w:id="92"/>
      <w:r/>
      <w:bookmarkEnd w:id="97"/>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00" w:name="_Toc100905214"/>
      <w:r/>
      <w:bookmarkStart w:id="101" w:name="_Toc104560850"/>
      <w:r/>
      <w:bookmarkStart w:id="102" w:name="_Toc103848538"/>
      <w:r/>
      <w:bookmarkStart w:id="103" w:name="_Toc107246227"/>
      <w:r>
        <w:rPr>
          <w:rFonts w:hint="default" w:ascii="宋体" w:hAnsi="宋体" w:eastAsia="宋体" w:cs="宋体"/>
          <w:b/>
          <w:bCs/>
          <w:color w:val="auto"/>
          <w:sz w:val="21"/>
          <w:szCs w:val="21"/>
          <w:highlight w:val="none"/>
          <w:lang w:val="en-US" w:eastAsia="zh-CN" w:bidi="ar-SA"/>
        </w:rPr>
        <w:t xml:space="preserve">13.</w:t>
      </w:r>
      <w:r>
        <w:rPr>
          <w:rFonts w:hint="eastAsia" w:ascii="宋体" w:hAnsi="宋体" w:eastAsia="宋体" w:cs="宋体"/>
          <w:b/>
          <w:bCs/>
          <w:color w:val="auto"/>
          <w:sz w:val="21"/>
          <w:szCs w:val="21"/>
          <w:highlight w:val="none"/>
          <w:lang w:val="en-US" w:eastAsia="zh-CN" w:bidi="ar-SA"/>
        </w:rPr>
        <w:t xml:space="preserve">采购进口产品</w:t>
      </w:r>
      <w:bookmarkEnd w:id="100"/>
      <w:r/>
      <w:bookmarkEnd w:id="101"/>
      <w:r/>
      <w:bookmarkEnd w:id="102"/>
      <w:r/>
      <w:bookmarkEnd w:id="103"/>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13.1</w:t>
      </w:r>
      <w:r>
        <w:rPr>
          <w:rFonts w:hint="eastAsia" w:ascii="宋体" w:hAnsi="宋体" w:cs="宋体"/>
          <w:color w:val="auto"/>
          <w:szCs w:val="21"/>
          <w:highlight w:val="none"/>
          <w:lang w:val="en-US" w:eastAsia="zh-CN" w:bidi="ar-SA"/>
        </w:rPr>
        <w:t xml:space="preserve">本项目是否采购进口产品及相关要求见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04" w:name="_Toc104560851"/>
      <w:r/>
      <w:bookmarkStart w:id="105" w:name="_Toc107246228"/>
      <w:r>
        <w:rPr>
          <w:rFonts w:hint="default" w:ascii="宋体" w:hAnsi="宋体" w:eastAsia="宋体" w:cs="宋体"/>
          <w:b/>
          <w:bCs/>
          <w:color w:val="auto"/>
          <w:sz w:val="21"/>
          <w:szCs w:val="21"/>
          <w:highlight w:val="none"/>
          <w:lang w:val="en-US" w:eastAsia="zh-CN" w:bidi="ar-SA"/>
        </w:rPr>
        <w:t xml:space="preserve">14.</w:t>
      </w:r>
      <w:r>
        <w:rPr>
          <w:rFonts w:hint="eastAsia" w:ascii="宋体" w:hAnsi="宋体" w:eastAsia="宋体" w:cs="宋体"/>
          <w:b/>
          <w:bCs/>
          <w:color w:val="auto"/>
          <w:sz w:val="21"/>
          <w:szCs w:val="21"/>
          <w:highlight w:val="none"/>
          <w:lang w:val="en-US" w:eastAsia="zh-CN" w:bidi="ar-SA"/>
        </w:rPr>
        <w:t xml:space="preserve">采购项目预算及最高限价</w:t>
      </w:r>
      <w:bookmarkEnd w:id="104"/>
      <w:r/>
      <w:bookmarkEnd w:id="105"/>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14.1</w:t>
      </w:r>
      <w:r>
        <w:rPr>
          <w:rFonts w:hint="eastAsia" w:ascii="宋体" w:hAnsi="宋体" w:cs="宋体"/>
          <w:color w:val="auto"/>
          <w:szCs w:val="21"/>
          <w:highlight w:val="none"/>
          <w:lang w:val="en-US" w:eastAsia="zh-CN" w:bidi="ar-SA"/>
        </w:rPr>
        <w:t xml:space="preserve">本项目采购资金已列入政府采购预算，预算金额见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14.2</w:t>
      </w:r>
      <w:r>
        <w:rPr>
          <w:rFonts w:hint="eastAsia" w:ascii="宋体" w:hAnsi="宋体" w:cs="宋体"/>
          <w:color w:val="auto"/>
          <w:szCs w:val="21"/>
          <w:highlight w:val="none"/>
          <w:lang w:val="en-US" w:eastAsia="zh-CN" w:bidi="ar-SA"/>
        </w:rPr>
        <w:t xml:space="preserve">本项目最高限价要求见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06" w:name="_Toc104560852"/>
      <w:r/>
      <w:bookmarkStart w:id="107" w:name="_Toc107246229"/>
      <w:r>
        <w:rPr>
          <w:rFonts w:hint="default" w:ascii="宋体" w:hAnsi="宋体" w:eastAsia="宋体" w:cs="宋体"/>
          <w:b/>
          <w:bCs/>
          <w:color w:val="auto"/>
          <w:sz w:val="21"/>
          <w:szCs w:val="21"/>
          <w:highlight w:val="none"/>
          <w:lang w:val="en-US" w:eastAsia="zh-CN" w:bidi="ar-SA"/>
        </w:rPr>
        <w:t xml:space="preserve">15. </w:t>
      </w:r>
      <w:r>
        <w:rPr>
          <w:rFonts w:hint="eastAsia" w:ascii="宋体" w:hAnsi="宋体" w:eastAsia="宋体" w:cs="宋体"/>
          <w:b/>
          <w:bCs/>
          <w:color w:val="auto"/>
          <w:sz w:val="21"/>
          <w:szCs w:val="21"/>
          <w:highlight w:val="none"/>
          <w:lang w:val="en-US" w:eastAsia="zh-CN" w:bidi="ar-SA"/>
        </w:rPr>
        <w:t xml:space="preserve">供应商资格条件</w:t>
      </w:r>
      <w:bookmarkEnd w:id="106"/>
      <w:r/>
      <w:bookmarkEnd w:id="107"/>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15.1</w:t>
      </w:r>
      <w:r>
        <w:rPr>
          <w:rFonts w:hint="eastAsia" w:ascii="宋体" w:hAnsi="宋体" w:cs="宋体"/>
          <w:color w:val="auto"/>
          <w:szCs w:val="21"/>
          <w:highlight w:val="none"/>
          <w:lang w:val="en-US" w:eastAsia="zh-CN" w:bidi="ar-SA"/>
        </w:rPr>
        <w:t xml:space="preserve">供应商资格条件见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108" w:name="_Toc107246230"/>
      <w:r/>
      <w:bookmarkStart w:id="109" w:name="_Toc25388"/>
      <w:r>
        <w:rPr>
          <w:rFonts w:hint="eastAsia" w:ascii="宋体" w:hAnsi="宋体" w:eastAsia="宋体" w:cs="宋体"/>
          <w:b/>
          <w:bCs/>
          <w:color w:val="auto"/>
          <w:sz w:val="21"/>
          <w:szCs w:val="21"/>
          <w:highlight w:val="none"/>
          <w:lang w:val="en-US" w:eastAsia="zh-CN" w:bidi="ar-SA"/>
        </w:rPr>
        <w:t xml:space="preserve">二．招标文件</w:t>
      </w:r>
      <w:bookmarkEnd w:id="70"/>
      <w:r/>
      <w:bookmarkEnd w:id="108"/>
      <w:r/>
      <w:bookmarkEnd w:id="109"/>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10" w:name="_Toc103848540"/>
      <w:r/>
      <w:bookmarkStart w:id="111" w:name="_Toc104560854"/>
      <w:r/>
      <w:bookmarkStart w:id="112" w:name="_Toc96347871"/>
      <w:r/>
      <w:bookmarkStart w:id="113" w:name="_Toc107246231"/>
      <w:r/>
      <w:bookmarkStart w:id="114" w:name="_Toc100905217"/>
      <w:r>
        <w:rPr>
          <w:rFonts w:hint="default" w:ascii="宋体" w:hAnsi="宋体" w:eastAsia="宋体" w:cs="宋体"/>
          <w:b/>
          <w:bCs/>
          <w:color w:val="auto"/>
          <w:sz w:val="21"/>
          <w:szCs w:val="21"/>
          <w:highlight w:val="none"/>
          <w:lang w:val="en-US" w:eastAsia="zh-CN" w:bidi="ar-SA"/>
        </w:rPr>
        <w:t xml:space="preserve">16.</w:t>
      </w:r>
      <w:r>
        <w:rPr>
          <w:rFonts w:hint="eastAsia" w:ascii="宋体" w:hAnsi="宋体" w:eastAsia="宋体" w:cs="宋体"/>
          <w:b/>
          <w:bCs/>
          <w:color w:val="auto"/>
          <w:sz w:val="21"/>
          <w:szCs w:val="21"/>
          <w:highlight w:val="none"/>
          <w:lang w:val="en-US" w:eastAsia="zh-CN" w:bidi="ar-SA"/>
        </w:rPr>
        <w:t xml:space="preserve">招标文件的构成</w:t>
      </w:r>
      <w:bookmarkEnd w:id="110"/>
      <w:r/>
      <w:bookmarkEnd w:id="111"/>
      <w:r/>
      <w:bookmarkEnd w:id="112"/>
      <w:r/>
      <w:bookmarkEnd w:id="113"/>
      <w:r/>
      <w:bookmarkEnd w:id="114"/>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16.1</w:t>
      </w:r>
      <w:r>
        <w:rPr>
          <w:rFonts w:hint="eastAsia" w:ascii="宋体" w:hAnsi="宋体" w:cs="宋体"/>
          <w:color w:val="auto"/>
          <w:szCs w:val="21"/>
          <w:highlight w:val="none"/>
          <w:lang w:val="en-US" w:eastAsia="zh-CN" w:bidi="ar-SA"/>
        </w:rPr>
        <w:t xml:space="preserve">招标文件各章节的内容如下：</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第一章：招标公告</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第二章：投标人须知</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第三章：政府采购合同条款及格式</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第四章：采购需求</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第五章：评标方法与评标标准</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第六章：</w:t>
      </w:r>
      <w:bookmarkStart w:id="115" w:name="_Toc96347872"/>
      <w:r>
        <w:rPr>
          <w:rFonts w:hint="eastAsia" w:ascii="宋体" w:hAnsi="宋体" w:cs="宋体"/>
          <w:color w:val="auto"/>
          <w:szCs w:val="21"/>
          <w:highlight w:val="none"/>
          <w:lang w:val="en-US" w:eastAsia="zh-CN" w:bidi="ar-SA"/>
        </w:rPr>
        <w:t xml:space="preserve">投标文件格式</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对招标文件所作的澄清、修改，构成招标文件的组成部分。</w:t>
      </w:r>
      <w:r/>
    </w:p>
    <w:p>
      <w:pPr>
        <w:ind w:firstLine="316"/>
        <w:spacing w:line="360" w:lineRule="auto"/>
        <w:rPr>
          <w:rFonts w:hint="eastAsia" w:ascii="宋体" w:hAnsi="宋体" w:cs="Times New Roman"/>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★招标文件中标注</w:t>
      </w:r>
      <w:r>
        <w:rPr>
          <w:rFonts w:hint="eastAsia" w:ascii="宋体" w:hAnsi="宋体" w:cs="宋体"/>
          <w:color w:val="auto"/>
          <w:szCs w:val="21"/>
          <w:highlight w:val="none"/>
          <w:lang w:val="en-US" w:eastAsia="zh-CN" w:bidi="ar-SA"/>
        </w:rPr>
        <w:t xml:space="preserve">“</w:t>
      </w:r>
      <w:r>
        <w:rPr>
          <w:rFonts w:hint="eastAsia" w:ascii="宋体" w:hAnsi="宋体" w:cs="宋体"/>
          <w:b/>
          <w:bCs/>
          <w:color w:val="auto"/>
          <w:szCs w:val="21"/>
          <w:highlight w:val="none"/>
          <w:lang w:val="en-US" w:eastAsia="zh-CN" w:bidi="ar-SA"/>
        </w:rPr>
        <w:t xml:space="preserve">★</w:t>
      </w:r>
      <w:r>
        <w:rPr>
          <w:rFonts w:hint="eastAsia" w:ascii="宋体" w:hAnsi="宋体" w:cs="宋体"/>
          <w:color w:val="auto"/>
          <w:szCs w:val="21"/>
          <w:highlight w:val="none"/>
          <w:lang w:val="en-US" w:eastAsia="zh-CN" w:bidi="ar-SA"/>
        </w:rPr>
        <w:t xml:space="preserve">”</w:t>
      </w:r>
      <w:r>
        <w:rPr>
          <w:rFonts w:hint="eastAsia" w:ascii="宋体" w:hAnsi="宋体" w:cs="宋体"/>
          <w:b/>
          <w:bCs/>
          <w:color w:val="auto"/>
          <w:szCs w:val="21"/>
          <w:highlight w:val="none"/>
          <w:lang w:val="en-US" w:eastAsia="zh-CN" w:bidi="ar-SA"/>
        </w:rPr>
        <w:t xml:space="preserve">符号的条款为实质性要求条款（即重要条款）。</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16.2</w:t>
      </w:r>
      <w:r>
        <w:rPr>
          <w:rFonts w:hint="eastAsia" w:ascii="宋体" w:hAnsi="宋体" w:cs="宋体"/>
          <w:color w:val="auto"/>
          <w:szCs w:val="21"/>
          <w:highlight w:val="none"/>
          <w:lang w:val="en-US" w:eastAsia="zh-CN" w:bidi="ar-SA"/>
        </w:rPr>
        <w:t xml:space="preserve">供应商应仔细阅读和检查招标文件的全部内容。如发现招标文件内容不全，应及时向采购方提出，以便补齐。</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16.3</w:t>
      </w:r>
      <w:r>
        <w:rPr>
          <w:rFonts w:hint="eastAsia" w:ascii="宋体" w:hAnsi="宋体" w:cs="宋体"/>
          <w:color w:val="auto"/>
          <w:szCs w:val="21"/>
          <w:highlight w:val="none"/>
          <w:lang w:val="en-US" w:eastAsia="zh-CN" w:bidi="ar-SA"/>
        </w:rPr>
        <w:t xml:space="preserve">供应商按照招标文件要求编制投标文件。任何对招标文件的忽略或误解，不能作为投标文件存在缺陷或瑕疵的理由，其风险由供应商承担。</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16.4</w:t>
      </w:r>
      <w:r>
        <w:rPr>
          <w:rFonts w:hint="eastAsia" w:ascii="宋体" w:hAnsi="宋体" w:cs="宋体"/>
          <w:color w:val="auto"/>
          <w:szCs w:val="21"/>
          <w:highlight w:val="none"/>
          <w:lang w:val="en-US" w:eastAsia="zh-CN" w:bidi="ar-SA"/>
        </w:rPr>
        <w:t xml:space="preserve">本项目招标文件如包括多个分包，则除非特别说明，招标文件所列各项要求均为各分包通用要求。</w:t>
      </w:r>
      <w:bookmarkEnd w:id="115"/>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16" w:name="_Toc107246232"/>
      <w:r/>
      <w:bookmarkStart w:id="117" w:name="_Toc96347873"/>
      <w:r/>
      <w:bookmarkStart w:id="118" w:name="_Toc103848541"/>
      <w:r/>
      <w:bookmarkStart w:id="119" w:name="_Toc104560855"/>
      <w:r/>
      <w:bookmarkStart w:id="120" w:name="_Toc100905218"/>
      <w:r>
        <w:rPr>
          <w:rFonts w:hint="default" w:ascii="宋体" w:hAnsi="宋体" w:eastAsia="宋体" w:cs="宋体"/>
          <w:b/>
          <w:bCs/>
          <w:color w:val="auto"/>
          <w:sz w:val="21"/>
          <w:szCs w:val="21"/>
          <w:highlight w:val="none"/>
          <w:lang w:val="en-US" w:eastAsia="zh-CN" w:bidi="ar-SA"/>
        </w:rPr>
        <w:t xml:space="preserve">17.</w:t>
      </w:r>
      <w:r>
        <w:rPr>
          <w:rFonts w:hint="eastAsia" w:ascii="宋体" w:hAnsi="宋体" w:eastAsia="宋体" w:cs="宋体"/>
          <w:b/>
          <w:bCs/>
          <w:color w:val="auto"/>
          <w:sz w:val="21"/>
          <w:szCs w:val="21"/>
          <w:highlight w:val="none"/>
          <w:lang w:val="en-US" w:eastAsia="zh-CN" w:bidi="ar-SA"/>
        </w:rPr>
        <w:t xml:space="preserve">招标文件的澄清或者修改</w:t>
      </w:r>
      <w:bookmarkEnd w:id="116"/>
      <w:r/>
      <w:bookmarkEnd w:id="117"/>
      <w:r/>
      <w:bookmarkEnd w:id="118"/>
      <w:r/>
      <w:bookmarkEnd w:id="119"/>
      <w:r/>
      <w:bookmarkEnd w:id="120"/>
      <w:r/>
      <w:r/>
    </w:p>
    <w:p>
      <w:pPr>
        <w:ind w:firstLine="315"/>
        <w:spacing w:line="360" w:lineRule="auto"/>
        <w:rPr>
          <w:rFonts w:hint="eastAsia" w:ascii="宋体" w:hAnsi="宋体" w:cs="Times New Roman"/>
          <w:color w:val="auto"/>
          <w:szCs w:val="21"/>
          <w:highlight w:val="none"/>
          <w:lang w:val="en-US" w:eastAsia="zh-CN" w:bidi="ar-SA"/>
        </w:rPr>
      </w:pPr>
      <w:r/>
      <w:bookmarkStart w:id="121" w:name="_Toc100905219"/>
      <w:r>
        <w:rPr>
          <w:rFonts w:ascii="宋体" w:hAnsi="宋体" w:cs="宋体"/>
          <w:color w:val="auto"/>
          <w:szCs w:val="21"/>
          <w:highlight w:val="none"/>
          <w:lang w:val="en-US" w:eastAsia="zh-CN" w:bidi="ar-SA"/>
        </w:rPr>
        <w:t xml:space="preserve">17.1</w:t>
      </w:r>
      <w:r>
        <w:rPr>
          <w:rFonts w:hint="eastAsia" w:ascii="宋体" w:hAnsi="宋体" w:cs="宋体"/>
          <w:color w:val="auto"/>
          <w:szCs w:val="21"/>
          <w:highlight w:val="none"/>
          <w:lang w:val="en-US" w:eastAsia="zh-CN" w:bidi="ar-SA"/>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17.2</w:t>
      </w:r>
      <w:r>
        <w:rPr>
          <w:rFonts w:hint="eastAsia" w:ascii="宋体" w:hAnsi="宋体" w:cs="宋体"/>
          <w:color w:val="auto"/>
          <w:szCs w:val="21"/>
          <w:highlight w:val="none"/>
          <w:lang w:val="en-US" w:eastAsia="zh-CN" w:bidi="ar-SA"/>
        </w:rPr>
        <w:t xml:space="preserve">澄清或者修改的内容可能影响投标文件编制的，采购方应当在投标截止时间至少</w:t>
      </w:r>
      <w:r>
        <w:rPr>
          <w:rFonts w:ascii="宋体" w:hAnsi="宋体" w:cs="宋体"/>
          <w:color w:val="auto"/>
          <w:szCs w:val="21"/>
          <w:highlight w:val="none"/>
          <w:lang w:val="en-US" w:eastAsia="zh-CN" w:bidi="ar-SA"/>
        </w:rPr>
        <w:t xml:space="preserve">15</w:t>
      </w:r>
      <w:r>
        <w:rPr>
          <w:rFonts w:hint="eastAsia" w:ascii="宋体" w:hAnsi="宋体" w:cs="宋体"/>
          <w:color w:val="auto"/>
          <w:szCs w:val="21"/>
          <w:highlight w:val="none"/>
          <w:lang w:val="en-US" w:eastAsia="zh-CN" w:bidi="ar-SA"/>
        </w:rPr>
        <w:t xml:space="preserve">日前，以书面形式通知所有获取招标文件的潜在供应商；不足</w:t>
      </w:r>
      <w:r>
        <w:rPr>
          <w:rFonts w:ascii="宋体" w:hAnsi="宋体" w:cs="宋体"/>
          <w:color w:val="auto"/>
          <w:szCs w:val="21"/>
          <w:highlight w:val="none"/>
          <w:lang w:val="en-US" w:eastAsia="zh-CN" w:bidi="ar-SA"/>
        </w:rPr>
        <w:t xml:space="preserve">15</w:t>
      </w:r>
      <w:r>
        <w:rPr>
          <w:rFonts w:hint="eastAsia" w:ascii="宋体" w:hAnsi="宋体" w:cs="宋体"/>
          <w:color w:val="auto"/>
          <w:szCs w:val="21"/>
          <w:highlight w:val="none"/>
          <w:lang w:val="en-US" w:eastAsia="zh-CN" w:bidi="ar-SA"/>
        </w:rPr>
        <w:t xml:space="preserve">日的，采购方应当顺延提交投标文件的截止时间。</w:t>
      </w:r>
      <w:bookmarkEnd w:id="121"/>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122" w:name="_Toc91836558"/>
      <w:r/>
      <w:bookmarkStart w:id="123" w:name="_Toc107246233"/>
      <w:r/>
      <w:bookmarkStart w:id="124" w:name="_Toc104560856"/>
      <w:r/>
      <w:bookmarkStart w:id="125" w:name="_Toc2432"/>
      <w:r>
        <w:rPr>
          <w:rFonts w:hint="eastAsia" w:ascii="宋体" w:hAnsi="宋体" w:eastAsia="宋体" w:cs="宋体"/>
          <w:b/>
          <w:bCs/>
          <w:color w:val="auto"/>
          <w:sz w:val="21"/>
          <w:szCs w:val="21"/>
          <w:highlight w:val="none"/>
          <w:lang w:val="en-US" w:eastAsia="zh-CN" w:bidi="ar-SA"/>
        </w:rPr>
        <w:t xml:space="preserve">三．投标文件</w:t>
      </w:r>
      <w:bookmarkEnd w:id="122"/>
      <w:r/>
      <w:bookmarkEnd w:id="123"/>
      <w:r/>
      <w:bookmarkEnd w:id="124"/>
      <w:r/>
      <w:bookmarkEnd w:id="125"/>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26" w:name="_Toc107246234"/>
      <w:r/>
      <w:bookmarkStart w:id="127" w:name="_Toc104560857"/>
      <w:r/>
      <w:bookmarkStart w:id="128" w:name="_Toc103848543"/>
      <w:r>
        <w:rPr>
          <w:rFonts w:hint="default" w:ascii="宋体" w:hAnsi="宋体" w:eastAsia="宋体" w:cs="宋体"/>
          <w:b/>
          <w:bCs/>
          <w:color w:val="auto"/>
          <w:sz w:val="21"/>
          <w:szCs w:val="21"/>
          <w:highlight w:val="none"/>
          <w:lang w:val="en-US" w:eastAsia="zh-CN" w:bidi="ar-SA"/>
        </w:rPr>
        <w:t xml:space="preserve">18.</w:t>
      </w:r>
      <w:r>
        <w:rPr>
          <w:rFonts w:hint="eastAsia" w:ascii="宋体" w:hAnsi="宋体" w:eastAsia="宋体" w:cs="宋体"/>
          <w:b/>
          <w:bCs/>
          <w:color w:val="auto"/>
          <w:sz w:val="21"/>
          <w:szCs w:val="21"/>
          <w:highlight w:val="none"/>
          <w:lang w:val="en-US" w:eastAsia="zh-CN" w:bidi="ar-SA"/>
        </w:rPr>
        <w:t xml:space="preserve">投标文件的组成</w:t>
      </w:r>
      <w:bookmarkEnd w:id="126"/>
      <w:r/>
      <w:bookmarkEnd w:id="127"/>
      <w:r/>
      <w:bookmarkEnd w:id="128"/>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18.1</w:t>
      </w:r>
      <w:r>
        <w:rPr>
          <w:rFonts w:hint="eastAsia" w:ascii="宋体" w:hAnsi="宋体" w:cs="宋体"/>
          <w:color w:val="auto"/>
          <w:szCs w:val="21"/>
          <w:highlight w:val="none"/>
          <w:lang w:val="en-US" w:eastAsia="zh-CN" w:bidi="ar-SA"/>
        </w:rPr>
        <w:t xml:space="preserve">投标文件由价格及商务部分、技术部分以及其他部分组成，格式见招标文件第六章《投标文件格式》。</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18.2</w:t>
      </w:r>
      <w:r>
        <w:rPr>
          <w:rFonts w:hint="eastAsia" w:ascii="宋体" w:hAnsi="宋体" w:cs="宋体"/>
          <w:b/>
          <w:bCs/>
          <w:color w:val="auto"/>
          <w:szCs w:val="21"/>
          <w:highlight w:val="none"/>
          <w:lang w:val="en-US" w:eastAsia="zh-CN" w:bidi="ar-SA"/>
        </w:rPr>
        <w:t xml:space="preserve">投标文件的价格及商务部分，包括但不限于下列文件：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）投标函，格式见附件。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）法定代表人（单位负责人）身份证明，格式见附件。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3-1</w:t>
      </w:r>
      <w:r>
        <w:rPr>
          <w:rFonts w:hint="eastAsia" w:ascii="宋体" w:hAnsi="宋体" w:cs="宋体"/>
          <w:color w:val="auto"/>
          <w:szCs w:val="21"/>
          <w:highlight w:val="none"/>
          <w:lang w:val="en-US" w:eastAsia="zh-CN" w:bidi="ar-SA"/>
        </w:rPr>
        <w:t xml:space="preserve">）法定代表人（单位负责人）授权委托书（适用于法人</w:t>
      </w:r>
      <w:r>
        <w:rPr>
          <w:rFonts w:ascii="宋体" w:hAnsi="宋体" w:cs="宋体"/>
          <w:color w:val="auto"/>
          <w:szCs w:val="21"/>
          <w:highlight w:val="none"/>
          <w:lang w:val="en-US" w:eastAsia="zh-CN" w:bidi="ar-SA"/>
        </w:rPr>
        <w:t xml:space="preserve">/</w:t>
      </w:r>
      <w:r>
        <w:rPr>
          <w:rFonts w:hint="eastAsia" w:ascii="宋体" w:hAnsi="宋体" w:cs="宋体"/>
          <w:color w:val="auto"/>
          <w:szCs w:val="21"/>
          <w:highlight w:val="none"/>
          <w:lang w:val="en-US" w:eastAsia="zh-CN" w:bidi="ar-SA"/>
        </w:rPr>
        <w:t xml:space="preserve">非法人），格式见附件。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3-2</w:t>
      </w:r>
      <w:r>
        <w:rPr>
          <w:rFonts w:hint="eastAsia" w:ascii="宋体" w:hAnsi="宋体" w:cs="宋体"/>
          <w:color w:val="auto"/>
          <w:szCs w:val="21"/>
          <w:highlight w:val="none"/>
          <w:lang w:val="en-US" w:eastAsia="zh-CN" w:bidi="ar-SA"/>
        </w:rPr>
        <w:t xml:space="preserve">）授权委托书（适用于自然人），格式见附件。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）开标一览表，格式见附件。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（5-1）分项报价表，格式见附件。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（5-2）主要关键部件清单一览表（如有），格式见附件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6</w:t>
      </w:r>
      <w:r>
        <w:rPr>
          <w:rFonts w:hint="eastAsia" w:ascii="宋体" w:hAnsi="宋体" w:cs="宋体"/>
          <w:color w:val="auto"/>
          <w:szCs w:val="21"/>
          <w:highlight w:val="none"/>
          <w:lang w:val="en-US" w:eastAsia="zh-CN" w:bidi="ar-SA"/>
        </w:rPr>
        <w:t xml:space="preserve">）商务条款偏离表，格式见附件。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w:t>
      </w:r>
      <w:r>
        <w:rPr>
          <w:rFonts w:hint="eastAsia" w:ascii="宋体" w:hAnsi="宋体" w:cs="宋体"/>
          <w:color w:val="auto"/>
          <w:szCs w:val="21"/>
          <w:highlight w:val="none"/>
          <w:lang w:val="en-US" w:eastAsia="zh-CN" w:bidi="ar-SA"/>
        </w:rPr>
        <w:t xml:space="preserve">）投标人具备投标资格的证明文件（如为南京市政府采购项目，按照公告要求提供）：</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7-1-1</w:t>
      </w:r>
      <w:r>
        <w:rPr>
          <w:rFonts w:hint="eastAsia" w:ascii="宋体" w:hAnsi="宋体" w:cs="宋体"/>
          <w:color w:val="auto"/>
          <w:szCs w:val="21"/>
          <w:highlight w:val="none"/>
          <w:lang w:val="en-US" w:eastAsia="zh-CN" w:bidi="ar-SA"/>
        </w:rPr>
        <w:t xml:space="preserve">）营业执照扫描件或自然人的身份证明扫描件（或具有同等法律效力的证照）。</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a</w:t>
      </w:r>
      <w:r>
        <w:rPr>
          <w:rFonts w:hint="eastAsia" w:ascii="宋体" w:hAnsi="宋体" w:cs="宋体"/>
          <w:color w:val="auto"/>
          <w:szCs w:val="21"/>
          <w:highlight w:val="none"/>
          <w:lang w:val="en-US" w:eastAsia="zh-CN" w:bidi="ar-SA"/>
        </w:rPr>
        <w:t xml:space="preserve">）投标人为企业（包括合伙企业）的，应提供有效的“营业执照”。</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b</w:t>
      </w:r>
      <w:r>
        <w:rPr>
          <w:rFonts w:hint="eastAsia" w:ascii="宋体" w:hAnsi="宋体" w:cs="宋体"/>
          <w:color w:val="auto"/>
          <w:szCs w:val="21"/>
          <w:highlight w:val="none"/>
          <w:lang w:val="en-US" w:eastAsia="zh-CN" w:bidi="ar-SA"/>
        </w:rPr>
        <w:t xml:space="preserve">）投标人为事业单位的，应提供有效的“事业单位法人证书”。</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c</w:t>
      </w:r>
      <w:r>
        <w:rPr>
          <w:rFonts w:hint="eastAsia" w:ascii="宋体" w:hAnsi="宋体" w:cs="宋体"/>
          <w:color w:val="auto"/>
          <w:szCs w:val="21"/>
          <w:highlight w:val="none"/>
          <w:lang w:val="en-US" w:eastAsia="zh-CN" w:bidi="ar-SA"/>
        </w:rPr>
        <w:t xml:space="preserve">）投标人是非企业机构的，应提供有效的“执业许可证”、“登记证书”等证明文件。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d</w:t>
      </w:r>
      <w:r>
        <w:rPr>
          <w:rFonts w:hint="eastAsia" w:ascii="宋体" w:hAnsi="宋体" w:cs="宋体"/>
          <w:color w:val="auto"/>
          <w:szCs w:val="21"/>
          <w:highlight w:val="none"/>
          <w:lang w:val="en-US" w:eastAsia="zh-CN" w:bidi="ar-SA"/>
        </w:rPr>
        <w:t xml:space="preserve">）投标人是个体工商户的，应提供有效的“个体工商户营业执照”。</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e</w:t>
      </w:r>
      <w:r>
        <w:rPr>
          <w:rFonts w:hint="eastAsia" w:ascii="宋体" w:hAnsi="宋体" w:cs="宋体"/>
          <w:color w:val="auto"/>
          <w:szCs w:val="21"/>
          <w:highlight w:val="none"/>
          <w:lang w:val="en-US" w:eastAsia="zh-CN" w:bidi="ar-SA"/>
        </w:rPr>
        <w:t xml:space="preserve">）投标人是自然人的，应提供有效的自然人身份证明。</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f</w:t>
      </w:r>
      <w:r>
        <w:rPr>
          <w:rFonts w:hint="eastAsia" w:ascii="宋体" w:hAnsi="宋体" w:cs="宋体"/>
          <w:color w:val="auto"/>
          <w:szCs w:val="21"/>
          <w:highlight w:val="none"/>
          <w:lang w:val="en-US" w:eastAsia="zh-CN" w:bidi="ar-SA"/>
        </w:rPr>
        <w:t xml:space="preserve">）若本项目允许分支机构参加投标，则分支机构参加投标的，此处可提供该分支机构或其所属法人或其他组织的相应证明文件。</w:t>
      </w:r>
      <w:bookmarkEnd w:id="57"/>
      <w:r/>
      <w:bookmarkEnd w:id="58"/>
      <w:r/>
      <w:bookmarkEnd w:id="59"/>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7-1-2</w:t>
      </w:r>
      <w:r>
        <w:rPr>
          <w:rFonts w:hint="eastAsia" w:ascii="宋体" w:hAnsi="宋体" w:cs="宋体"/>
          <w:color w:val="auto"/>
          <w:szCs w:val="21"/>
          <w:highlight w:val="none"/>
          <w:lang w:val="en-US" w:eastAsia="zh-CN" w:bidi="ar-SA"/>
        </w:rPr>
        <w:t xml:space="preserve">）工商变更登记文件（如需），如发生了单位名称等变更的，需提供工商变更登记文件。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7-2</w:t>
      </w:r>
      <w:r>
        <w:rPr>
          <w:rFonts w:hint="eastAsia" w:ascii="宋体" w:hAnsi="宋体" w:cs="宋体"/>
          <w:color w:val="auto"/>
          <w:szCs w:val="21"/>
          <w:highlight w:val="none"/>
          <w:lang w:val="en-US" w:eastAsia="zh-CN" w:bidi="ar-SA"/>
        </w:rPr>
        <w:t xml:space="preserve">）财务报表。</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7-3</w:t>
      </w:r>
      <w:r>
        <w:rPr>
          <w:rFonts w:hint="eastAsia" w:ascii="宋体" w:hAnsi="宋体" w:cs="宋体"/>
          <w:color w:val="auto"/>
          <w:szCs w:val="21"/>
          <w:highlight w:val="none"/>
          <w:lang w:val="en-US" w:eastAsia="zh-CN" w:bidi="ar-SA"/>
        </w:rPr>
        <w:t xml:space="preserve">）具有履行合同所必需的设备和专业技术能力的相关证明材料或承诺函，格式见附件。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7-4</w:t>
      </w:r>
      <w:r>
        <w:rPr>
          <w:rFonts w:hint="eastAsia" w:ascii="宋体" w:hAnsi="宋体" w:cs="宋体"/>
          <w:color w:val="auto"/>
          <w:szCs w:val="21"/>
          <w:highlight w:val="none"/>
          <w:lang w:val="en-US" w:eastAsia="zh-CN" w:bidi="ar-SA"/>
        </w:rPr>
        <w:t xml:space="preserve">）依法缴纳税收的相关材料。</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7-5</w:t>
      </w:r>
      <w:r>
        <w:rPr>
          <w:rFonts w:hint="eastAsia" w:ascii="宋体" w:hAnsi="宋体" w:cs="宋体"/>
          <w:color w:val="auto"/>
          <w:szCs w:val="21"/>
          <w:highlight w:val="none"/>
          <w:lang w:val="en-US" w:eastAsia="zh-CN" w:bidi="ar-SA"/>
        </w:rPr>
        <w:t xml:space="preserve">）依法缴纳社会保障资金的相关材料。</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7-6</w:t>
      </w:r>
      <w:r>
        <w:rPr>
          <w:rFonts w:hint="eastAsia" w:ascii="宋体" w:hAnsi="宋体" w:cs="宋体"/>
          <w:color w:val="auto"/>
          <w:szCs w:val="21"/>
          <w:highlight w:val="none"/>
          <w:lang w:val="en-US" w:eastAsia="zh-CN" w:bidi="ar-SA"/>
        </w:rPr>
        <w:t xml:space="preserve">）参加政府采购活动前三年内，在经营活动中没有重大违法记录，格式见附件。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7-7</w:t>
      </w:r>
      <w:r>
        <w:rPr>
          <w:rFonts w:hint="eastAsia" w:ascii="宋体" w:hAnsi="宋体" w:cs="宋体"/>
          <w:color w:val="auto"/>
          <w:szCs w:val="21"/>
          <w:highlight w:val="none"/>
          <w:lang w:val="en-US" w:eastAsia="zh-CN" w:bidi="ar-SA"/>
        </w:rPr>
        <w:t xml:space="preserve">）无不良信用记录承诺函（投标人自行查询适用），格式见附件。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7-8</w:t>
      </w:r>
      <w:r>
        <w:rPr>
          <w:rFonts w:hint="eastAsia" w:ascii="宋体" w:hAnsi="宋体" w:cs="宋体"/>
          <w:color w:val="auto"/>
          <w:szCs w:val="21"/>
          <w:highlight w:val="none"/>
          <w:lang w:val="en-US" w:eastAsia="zh-CN" w:bidi="ar-SA"/>
        </w:rPr>
        <w:t xml:space="preserve">）招标文件要求的其它实质性资格资信证明文件。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8</w:t>
      </w:r>
      <w:r>
        <w:rPr>
          <w:rFonts w:hint="eastAsia" w:ascii="宋体" w:hAnsi="宋体" w:cs="宋体"/>
          <w:color w:val="auto"/>
          <w:szCs w:val="21"/>
          <w:highlight w:val="none"/>
          <w:lang w:val="en-US" w:eastAsia="zh-CN" w:bidi="ar-SA"/>
        </w:rPr>
        <w:t xml:space="preserve">）分包意向协议（如需），格式见附件。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9</w:t>
      </w:r>
      <w:r>
        <w:rPr>
          <w:rFonts w:hint="eastAsia" w:ascii="宋体" w:hAnsi="宋体" w:cs="宋体"/>
          <w:color w:val="auto"/>
          <w:szCs w:val="21"/>
          <w:highlight w:val="none"/>
          <w:lang w:val="en-US" w:eastAsia="zh-CN" w:bidi="ar-SA"/>
        </w:rPr>
        <w:t xml:space="preserve">）公章授权书（如需），格式见附件。</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18.3</w:t>
      </w:r>
      <w:r>
        <w:rPr>
          <w:rFonts w:hint="eastAsia" w:ascii="宋体" w:hAnsi="宋体" w:cs="宋体"/>
          <w:b/>
          <w:bCs/>
          <w:color w:val="auto"/>
          <w:szCs w:val="21"/>
          <w:highlight w:val="none"/>
          <w:lang w:val="zh-CN" w:eastAsia="zh-CN" w:bidi="ar-SA"/>
        </w:rPr>
        <w:t xml:space="preserve">投标文件的技术部分，包括但不限于下列文件：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）技术方案或服务方案。</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）技术条款偏离表，格式见附件。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（3）技术要求响应表，格式见附件。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（4）投标人售后服务承诺（如需）。</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（5）用于本项目人员表（如需），格式见附件。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（6）投标标的物符合招标文件规定的证明文件（如需）。</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18.4</w:t>
      </w:r>
      <w:r>
        <w:rPr>
          <w:rFonts w:hint="eastAsia" w:ascii="宋体" w:hAnsi="宋体" w:cs="宋体"/>
          <w:b/>
          <w:bCs/>
          <w:color w:val="auto"/>
          <w:szCs w:val="21"/>
          <w:highlight w:val="none"/>
          <w:lang w:val="en-US" w:eastAsia="zh-CN" w:bidi="ar-SA"/>
        </w:rPr>
        <w:t xml:space="preserve">投标文件的其他部分</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18.4.1</w:t>
      </w:r>
      <w:r>
        <w:rPr>
          <w:rFonts w:hint="eastAsia" w:ascii="宋体" w:hAnsi="宋体" w:cs="宋体"/>
          <w:color w:val="auto"/>
          <w:szCs w:val="21"/>
          <w:highlight w:val="none"/>
          <w:lang w:val="en-US" w:eastAsia="zh-CN" w:bidi="ar-SA"/>
        </w:rPr>
        <w:t xml:space="preserve">投标文件的其他部分由投标人根据编制投标文件需要提供的其他相关文件组成。</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29" w:name="_Toc104560858"/>
      <w:r/>
      <w:bookmarkStart w:id="130" w:name="_Toc107246235"/>
      <w:r>
        <w:rPr>
          <w:rFonts w:hint="default" w:ascii="宋体" w:hAnsi="宋体" w:eastAsia="宋体" w:cs="宋体"/>
          <w:b/>
          <w:bCs/>
          <w:color w:val="auto"/>
          <w:sz w:val="21"/>
          <w:szCs w:val="21"/>
          <w:highlight w:val="none"/>
          <w:lang w:val="en-US" w:eastAsia="zh-CN" w:bidi="ar-SA"/>
        </w:rPr>
        <w:t xml:space="preserve">19.</w:t>
      </w:r>
      <w:r>
        <w:rPr>
          <w:rFonts w:hint="eastAsia" w:ascii="宋体" w:hAnsi="宋体" w:eastAsia="宋体" w:cs="宋体"/>
          <w:b/>
          <w:bCs/>
          <w:color w:val="auto"/>
          <w:sz w:val="21"/>
          <w:szCs w:val="21"/>
          <w:highlight w:val="none"/>
          <w:lang w:val="en-US" w:eastAsia="zh-CN" w:bidi="ar-SA"/>
        </w:rPr>
        <w:t xml:space="preserve">投标文件编制的原则</w:t>
      </w:r>
      <w:bookmarkEnd w:id="129"/>
      <w:r/>
      <w:bookmarkEnd w:id="130"/>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19.1</w:t>
      </w:r>
      <w:r>
        <w:rPr>
          <w:rFonts w:hint="eastAsia" w:ascii="宋体" w:hAnsi="宋体" w:cs="宋体"/>
          <w:color w:val="auto"/>
          <w:szCs w:val="21"/>
          <w:highlight w:val="none"/>
          <w:lang w:val="en-US" w:eastAsia="zh-CN" w:bidi="ar-SA"/>
        </w:rPr>
        <w:t xml:space="preserve">投标人应在认真阅读招标文件所有内容的基础上，按照招标文件的要求编制完整的投标文件。招标文件中对投标文件格式有要求的，投标人应按格式逐项填写内容。</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19.2</w:t>
      </w:r>
      <w:r>
        <w:rPr>
          <w:rFonts w:hint="eastAsia" w:ascii="宋体" w:hAnsi="宋体" w:cs="宋体"/>
          <w:color w:val="auto"/>
          <w:szCs w:val="21"/>
          <w:highlight w:val="none"/>
          <w:lang w:val="en-US" w:eastAsia="zh-CN" w:bidi="ar-SA"/>
        </w:rPr>
        <w:t xml:space="preserve">投标人必须保证投标文件所提供的全部资料真实可靠。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19.3</w:t>
      </w:r>
      <w:r>
        <w:rPr>
          <w:rFonts w:hint="eastAsia" w:ascii="宋体" w:hAnsi="宋体" w:cs="宋体"/>
          <w:color w:val="auto"/>
          <w:szCs w:val="21"/>
          <w:highlight w:val="none"/>
          <w:lang w:val="en-US" w:eastAsia="zh-CN" w:bidi="ar-SA"/>
        </w:rPr>
        <w:t xml:space="preserve">投标文件须对招标文件中的内容做出实质性和完整的响应。</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31" w:name="_Toc107246236"/>
      <w:r>
        <w:rPr>
          <w:rFonts w:hint="default" w:ascii="宋体" w:hAnsi="宋体" w:eastAsia="宋体" w:cs="宋体"/>
          <w:b/>
          <w:bCs/>
          <w:color w:val="auto"/>
          <w:sz w:val="21"/>
          <w:szCs w:val="21"/>
          <w:highlight w:val="none"/>
          <w:lang w:val="en-US" w:eastAsia="zh-CN" w:bidi="ar-SA"/>
        </w:rPr>
        <w:t xml:space="preserve">20.</w:t>
      </w:r>
      <w:r>
        <w:rPr>
          <w:rFonts w:hint="eastAsia" w:ascii="宋体" w:hAnsi="宋体" w:eastAsia="宋体" w:cs="宋体"/>
          <w:b/>
          <w:bCs/>
          <w:color w:val="auto"/>
          <w:sz w:val="21"/>
          <w:szCs w:val="21"/>
          <w:highlight w:val="none"/>
          <w:lang w:val="en-US" w:eastAsia="zh-CN" w:bidi="ar-SA"/>
        </w:rPr>
        <w:t xml:space="preserve">投标报价</w:t>
      </w:r>
      <w:bookmarkEnd w:id="131"/>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20.1</w:t>
      </w:r>
      <w:r>
        <w:rPr>
          <w:rFonts w:hint="eastAsia" w:ascii="宋体" w:hAnsi="宋体" w:cs="宋体"/>
          <w:color w:val="auto"/>
          <w:szCs w:val="21"/>
          <w:highlight w:val="none"/>
          <w:lang w:val="en-US" w:eastAsia="zh-CN" w:bidi="ar-SA"/>
        </w:rPr>
        <w:t xml:space="preserve">所有投标均以人民币报价，应包括国家规定的增值税税金。</w:t>
      </w:r>
      <w:r/>
    </w:p>
    <w:p>
      <w:pPr>
        <w:ind w:firstLine="316"/>
        <w:spacing w:line="360" w:lineRule="auto"/>
        <w:rPr>
          <w:rFonts w:hint="eastAsia" w:ascii="宋体" w:hAnsi="宋体" w:cs="Times New Roman"/>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20.2</w:t>
      </w:r>
      <w:r>
        <w:rPr>
          <w:rFonts w:hint="eastAsia" w:ascii="宋体" w:hAnsi="宋体" w:cs="宋体"/>
          <w:b/>
          <w:bCs/>
          <w:color w:val="auto"/>
          <w:szCs w:val="21"/>
          <w:highlight w:val="none"/>
          <w:lang w:val="en-US" w:eastAsia="zh-CN" w:bidi="ar-SA"/>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20.3</w:t>
      </w:r>
      <w:r>
        <w:rPr>
          <w:rFonts w:hint="eastAsia" w:ascii="宋体" w:hAnsi="宋体" w:cs="宋体"/>
          <w:color w:val="auto"/>
          <w:szCs w:val="21"/>
          <w:highlight w:val="none"/>
          <w:lang w:val="en-US" w:eastAsia="zh-CN" w:bidi="ar-SA"/>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20.4</w:t>
      </w:r>
      <w:r>
        <w:rPr>
          <w:rFonts w:hint="eastAsia" w:ascii="宋体" w:hAnsi="宋体" w:cs="宋体"/>
          <w:color w:val="auto"/>
          <w:szCs w:val="21"/>
          <w:highlight w:val="none"/>
          <w:lang w:val="en-US" w:eastAsia="zh-CN" w:bidi="ar-SA"/>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20.5</w:t>
      </w:r>
      <w:r>
        <w:rPr>
          <w:rFonts w:hint="eastAsia" w:ascii="宋体" w:hAnsi="宋体" w:cs="宋体"/>
          <w:color w:val="auto"/>
          <w:szCs w:val="21"/>
          <w:highlight w:val="none"/>
          <w:lang w:val="en-US" w:eastAsia="zh-CN" w:bidi="ar-SA"/>
        </w:rPr>
        <w:t xml:space="preserve">投标报价的其他要求见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32" w:name="_Toc107246237"/>
      <w:r/>
      <w:bookmarkStart w:id="133" w:name="_Toc100905224"/>
      <w:r/>
      <w:bookmarkStart w:id="134" w:name="_Toc103848545"/>
      <w:r/>
      <w:bookmarkStart w:id="135" w:name="_Toc104560859"/>
      <w:r/>
      <w:bookmarkStart w:id="136" w:name="_Toc103848544"/>
      <w:r/>
      <w:bookmarkStart w:id="137" w:name="_Toc100905223"/>
      <w:r/>
      <w:bookmarkStart w:id="138" w:name="_Toc96347878"/>
      <w:r>
        <w:rPr>
          <w:rFonts w:hint="default" w:ascii="宋体" w:hAnsi="宋体" w:eastAsia="宋体" w:cs="宋体"/>
          <w:b/>
          <w:bCs/>
          <w:color w:val="auto"/>
          <w:sz w:val="21"/>
          <w:szCs w:val="21"/>
          <w:highlight w:val="none"/>
          <w:lang w:val="en-US" w:eastAsia="zh-CN" w:bidi="ar-SA"/>
        </w:rPr>
        <w:t xml:space="preserve">21.</w:t>
      </w:r>
      <w:r>
        <w:rPr>
          <w:rFonts w:hint="eastAsia" w:ascii="宋体" w:hAnsi="宋体" w:eastAsia="宋体" w:cs="宋体"/>
          <w:b/>
          <w:bCs/>
          <w:color w:val="auto"/>
          <w:sz w:val="21"/>
          <w:szCs w:val="21"/>
          <w:highlight w:val="none"/>
          <w:lang w:val="en-US" w:eastAsia="zh-CN" w:bidi="ar-SA"/>
        </w:rPr>
        <w:t xml:space="preserve">投标有效期</w:t>
      </w:r>
      <w:bookmarkEnd w:id="132"/>
      <w:r/>
      <w:bookmarkEnd w:id="133"/>
      <w:r/>
      <w:bookmarkEnd w:id="134"/>
      <w:r/>
      <w:bookmarkEnd w:id="135"/>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21.1</w:t>
      </w:r>
      <w:r>
        <w:rPr>
          <w:rFonts w:hint="eastAsia" w:ascii="宋体" w:hAnsi="宋体" w:cs="宋体"/>
          <w:color w:val="auto"/>
          <w:szCs w:val="21"/>
          <w:highlight w:val="none"/>
          <w:lang w:val="en-US" w:eastAsia="zh-CN" w:bidi="ar-SA"/>
        </w:rPr>
        <w:t xml:space="preserve">投标有效期见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规定的投标截止之日起计算。</w:t>
      </w:r>
      <w:r>
        <w:rPr>
          <w:rFonts w:hint="eastAsia" w:ascii="宋体" w:hAnsi="宋体" w:cs="宋体"/>
          <w:b/>
          <w:bCs/>
          <w:color w:val="auto"/>
          <w:szCs w:val="21"/>
          <w:highlight w:val="none"/>
          <w:lang w:val="en-US" w:eastAsia="zh-CN" w:bidi="ar-SA"/>
        </w:rPr>
        <w:t xml:space="preserve">投标有效期不足的，在评标时将其视为无效投标。</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21.2</w:t>
      </w:r>
      <w:r>
        <w:rPr>
          <w:rFonts w:hint="eastAsia" w:ascii="宋体" w:hAnsi="宋体" w:cs="宋体"/>
          <w:color w:val="auto"/>
          <w:szCs w:val="21"/>
          <w:highlight w:val="none"/>
          <w:lang w:val="en-US" w:eastAsia="zh-CN" w:bidi="ar-SA"/>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39" w:name="_Toc107246238"/>
      <w:r/>
      <w:bookmarkStart w:id="140" w:name="_Toc104560860"/>
      <w:r>
        <w:rPr>
          <w:rFonts w:hint="default" w:ascii="宋体" w:hAnsi="宋体" w:eastAsia="宋体" w:cs="宋体"/>
          <w:b/>
          <w:bCs/>
          <w:color w:val="auto"/>
          <w:sz w:val="21"/>
          <w:szCs w:val="21"/>
          <w:highlight w:val="none"/>
          <w:lang w:val="en-US" w:eastAsia="zh-CN" w:bidi="ar-SA"/>
        </w:rPr>
        <w:t xml:space="preserve">22.</w:t>
      </w:r>
      <w:r>
        <w:rPr>
          <w:rFonts w:hint="eastAsia" w:ascii="宋体" w:hAnsi="宋体" w:eastAsia="宋体" w:cs="宋体"/>
          <w:b/>
          <w:bCs/>
          <w:color w:val="auto"/>
          <w:sz w:val="21"/>
          <w:szCs w:val="21"/>
          <w:highlight w:val="none"/>
          <w:lang w:val="en-US" w:eastAsia="zh-CN" w:bidi="ar-SA"/>
        </w:rPr>
        <w:t xml:space="preserve">投标保证金</w:t>
      </w:r>
      <w:bookmarkEnd w:id="136"/>
      <w:r/>
      <w:bookmarkEnd w:id="137"/>
      <w:r/>
      <w:bookmarkEnd w:id="138"/>
      <w:r/>
      <w:bookmarkEnd w:id="139"/>
      <w:r/>
      <w:bookmarkEnd w:id="140"/>
      <w:r/>
      <w:r/>
    </w:p>
    <w:p>
      <w:pPr>
        <w:ind w:firstLine="315"/>
        <w:spacing w:line="360" w:lineRule="auto"/>
        <w:rPr>
          <w:rFonts w:hint="eastAsia" w:ascii="宋体" w:hAnsi="宋体" w:cs="Times New Roman"/>
          <w:color w:val="auto"/>
          <w:szCs w:val="21"/>
          <w:highlight w:val="none"/>
          <w:lang w:val="en-US" w:eastAsia="zh-CN" w:bidi="ar-SA"/>
        </w:rPr>
      </w:pPr>
      <w:r/>
      <w:bookmarkStart w:id="141" w:name="_Toc103848546"/>
      <w:r/>
      <w:bookmarkStart w:id="142" w:name="_Toc104560861"/>
      <w:r/>
      <w:bookmarkStart w:id="143" w:name="_Toc96347880"/>
      <w:r/>
      <w:bookmarkStart w:id="144" w:name="_Toc100905225"/>
      <w:r>
        <w:rPr>
          <w:rFonts w:hint="eastAsia" w:ascii="宋体" w:hAnsi="宋体" w:cs="宋体"/>
          <w:color w:val="auto"/>
          <w:szCs w:val="21"/>
          <w:highlight w:val="none"/>
          <w:lang w:val="en-US" w:eastAsia="zh-CN" w:bidi="ar-SA"/>
        </w:rPr>
        <w:t xml:space="preserve">本项目不收取投标保证金。</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45" w:name="_Toc107246239"/>
      <w:r>
        <w:rPr>
          <w:rFonts w:hint="default" w:ascii="宋体" w:hAnsi="宋体" w:eastAsia="宋体" w:cs="宋体"/>
          <w:b/>
          <w:bCs/>
          <w:color w:val="auto"/>
          <w:sz w:val="21"/>
          <w:szCs w:val="21"/>
          <w:highlight w:val="none"/>
          <w:lang w:val="en-US" w:eastAsia="zh-CN" w:bidi="ar-SA"/>
        </w:rPr>
        <w:t xml:space="preserve">23.</w:t>
      </w:r>
      <w:r>
        <w:rPr>
          <w:rFonts w:hint="eastAsia" w:ascii="宋体" w:hAnsi="宋体" w:eastAsia="宋体" w:cs="宋体"/>
          <w:b/>
          <w:bCs/>
          <w:color w:val="auto"/>
          <w:sz w:val="21"/>
          <w:szCs w:val="21"/>
          <w:highlight w:val="none"/>
          <w:lang w:val="en-US" w:eastAsia="zh-CN" w:bidi="ar-SA"/>
        </w:rPr>
        <w:t xml:space="preserve">投标文件的制作和签署</w:t>
      </w:r>
      <w:bookmarkEnd w:id="141"/>
      <w:r/>
      <w:bookmarkEnd w:id="142"/>
      <w:r/>
      <w:bookmarkEnd w:id="143"/>
      <w:r/>
      <w:bookmarkEnd w:id="144"/>
      <w:r/>
      <w:bookmarkEnd w:id="145"/>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投标人应严格按照</w:t>
      </w:r>
      <w:r>
        <w:rPr>
          <w:rFonts w:hint="eastAsia" w:ascii="宋体" w:hAnsi="宋体" w:cs="宋体"/>
          <w:bCs/>
          <w:color w:val="auto"/>
          <w:szCs w:val="21"/>
          <w:highlight w:val="none"/>
          <w:lang w:val="en-US" w:eastAsia="zh-CN" w:bidi="ar-SA"/>
        </w:rPr>
        <w:t xml:space="preserve">《供应商操作手册》规定，在投标截止时间前制作并上传电子投标文件</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146" w:name="_Toc8293"/>
      <w:r/>
      <w:bookmarkStart w:id="147" w:name="_Toc107246240"/>
      <w:r>
        <w:rPr>
          <w:rFonts w:hint="eastAsia" w:ascii="宋体" w:hAnsi="宋体" w:eastAsia="宋体" w:cs="宋体"/>
          <w:b/>
          <w:bCs/>
          <w:color w:val="auto"/>
          <w:sz w:val="21"/>
          <w:szCs w:val="21"/>
          <w:highlight w:val="none"/>
          <w:lang w:val="en-US" w:eastAsia="zh-CN" w:bidi="ar-SA"/>
        </w:rPr>
        <w:t xml:space="preserve">四．投标文件的递交</w:t>
      </w:r>
      <w:bookmarkEnd w:id="146"/>
      <w:r/>
      <w:bookmarkEnd w:id="147"/>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48" w:name="_Toc104560863"/>
      <w:r/>
      <w:bookmarkStart w:id="149" w:name="_Toc103848548"/>
      <w:r/>
      <w:bookmarkStart w:id="150" w:name="_Toc100905226"/>
      <w:r/>
      <w:bookmarkStart w:id="151" w:name="_Toc107246241"/>
      <w:r/>
      <w:bookmarkStart w:id="152" w:name="_Toc96347881"/>
      <w:r>
        <w:rPr>
          <w:rFonts w:hint="default" w:ascii="宋体" w:hAnsi="宋体" w:eastAsia="宋体" w:cs="宋体"/>
          <w:b/>
          <w:bCs/>
          <w:color w:val="auto"/>
          <w:sz w:val="21"/>
          <w:szCs w:val="21"/>
          <w:highlight w:val="none"/>
          <w:lang w:val="en-US" w:eastAsia="zh-CN" w:bidi="ar-SA"/>
        </w:rPr>
        <w:t xml:space="preserve">24.</w:t>
      </w:r>
      <w:r>
        <w:rPr>
          <w:rFonts w:hint="eastAsia" w:ascii="宋体" w:hAnsi="宋体" w:eastAsia="宋体" w:cs="宋体"/>
          <w:b/>
          <w:bCs/>
          <w:color w:val="auto"/>
          <w:sz w:val="21"/>
          <w:szCs w:val="21"/>
          <w:highlight w:val="none"/>
          <w:lang w:val="en-US" w:eastAsia="zh-CN" w:bidi="ar-SA"/>
        </w:rPr>
        <w:t xml:space="preserve">投标文件的密封和标记</w:t>
      </w:r>
      <w:bookmarkEnd w:id="148"/>
      <w:r/>
      <w:bookmarkEnd w:id="149"/>
      <w:r/>
      <w:bookmarkEnd w:id="150"/>
      <w:r/>
      <w:bookmarkEnd w:id="151"/>
      <w:r/>
      <w:bookmarkEnd w:id="152"/>
      <w:r/>
      <w:r/>
    </w:p>
    <w:p>
      <w:pPr>
        <w:ind w:firstLine="315"/>
        <w:spacing w:line="360" w:lineRule="auto"/>
        <w:rPr>
          <w:rFonts w:hint="eastAsia" w:ascii="宋体" w:hAnsi="宋体" w:cs="宋体"/>
          <w:color w:val="auto"/>
          <w:szCs w:val="21"/>
          <w:highlight w:val="none"/>
          <w:lang w:val="en-US" w:eastAsia="zh-CN" w:bidi="ar-SA"/>
        </w:rPr>
      </w:pPr>
      <w:r/>
      <w:bookmarkStart w:id="153" w:name="_Toc48151397"/>
      <w:r/>
      <w:bookmarkStart w:id="154" w:name="_Toc46939510"/>
      <w:r/>
      <w:bookmarkStart w:id="155" w:name="_Toc469850063"/>
      <w:r/>
      <w:bookmarkStart w:id="156" w:name="_Toc38931614"/>
      <w:r/>
      <w:bookmarkStart w:id="157" w:name="_Toc46960670"/>
      <w:r/>
      <w:bookmarkStart w:id="158" w:name="_Toc11952"/>
      <w:r/>
      <w:bookmarkStart w:id="159" w:name="_Toc19963"/>
      <w:r/>
      <w:bookmarkStart w:id="160" w:name="_Toc96347882"/>
      <w:r/>
      <w:bookmarkStart w:id="161" w:name="_Toc100905227"/>
      <w:r/>
      <w:bookmarkStart w:id="162" w:name="_Toc91399404"/>
      <w:r/>
      <w:bookmarkStart w:id="163" w:name="_Toc4536"/>
      <w:r/>
      <w:bookmarkStart w:id="164" w:name="_Toc38931800"/>
      <w:r/>
      <w:bookmarkStart w:id="165" w:name="_Toc97561941"/>
      <w:r/>
      <w:bookmarkStart w:id="166" w:name="_Toc51928343"/>
      <w:r/>
      <w:bookmarkStart w:id="167" w:name="_Toc38933357"/>
      <w:r/>
      <w:bookmarkStart w:id="168" w:name="_Toc50528805"/>
      <w:r/>
      <w:bookmarkStart w:id="169" w:name="_Toc5042"/>
      <w:r/>
      <w:bookmarkStart w:id="170" w:name="_Toc46219699"/>
      <w:r/>
      <w:bookmarkStart w:id="171" w:name="_Toc103848549"/>
      <w:r/>
      <w:bookmarkStart w:id="172" w:name="_Toc11464"/>
      <w:r/>
      <w:bookmarkStart w:id="173" w:name="_Toc40202948"/>
      <w:r/>
      <w:bookmarkStart w:id="174" w:name="_Toc89586904"/>
      <w:r/>
      <w:bookmarkStart w:id="175" w:name="_Toc104560864"/>
      <w:r>
        <w:rPr>
          <w:rFonts w:hint="eastAsia" w:ascii="宋体" w:hAnsi="宋体" w:cs="宋体"/>
          <w:color w:val="auto"/>
          <w:szCs w:val="21"/>
          <w:highlight w:val="none"/>
          <w:lang w:val="en-US" w:eastAsia="zh-CN" w:bidi="ar-SA"/>
        </w:rPr>
        <w:t xml:space="preserve">24.1 电子投标文件的递交：投标人应当按照《供应商操作手册》规定，在投标截止时间前制作并上传电子投标文件。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24.2政府采购管理交易系统（苏采云）相关要求是本采购文件的组成部分。</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24.3投标人应对 CA 证书妥善保管，如被他人盗用投标，因此带来的结果均由投标人自行承担。</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24.4投标人应当对采购文件提出的要求和条件作出实质性响应，并在电子投标系统逐条应答。</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24.5投标人应对要求提供的资格证明文件（如资质证书、资格证书）、技术资料（如白皮书、彩页、手册、检测报告等）扫描上传至投标系统。</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24.6投标人应当在采购文件要求提交投标文件的截止时间前，将投标文件提交至“苏采云”系统，逾期提交的投标文件，“苏采云”系统将自动拒收。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24.7各投标人应在规定时间内凭CA证书进行网上解密。</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76" w:name="_Toc107246242"/>
      <w:r>
        <w:rPr>
          <w:rFonts w:hint="default" w:ascii="宋体" w:hAnsi="宋体" w:eastAsia="宋体" w:cs="宋体"/>
          <w:b/>
          <w:bCs/>
          <w:color w:val="auto"/>
          <w:sz w:val="21"/>
          <w:szCs w:val="21"/>
          <w:highlight w:val="none"/>
          <w:lang w:val="en-US" w:eastAsia="zh-CN" w:bidi="ar-SA"/>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b/>
          <w:bCs/>
          <w:color w:val="auto"/>
          <w:sz w:val="21"/>
          <w:szCs w:val="21"/>
          <w:highlight w:val="none"/>
          <w:lang w:val="en-US" w:eastAsia="zh-CN" w:bidi="ar-SA"/>
        </w:rPr>
        <w:t xml:space="preserve">投标截止时间</w:t>
      </w:r>
      <w:bookmarkEnd w:id="176"/>
      <w:r/>
      <w:r/>
    </w:p>
    <w:p>
      <w:pPr>
        <w:ind w:firstLine="315"/>
        <w:spacing w:line="360" w:lineRule="auto"/>
        <w:rPr>
          <w:rFonts w:hint="eastAsia" w:ascii="宋体" w:hAnsi="宋体" w:cs="宋体"/>
          <w:color w:val="auto"/>
          <w:szCs w:val="21"/>
          <w:highlight w:val="none"/>
          <w:lang w:val="en-US" w:eastAsia="zh-CN" w:bidi="ar-SA"/>
        </w:rPr>
      </w:pPr>
      <w:r/>
      <w:bookmarkStart w:id="177" w:name="_Toc96347883"/>
      <w:r>
        <w:rPr>
          <w:rFonts w:hint="eastAsia" w:ascii="宋体" w:hAnsi="宋体" w:cs="宋体"/>
          <w:color w:val="auto"/>
          <w:szCs w:val="21"/>
          <w:highlight w:val="none"/>
          <w:lang w:val="en-US" w:eastAsia="zh-CN" w:bidi="ar-SA"/>
        </w:rPr>
        <w:t xml:space="preserve">25.1 投标人上传电子投标文件的时间不得迟于招标公告中规定的投标截止时间。</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投标人应充分考虑到网络环境、网络带宽等风险因素，如因投标人自身原因造成的电子投标文件上传不成功由投标人自行承担全部责任。</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25.2 代理机构可以按照规定，通过修改采购文件延长投标截止日期，在此情况下，投标人的所有权利和义务以及投标人受制的截止日期均应以延长后新的截止日期为准。</w:t>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25.</w:t>
      </w:r>
      <w:r>
        <w:rPr>
          <w:rFonts w:hint="eastAsia" w:ascii="宋体" w:hAnsi="宋体" w:cs="宋体"/>
          <w:b/>
          <w:bCs/>
          <w:color w:val="auto"/>
          <w:szCs w:val="21"/>
          <w:highlight w:val="none"/>
          <w:lang w:val="en-US" w:eastAsia="zh-CN" w:bidi="ar-SA"/>
        </w:rPr>
        <w:t xml:space="preserve">3代理机构拒绝接收在其规定的投标截止时间后上传的任何投标文件。</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78" w:name="_Toc107246243"/>
      <w:r/>
      <w:bookmarkStart w:id="179" w:name="_Toc100905228"/>
      <w:r/>
      <w:bookmarkStart w:id="180" w:name="_Toc104560865"/>
      <w:r/>
      <w:bookmarkStart w:id="181" w:name="_Toc103848550"/>
      <w:r>
        <w:rPr>
          <w:rFonts w:hint="default" w:ascii="宋体" w:hAnsi="宋体" w:eastAsia="宋体" w:cs="宋体"/>
          <w:b/>
          <w:bCs/>
          <w:color w:val="auto"/>
          <w:sz w:val="21"/>
          <w:szCs w:val="21"/>
          <w:highlight w:val="none"/>
          <w:lang w:val="en-US" w:eastAsia="zh-CN" w:bidi="ar-SA"/>
        </w:rPr>
        <w:t xml:space="preserve">26.</w:t>
      </w:r>
      <w:r>
        <w:rPr>
          <w:rFonts w:hint="eastAsia" w:ascii="宋体" w:hAnsi="宋体" w:eastAsia="宋体" w:cs="宋体"/>
          <w:b/>
          <w:bCs/>
          <w:color w:val="auto"/>
          <w:sz w:val="21"/>
          <w:szCs w:val="21"/>
          <w:highlight w:val="none"/>
          <w:lang w:val="en-US" w:eastAsia="zh-CN" w:bidi="ar-SA"/>
        </w:rPr>
        <w:t xml:space="preserve">投标文件的修改和撤回</w:t>
      </w:r>
      <w:bookmarkEnd w:id="177"/>
      <w:r/>
      <w:bookmarkEnd w:id="178"/>
      <w:r/>
      <w:bookmarkEnd w:id="179"/>
      <w:r/>
      <w:bookmarkEnd w:id="180"/>
      <w:r/>
      <w:bookmarkEnd w:id="181"/>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26.1 投标文件的撤回</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26.1.1 电子投标文件的撤回</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投标人可在投标截止时间前，撤回其电子投标文件，具体操作方法见《供应商操作手册》。</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26.1.2 投标人撤回电子投标文件，则认为其不再参与本项目投标活动。</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26.2 投标文件的修改</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投标人可在投标截止时间前，对其电子投标文件进行修改，具体操作方法见《供应商操作手册》。</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26.3 在投标截止时间之后，投标人不得对其电子投标文件作任何修改。</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26.4 在投标截止时间至采购文件中规定的投标有效期满之间的这段时间内，投标人不得撤回其投标。</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82" w:name="_Toc103848551"/>
      <w:r/>
      <w:bookmarkStart w:id="183" w:name="_Toc104560866"/>
      <w:r/>
      <w:bookmarkStart w:id="184" w:name="_Toc107246244"/>
      <w:r>
        <w:rPr>
          <w:rFonts w:hint="default" w:ascii="宋体" w:hAnsi="宋体" w:eastAsia="宋体" w:cs="宋体"/>
          <w:b/>
          <w:bCs/>
          <w:color w:val="auto"/>
          <w:sz w:val="21"/>
          <w:szCs w:val="21"/>
          <w:highlight w:val="none"/>
          <w:lang w:val="en-US" w:eastAsia="zh-CN" w:bidi="ar-SA"/>
        </w:rPr>
        <w:t xml:space="preserve">27.</w:t>
      </w:r>
      <w:r>
        <w:rPr>
          <w:rFonts w:hint="eastAsia" w:ascii="宋体" w:hAnsi="宋体" w:eastAsia="宋体" w:cs="宋体"/>
          <w:b/>
          <w:bCs/>
          <w:color w:val="auto"/>
          <w:sz w:val="21"/>
          <w:szCs w:val="21"/>
          <w:highlight w:val="none"/>
          <w:lang w:val="en-US" w:eastAsia="zh-CN" w:bidi="ar-SA"/>
        </w:rPr>
        <w:t xml:space="preserve">诚实信用</w:t>
      </w:r>
      <w:bookmarkEnd w:id="182"/>
      <w:r/>
      <w:bookmarkEnd w:id="183"/>
      <w:r/>
      <w:bookmarkEnd w:id="184"/>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27.1</w:t>
      </w:r>
      <w:r>
        <w:rPr>
          <w:rFonts w:hint="eastAsia" w:ascii="宋体" w:hAnsi="宋体" w:cs="宋体"/>
          <w:color w:val="auto"/>
          <w:szCs w:val="21"/>
          <w:highlight w:val="none"/>
          <w:lang w:val="en-US" w:eastAsia="zh-CN" w:bidi="ar-SA"/>
        </w:rPr>
        <w:t xml:space="preserve">投标人应当遵循公平竞争的原则，不得恶意串通，不得妨碍其他投标人的竞争行为，不得损害采购人或者其他投标人的合法权益。</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27.2</w:t>
      </w:r>
      <w:r>
        <w:rPr>
          <w:rFonts w:hint="eastAsia" w:ascii="宋体" w:hAnsi="宋体" w:cs="宋体"/>
          <w:color w:val="auto"/>
          <w:szCs w:val="21"/>
          <w:highlight w:val="none"/>
          <w:lang w:val="en-US" w:eastAsia="zh-CN" w:bidi="ar-SA"/>
        </w:rPr>
        <w:t xml:space="preserve">在评标过程中发现投标人有上述情形的，评标委员会应当认定其投标无效，并书面报告本级财政部门。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185" w:name="_Toc107246245"/>
      <w:r/>
      <w:bookmarkStart w:id="186" w:name="_Toc3204"/>
      <w:r>
        <w:rPr>
          <w:rFonts w:hint="eastAsia" w:ascii="宋体" w:hAnsi="宋体" w:eastAsia="宋体" w:cs="宋体"/>
          <w:b/>
          <w:bCs/>
          <w:color w:val="auto"/>
          <w:sz w:val="21"/>
          <w:szCs w:val="21"/>
          <w:highlight w:val="none"/>
          <w:lang w:val="en-US" w:eastAsia="zh-CN" w:bidi="ar-SA"/>
        </w:rPr>
        <w:t xml:space="preserve">五．开标和评标</w:t>
      </w:r>
      <w:bookmarkEnd w:id="185"/>
      <w:r/>
      <w:bookmarkEnd w:id="186"/>
      <w:r/>
      <w:bookmarkStart w:id="187" w:name="_Toc96347885"/>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88" w:name="_Toc103848553"/>
      <w:r/>
      <w:bookmarkStart w:id="189" w:name="_Toc100905230"/>
      <w:r/>
      <w:bookmarkStart w:id="190" w:name="_Toc107246246"/>
      <w:r/>
      <w:bookmarkStart w:id="191" w:name="_Toc104560868"/>
      <w:r>
        <w:rPr>
          <w:rFonts w:hint="default" w:ascii="宋体" w:hAnsi="宋体" w:eastAsia="宋体" w:cs="宋体"/>
          <w:b/>
          <w:bCs/>
          <w:color w:val="auto"/>
          <w:sz w:val="21"/>
          <w:szCs w:val="21"/>
          <w:highlight w:val="none"/>
          <w:lang w:val="en-US" w:eastAsia="zh-CN" w:bidi="ar-SA"/>
        </w:rPr>
        <w:t xml:space="preserve">28.</w:t>
      </w:r>
      <w:r>
        <w:rPr>
          <w:rFonts w:hint="eastAsia" w:ascii="宋体" w:hAnsi="宋体" w:eastAsia="宋体" w:cs="宋体"/>
          <w:b/>
          <w:bCs/>
          <w:color w:val="auto"/>
          <w:sz w:val="21"/>
          <w:szCs w:val="21"/>
          <w:highlight w:val="none"/>
          <w:lang w:val="en-US" w:eastAsia="zh-CN" w:bidi="ar-SA"/>
        </w:rPr>
        <w:t xml:space="preserve">开标</w:t>
      </w:r>
      <w:bookmarkEnd w:id="187"/>
      <w:r/>
      <w:bookmarkEnd w:id="188"/>
      <w:r/>
      <w:bookmarkEnd w:id="189"/>
      <w:r/>
      <w:bookmarkEnd w:id="190"/>
      <w:r/>
      <w:bookmarkEnd w:id="191"/>
      <w:r/>
      <w:r/>
    </w:p>
    <w:p>
      <w:pPr>
        <w:ind w:firstLine="315"/>
        <w:spacing w:line="360" w:lineRule="auto"/>
        <w:rPr>
          <w:rFonts w:hint="eastAsia" w:ascii="宋体" w:hAnsi="宋体" w:cs="宋体"/>
          <w:color w:val="auto"/>
          <w:szCs w:val="21"/>
          <w:highlight w:val="none"/>
          <w:lang w:val="en-US" w:eastAsia="zh-CN" w:bidi="ar-SA"/>
        </w:rPr>
      </w:pPr>
      <w:r/>
      <w:bookmarkStart w:id="192" w:name="_Toc100905231"/>
      <w:r>
        <w:rPr>
          <w:rFonts w:hint="eastAsia" w:ascii="宋体" w:hAnsi="宋体" w:cs="宋体"/>
          <w:color w:val="auto"/>
          <w:szCs w:val="21"/>
          <w:highlight w:val="none"/>
          <w:lang w:val="en-US" w:eastAsia="zh-CN" w:bidi="ar-SA"/>
        </w:rPr>
        <w:t xml:space="preserve">28.1 代理机构将在招标公告中规定的时间和地点组织公开开标。投标人应当按照《供应商操作手册》规定，参加开标活动。投标人未参加开标的，视同认可开标结果。</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28.2开标仪式由代理机构组织。“政府采购管理交易系统（苏采云）”将自动对项目进行开标，并宣读各投标人的《开标一览表》。</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28.3投标人在开标过程中涉及到的投标文件解密、开标结果确认等工作，应按照《供应商操作手册》规定执行。</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93" w:name="_Toc107246247"/>
      <w:r>
        <w:rPr>
          <w:rFonts w:hint="default" w:ascii="宋体" w:hAnsi="宋体" w:eastAsia="宋体" w:cs="宋体"/>
          <w:b/>
          <w:bCs/>
          <w:color w:val="auto"/>
          <w:sz w:val="21"/>
          <w:szCs w:val="21"/>
          <w:highlight w:val="none"/>
          <w:lang w:val="en-US" w:eastAsia="zh-CN" w:bidi="ar-SA"/>
        </w:rPr>
        <w:t xml:space="preserve">29.</w:t>
      </w:r>
      <w:r>
        <w:rPr>
          <w:rFonts w:hint="eastAsia" w:ascii="宋体" w:hAnsi="宋体" w:eastAsia="宋体" w:cs="宋体"/>
          <w:b/>
          <w:bCs/>
          <w:color w:val="auto"/>
          <w:sz w:val="21"/>
          <w:szCs w:val="21"/>
          <w:highlight w:val="none"/>
          <w:lang w:val="en-US" w:eastAsia="zh-CN" w:bidi="ar-SA"/>
        </w:rPr>
        <w:t xml:space="preserve">资格性审查</w:t>
      </w:r>
      <w:bookmarkEnd w:id="193"/>
      <w:r/>
      <w:r/>
    </w:p>
    <w:p>
      <w:pPr>
        <w:ind w:firstLine="315"/>
        <w:spacing w:line="360" w:lineRule="auto"/>
        <w:rPr>
          <w:rFonts w:hint="eastAsia" w:ascii="宋体" w:hAnsi="宋体" w:cs="Times New Roman"/>
          <w:color w:val="auto"/>
          <w:szCs w:val="21"/>
          <w:highlight w:val="none"/>
          <w:lang w:val="en-US" w:eastAsia="zh-CN" w:bidi="ar-SA"/>
        </w:rPr>
      </w:pPr>
      <w:r/>
      <w:bookmarkStart w:id="194" w:name="_Toc103848554"/>
      <w:r/>
      <w:bookmarkStart w:id="195" w:name="_Toc104560869"/>
      <w:r>
        <w:rPr>
          <w:rFonts w:ascii="宋体" w:hAnsi="宋体" w:cs="宋体"/>
          <w:color w:val="auto"/>
          <w:szCs w:val="21"/>
          <w:highlight w:val="none"/>
          <w:lang w:val="en-US" w:eastAsia="zh-CN" w:bidi="ar-SA"/>
        </w:rPr>
        <w:t xml:space="preserve">29.1</w:t>
      </w:r>
      <w:r>
        <w:rPr>
          <w:rFonts w:hint="eastAsia" w:ascii="宋体" w:hAnsi="宋体" w:cs="宋体"/>
          <w:color w:val="auto"/>
          <w:szCs w:val="21"/>
          <w:highlight w:val="none"/>
          <w:lang w:val="en-US" w:eastAsia="zh-CN" w:bidi="ar-SA"/>
        </w:rPr>
        <w:t xml:space="preserve">投标文件的资格性检查。公开招标采购项目开标结束后，采购人或采购代理机构应依法对投标人的资格进行审查。资格审查合格的投标人不足</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家的，不进行评标。</w:t>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29.2</w:t>
      </w:r>
      <w:r>
        <w:rPr>
          <w:rFonts w:hint="eastAsia" w:ascii="宋体" w:hAnsi="宋体" w:cs="宋体"/>
          <w:b/>
          <w:bCs/>
          <w:color w:val="auto"/>
          <w:szCs w:val="21"/>
          <w:highlight w:val="none"/>
          <w:lang w:val="en-US" w:eastAsia="zh-CN" w:bidi="ar-SA"/>
        </w:rPr>
        <w:t xml:space="preserve">投标人不具备招标文件规定的投标人资格条件的，应在资格审查时按照无效投标处理。</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29.3</w:t>
      </w:r>
      <w:r>
        <w:rPr>
          <w:rFonts w:hint="eastAsia" w:ascii="宋体" w:hAnsi="宋体" w:cs="宋体"/>
          <w:color w:val="auto"/>
          <w:szCs w:val="21"/>
          <w:highlight w:val="none"/>
          <w:lang w:val="en-US" w:eastAsia="zh-CN" w:bidi="ar-SA"/>
        </w:rPr>
        <w:t xml:space="preserve">已经进行资格预审的，可以不再对投标人资格进行审查，资格预审合格的投标人在评标阶段资格发生变化的，应当通知采购方。</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96" w:name="_Toc107246248"/>
      <w:r>
        <w:rPr>
          <w:rFonts w:hint="default" w:ascii="宋体" w:hAnsi="宋体" w:eastAsia="宋体" w:cs="宋体"/>
          <w:b/>
          <w:bCs/>
          <w:color w:val="auto"/>
          <w:sz w:val="21"/>
          <w:szCs w:val="21"/>
          <w:highlight w:val="none"/>
          <w:lang w:val="en-US" w:eastAsia="zh-CN" w:bidi="ar-SA"/>
        </w:rPr>
        <w:t xml:space="preserve">30.</w:t>
      </w:r>
      <w:r>
        <w:rPr>
          <w:rFonts w:hint="eastAsia" w:ascii="宋体" w:hAnsi="宋体" w:eastAsia="宋体" w:cs="宋体"/>
          <w:b/>
          <w:bCs/>
          <w:color w:val="auto"/>
          <w:sz w:val="21"/>
          <w:szCs w:val="21"/>
          <w:highlight w:val="none"/>
          <w:lang w:val="en-US" w:eastAsia="zh-CN" w:bidi="ar-SA"/>
        </w:rPr>
        <w:t xml:space="preserve">评标</w:t>
      </w:r>
      <w:bookmarkEnd w:id="194"/>
      <w:r/>
      <w:bookmarkEnd w:id="195"/>
      <w:r/>
      <w:bookmarkEnd w:id="196"/>
      <w:r/>
      <w:r/>
    </w:p>
    <w:p>
      <w:pPr>
        <w:ind w:firstLine="316"/>
        <w:spacing w:line="360" w:lineRule="auto"/>
        <w:rPr>
          <w:rFonts w:hint="eastAsia" w:ascii="宋体" w:hAnsi="宋体" w:cs="Times New Roman"/>
          <w:b/>
          <w:bCs/>
          <w:color w:val="auto"/>
          <w:szCs w:val="21"/>
          <w:highlight w:val="none"/>
          <w:lang w:val="zh-CN" w:eastAsia="zh-CN" w:bidi="ar-SA"/>
        </w:rPr>
      </w:pPr>
      <w:r/>
      <w:bookmarkStart w:id="197" w:name="_Toc104560870"/>
      <w:r/>
      <w:bookmarkStart w:id="198" w:name="_Toc107246249"/>
      <w:r/>
      <w:bookmarkStart w:id="199" w:name="_Toc103848555"/>
      <w:r>
        <w:rPr>
          <w:rFonts w:ascii="宋体" w:hAnsi="宋体" w:cs="宋体"/>
          <w:b/>
          <w:bCs/>
          <w:color w:val="auto"/>
          <w:szCs w:val="21"/>
          <w:highlight w:val="none"/>
          <w:lang w:val="zh-CN" w:eastAsia="zh-CN" w:bidi="ar-SA"/>
        </w:rPr>
        <w:t xml:space="preserve">30.1</w:t>
      </w:r>
      <w:r>
        <w:rPr>
          <w:rFonts w:hint="eastAsia" w:ascii="宋体" w:hAnsi="宋体" w:cs="宋体"/>
          <w:b/>
          <w:bCs/>
          <w:color w:val="auto"/>
          <w:szCs w:val="21"/>
          <w:highlight w:val="none"/>
          <w:lang w:val="zh-CN" w:eastAsia="zh-CN" w:bidi="ar-SA"/>
        </w:rPr>
        <w:t xml:space="preserve">评标委员会</w:t>
      </w:r>
      <w:bookmarkEnd w:id="197"/>
      <w:r/>
      <w:bookmarkEnd w:id="198"/>
      <w:r/>
      <w:bookmarkEnd w:id="199"/>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30.1.1</w:t>
      </w:r>
      <w:r>
        <w:rPr>
          <w:rFonts w:hint="eastAsia" w:ascii="宋体" w:hAnsi="宋体" w:cs="宋体"/>
          <w:color w:val="auto"/>
          <w:szCs w:val="21"/>
          <w:highlight w:val="none"/>
          <w:lang w:val="en-US" w:eastAsia="zh-CN" w:bidi="ar-SA"/>
        </w:rPr>
        <w:t xml:space="preserve">评标委员会成员组成见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，负责具体评标事务，并独立履行职责。</w:t>
      </w:r>
      <w:r/>
    </w:p>
    <w:p>
      <w:pPr>
        <w:ind w:firstLine="316"/>
        <w:spacing w:line="360" w:lineRule="auto"/>
        <w:rPr>
          <w:rFonts w:hint="eastAsia" w:ascii="宋体" w:hAnsi="宋体" w:cs="Times New Roman"/>
          <w:b/>
          <w:bCs/>
          <w:color w:val="auto"/>
          <w:szCs w:val="21"/>
          <w:highlight w:val="none"/>
          <w:lang w:val="zh-CN" w:eastAsia="zh-CN" w:bidi="ar-SA"/>
        </w:rPr>
      </w:pPr>
      <w:r/>
      <w:bookmarkStart w:id="200" w:name="_Toc103848556"/>
      <w:r/>
      <w:bookmarkStart w:id="201" w:name="_Toc104560871"/>
      <w:r/>
      <w:bookmarkStart w:id="202" w:name="_Toc107246250"/>
      <w:r>
        <w:rPr>
          <w:rFonts w:ascii="宋体" w:hAnsi="宋体" w:cs="宋体"/>
          <w:b/>
          <w:bCs/>
          <w:color w:val="auto"/>
          <w:szCs w:val="21"/>
          <w:highlight w:val="none"/>
          <w:lang w:val="zh-CN" w:eastAsia="zh-CN" w:bidi="ar-SA"/>
        </w:rPr>
        <w:t xml:space="preserve">30.2</w:t>
      </w:r>
      <w:bookmarkEnd w:id="200"/>
      <w:r/>
      <w:bookmarkEnd w:id="201"/>
      <w:r>
        <w:rPr>
          <w:rFonts w:hint="eastAsia" w:ascii="宋体" w:hAnsi="宋体" w:cs="宋体"/>
          <w:b/>
          <w:bCs/>
          <w:color w:val="auto"/>
          <w:szCs w:val="21"/>
          <w:highlight w:val="none"/>
          <w:lang w:val="zh-CN" w:eastAsia="zh-CN" w:bidi="ar-SA"/>
        </w:rPr>
        <w:t xml:space="preserve">符合性审查</w:t>
      </w:r>
      <w:bookmarkEnd w:id="202"/>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30.2.1</w:t>
      </w:r>
      <w:r>
        <w:rPr>
          <w:rFonts w:hint="eastAsia" w:ascii="宋体" w:hAnsi="宋体" w:cs="宋体"/>
          <w:color w:val="auto"/>
          <w:szCs w:val="21"/>
          <w:highlight w:val="none"/>
          <w:lang w:val="en-US" w:eastAsia="zh-CN" w:bidi="ar-SA"/>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30.2.2</w:t>
      </w:r>
      <w:r>
        <w:rPr>
          <w:rFonts w:hint="eastAsia" w:ascii="宋体" w:hAnsi="宋体" w:cs="宋体"/>
          <w:b/>
          <w:bCs/>
          <w:color w:val="auto"/>
          <w:szCs w:val="21"/>
          <w:highlight w:val="none"/>
          <w:lang w:val="en-US" w:eastAsia="zh-CN" w:bidi="ar-SA"/>
        </w:rPr>
        <w:t xml:space="preserve">如果投标文件没有响应招标文件实质性要求，评标委员会将予以拒绝，投标人不得通过修改或撤销不合要求的偏离或保留而使其投标成为实质性响应的投标。</w:t>
      </w:r>
      <w:r/>
    </w:p>
    <w:p>
      <w:pPr>
        <w:ind w:firstLine="422"/>
        <w:spacing w:before="156"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30.2.3</w:t>
      </w:r>
      <w:r>
        <w:rPr>
          <w:rFonts w:hint="eastAsia" w:ascii="宋体" w:hAnsi="宋体" w:cs="宋体"/>
          <w:b/>
          <w:bCs/>
          <w:color w:val="auto"/>
          <w:szCs w:val="21"/>
          <w:highlight w:val="none"/>
          <w:lang w:val="en-US" w:eastAsia="zh-CN" w:bidi="ar-SA"/>
        </w:rPr>
        <w:t xml:space="preserve">投标文件有下列情况之一的，在符合性检查时按照无效投标处理：</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（1）在苏采云系统规定的时间内未成功解密电子响应文件。</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（2）未按照招标文件要求上传电子投标文件的。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（3）在报价时采用选择性报价的。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（4）报价超过了采购预算或最高限价的。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（5）不符合招标文件中规定的其他实质性要求和条件的（本招标文件中标注“★”符号部分为实质性要求和条件）。</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（6）不同供应商的投标文件由同一单位或者个人编制。</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（7）投标文件含有采购人不能接受的附加条件的。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8）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（9）投标文件未按照招标文件要求加盖电子签章。</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（10）不同供应商委托同一单位或者个人办理投标事宜。</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（11）不同供应商的投标文件载明的项目管理成员或者联系人员为同一人。</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（12）不同供应商的投标文件异常一致或者投标报价呈规律性差异。</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（13）不同供应商的单位负责人为同一人或者供应商之间存在直接控股、管理关系的。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（14）不同供应商的ip地址、MAC地址、标书制作工具客户端标识码一致的。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（15）法律、法规和招标文件规定的其他无效情形。</w:t>
      </w:r>
      <w:r/>
    </w:p>
    <w:p>
      <w:pPr>
        <w:ind w:firstLine="31680"/>
        <w:jc w:val="left"/>
        <w:spacing w:line="360" w:lineRule="auto"/>
        <w:rPr>
          <w:rFonts w:hint="eastAsia" w:ascii="宋体" w:hAnsi="宋体" w:cs="Microsoft New Tai Lue"/>
          <w:b/>
          <w:color w:val="auto"/>
          <w:szCs w:val="21"/>
          <w:highlight w:val="none"/>
          <w:lang w:val="en-US" w:eastAsia="zh-CN" w:bidi="ar-SA"/>
        </w:rPr>
      </w:pPr>
      <w:r>
        <w:rPr>
          <w:rFonts w:ascii="宋体" w:hAnsi="宋体" w:cs="Microsoft New Tai Lue"/>
          <w:b/>
          <w:color w:val="auto"/>
          <w:szCs w:val="21"/>
          <w:highlight w:val="none"/>
          <w:lang w:val="en-US" w:eastAsia="zh-CN" w:bidi="ar-SA"/>
        </w:rPr>
        <w:t xml:space="preserve">★30.2.</w:t>
      </w:r>
      <w:r>
        <w:rPr>
          <w:rFonts w:hint="eastAsia" w:ascii="宋体" w:hAnsi="宋体" w:cs="Microsoft New Tai Lue"/>
          <w:b/>
          <w:color w:val="auto"/>
          <w:szCs w:val="21"/>
          <w:highlight w:val="none"/>
          <w:lang w:val="en-US" w:eastAsia="zh-CN" w:bidi="ar-SA"/>
        </w:rPr>
        <w:t xml:space="preserve">4评标委员会</w:t>
      </w:r>
      <w:r>
        <w:rPr>
          <w:rFonts w:ascii="宋体" w:hAnsi="宋体" w:cs="Microsoft New Tai Lue"/>
          <w:b/>
          <w:color w:val="auto"/>
          <w:szCs w:val="21"/>
          <w:highlight w:val="none"/>
          <w:lang w:val="en-US" w:eastAsia="zh-CN" w:bidi="ar-SA"/>
        </w:rPr>
        <w:t xml:space="preserve">启动异常低价投标（响应）审查的情形和具体要求，包括：</w:t>
      </w:r>
      <w:r/>
    </w:p>
    <w:p>
      <w:pPr>
        <w:ind w:firstLine="315"/>
        <w:jc w:val="left"/>
        <w:spacing w:line="360" w:lineRule="auto"/>
        <w:rPr>
          <w:rFonts w:hint="eastAsia" w:ascii="宋体" w:hAnsi="宋体" w:cs="Microsoft New Tai Lue"/>
          <w:color w:val="auto"/>
          <w:szCs w:val="21"/>
          <w:highlight w:val="none"/>
          <w:lang w:val="en-US" w:eastAsia="zh-CN" w:bidi="ar-SA"/>
        </w:rPr>
      </w:pPr>
      <w:r>
        <w:rPr>
          <w:rFonts w:hint="eastAsia" w:ascii="宋体" w:hAnsi="宋体" w:cs="Microsoft New Tai Lue"/>
          <w:color w:val="auto"/>
          <w:szCs w:val="21"/>
          <w:highlight w:val="none"/>
          <w:lang w:val="en-US" w:eastAsia="zh-CN" w:bidi="ar-SA"/>
        </w:rPr>
        <w:t xml:space="preserve">（1）评审过程中出现下列情形之一的，评标委员会应当启动异常低价投标（响应）审查程序：</w:t>
      </w:r>
      <w:r/>
    </w:p>
    <w:p>
      <w:pPr>
        <w:ind w:firstLine="315"/>
        <w:jc w:val="left"/>
        <w:spacing w:line="360" w:lineRule="auto"/>
        <w:widowControl/>
        <w:rPr>
          <w:rFonts w:hint="eastAsia" w:ascii="宋体" w:hAnsi="宋体" w:cs="Microsoft New Tai Lue"/>
          <w:color w:val="auto"/>
          <w:szCs w:val="21"/>
          <w:highlight w:val="none"/>
          <w:lang w:val="en-US" w:eastAsia="zh-CN" w:bidi="ar-SA"/>
        </w:rPr>
      </w:pPr>
      <w:r>
        <w:rPr>
          <w:rFonts w:ascii="宋体" w:hAnsi="宋体" w:cs="Microsoft New Tai Lue"/>
          <w:color w:val="auto"/>
          <w:szCs w:val="21"/>
          <w:highlight w:val="none"/>
          <w:lang w:val="en-US" w:eastAsia="zh-CN" w:bidi="ar-SA"/>
        </w:rPr>
        <w:t xml:space="preserve">①</w:t>
      </w:r>
      <w:r>
        <w:rPr>
          <w:rFonts w:ascii="宋体" w:hAnsi="宋体" w:cs="Microsoft New Tai Lue"/>
          <w:color w:val="auto"/>
          <w:szCs w:val="21"/>
          <w:highlight w:val="none"/>
          <w:lang w:val="en-US" w:eastAsia="zh-CN" w:bidi="ar"/>
        </w:rPr>
        <w:t xml:space="preserve">投标（响应）报价低于全部通过符合性审查供应商投标（响应）报价平均值</w:t>
      </w:r>
      <w:r>
        <w:rPr>
          <w:rFonts w:hint="eastAsia" w:ascii="宋体" w:hAnsi="宋体" w:cs="Microsoft New Tai Lue"/>
          <w:color w:val="auto"/>
          <w:szCs w:val="21"/>
          <w:highlight w:val="none"/>
          <w:lang w:val="en-US" w:eastAsia="zh-CN" w:bidi="ar"/>
        </w:rPr>
        <w:t xml:space="preserve">50</w:t>
      </w:r>
      <w:r>
        <w:rPr>
          <w:rFonts w:ascii="宋体" w:hAnsi="宋体" w:cs="Microsoft New Tai Lue"/>
          <w:color w:val="auto"/>
          <w:szCs w:val="21"/>
          <w:highlight w:val="none"/>
          <w:lang w:val="en-US" w:eastAsia="zh-CN" w:bidi="ar"/>
        </w:rPr>
        <w:t xml:space="preserve">%的，即投标（响应）报价&lt;全部通过符合性审查供应商投标（响应）报价平均值×</w:t>
      </w:r>
      <w:r>
        <w:rPr>
          <w:rFonts w:hint="eastAsia" w:ascii="宋体" w:hAnsi="宋体" w:cs="Microsoft New Tai Lue"/>
          <w:color w:val="auto"/>
          <w:szCs w:val="21"/>
          <w:highlight w:val="none"/>
          <w:lang w:val="en-US" w:eastAsia="zh-CN" w:bidi="ar"/>
        </w:rPr>
        <w:t xml:space="preserve">50</w:t>
      </w:r>
      <w:r>
        <w:rPr>
          <w:rFonts w:ascii="宋体" w:hAnsi="宋体" w:cs="Microsoft New Tai Lue"/>
          <w:color w:val="auto"/>
          <w:szCs w:val="21"/>
          <w:highlight w:val="none"/>
          <w:lang w:val="en-US" w:eastAsia="zh-CN" w:bidi="ar"/>
        </w:rPr>
        <w:t xml:space="preserve">%；</w:t>
      </w:r>
      <w:r/>
    </w:p>
    <w:p>
      <w:pPr>
        <w:ind w:firstLine="315"/>
        <w:jc w:val="left"/>
        <w:spacing w:line="360" w:lineRule="auto"/>
        <w:widowControl/>
        <w:rPr>
          <w:rFonts w:hint="eastAsia" w:ascii="宋体" w:hAnsi="宋体" w:cs="Microsoft New Tai Lue"/>
          <w:color w:val="auto"/>
          <w:szCs w:val="21"/>
          <w:highlight w:val="none"/>
          <w:lang w:val="en-US" w:eastAsia="zh-CN" w:bidi="ar-SA"/>
        </w:rPr>
      </w:pPr>
      <w:r>
        <w:rPr>
          <w:rFonts w:ascii="宋体" w:hAnsi="宋体" w:cs="Microsoft New Tai Lue"/>
          <w:color w:val="auto"/>
          <w:szCs w:val="21"/>
          <w:highlight w:val="none"/>
          <w:lang w:val="en-US" w:eastAsia="zh-CN" w:bidi="ar-SA"/>
        </w:rPr>
        <w:t xml:space="preserve">②</w:t>
      </w:r>
      <w:r>
        <w:rPr>
          <w:rFonts w:ascii="宋体" w:hAnsi="宋体" w:cs="Microsoft New Tai Lue"/>
          <w:color w:val="auto"/>
          <w:szCs w:val="21"/>
          <w:highlight w:val="none"/>
          <w:lang w:val="en-US" w:eastAsia="zh-CN" w:bidi="ar"/>
        </w:rPr>
        <w:t xml:space="preserve">投标（响应）报价低于通过符合性审查的次低报价供应商投标（响应）报价</w:t>
      </w:r>
      <w:r>
        <w:rPr>
          <w:rFonts w:hint="eastAsia" w:ascii="宋体" w:hAnsi="宋体" w:cs="Microsoft New Tai Lue"/>
          <w:color w:val="auto"/>
          <w:szCs w:val="21"/>
          <w:highlight w:val="none"/>
          <w:lang w:val="en-US" w:eastAsia="zh-CN" w:bidi="ar"/>
        </w:rPr>
        <w:t xml:space="preserve">50</w:t>
      </w:r>
      <w:r>
        <w:rPr>
          <w:rFonts w:ascii="宋体" w:hAnsi="宋体" w:cs="Microsoft New Tai Lue"/>
          <w:color w:val="auto"/>
          <w:szCs w:val="21"/>
          <w:highlight w:val="none"/>
          <w:lang w:val="en-US" w:eastAsia="zh-CN" w:bidi="ar"/>
        </w:rPr>
        <w:t xml:space="preserve">%的，即投标（响应）报价&lt;通过符合性审查的次低报价供应商投标（响应）报价×</w:t>
      </w:r>
      <w:r>
        <w:rPr>
          <w:rFonts w:hint="eastAsia" w:ascii="宋体" w:hAnsi="宋体" w:cs="Microsoft New Tai Lue"/>
          <w:color w:val="auto"/>
          <w:szCs w:val="21"/>
          <w:highlight w:val="none"/>
          <w:lang w:val="en-US" w:eastAsia="zh-CN" w:bidi="ar"/>
        </w:rPr>
        <w:t xml:space="preserve">50</w:t>
      </w:r>
      <w:r>
        <w:rPr>
          <w:rFonts w:ascii="宋体" w:hAnsi="宋体" w:cs="Microsoft New Tai Lue"/>
          <w:color w:val="auto"/>
          <w:szCs w:val="21"/>
          <w:highlight w:val="none"/>
          <w:lang w:val="en-US" w:eastAsia="zh-CN" w:bidi="ar"/>
        </w:rPr>
        <w:t xml:space="preserve">%</w:t>
      </w:r>
      <w:r>
        <w:rPr>
          <w:rFonts w:ascii="宋体" w:hAnsi="宋体" w:cs="Microsoft New Tai Lue"/>
          <w:color w:val="auto"/>
          <w:szCs w:val="21"/>
          <w:highlight w:val="none"/>
          <w:lang w:val="en-US" w:eastAsia="zh-CN" w:bidi="ar-SA"/>
        </w:rPr>
        <w:t xml:space="preserve">;</w:t>
      </w:r>
      <w:r/>
    </w:p>
    <w:p>
      <w:pPr>
        <w:ind w:firstLine="315"/>
        <w:jc w:val="left"/>
        <w:spacing w:line="360" w:lineRule="auto"/>
        <w:widowControl/>
        <w:rPr>
          <w:rFonts w:hint="eastAsia" w:ascii="宋体" w:hAnsi="宋体" w:cs="Microsoft New Tai Lue"/>
          <w:color w:val="auto"/>
          <w:szCs w:val="21"/>
          <w:highlight w:val="none"/>
          <w:lang w:val="en-US" w:eastAsia="zh-CN" w:bidi="ar-SA"/>
        </w:rPr>
      </w:pPr>
      <w:r>
        <w:rPr>
          <w:rFonts w:ascii="宋体" w:hAnsi="宋体" w:cs="Microsoft New Tai Lue"/>
          <w:color w:val="auto"/>
          <w:szCs w:val="21"/>
          <w:highlight w:val="none"/>
          <w:lang w:val="en-US" w:eastAsia="zh-CN" w:bidi="ar-SA"/>
        </w:rPr>
        <w:t xml:space="preserve">③</w:t>
      </w:r>
      <w:r>
        <w:rPr>
          <w:rFonts w:ascii="宋体" w:hAnsi="宋体" w:cs="Microsoft New Tai Lue"/>
          <w:color w:val="auto"/>
          <w:szCs w:val="21"/>
          <w:highlight w:val="none"/>
          <w:lang w:val="en-US" w:eastAsia="zh-CN" w:bidi="ar"/>
        </w:rPr>
        <w:t xml:space="preserve">投标（响应）报价低于采购项目最高限价</w:t>
      </w:r>
      <w:r>
        <w:rPr>
          <w:rFonts w:hint="eastAsia" w:ascii="宋体" w:hAnsi="宋体" w:cs="Microsoft New Tai Lue"/>
          <w:color w:val="auto"/>
          <w:szCs w:val="21"/>
          <w:highlight w:val="none"/>
          <w:lang w:val="en-US" w:eastAsia="zh-CN" w:bidi="ar"/>
        </w:rPr>
        <w:t xml:space="preserve">45</w:t>
      </w:r>
      <w:r>
        <w:rPr>
          <w:rFonts w:ascii="宋体" w:hAnsi="宋体" w:cs="Microsoft New Tai Lue"/>
          <w:color w:val="auto"/>
          <w:szCs w:val="21"/>
          <w:highlight w:val="none"/>
          <w:lang w:val="en-US" w:eastAsia="zh-CN" w:bidi="ar"/>
        </w:rPr>
        <w:t xml:space="preserve">%的，即投标（响应）报价&lt;采购项目最高限价×</w:t>
      </w:r>
      <w:r>
        <w:rPr>
          <w:rFonts w:hint="eastAsia" w:ascii="宋体" w:hAnsi="宋体" w:cs="Microsoft New Tai Lue"/>
          <w:color w:val="auto"/>
          <w:szCs w:val="21"/>
          <w:highlight w:val="none"/>
          <w:lang w:val="en-US" w:eastAsia="zh-CN" w:bidi="ar"/>
        </w:rPr>
        <w:t xml:space="preserve">45</w:t>
      </w:r>
      <w:r>
        <w:rPr>
          <w:rFonts w:ascii="宋体" w:hAnsi="宋体" w:cs="Microsoft New Tai Lue"/>
          <w:color w:val="auto"/>
          <w:szCs w:val="21"/>
          <w:highlight w:val="none"/>
          <w:lang w:val="en-US" w:eastAsia="zh-CN" w:bidi="ar"/>
        </w:rPr>
        <w:t xml:space="preserve">%</w:t>
      </w:r>
      <w:r>
        <w:rPr>
          <w:rFonts w:ascii="宋体" w:hAnsi="宋体" w:cs="Microsoft New Tai Lue"/>
          <w:color w:val="auto"/>
          <w:szCs w:val="21"/>
          <w:highlight w:val="none"/>
          <w:lang w:val="en-US" w:eastAsia="zh-CN" w:bidi="ar-SA"/>
        </w:rPr>
        <w:t xml:space="preserve">；</w:t>
      </w:r>
      <w:r/>
    </w:p>
    <w:p>
      <w:pPr>
        <w:ind w:firstLine="315"/>
        <w:jc w:val="left"/>
        <w:spacing w:line="360" w:lineRule="auto"/>
        <w:rPr>
          <w:rFonts w:hint="eastAsia" w:ascii="宋体" w:hAnsi="宋体" w:cs="Microsoft New Tai Lue"/>
          <w:color w:val="auto"/>
          <w:szCs w:val="21"/>
          <w:highlight w:val="none"/>
          <w:lang w:val="en-US" w:eastAsia="zh-CN" w:bidi="ar-SA"/>
        </w:rPr>
      </w:pPr>
      <w:r>
        <w:rPr>
          <w:rFonts w:ascii="宋体" w:hAnsi="宋体" w:cs="Microsoft New Tai Lue"/>
          <w:color w:val="auto"/>
          <w:szCs w:val="21"/>
          <w:highlight w:val="none"/>
          <w:lang w:val="en-US" w:eastAsia="zh-CN" w:bidi="ar-SA"/>
        </w:rPr>
        <w:t xml:space="preserve">④</w:t>
      </w:r>
      <w:r>
        <w:rPr>
          <w:rFonts w:hint="eastAsia" w:ascii="宋体" w:hAnsi="宋体" w:cs="Microsoft New Tai Lue"/>
          <w:color w:val="auto"/>
          <w:szCs w:val="21"/>
          <w:highlight w:val="none"/>
          <w:lang w:val="en-US" w:eastAsia="zh-CN" w:bidi="ar"/>
        </w:rPr>
        <w:t xml:space="preserve">评标委员会</w:t>
      </w:r>
      <w:r>
        <w:rPr>
          <w:rFonts w:ascii="宋体" w:hAnsi="宋体" w:cs="Microsoft New Tai Lue"/>
          <w:color w:val="auto"/>
          <w:szCs w:val="21"/>
          <w:highlight w:val="none"/>
          <w:lang w:val="en-US" w:eastAsia="zh-CN" w:bidi="ar"/>
        </w:rPr>
        <w:t xml:space="preserve">基于专业判断，认为供应商报价过低，有可能影响产品质量或者不能诚信履约的其他情形。</w:t>
      </w:r>
      <w:r/>
    </w:p>
    <w:p>
      <w:pPr>
        <w:ind w:firstLine="315"/>
        <w:spacing w:line="360" w:lineRule="auto"/>
        <w:rPr>
          <w:rFonts w:hint="eastAsia" w:ascii="宋体" w:hAnsi="宋体" w:cs="Microsoft New Tai Lue"/>
          <w:color w:val="auto"/>
          <w:szCs w:val="21"/>
          <w:highlight w:val="none"/>
          <w:lang w:val="en-US" w:eastAsia="zh-CN" w:bidi="ar"/>
        </w:rPr>
      </w:pPr>
      <w:r>
        <w:rPr>
          <w:rFonts w:ascii="宋体" w:hAnsi="宋体" w:cs="Microsoft New Tai Lue"/>
          <w:color w:val="auto"/>
          <w:szCs w:val="21"/>
          <w:highlight w:val="none"/>
          <w:lang w:val="en-US" w:eastAsia="zh-CN" w:bidi="ar"/>
        </w:rPr>
        <w:t xml:space="preserve">（2）</w:t>
      </w:r>
      <w:r>
        <w:rPr>
          <w:rFonts w:hint="eastAsia" w:ascii="宋体" w:hAnsi="宋体" w:cs="Microsoft New Tai Lue"/>
          <w:color w:val="auto"/>
          <w:szCs w:val="21"/>
          <w:highlight w:val="none"/>
          <w:lang w:val="en-US" w:eastAsia="zh-CN" w:bidi="ar"/>
        </w:rPr>
        <w:t xml:space="preserve">评标委员会</w:t>
      </w:r>
      <w:r>
        <w:rPr>
          <w:rFonts w:ascii="宋体" w:hAnsi="宋体" w:cs="Microsoft New Tai Lue"/>
          <w:color w:val="auto"/>
          <w:szCs w:val="21"/>
          <w:highlight w:val="none"/>
          <w:lang w:val="en-US" w:eastAsia="zh-CN" w:bidi="ar"/>
        </w:rPr>
        <w:t xml:space="preserve">启动异常低价投标（响应）审查后，属于前述第</w:t>
      </w:r>
      <w:r>
        <w:rPr>
          <w:rFonts w:ascii="宋体" w:hAnsi="宋体" w:cs="Microsoft New Tai Lue"/>
          <w:color w:val="auto"/>
          <w:szCs w:val="21"/>
          <w:highlight w:val="none"/>
          <w:lang w:val="en-US" w:eastAsia="zh-CN" w:bidi="ar-SA"/>
        </w:rPr>
        <w:t xml:space="preserve">①</w:t>
      </w:r>
      <w:r>
        <w:rPr>
          <w:rFonts w:ascii="宋体" w:hAnsi="宋体" w:cs="Microsoft New Tai Lue"/>
          <w:color w:val="auto"/>
          <w:szCs w:val="21"/>
          <w:highlight w:val="none"/>
          <w:lang w:val="en-US" w:eastAsia="zh-CN" w:bidi="ar"/>
        </w:rPr>
        <w:t xml:space="preserve">项至第</w:t>
      </w:r>
      <w:r>
        <w:rPr>
          <w:rFonts w:ascii="宋体" w:hAnsi="宋体" w:cs="Microsoft New Tai Lue"/>
          <w:color w:val="auto"/>
          <w:szCs w:val="21"/>
          <w:highlight w:val="none"/>
          <w:lang w:val="en-US" w:eastAsia="zh-CN" w:bidi="ar-SA"/>
        </w:rPr>
        <w:t xml:space="preserve">④</w:t>
      </w:r>
      <w:r>
        <w:rPr>
          <w:rFonts w:ascii="宋体" w:hAnsi="宋体" w:cs="Microsoft New Tai Lue"/>
          <w:color w:val="auto"/>
          <w:szCs w:val="21"/>
          <w:highlight w:val="none"/>
          <w:lang w:val="en-US" w:eastAsia="zh-CN"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Microsoft New Tai Lue"/>
          <w:color w:val="auto"/>
          <w:szCs w:val="21"/>
          <w:highlight w:val="none"/>
          <w:lang w:val="en-US" w:eastAsia="zh-CN" w:bidi="ar"/>
        </w:rPr>
        <w:t xml:space="preserve">③</w:t>
      </w:r>
      <w:r>
        <w:rPr>
          <w:rFonts w:ascii="宋体" w:hAnsi="宋体" w:cs="Microsoft New Tai Lue"/>
          <w:color w:val="auto"/>
          <w:szCs w:val="21"/>
          <w:highlight w:val="none"/>
          <w:lang w:val="en-US" w:eastAsia="zh-CN" w:bidi="ar"/>
        </w:rPr>
        <w:t xml:space="preserve">项情形，供应商已随投标（响应）文件一并提交相关书面说明及必要的证明材料的，在评审现场可不再重复提交。</w:t>
      </w:r>
      <w:r/>
    </w:p>
    <w:p>
      <w:pPr>
        <w:ind w:firstLine="315"/>
        <w:jc w:val="both"/>
        <w:spacing w:after="12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Microsoft New Tai Lue"/>
          <w:color w:val="auto"/>
          <w:sz w:val="21"/>
          <w:szCs w:val="21"/>
          <w:highlight w:val="none"/>
          <w:lang w:val="en-US" w:eastAsia="zh-CN" w:bidi="ar"/>
        </w:rPr>
        <w:t xml:space="preserve">评标委员会</w:t>
      </w:r>
      <w:r>
        <w:rPr>
          <w:rFonts w:hint="default" w:ascii="宋体" w:hAnsi="宋体" w:eastAsia="宋体" w:cs="Microsoft New Tai Lue"/>
          <w:color w:val="auto"/>
          <w:sz w:val="21"/>
          <w:szCs w:val="21"/>
          <w:highlight w:val="none"/>
          <w:lang w:val="en-US" w:eastAsia="zh-CN"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Microsoft New Tai Lue"/>
          <w:color w:val="auto"/>
          <w:sz w:val="21"/>
          <w:szCs w:val="21"/>
          <w:highlight w:val="none"/>
          <w:lang w:val="en-US" w:eastAsia="zh-CN" w:bidi="ar"/>
        </w:rPr>
        <w:t xml:space="preserve">评标委员会</w:t>
      </w:r>
      <w:r>
        <w:rPr>
          <w:rFonts w:hint="default" w:ascii="宋体" w:hAnsi="宋体" w:eastAsia="宋体" w:cs="Microsoft New Tai Lue"/>
          <w:color w:val="auto"/>
          <w:sz w:val="21"/>
          <w:szCs w:val="21"/>
          <w:highlight w:val="none"/>
          <w:lang w:val="en-US" w:eastAsia="zh-CN" w:bidi="ar"/>
        </w:rPr>
        <w:t xml:space="preserve">应当将其作为无效投标（响应）处理。</w:t>
      </w:r>
      <w:bookmarkEnd w:id="192"/>
      <w:r/>
      <w:r/>
    </w:p>
    <w:p>
      <w:pPr>
        <w:ind w:firstLine="316"/>
        <w:spacing w:line="360" w:lineRule="auto"/>
        <w:rPr>
          <w:rFonts w:hint="eastAsia" w:ascii="宋体" w:hAnsi="宋体" w:cs="Times New Roman"/>
          <w:b/>
          <w:bCs/>
          <w:color w:val="auto"/>
          <w:szCs w:val="21"/>
          <w:highlight w:val="none"/>
          <w:lang w:val="zh-CN" w:eastAsia="zh-CN" w:bidi="ar-SA"/>
        </w:rPr>
      </w:pPr>
      <w:r/>
      <w:bookmarkStart w:id="203" w:name="_Toc103848557"/>
      <w:r/>
      <w:bookmarkStart w:id="204" w:name="_Toc107246251"/>
      <w:r/>
      <w:bookmarkStart w:id="205" w:name="_Toc104560872"/>
      <w:r>
        <w:rPr>
          <w:rFonts w:ascii="宋体" w:hAnsi="宋体" w:cs="宋体"/>
          <w:b/>
          <w:bCs/>
          <w:color w:val="auto"/>
          <w:szCs w:val="21"/>
          <w:highlight w:val="none"/>
          <w:lang w:val="zh-CN" w:eastAsia="zh-CN" w:bidi="ar-SA"/>
        </w:rPr>
        <w:t xml:space="preserve">30.3</w:t>
      </w:r>
      <w:r>
        <w:rPr>
          <w:rFonts w:hint="eastAsia" w:ascii="宋体" w:hAnsi="宋体" w:cs="宋体"/>
          <w:b/>
          <w:bCs/>
          <w:color w:val="auto"/>
          <w:szCs w:val="21"/>
          <w:highlight w:val="none"/>
          <w:lang w:val="zh-CN" w:eastAsia="zh-CN" w:bidi="ar-SA"/>
        </w:rPr>
        <w:t xml:space="preserve">投标文件澄清</w:t>
      </w:r>
      <w:bookmarkEnd w:id="203"/>
      <w:r/>
      <w:bookmarkEnd w:id="204"/>
      <w:r/>
      <w:bookmarkEnd w:id="205"/>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30.3.1评标期间，为有助于对投标文件的审查、评价和比较，评委会有权以电子函件形式要求投标人对其投标文件进行澄清，但并非对每个投标人都作澄清要求。</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30.3.2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30.3.3 接到评委会澄清要求的投标人如未按规定做出澄清，其风险由投标人自行承担。</w:t>
      </w:r>
      <w:r/>
    </w:p>
    <w:p>
      <w:pPr>
        <w:ind w:firstLine="316"/>
        <w:spacing w:line="360" w:lineRule="auto"/>
        <w:rPr>
          <w:rFonts w:hint="eastAsia" w:ascii="宋体" w:hAnsi="宋体" w:cs="Times New Roman"/>
          <w:b/>
          <w:bCs/>
          <w:color w:val="auto"/>
          <w:szCs w:val="21"/>
          <w:highlight w:val="none"/>
          <w:lang w:val="zh-CN" w:eastAsia="zh-CN" w:bidi="ar-SA"/>
        </w:rPr>
      </w:pPr>
      <w:r/>
      <w:bookmarkStart w:id="206" w:name="_Toc107246252"/>
      <w:r>
        <w:rPr>
          <w:rFonts w:ascii="宋体" w:hAnsi="宋体" w:cs="宋体"/>
          <w:b/>
          <w:bCs/>
          <w:color w:val="auto"/>
          <w:szCs w:val="21"/>
          <w:highlight w:val="none"/>
          <w:lang w:val="zh-CN" w:eastAsia="zh-CN" w:bidi="ar-SA"/>
        </w:rPr>
        <w:t xml:space="preserve">30.4</w:t>
      </w:r>
      <w:bookmarkEnd w:id="206"/>
      <w:r>
        <w:rPr>
          <w:rFonts w:hint="eastAsia" w:ascii="宋体" w:hAnsi="宋体" w:cs="宋体"/>
          <w:b/>
          <w:bCs/>
          <w:color w:val="auto"/>
          <w:szCs w:val="21"/>
          <w:highlight w:val="none"/>
          <w:lang w:val="zh-CN" w:eastAsia="zh-CN" w:bidi="ar-SA"/>
        </w:rPr>
        <w:t xml:space="preserve">报价修正</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30.4.1</w:t>
      </w:r>
      <w:r>
        <w:rPr>
          <w:rFonts w:hint="eastAsia" w:ascii="宋体" w:hAnsi="宋体" w:cs="宋体"/>
          <w:color w:val="auto"/>
          <w:szCs w:val="21"/>
          <w:highlight w:val="none"/>
          <w:lang w:val="en-US" w:eastAsia="zh-CN" w:bidi="ar-SA"/>
        </w:rPr>
        <w:t xml:space="preserve">投标文件报价出现前后不一致的，除招标文件另有规定外，按照下列规定修正：</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（1）投标文件中开标一览表内容与投标文件中相应内容不一致的，以开标一览表为准。</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（2）大写金额与小写金额不一致的，以大写金额为准。</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（3）单价金额小数点或者百分比有明显错位的，以开标一览表的总价为准，并修改单价。</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（4）总价金额与按单价汇总金额不一致的，以单价金额计算结果为准。</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同时出现两种以上错误的，按照前款规定的顺序修正。</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ind w:firstLine="316"/>
        <w:spacing w:line="360" w:lineRule="auto"/>
        <w:rPr>
          <w:rFonts w:hint="eastAsia" w:ascii="宋体" w:hAnsi="宋体" w:cs="Times New Roman"/>
          <w:b/>
          <w:bCs/>
          <w:color w:val="auto"/>
          <w:szCs w:val="21"/>
          <w:highlight w:val="none"/>
          <w:lang w:val="zh-CN" w:eastAsia="zh-CN" w:bidi="ar-SA"/>
        </w:rPr>
      </w:pPr>
      <w:r/>
      <w:bookmarkStart w:id="207" w:name="_Toc107246253"/>
      <w:r/>
      <w:bookmarkStart w:id="208" w:name="_Toc104560873"/>
      <w:r/>
      <w:bookmarkStart w:id="209" w:name="_Toc103848558"/>
      <w:r>
        <w:rPr>
          <w:rFonts w:ascii="宋体" w:hAnsi="宋体" w:cs="宋体"/>
          <w:b/>
          <w:bCs/>
          <w:color w:val="auto"/>
          <w:szCs w:val="21"/>
          <w:highlight w:val="none"/>
          <w:lang w:val="zh-CN" w:eastAsia="zh-CN" w:bidi="ar-SA"/>
        </w:rPr>
        <w:t xml:space="preserve">30.5</w:t>
      </w:r>
      <w:r>
        <w:rPr>
          <w:rFonts w:hint="eastAsia" w:ascii="宋体" w:hAnsi="宋体" w:cs="宋体"/>
          <w:b/>
          <w:bCs/>
          <w:color w:val="auto"/>
          <w:szCs w:val="21"/>
          <w:highlight w:val="none"/>
          <w:lang w:val="zh-CN" w:eastAsia="zh-CN" w:bidi="ar-SA"/>
        </w:rPr>
        <w:t xml:space="preserve">同品牌多家投标人处理原则</w:t>
      </w:r>
      <w:bookmarkEnd w:id="207"/>
      <w:r/>
      <w:bookmarkEnd w:id="208"/>
      <w:r/>
      <w:bookmarkEnd w:id="209"/>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30.5.1</w:t>
      </w:r>
      <w:r>
        <w:rPr>
          <w:rFonts w:hint="eastAsia" w:ascii="宋体" w:hAnsi="宋体" w:cs="宋体"/>
          <w:color w:val="auto"/>
          <w:szCs w:val="21"/>
          <w:highlight w:val="none"/>
          <w:lang w:val="en-US" w:eastAsia="zh-CN" w:bidi="ar-SA"/>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30.5.2</w:t>
      </w:r>
      <w:r>
        <w:rPr>
          <w:rFonts w:hint="eastAsia" w:ascii="宋体" w:hAnsi="宋体" w:cs="宋体"/>
          <w:color w:val="auto"/>
          <w:szCs w:val="21"/>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30.5.3</w:t>
      </w:r>
      <w:r>
        <w:rPr>
          <w:rFonts w:hint="eastAsia" w:ascii="宋体" w:hAnsi="宋体" w:cs="宋体"/>
          <w:color w:val="auto"/>
          <w:szCs w:val="21"/>
          <w:highlight w:val="none"/>
          <w:lang w:val="en-US" w:eastAsia="zh-CN" w:bidi="ar-SA"/>
        </w:rPr>
        <w:t xml:space="preserve">非单一产品采购项目，根据采购项目技术构成、产品价格比重等合理确定核心产品，核心产品见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。多家投标人提供的核心产品品牌相同的，按前两款规定处理。</w:t>
      </w:r>
      <w:r/>
    </w:p>
    <w:p>
      <w:pPr>
        <w:ind w:firstLine="316"/>
        <w:spacing w:line="360" w:lineRule="auto"/>
        <w:rPr>
          <w:rFonts w:hint="eastAsia" w:ascii="宋体" w:hAnsi="宋体" w:cs="Times New Roman"/>
          <w:b/>
          <w:bCs/>
          <w:color w:val="auto"/>
          <w:szCs w:val="21"/>
          <w:highlight w:val="none"/>
          <w:lang w:val="zh-CN" w:eastAsia="zh-CN" w:bidi="ar-SA"/>
        </w:rPr>
      </w:pPr>
      <w:r/>
      <w:bookmarkStart w:id="210" w:name="_Toc104560874"/>
      <w:r/>
      <w:bookmarkStart w:id="211" w:name="_Toc103848559"/>
      <w:r/>
      <w:bookmarkStart w:id="212" w:name="_Toc107246254"/>
      <w:r>
        <w:rPr>
          <w:rFonts w:ascii="宋体" w:hAnsi="宋体" w:cs="宋体"/>
          <w:b/>
          <w:bCs/>
          <w:color w:val="auto"/>
          <w:szCs w:val="21"/>
          <w:highlight w:val="none"/>
          <w:lang w:val="zh-CN" w:eastAsia="zh-CN" w:bidi="ar-SA"/>
        </w:rPr>
        <w:t xml:space="preserve">30.6</w:t>
      </w:r>
      <w:r>
        <w:rPr>
          <w:rFonts w:hint="eastAsia" w:ascii="宋体" w:hAnsi="宋体" w:cs="宋体"/>
          <w:b/>
          <w:bCs/>
          <w:color w:val="auto"/>
          <w:szCs w:val="21"/>
          <w:highlight w:val="none"/>
          <w:lang w:val="zh-CN" w:eastAsia="zh-CN" w:bidi="ar-SA"/>
        </w:rPr>
        <w:t xml:space="preserve">比较与评价</w:t>
      </w:r>
      <w:bookmarkEnd w:id="210"/>
      <w:r/>
      <w:bookmarkEnd w:id="211"/>
      <w:r/>
      <w:bookmarkEnd w:id="212"/>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30.6.1</w:t>
      </w:r>
      <w:r>
        <w:rPr>
          <w:rFonts w:hint="eastAsia" w:ascii="宋体" w:hAnsi="宋体" w:cs="宋体"/>
          <w:color w:val="auto"/>
          <w:szCs w:val="21"/>
          <w:highlight w:val="none"/>
          <w:lang w:val="en-US" w:eastAsia="zh-CN" w:bidi="ar-SA"/>
        </w:rPr>
        <w:t xml:space="preserve">评标委员会应当按照招标文件中第五章《评标方法和评标标准》，对符合性审查合格的投标文件进行比较与评价。</w:t>
      </w:r>
      <w:r/>
    </w:p>
    <w:p>
      <w:pPr>
        <w:ind w:firstLine="316"/>
        <w:spacing w:line="360" w:lineRule="auto"/>
        <w:rPr>
          <w:rFonts w:hint="eastAsia" w:ascii="宋体" w:hAnsi="宋体" w:cs="Times New Roman"/>
          <w:b/>
          <w:bCs/>
          <w:color w:val="auto"/>
          <w:szCs w:val="21"/>
          <w:highlight w:val="none"/>
          <w:lang w:val="zh-CN" w:eastAsia="zh-CN" w:bidi="ar-SA"/>
        </w:rPr>
      </w:pPr>
      <w:r/>
      <w:bookmarkStart w:id="213" w:name="_Toc107246255"/>
      <w:r>
        <w:rPr>
          <w:rFonts w:ascii="宋体" w:hAnsi="宋体" w:cs="宋体"/>
          <w:b/>
          <w:bCs/>
          <w:color w:val="auto"/>
          <w:szCs w:val="21"/>
          <w:highlight w:val="none"/>
          <w:lang w:val="zh-CN" w:eastAsia="zh-CN" w:bidi="ar-SA"/>
        </w:rPr>
        <w:t xml:space="preserve">30.7</w:t>
      </w:r>
      <w:r>
        <w:rPr>
          <w:rFonts w:hint="eastAsia" w:ascii="宋体" w:hAnsi="宋体" w:cs="宋体"/>
          <w:b/>
          <w:bCs/>
          <w:color w:val="auto"/>
          <w:szCs w:val="21"/>
          <w:highlight w:val="none"/>
          <w:lang w:val="zh-CN" w:eastAsia="zh-CN" w:bidi="ar-SA"/>
        </w:rPr>
        <w:t xml:space="preserve">编写评标报告</w:t>
      </w:r>
      <w:bookmarkEnd w:id="213"/>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30.7.1</w:t>
      </w:r>
      <w:r>
        <w:rPr>
          <w:rFonts w:hint="eastAsia" w:ascii="宋体" w:hAnsi="宋体" w:cs="宋体"/>
          <w:color w:val="auto"/>
          <w:szCs w:val="21"/>
          <w:highlight w:val="none"/>
          <w:lang w:val="en-US" w:eastAsia="zh-CN" w:bidi="ar-SA"/>
        </w:rPr>
        <w:t xml:space="preserve">评标委员会根据全体评标成员签字的原始评标记录和评标结果编写评标报告。</w:t>
      </w:r>
      <w:r/>
    </w:p>
    <w:p>
      <w:pPr>
        <w:ind w:firstLine="316"/>
        <w:spacing w:line="360" w:lineRule="auto"/>
        <w:rPr>
          <w:rFonts w:hint="eastAsia" w:ascii="宋体" w:hAnsi="宋体" w:cs="Times New Roman"/>
          <w:b/>
          <w:bCs/>
          <w:color w:val="auto"/>
          <w:szCs w:val="21"/>
          <w:highlight w:val="none"/>
          <w:lang w:val="zh-CN" w:eastAsia="zh-CN" w:bidi="ar-SA"/>
        </w:rPr>
      </w:pPr>
      <w:r/>
      <w:bookmarkStart w:id="214" w:name="_Toc103848561"/>
      <w:r/>
      <w:bookmarkStart w:id="215" w:name="_Toc107246256"/>
      <w:r/>
      <w:bookmarkStart w:id="216" w:name="_Toc104560876"/>
      <w:r>
        <w:rPr>
          <w:rFonts w:ascii="宋体" w:hAnsi="宋体" w:cs="宋体"/>
          <w:b/>
          <w:bCs/>
          <w:color w:val="auto"/>
          <w:szCs w:val="21"/>
          <w:highlight w:val="none"/>
          <w:lang w:val="zh-CN" w:eastAsia="zh-CN" w:bidi="ar-SA"/>
        </w:rPr>
        <w:t xml:space="preserve">30.8</w:t>
      </w:r>
      <w:r>
        <w:rPr>
          <w:rFonts w:hint="eastAsia" w:ascii="宋体" w:hAnsi="宋体" w:cs="宋体"/>
          <w:b/>
          <w:bCs/>
          <w:color w:val="auto"/>
          <w:szCs w:val="21"/>
          <w:highlight w:val="none"/>
          <w:lang w:val="zh-CN" w:eastAsia="zh-CN" w:bidi="ar-SA"/>
        </w:rPr>
        <w:t xml:space="preserve">评标过程的保密</w:t>
      </w:r>
      <w:bookmarkEnd w:id="214"/>
      <w:r/>
      <w:bookmarkEnd w:id="215"/>
      <w:r/>
      <w:bookmarkEnd w:id="216"/>
      <w:r>
        <w:rPr>
          <w:rFonts w:ascii="宋体" w:hAnsi="宋体" w:cs="Times New Roman"/>
          <w:b/>
          <w:bCs/>
          <w:color w:val="auto"/>
          <w:szCs w:val="21"/>
          <w:highlight w:val="none"/>
          <w:lang w:val="zh-CN" w:eastAsia="zh-CN" w:bidi="ar-SA"/>
        </w:rPr>
        <w:tab/>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30.8.1公开开标后，直至签订合同之日止，凡是与审查、澄清、评价和比较投标的有关资料以及授标建议等，采购人、评委、代理机构工作人员均不得向投标人或与评标无关的其他人员透露。</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30.8.2在评标过程中，投标人不得以任何行为影响评标过程，否则其投标文件将被作为无效投标文件。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30.8.3 在评标期间，代理机构将设专门工作人员与投标人联系。</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30.8.4 代理机构和评委会不向未中标的投标人解释未中标原因，也不公布评标过程中的相关细节。</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30.8.5 采用综合评分法的项目，未中标的投标人可于中标结果公告期限届满之日起通过“政府采购管理交易系统（苏采云）”查看自己的评审得分及排序情况。</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217" w:name="_Toc2673"/>
      <w:r/>
      <w:bookmarkStart w:id="218" w:name="_Toc107246257"/>
      <w:r>
        <w:rPr>
          <w:rFonts w:hint="eastAsia" w:ascii="宋体" w:hAnsi="宋体" w:eastAsia="宋体" w:cs="宋体"/>
          <w:b/>
          <w:bCs/>
          <w:color w:val="auto"/>
          <w:sz w:val="21"/>
          <w:szCs w:val="21"/>
          <w:highlight w:val="none"/>
          <w:lang w:val="en-US" w:eastAsia="zh-CN" w:bidi="ar-SA"/>
        </w:rPr>
        <w:t xml:space="preserve">六．确定中标</w:t>
      </w:r>
      <w:bookmarkEnd w:id="217"/>
      <w:r/>
      <w:bookmarkEnd w:id="218"/>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19" w:name="_Toc103848563"/>
      <w:r/>
      <w:bookmarkStart w:id="220" w:name="_Toc104560878"/>
      <w:r/>
      <w:bookmarkStart w:id="221" w:name="_Toc107246258"/>
      <w:r>
        <w:rPr>
          <w:rFonts w:hint="default" w:ascii="宋体" w:hAnsi="宋体" w:eastAsia="宋体" w:cs="宋体"/>
          <w:b/>
          <w:bCs/>
          <w:color w:val="auto"/>
          <w:sz w:val="21"/>
          <w:szCs w:val="21"/>
          <w:highlight w:val="none"/>
          <w:lang w:val="en-US" w:eastAsia="zh-CN" w:bidi="ar-SA"/>
        </w:rPr>
        <w:t xml:space="preserve">31.</w:t>
      </w:r>
      <w:r>
        <w:rPr>
          <w:rFonts w:hint="eastAsia" w:ascii="宋体" w:hAnsi="宋体" w:eastAsia="宋体" w:cs="宋体"/>
          <w:b/>
          <w:bCs/>
          <w:color w:val="auto"/>
          <w:sz w:val="21"/>
          <w:szCs w:val="21"/>
          <w:highlight w:val="none"/>
          <w:lang w:val="en-US" w:eastAsia="zh-CN" w:bidi="ar-SA"/>
        </w:rPr>
        <w:t xml:space="preserve">确定中标</w:t>
      </w:r>
      <w:bookmarkEnd w:id="219"/>
      <w:r/>
      <w:bookmarkEnd w:id="220"/>
      <w:r>
        <w:rPr>
          <w:rFonts w:hint="eastAsia" w:ascii="宋体" w:hAnsi="宋体" w:eastAsia="宋体" w:cs="宋体"/>
          <w:b/>
          <w:bCs/>
          <w:color w:val="auto"/>
          <w:sz w:val="21"/>
          <w:szCs w:val="21"/>
          <w:highlight w:val="none"/>
          <w:lang w:val="en-US" w:eastAsia="zh-CN" w:bidi="ar-SA"/>
        </w:rPr>
        <w:t xml:space="preserve">人</w:t>
      </w:r>
      <w:bookmarkEnd w:id="221"/>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31.1</w:t>
      </w:r>
      <w:r>
        <w:rPr>
          <w:rFonts w:hint="eastAsia" w:ascii="宋体" w:hAnsi="宋体" w:cs="宋体"/>
          <w:color w:val="auto"/>
          <w:szCs w:val="21"/>
          <w:highlight w:val="none"/>
          <w:lang w:val="en-US" w:eastAsia="zh-CN" w:bidi="ar-SA"/>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31.2</w:t>
      </w:r>
      <w:r>
        <w:rPr>
          <w:rFonts w:hint="eastAsia" w:ascii="宋体" w:hAnsi="宋体" w:cs="宋体"/>
          <w:color w:val="auto"/>
          <w:szCs w:val="21"/>
          <w:highlight w:val="none"/>
          <w:lang w:val="en-US" w:eastAsia="zh-CN"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Arial" w:hAnsi="Arial" w:eastAsia="Arial" w:cs="宋体"/>
          <w:color w:val="auto"/>
          <w:szCs w:val="21"/>
          <w:highlight w:val="none"/>
          <w:lang w:val="en-US" w:eastAsia="zh-CN" w:bidi="ar-SA"/>
        </w:rPr>
        <w:t xml:space="preserve">（具体按第五章执行）</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31.3</w:t>
      </w:r>
      <w:r>
        <w:rPr>
          <w:rFonts w:hint="eastAsia" w:ascii="宋体" w:hAnsi="宋体" w:cs="宋体"/>
          <w:color w:val="auto"/>
          <w:szCs w:val="21"/>
          <w:highlight w:val="none"/>
          <w:lang w:val="en-US" w:eastAsia="zh-CN" w:bidi="ar-SA"/>
        </w:rPr>
        <w:t xml:space="preserve">中标候选人并列的，由采购人或者采购人委托评标委员会按照</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规定的方式确定中标人。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31.4</w:t>
      </w:r>
      <w:r>
        <w:rPr>
          <w:rFonts w:hint="eastAsia" w:ascii="宋体" w:hAnsi="宋体" w:cs="宋体"/>
          <w:color w:val="auto"/>
          <w:szCs w:val="21"/>
          <w:highlight w:val="none"/>
          <w:lang w:val="en-US" w:eastAsia="zh-CN" w:bidi="ar-SA"/>
        </w:rPr>
        <w:t xml:space="preserve">评审结束后，中标人名单将在省级以上财政部门指定的媒体上公告中标结果，中标公告期为</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个工作日，公告媒体见</w:t>
      </w:r>
      <w:r>
        <w:rPr>
          <w:rFonts w:hint="eastAsia" w:ascii="宋体" w:hAnsi="宋体" w:cs="宋体"/>
          <w:b/>
          <w:bCs/>
          <w:color w:val="auto"/>
          <w:szCs w:val="21"/>
          <w:highlight w:val="none"/>
          <w:lang w:val="en-US" w:eastAsia="zh-CN" w:bidi="ar-SA"/>
        </w:rPr>
        <w:t xml:space="preserve">投标人须知前附表。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22" w:name="_Toc107246259"/>
      <w:r/>
      <w:bookmarkStart w:id="223" w:name="_Toc103848564"/>
      <w:r/>
      <w:bookmarkStart w:id="224" w:name="_Toc104560879"/>
      <w:r>
        <w:rPr>
          <w:rFonts w:hint="default" w:ascii="宋体" w:hAnsi="宋体" w:eastAsia="宋体" w:cs="宋体"/>
          <w:b/>
          <w:bCs/>
          <w:color w:val="auto"/>
          <w:sz w:val="21"/>
          <w:szCs w:val="21"/>
          <w:highlight w:val="none"/>
          <w:lang w:val="en-US" w:eastAsia="zh-CN" w:bidi="ar-SA"/>
        </w:rPr>
        <w:t xml:space="preserve">32.</w:t>
      </w:r>
      <w:r>
        <w:rPr>
          <w:rFonts w:hint="eastAsia" w:ascii="宋体" w:hAnsi="宋体" w:eastAsia="宋体" w:cs="宋体"/>
          <w:b/>
          <w:bCs/>
          <w:color w:val="auto"/>
          <w:sz w:val="21"/>
          <w:szCs w:val="21"/>
          <w:highlight w:val="none"/>
          <w:lang w:val="en-US" w:eastAsia="zh-CN" w:bidi="ar-SA"/>
        </w:rPr>
        <w:t xml:space="preserve">中标通知书</w:t>
      </w:r>
      <w:bookmarkEnd w:id="222"/>
      <w:r/>
      <w:bookmarkEnd w:id="223"/>
      <w:r/>
      <w:bookmarkEnd w:id="224"/>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32.1</w:t>
      </w:r>
      <w:r>
        <w:rPr>
          <w:rFonts w:hint="eastAsia" w:ascii="宋体" w:hAnsi="宋体" w:cs="宋体"/>
          <w:color w:val="auto"/>
          <w:szCs w:val="21"/>
          <w:highlight w:val="none"/>
          <w:lang w:val="en-US" w:eastAsia="zh-CN" w:bidi="ar-SA"/>
        </w:rPr>
        <w:t xml:space="preserve">采购代理机构将在中标公告发布的同时向中标人发出中标通知书。</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32.2</w:t>
      </w:r>
      <w:r>
        <w:rPr>
          <w:rFonts w:hint="eastAsia" w:ascii="宋体" w:hAnsi="宋体" w:cs="宋体"/>
          <w:color w:val="auto"/>
          <w:szCs w:val="21"/>
          <w:highlight w:val="none"/>
          <w:lang w:val="en-US" w:eastAsia="zh-CN" w:bidi="ar-SA"/>
        </w:rPr>
        <w:t xml:space="preserve">中标通知书将是合同的组成部分。对采购人和中标人均具有法律效力。</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32.3</w:t>
      </w:r>
      <w:bookmarkStart w:id="225" w:name="_Toc104560875"/>
      <w:r/>
      <w:bookmarkStart w:id="226" w:name="_Toc103848560"/>
      <w:r>
        <w:rPr>
          <w:rFonts w:hint="eastAsia" w:ascii="宋体" w:hAnsi="宋体" w:cs="宋体"/>
          <w:color w:val="auto"/>
          <w:szCs w:val="21"/>
          <w:highlight w:val="none"/>
          <w:lang w:val="en-US" w:eastAsia="zh-CN" w:bidi="ar-SA"/>
        </w:rPr>
        <w:t xml:space="preserve">中标通知书发出后，中标人无正当理由不得放弃中标，否则将依法承担法律责任。</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27" w:name="_Toc107246260"/>
      <w:r>
        <w:rPr>
          <w:rFonts w:hint="default" w:ascii="宋体" w:hAnsi="宋体" w:eastAsia="宋体" w:cs="宋体"/>
          <w:b/>
          <w:bCs/>
          <w:color w:val="auto"/>
          <w:sz w:val="21"/>
          <w:szCs w:val="21"/>
          <w:highlight w:val="none"/>
          <w:lang w:val="en-US" w:eastAsia="zh-CN" w:bidi="ar-SA"/>
        </w:rPr>
        <w:t xml:space="preserve">33.</w:t>
      </w:r>
      <w:r>
        <w:rPr>
          <w:rFonts w:hint="eastAsia" w:ascii="宋体" w:hAnsi="宋体" w:eastAsia="宋体" w:cs="宋体"/>
          <w:b/>
          <w:bCs/>
          <w:color w:val="auto"/>
          <w:sz w:val="21"/>
          <w:szCs w:val="21"/>
          <w:highlight w:val="none"/>
          <w:lang w:val="en-US" w:eastAsia="zh-CN" w:bidi="ar-SA"/>
        </w:rPr>
        <w:t xml:space="preserve">废标</w:t>
      </w:r>
      <w:bookmarkEnd w:id="225"/>
      <w:r/>
      <w:bookmarkEnd w:id="226"/>
      <w:r/>
      <w:bookmarkEnd w:id="227"/>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33.1</w:t>
      </w:r>
      <w:r>
        <w:rPr>
          <w:rFonts w:hint="eastAsia" w:ascii="宋体" w:hAnsi="宋体" w:cs="宋体"/>
          <w:b/>
          <w:bCs/>
          <w:color w:val="auto"/>
          <w:szCs w:val="21"/>
          <w:highlight w:val="none"/>
          <w:lang w:val="en-US" w:eastAsia="zh-CN" w:bidi="ar-SA"/>
        </w:rPr>
        <w:t xml:space="preserve">出现下列情形之一的，应予废标：</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33.1.1符合专业条件的投标人或者对采购文件作实质响应的投标人不足三家的。</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33.1.2出现影响采购公正的违法、违规行为的。</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33.1.3因重大变故，采购任务取消的。</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33.1.4评委会认定采购文件存在歧义、重大缺陷导致评审工作无法进行。</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33.2</w:t>
      </w:r>
      <w:r>
        <w:rPr>
          <w:rFonts w:hint="eastAsia" w:ascii="宋体" w:hAnsi="宋体" w:cs="宋体"/>
          <w:color w:val="auto"/>
          <w:szCs w:val="21"/>
          <w:highlight w:val="none"/>
          <w:lang w:val="en-US" w:eastAsia="zh-CN" w:bidi="ar-SA"/>
        </w:rPr>
        <w:t xml:space="preserve">废标后，采购人将废标理由通知所有投标人。</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28" w:name="_Toc104560880"/>
      <w:r/>
      <w:bookmarkStart w:id="229" w:name="_Toc107246261"/>
      <w:r/>
      <w:bookmarkStart w:id="230" w:name="_Toc103848565"/>
      <w:r/>
      <w:bookmarkStart w:id="231" w:name="_Toc20823309"/>
      <w:r/>
      <w:bookmarkStart w:id="232" w:name="_Toc16938553"/>
      <w:r/>
      <w:bookmarkStart w:id="233" w:name="_Toc513029237"/>
      <w:r>
        <w:rPr>
          <w:rFonts w:hint="default" w:ascii="宋体" w:hAnsi="宋体" w:eastAsia="宋体" w:cs="宋体"/>
          <w:b/>
          <w:bCs/>
          <w:color w:val="auto"/>
          <w:sz w:val="21"/>
          <w:szCs w:val="21"/>
          <w:highlight w:val="none"/>
          <w:lang w:val="en-US" w:eastAsia="zh-CN" w:bidi="ar-SA"/>
        </w:rPr>
        <w:t xml:space="preserve">34.</w:t>
      </w:r>
      <w:r>
        <w:rPr>
          <w:rFonts w:hint="eastAsia" w:ascii="宋体" w:hAnsi="宋体" w:eastAsia="宋体" w:cs="宋体"/>
          <w:b/>
          <w:bCs/>
          <w:color w:val="auto"/>
          <w:sz w:val="21"/>
          <w:szCs w:val="21"/>
          <w:highlight w:val="none"/>
          <w:lang w:val="en-US" w:eastAsia="zh-CN" w:bidi="ar-SA"/>
        </w:rPr>
        <w:t xml:space="preserve">签订合同</w:t>
      </w:r>
      <w:bookmarkEnd w:id="228"/>
      <w:r/>
      <w:bookmarkEnd w:id="229"/>
      <w:r/>
      <w:bookmarkEnd w:id="230"/>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34.1</w:t>
      </w:r>
      <w:r>
        <w:rPr>
          <w:rFonts w:hint="eastAsia" w:ascii="宋体" w:hAnsi="宋体" w:cs="宋体"/>
          <w:color w:val="auto"/>
          <w:szCs w:val="21"/>
          <w:highlight w:val="none"/>
          <w:lang w:val="en-US" w:eastAsia="zh-CN" w:bidi="ar-SA"/>
        </w:rPr>
        <w:t xml:space="preserve">中标人、采购人应当自中标通知书发出之日起</w:t>
      </w:r>
      <w:r>
        <w:rPr>
          <w:rFonts w:ascii="宋体" w:hAnsi="宋体" w:cs="宋体"/>
          <w:color w:val="auto"/>
          <w:szCs w:val="21"/>
          <w:highlight w:val="none"/>
          <w:lang w:val="en-US" w:eastAsia="zh-CN" w:bidi="ar-SA"/>
        </w:rPr>
        <w:t xml:space="preserve">30</w:t>
      </w:r>
      <w:r>
        <w:rPr>
          <w:rFonts w:hint="eastAsia" w:ascii="宋体" w:hAnsi="宋体" w:cs="宋体"/>
          <w:color w:val="auto"/>
          <w:szCs w:val="21"/>
          <w:highlight w:val="none"/>
          <w:lang w:val="en-US" w:eastAsia="zh-CN" w:bidi="ar-SA"/>
        </w:rPr>
        <w:t xml:space="preserve">日内，按照招标文件和中标人投标文件的规定签订书面合同。所签订的合同不得对招标文件确定的事项和中标人投标文件作实质性修改。</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34.2</w:t>
      </w:r>
      <w:r>
        <w:rPr>
          <w:rFonts w:hint="eastAsia" w:ascii="宋体" w:hAnsi="宋体" w:cs="宋体"/>
          <w:color w:val="auto"/>
          <w:szCs w:val="21"/>
          <w:highlight w:val="none"/>
          <w:lang w:val="en-US" w:eastAsia="zh-CN" w:bidi="ar-SA"/>
        </w:rPr>
        <w:t xml:space="preserve">中标人拒绝与采购人签订合同的，采购人可以按照评标报告推荐的中标候选人名单排序，确定下一候选人为中标人，也可以重新开展政府采购活动。</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34.3</w:t>
      </w:r>
      <w:r>
        <w:rPr>
          <w:rFonts w:hint="eastAsia" w:ascii="宋体" w:hAnsi="宋体" w:cs="宋体"/>
          <w:color w:val="auto"/>
          <w:szCs w:val="21"/>
          <w:highlight w:val="none"/>
          <w:lang w:val="en-US" w:eastAsia="zh-CN" w:bidi="ar-SA"/>
        </w:rPr>
        <w:t xml:space="preserve">联合体中标的，联合体各方应当共同与采购人签订合同，就中标项目向采购人承担连带责任。</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34.4</w:t>
      </w:r>
      <w:r>
        <w:rPr>
          <w:rFonts w:hint="eastAsia" w:ascii="宋体" w:hAnsi="宋体" w:cs="宋体"/>
          <w:color w:val="auto"/>
          <w:szCs w:val="21"/>
          <w:highlight w:val="none"/>
          <w:lang w:val="en-US" w:eastAsia="zh-CN" w:bidi="ar-SA"/>
        </w:rPr>
        <w:t xml:space="preserve">政府采购合同不能转包。未经采购人同意，中标人也不得采用分包的形式履行合同，否则采购人有权终止合同。转包或分包造成采购人损失的，中标人应承担相应赔偿责任。</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34" w:name="_Toc103848567"/>
      <w:r/>
      <w:bookmarkStart w:id="235" w:name="_Toc104560881"/>
      <w:r/>
      <w:bookmarkStart w:id="236" w:name="_Toc107246262"/>
      <w:r>
        <w:rPr>
          <w:rFonts w:hint="default" w:ascii="宋体" w:hAnsi="宋体" w:eastAsia="宋体" w:cs="宋体"/>
          <w:b/>
          <w:bCs/>
          <w:color w:val="auto"/>
          <w:sz w:val="21"/>
          <w:szCs w:val="21"/>
          <w:highlight w:val="none"/>
          <w:lang w:val="en-US" w:eastAsia="zh-CN" w:bidi="ar-SA"/>
        </w:rPr>
        <w:t xml:space="preserve">35.</w:t>
      </w:r>
      <w:r>
        <w:rPr>
          <w:rFonts w:hint="eastAsia" w:ascii="宋体" w:hAnsi="宋体" w:eastAsia="宋体" w:cs="宋体"/>
          <w:b/>
          <w:bCs/>
          <w:color w:val="auto"/>
          <w:sz w:val="21"/>
          <w:szCs w:val="21"/>
          <w:highlight w:val="none"/>
          <w:lang w:val="en-US" w:eastAsia="zh-CN" w:bidi="ar-SA"/>
        </w:rPr>
        <w:t xml:space="preserve">履约</w:t>
      </w:r>
      <w:bookmarkEnd w:id="234"/>
      <w:r/>
      <w:bookmarkEnd w:id="235"/>
      <w:r/>
      <w:bookmarkEnd w:id="236"/>
      <w:r>
        <w:rPr>
          <w:rFonts w:hint="eastAsia" w:ascii="宋体" w:hAnsi="宋体" w:eastAsia="宋体" w:cs="宋体"/>
          <w:b/>
          <w:bCs/>
          <w:color w:val="auto"/>
          <w:sz w:val="21"/>
          <w:szCs w:val="21"/>
          <w:highlight w:val="none"/>
          <w:lang w:val="en-US" w:eastAsia="zh-CN" w:bidi="ar-SA"/>
        </w:rPr>
        <w:t xml:space="preserve">保函</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35.1</w:t>
      </w:r>
      <w:r>
        <w:rPr>
          <w:rFonts w:hint="eastAsia" w:ascii="宋体" w:hAnsi="宋体" w:cs="宋体"/>
          <w:color w:val="auto"/>
          <w:szCs w:val="21"/>
          <w:highlight w:val="none"/>
          <w:lang w:val="en-US" w:eastAsia="zh-CN" w:bidi="ar-SA"/>
        </w:rPr>
        <w:t xml:space="preserve">本项目是否缴纳履约保函见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35.2</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规定交纳履约保函的，中标人在签订采购合同前，向采购人提交履约保函。联合体成交的，履约保函以联合体各方或联合体中牵头人的名义提交。</w:t>
      </w:r>
      <w:r/>
    </w:p>
    <w:p>
      <w:pPr>
        <w:ind w:firstLine="316"/>
        <w:spacing w:line="360" w:lineRule="auto"/>
        <w:rPr>
          <w:rFonts w:hint="eastAsia" w:ascii="宋体" w:hAnsi="宋体" w:cs="Times New Roman"/>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35.3</w:t>
      </w:r>
      <w:r>
        <w:rPr>
          <w:rFonts w:hint="eastAsia" w:ascii="宋体" w:hAnsi="宋体" w:cs="宋体"/>
          <w:color w:val="auto"/>
          <w:szCs w:val="21"/>
          <w:highlight w:val="none"/>
          <w:lang w:val="en-US" w:eastAsia="zh-CN" w:bidi="ar-SA"/>
        </w:rPr>
        <w:t xml:space="preserve">中标人没有按照</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的规定提交履约保函的，视为放弃中标，其投标保证金不予退还。</w:t>
      </w:r>
      <w:bookmarkEnd w:id="231"/>
      <w:r/>
      <w:bookmarkEnd w:id="232"/>
      <w:r/>
      <w:bookmarkEnd w:id="233"/>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237" w:name="_Toc107246263"/>
      <w:r/>
      <w:bookmarkStart w:id="238" w:name="_Toc3009"/>
      <w:r>
        <w:rPr>
          <w:rFonts w:hint="eastAsia" w:ascii="宋体" w:hAnsi="宋体" w:eastAsia="宋体" w:cs="宋体"/>
          <w:b/>
          <w:bCs/>
          <w:color w:val="auto"/>
          <w:sz w:val="21"/>
          <w:szCs w:val="21"/>
          <w:highlight w:val="none"/>
          <w:lang w:val="en-US" w:eastAsia="zh-CN" w:bidi="ar-SA"/>
        </w:rPr>
        <w:t xml:space="preserve">七．</w:t>
      </w:r>
      <w:bookmarkStart w:id="239" w:name="_Toc103848569"/>
      <w:r>
        <w:rPr>
          <w:rFonts w:hint="eastAsia" w:ascii="宋体" w:hAnsi="宋体" w:eastAsia="宋体" w:cs="宋体"/>
          <w:b/>
          <w:bCs/>
          <w:color w:val="auto"/>
          <w:sz w:val="21"/>
          <w:szCs w:val="21"/>
          <w:highlight w:val="none"/>
          <w:lang w:val="en-US" w:eastAsia="zh-CN" w:bidi="ar-SA"/>
        </w:rPr>
        <w:t xml:space="preserve">询问与质疑</w:t>
      </w:r>
      <w:bookmarkEnd w:id="237"/>
      <w:r/>
      <w:bookmarkEnd w:id="238"/>
      <w:r/>
      <w:bookmarkEnd w:id="239"/>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40" w:name="_Toc104560883"/>
      <w:r/>
      <w:bookmarkStart w:id="241" w:name="_Toc102117305"/>
      <w:r/>
      <w:bookmarkStart w:id="242" w:name="_Toc107246264"/>
      <w:r>
        <w:rPr>
          <w:rFonts w:hint="default" w:ascii="宋体" w:hAnsi="宋体" w:eastAsia="宋体" w:cs="宋体"/>
          <w:b/>
          <w:bCs/>
          <w:color w:val="auto"/>
          <w:sz w:val="21"/>
          <w:szCs w:val="21"/>
          <w:highlight w:val="none"/>
          <w:lang w:val="en-US" w:eastAsia="zh-CN" w:bidi="ar-SA"/>
        </w:rPr>
        <w:t xml:space="preserve">36.</w:t>
      </w:r>
      <w:r>
        <w:rPr>
          <w:rFonts w:hint="eastAsia" w:ascii="宋体" w:hAnsi="宋体" w:eastAsia="宋体" w:cs="宋体"/>
          <w:b/>
          <w:bCs/>
          <w:color w:val="auto"/>
          <w:sz w:val="21"/>
          <w:szCs w:val="21"/>
          <w:highlight w:val="none"/>
          <w:lang w:val="en-US" w:eastAsia="zh-CN" w:bidi="ar-SA"/>
        </w:rPr>
        <w:t xml:space="preserve">询问</w:t>
      </w:r>
      <w:bookmarkEnd w:id="240"/>
      <w:r/>
      <w:bookmarkEnd w:id="241"/>
      <w:r/>
      <w:bookmarkEnd w:id="242"/>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36.1</w:t>
      </w:r>
      <w:r>
        <w:rPr>
          <w:rFonts w:hint="eastAsia" w:ascii="宋体" w:hAnsi="宋体" w:cs="宋体"/>
          <w:color w:val="auto"/>
          <w:szCs w:val="21"/>
          <w:highlight w:val="none"/>
          <w:lang w:val="en-US" w:eastAsia="zh-CN" w:bidi="ar-SA"/>
        </w:rPr>
        <w:t xml:space="preserve">供应商对政府采购活动事项有疑问的，可依法提出询问，并按</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载明的形式通知采购方。</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36.2</w:t>
      </w:r>
      <w:r>
        <w:rPr>
          <w:rFonts w:hint="eastAsia" w:ascii="宋体" w:hAnsi="宋体" w:cs="宋体"/>
          <w:color w:val="auto"/>
          <w:szCs w:val="21"/>
          <w:highlight w:val="none"/>
          <w:lang w:val="en-US" w:eastAsia="zh-CN" w:bidi="ar-SA"/>
        </w:rPr>
        <w:t xml:space="preserve">采购方对供应商依法提出的询问，在</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个工作日内作出答复，但答复的内容不得涉及商业秘密。</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43" w:name="_Toc104560884"/>
      <w:r/>
      <w:bookmarkStart w:id="244" w:name="_Toc107246265"/>
      <w:r/>
      <w:bookmarkStart w:id="245" w:name="_Toc102117306"/>
      <w:r>
        <w:rPr>
          <w:rFonts w:hint="default" w:ascii="宋体" w:hAnsi="宋体" w:eastAsia="宋体" w:cs="宋体"/>
          <w:b/>
          <w:bCs/>
          <w:color w:val="auto"/>
          <w:sz w:val="21"/>
          <w:szCs w:val="21"/>
          <w:highlight w:val="none"/>
          <w:lang w:val="en-US" w:eastAsia="zh-CN" w:bidi="ar-SA"/>
        </w:rPr>
        <w:t xml:space="preserve">37.</w:t>
      </w:r>
      <w:r>
        <w:rPr>
          <w:rFonts w:hint="eastAsia" w:ascii="宋体" w:hAnsi="宋体" w:eastAsia="宋体" w:cs="宋体"/>
          <w:b/>
          <w:bCs/>
          <w:color w:val="auto"/>
          <w:sz w:val="21"/>
          <w:szCs w:val="21"/>
          <w:highlight w:val="none"/>
          <w:lang w:val="en-US" w:eastAsia="zh-CN" w:bidi="ar-SA"/>
        </w:rPr>
        <w:t xml:space="preserve">质疑</w:t>
      </w:r>
      <w:bookmarkEnd w:id="243"/>
      <w:r/>
      <w:bookmarkEnd w:id="244"/>
      <w:r/>
      <w:bookmarkEnd w:id="245"/>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37.1</w:t>
      </w:r>
      <w:r>
        <w:rPr>
          <w:rFonts w:hint="eastAsia" w:ascii="宋体" w:hAnsi="宋体" w:cs="宋体"/>
          <w:color w:val="auto"/>
          <w:szCs w:val="21"/>
          <w:highlight w:val="none"/>
          <w:lang w:val="en-US" w:eastAsia="zh-CN" w:bidi="ar-SA"/>
        </w:rPr>
        <w:t xml:space="preserve">供应商认为采购文件、采购过程和成交结果使自己的权益受到损害的，可以在知道或者应知其权益受到损害之日起</w:t>
      </w:r>
      <w:r>
        <w:rPr>
          <w:rFonts w:ascii="宋体" w:hAnsi="宋体" w:cs="宋体"/>
          <w:color w:val="auto"/>
          <w:szCs w:val="21"/>
          <w:highlight w:val="none"/>
          <w:lang w:val="en-US" w:eastAsia="zh-CN" w:bidi="ar-SA"/>
        </w:rPr>
        <w:t xml:space="preserve">7</w:t>
      </w:r>
      <w:r>
        <w:rPr>
          <w:rFonts w:hint="eastAsia" w:ascii="宋体" w:hAnsi="宋体" w:cs="宋体"/>
          <w:color w:val="auto"/>
          <w:szCs w:val="21"/>
          <w:highlight w:val="none"/>
          <w:lang w:val="en-US" w:eastAsia="zh-CN" w:bidi="ar-SA"/>
        </w:rPr>
        <w:t xml:space="preserve">个工作日内，以</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的要求向采购方提出质疑。采购方将以书面形式答复质疑供应商，但答复的内容不涉及商业秘密。投标人在法定质疑期内针对同一采购程序环节的质疑必须一次性提出。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37.2</w:t>
      </w:r>
      <w:r>
        <w:rPr>
          <w:rFonts w:hint="eastAsia" w:ascii="宋体" w:hAnsi="宋体" w:cs="宋体"/>
          <w:color w:val="auto"/>
          <w:szCs w:val="21"/>
          <w:highlight w:val="none"/>
          <w:lang w:val="en-US" w:eastAsia="zh-CN" w:bidi="ar-SA"/>
        </w:rPr>
        <w:t xml:space="preserve">以联合体形式参加投标的，应当由组成联合体的所有供应商共同提出。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37.3</w:t>
      </w:r>
      <w:r>
        <w:rPr>
          <w:rFonts w:hint="eastAsia" w:ascii="宋体" w:hAnsi="宋体" w:cs="宋体"/>
          <w:color w:val="auto"/>
          <w:szCs w:val="21"/>
          <w:highlight w:val="none"/>
          <w:lang w:val="en-US" w:eastAsia="zh-CN" w:bidi="ar-SA"/>
        </w:rPr>
        <w:t xml:space="preserve">质疑函应使用财政部制定的范本文件。</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246" w:name="_Toc4278"/>
      <w:r/>
      <w:bookmarkStart w:id="247" w:name="_Toc107246266"/>
      <w:r>
        <w:rPr>
          <w:rFonts w:hint="eastAsia" w:ascii="宋体" w:hAnsi="宋体" w:eastAsia="宋体" w:cs="宋体"/>
          <w:b/>
          <w:bCs/>
          <w:color w:val="auto"/>
          <w:sz w:val="21"/>
          <w:szCs w:val="21"/>
          <w:highlight w:val="none"/>
          <w:lang w:val="en-US" w:eastAsia="zh-CN" w:bidi="ar-SA"/>
        </w:rPr>
        <w:t xml:space="preserve">八．其他</w:t>
      </w:r>
      <w:bookmarkEnd w:id="246"/>
      <w:r/>
      <w:bookmarkEnd w:id="247"/>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48" w:name="_Toc104560886"/>
      <w:r/>
      <w:bookmarkStart w:id="249" w:name="_Toc107246267"/>
      <w:r/>
      <w:bookmarkStart w:id="250" w:name="_Toc103848572"/>
      <w:r>
        <w:rPr>
          <w:rFonts w:hint="default" w:ascii="宋体" w:hAnsi="宋体" w:eastAsia="宋体" w:cs="宋体"/>
          <w:b/>
          <w:bCs/>
          <w:color w:val="auto"/>
          <w:sz w:val="21"/>
          <w:szCs w:val="21"/>
          <w:highlight w:val="none"/>
          <w:lang w:val="en-US" w:eastAsia="zh-CN" w:bidi="ar-SA"/>
        </w:rPr>
        <w:t xml:space="preserve">38.</w:t>
      </w:r>
      <w:r>
        <w:rPr>
          <w:rFonts w:hint="eastAsia" w:ascii="宋体" w:hAnsi="宋体" w:eastAsia="宋体" w:cs="宋体"/>
          <w:b/>
          <w:bCs/>
          <w:color w:val="auto"/>
          <w:sz w:val="21"/>
          <w:szCs w:val="21"/>
          <w:highlight w:val="none"/>
          <w:lang w:val="en-US" w:eastAsia="zh-CN" w:bidi="ar-SA"/>
        </w:rPr>
        <w:t xml:space="preserve">招标代理服务费</w:t>
      </w:r>
      <w:bookmarkEnd w:id="248"/>
      <w:r/>
      <w:bookmarkEnd w:id="249"/>
      <w:r/>
      <w:bookmarkEnd w:id="250"/>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38.1</w:t>
      </w:r>
      <w:r>
        <w:rPr>
          <w:rFonts w:hint="eastAsia" w:ascii="宋体" w:hAnsi="宋体" w:cs="宋体"/>
          <w:color w:val="auto"/>
          <w:szCs w:val="21"/>
          <w:highlight w:val="none"/>
          <w:lang w:val="en-US" w:eastAsia="zh-CN" w:bidi="ar-SA"/>
        </w:rPr>
        <w:t xml:space="preserve">中标人是否交纳招标代理服务费及相关要求见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51" w:name="_Toc107246268"/>
      <w:r/>
      <w:bookmarkStart w:id="252" w:name="_Toc104560887"/>
      <w:r/>
      <w:bookmarkStart w:id="253" w:name="_Toc103848573"/>
      <w:r>
        <w:rPr>
          <w:rFonts w:hint="default" w:ascii="宋体" w:hAnsi="宋体" w:eastAsia="宋体" w:cs="宋体"/>
          <w:b/>
          <w:bCs/>
          <w:color w:val="auto"/>
          <w:sz w:val="21"/>
          <w:szCs w:val="21"/>
          <w:highlight w:val="none"/>
          <w:lang w:val="en-US" w:eastAsia="zh-CN" w:bidi="ar-SA"/>
        </w:rPr>
        <w:t xml:space="preserve">39.</w:t>
      </w:r>
      <w:r>
        <w:rPr>
          <w:rFonts w:hint="eastAsia" w:ascii="宋体" w:hAnsi="宋体" w:eastAsia="宋体" w:cs="宋体"/>
          <w:b/>
          <w:bCs/>
          <w:color w:val="auto"/>
          <w:sz w:val="21"/>
          <w:szCs w:val="21"/>
          <w:highlight w:val="none"/>
          <w:lang w:val="en-US" w:eastAsia="zh-CN" w:bidi="ar-SA"/>
        </w:rPr>
        <w:t xml:space="preserve">其他规定</w:t>
      </w:r>
      <w:bookmarkEnd w:id="251"/>
      <w:r/>
      <w:bookmarkEnd w:id="252"/>
      <w:r/>
      <w:bookmarkEnd w:id="253"/>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39.1</w:t>
      </w:r>
      <w:r>
        <w:rPr>
          <w:rFonts w:hint="eastAsia" w:ascii="宋体" w:hAnsi="宋体" w:cs="宋体"/>
          <w:color w:val="auto"/>
          <w:szCs w:val="21"/>
          <w:highlight w:val="none"/>
          <w:lang w:val="en-US" w:eastAsia="zh-CN" w:bidi="ar-SA"/>
        </w:rPr>
        <w:t xml:space="preserve">投标文件的其他规定见</w:t>
      </w:r>
      <w:r>
        <w:rPr>
          <w:rFonts w:hint="eastAsia" w:ascii="宋体" w:hAnsi="宋体" w:cs="宋体"/>
          <w:b/>
          <w:bCs/>
          <w:color w:val="auto"/>
          <w:szCs w:val="21"/>
          <w:highlight w:val="none"/>
          <w:lang w:val="en-US" w:eastAsia="zh-CN" w:bidi="ar-SA"/>
        </w:rPr>
        <w:t xml:space="preserve">投标人须知前附</w:t>
      </w:r>
      <w:r>
        <w:rPr>
          <w:rFonts w:hint="eastAsia" w:ascii="宋体" w:hAnsi="宋体" w:cs="宋体"/>
          <w:color w:val="auto"/>
          <w:szCs w:val="21"/>
          <w:highlight w:val="none"/>
          <w:lang w:val="en-US" w:eastAsia="zh-CN" w:bidi="ar-SA"/>
        </w:rPr>
        <w:t xml:space="preserve">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54" w:name="_Toc104560888"/>
      <w:r/>
      <w:bookmarkStart w:id="255" w:name="_Toc107246269"/>
      <w:r/>
      <w:bookmarkStart w:id="256" w:name="_Toc103848574"/>
      <w:r>
        <w:rPr>
          <w:rFonts w:hint="default" w:ascii="宋体" w:hAnsi="宋体" w:eastAsia="宋体" w:cs="宋体"/>
          <w:b/>
          <w:bCs/>
          <w:color w:val="auto"/>
          <w:sz w:val="21"/>
          <w:szCs w:val="21"/>
          <w:highlight w:val="none"/>
          <w:lang w:val="en-US" w:eastAsia="zh-CN" w:bidi="ar-SA"/>
        </w:rPr>
        <w:t xml:space="preserve">40.</w:t>
      </w:r>
      <w:r>
        <w:rPr>
          <w:rFonts w:hint="eastAsia" w:ascii="宋体" w:hAnsi="宋体" w:eastAsia="宋体" w:cs="宋体"/>
          <w:b/>
          <w:bCs/>
          <w:color w:val="auto"/>
          <w:sz w:val="21"/>
          <w:szCs w:val="21"/>
          <w:highlight w:val="none"/>
          <w:lang w:val="en-US" w:eastAsia="zh-CN" w:bidi="ar-SA"/>
        </w:rPr>
        <w:t xml:space="preserve">文件解释权</w:t>
      </w:r>
      <w:bookmarkEnd w:id="254"/>
      <w:r/>
      <w:bookmarkEnd w:id="255"/>
      <w:r/>
      <w:bookmarkEnd w:id="256"/>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40.1</w:t>
      </w:r>
      <w:r>
        <w:rPr>
          <w:rFonts w:hint="eastAsia" w:ascii="宋体" w:hAnsi="宋体" w:cs="宋体"/>
          <w:color w:val="auto"/>
          <w:szCs w:val="21"/>
          <w:highlight w:val="none"/>
          <w:lang w:val="en-US" w:eastAsia="zh-CN" w:bidi="ar-SA"/>
        </w:rPr>
        <w:t xml:space="preserve">本招标文件的解释权归采购人（或采购代理机构）所有。</w:t>
      </w:r>
      <w:bookmarkEnd w:id="60"/>
      <w:r/>
      <w:r/>
    </w:p>
    <w:p>
      <w:pPr>
        <w:pStyle w:val="874"/>
        <w:contextualSpacing w:val="0"/>
        <w:ind w:hanging="14"/>
        <w:jc w:val="center"/>
        <w:spacing w:before="240" w:after="60" w:line="360" w:lineRule="auto"/>
        <w:rPr>
          <w:rFonts w:ascii="Cambria" w:hAnsi="Cambria" w:cs="Times New Roman"/>
          <w:b/>
          <w:bCs/>
          <w:color w:val="auto"/>
          <w:sz w:val="32"/>
          <w:szCs w:val="32"/>
          <w:highlight w:val="none"/>
          <w:lang w:val="en-US" w:eastAsia="zh-CN" w:bidi="ar-SA"/>
        </w:rPr>
        <w:outlineLvl w:val="0"/>
      </w:pPr>
      <w:r>
        <w:rPr>
          <w:rFonts w:hint="eastAsia" w:ascii="方正黑体_GBK" w:hAnsi="方正黑体_GBK" w:eastAsia="方正黑体_GBK" w:cs="方正黑体_GBK"/>
          <w:bCs/>
          <w:sz w:val="28"/>
          <w:szCs w:val="28"/>
          <w:highlight w:val="none"/>
        </w:rPr>
        <w:br w:type="page" w:clear="all"/>
      </w:r>
      <w:bookmarkEnd w:id="34"/>
      <w:r/>
      <w:bookmarkEnd w:id="35"/>
      <w:r/>
      <w:bookmarkEnd w:id="36"/>
      <w:r/>
      <w:bookmarkEnd w:id="37"/>
      <w:r/>
      <w:bookmarkEnd w:id="38"/>
      <w:r/>
      <w:bookmarkStart w:id="257" w:name="_Toc107246270"/>
      <w:r/>
      <w:bookmarkStart w:id="258" w:name="_Toc14488"/>
      <w:r/>
      <w:bookmarkStart w:id="259" w:name="_Hlt16619350"/>
      <w:r/>
      <w:bookmarkStart w:id="260" w:name="_Toc16938590"/>
      <w:r/>
      <w:bookmarkStart w:id="261" w:name="_Toc120614244"/>
      <w:r/>
      <w:bookmarkStart w:id="262" w:name="_Toc20823346"/>
      <w:r/>
      <w:bookmarkStart w:id="263" w:name="_Toc479757211"/>
      <w:r/>
      <w:bookmarkStart w:id="264" w:name="_Toc462564139"/>
      <w:r>
        <w:rPr>
          <w:rFonts w:hint="eastAsia" w:ascii="Cambria" w:hAnsi="Cambria" w:cs="宋体"/>
          <w:b/>
          <w:bCs/>
          <w:color w:val="auto"/>
          <w:sz w:val="32"/>
          <w:szCs w:val="32"/>
          <w:highlight w:val="none"/>
          <w:lang w:val="en-US" w:eastAsia="zh-CN" w:bidi="ar-SA"/>
        </w:rPr>
        <w:t xml:space="preserve">第三章 政府采购合同条款及格式</w:t>
      </w:r>
      <w:bookmarkEnd w:id="257"/>
      <w:r/>
      <w:bookmarkEnd w:id="258"/>
      <w:r/>
      <w:r/>
    </w:p>
    <w:p>
      <w:pPr>
        <w:ind w:firstLine="315"/>
        <w:jc w:val="both"/>
        <w:spacing w:after="120" w:line="360" w:lineRule="auto"/>
        <w:widowControl w:val="off"/>
        <w:rPr>
          <w:rFonts w:hint="default" w:ascii="Times New Roman" w:hAnsi="Times New Roman" w:eastAsia="宋体" w:cs="Times New Roman"/>
          <w:color w:val="auto"/>
          <w:sz w:val="21"/>
          <w:szCs w:val="21"/>
          <w:highlight w:val="none"/>
          <w:lang w:val="en-US" w:eastAsia="zh-CN" w:bidi="ar-SA"/>
        </w:rPr>
      </w:pPr>
      <w:r/>
      <w:bookmarkStart w:id="265" w:name="_Toc513029243"/>
      <w:r/>
      <w:bookmarkStart w:id="266" w:name="_Toc20823315"/>
      <w:r/>
      <w:bookmarkStart w:id="267" w:name="_Toc16938559"/>
      <w:r>
        <w:rPr>
          <w:rFonts w:hint="default" w:ascii="Times New Roman" w:hAnsi="Times New Roman" w:eastAsia="宋体" w:cs="Times New Roman"/>
          <w:color w:val="auto"/>
          <w:sz w:val="21"/>
          <w:szCs w:val="21"/>
          <w:highlight w:val="none"/>
          <w:lang w:val="en-US" w:eastAsia="zh-CN" w:bidi="ar-SA"/>
        </w:rPr>
        <w:t xml:space="preserve">以下为成交后签订本项目合同的通用条款，成交人不得提出实质性的修改，关于专用条款将由采购人与成交人结合本项目具体情况协商后签订。</w:t>
      </w:r>
      <w:bookmarkEnd w:id="265"/>
      <w:r/>
      <w:bookmarkEnd w:id="266"/>
      <w:r/>
      <w:bookmarkEnd w:id="267"/>
      <w:r/>
      <w:r/>
    </w:p>
    <w:p>
      <w:pPr>
        <w:ind w:firstLine="315"/>
        <w:jc w:val="center"/>
        <w:spacing w:after="0" w:line="360" w:lineRule="auto"/>
        <w:widowControl w:val="off"/>
        <w:rPr>
          <w:rFonts w:hint="default" w:ascii="宋体" w:hAnsi="宋体" w:eastAsia="宋体" w:cs="宋体"/>
          <w:b/>
          <w:bCs/>
          <w:spacing w:val="-20"/>
          <w:sz w:val="48"/>
          <w:szCs w:val="48"/>
          <w:highlight w:val="none"/>
          <w:lang w:val="en-US" w:eastAsia="zh-CN" w:bidi="ar-SA"/>
        </w:rPr>
      </w:pPr>
      <w:r/>
      <w:bookmarkStart w:id="268" w:name="_Hlt16619369"/>
      <w:r/>
      <w:bookmarkEnd w:id="268"/>
      <w:r/>
      <w:r/>
    </w:p>
    <w:p>
      <w:pPr>
        <w:ind w:firstLine="315"/>
        <w:jc w:val="center"/>
        <w:spacing w:after="0" w:line="360" w:lineRule="auto"/>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ind w:firstLine="315"/>
        <w:jc w:val="center"/>
        <w:spacing w:after="0" w:line="360" w:lineRule="auto"/>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ind w:firstLine="315"/>
        <w:jc w:val="center"/>
        <w:spacing w:after="0" w:line="360" w:lineRule="auto"/>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ind w:firstLine="315"/>
        <w:jc w:val="center"/>
        <w:spacing w:after="0" w:line="360" w:lineRule="auto"/>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ind w:firstLine="315"/>
        <w:jc w:val="center"/>
        <w:spacing w:after="0" w:line="360" w:lineRule="auto"/>
        <w:widowControl w:val="off"/>
        <w:rPr>
          <w:rFonts w:hint="eastAsia"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t xml:space="preserve">政府采购货物买卖合同</w:t>
      </w:r>
      <w:r/>
    </w:p>
    <w:p>
      <w:pPr>
        <w:ind w:firstLine="315"/>
        <w:jc w:val="center"/>
        <w:spacing w:after="0" w:line="360" w:lineRule="auto"/>
        <w:widowControl w:val="off"/>
        <w:rPr>
          <w:rFonts w:hint="eastAsia"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t xml:space="preserve">（试行）</w:t>
      </w:r>
      <w:r/>
    </w:p>
    <w:p>
      <w:pPr>
        <w:ind w:firstLine="315"/>
        <w:spacing w:line="360" w:lineRule="auto"/>
        <w:rPr>
          <w:rFonts w:ascii="宋体" w:hAnsi="宋体" w:cs="宋体"/>
          <w:b/>
          <w:bCs/>
          <w:spacing w:val="-20"/>
          <w:sz w:val="40"/>
          <w:szCs w:val="40"/>
          <w:highlight w:val="none"/>
          <w:lang w:val="en-US" w:eastAsia="zh-CN" w:bidi="ar-SA"/>
        </w:rPr>
      </w:pPr>
      <w:r>
        <w:rPr>
          <w:rFonts w:ascii="宋体" w:hAnsi="宋体" w:cs="宋体"/>
          <w:b/>
          <w:bCs/>
          <w:spacing w:val="-20"/>
          <w:sz w:val="40"/>
          <w:szCs w:val="40"/>
          <w:highlight w:val="none"/>
          <w:lang w:val="en-US" w:eastAsia="zh-CN" w:bidi="ar-SA"/>
        </w:rPr>
      </w:r>
      <w:r/>
    </w:p>
    <w:p>
      <w:pPr>
        <w:ind w:firstLine="315"/>
        <w:spacing w:line="360" w:lineRule="auto"/>
        <w:rPr>
          <w:rFonts w:ascii="宋体" w:hAnsi="宋体" w:cs="宋体"/>
          <w:b/>
          <w:bCs/>
          <w:spacing w:val="-20"/>
          <w:sz w:val="40"/>
          <w:szCs w:val="40"/>
          <w:highlight w:val="none"/>
          <w:lang w:val="en-US" w:eastAsia="zh-CN" w:bidi="ar-SA"/>
        </w:rPr>
      </w:pPr>
      <w:r>
        <w:rPr>
          <w:rFonts w:ascii="宋体" w:hAnsi="宋体" w:cs="宋体"/>
          <w:b/>
          <w:bCs/>
          <w:spacing w:val="-20"/>
          <w:sz w:val="40"/>
          <w:szCs w:val="40"/>
          <w:highlight w:val="none"/>
          <w:lang w:val="en-US" w:eastAsia="zh-CN" w:bidi="ar-SA"/>
        </w:rPr>
      </w:r>
      <w:r/>
    </w:p>
    <w:p>
      <w:pPr>
        <w:ind w:firstLine="315"/>
        <w:spacing w:line="360" w:lineRule="auto"/>
        <w:rPr>
          <w:rFonts w:ascii="宋体" w:hAnsi="宋体" w:cs="宋体"/>
          <w:b/>
          <w:bCs/>
          <w:spacing w:val="-20"/>
          <w:sz w:val="40"/>
          <w:szCs w:val="40"/>
          <w:highlight w:val="none"/>
          <w:lang w:val="en-US" w:eastAsia="zh-CN" w:bidi="ar-SA"/>
        </w:rPr>
      </w:pPr>
      <w:r>
        <w:rPr>
          <w:rFonts w:ascii="宋体" w:hAnsi="宋体" w:cs="宋体"/>
          <w:b/>
          <w:bCs/>
          <w:spacing w:val="-20"/>
          <w:sz w:val="40"/>
          <w:szCs w:val="40"/>
          <w:highlight w:val="none"/>
          <w:lang w:val="en-US" w:eastAsia="zh-CN" w:bidi="ar-SA"/>
        </w:rPr>
      </w:r>
      <w:r/>
    </w:p>
    <w:p>
      <w:pPr>
        <w:ind w:left="420" w:firstLine="315"/>
        <w:spacing w:line="360" w:lineRule="auto"/>
        <w:rPr>
          <w:rFonts w:ascii="宋体" w:hAnsi="宋体" w:cs="宋体"/>
          <w:sz w:val="32"/>
          <w:szCs w:val="32"/>
          <w:highlight w:val="none"/>
          <w:lang w:val="en-US" w:eastAsia="zh-CN" w:bidi="ar-SA"/>
        </w:rPr>
      </w:pPr>
      <w:r>
        <w:rPr>
          <w:rFonts w:hint="eastAsia" w:ascii="宋体" w:hAnsi="宋体" w:cs="宋体"/>
          <w:sz w:val="32"/>
          <w:szCs w:val="32"/>
          <w:highlight w:val="none"/>
          <w:lang w:val="en-US" w:eastAsia="zh-CN" w:bidi="ar-SA"/>
        </w:rPr>
        <w:t xml:space="preserve">项目名称：</w:t>
      </w:r>
      <w:r>
        <w:rPr>
          <w:rFonts w:hint="eastAsia" w:ascii="宋体" w:hAnsi="宋体" w:cs="宋体"/>
          <w:sz w:val="32"/>
          <w:szCs w:val="32"/>
          <w:highlight w:val="none"/>
          <w:u w:val="single"/>
          <w:lang w:val="en-US" w:eastAsia="zh-CN" w:bidi="ar-SA"/>
        </w:rPr>
        <w:t xml:space="preserve">                             </w:t>
      </w:r>
      <w:r/>
    </w:p>
    <w:p>
      <w:pPr>
        <w:ind w:left="420" w:firstLine="315"/>
        <w:spacing w:line="360" w:lineRule="auto"/>
        <w:rPr>
          <w:rFonts w:ascii="宋体" w:hAnsi="宋体" w:cs="宋体"/>
          <w:sz w:val="32"/>
          <w:szCs w:val="32"/>
          <w:highlight w:val="none"/>
          <w:u w:val="single"/>
          <w:lang w:val="en-US" w:eastAsia="zh-CN" w:bidi="ar-SA"/>
        </w:rPr>
      </w:pPr>
      <w:r>
        <w:rPr>
          <w:rFonts w:hint="eastAsia" w:ascii="宋体" w:hAnsi="宋体" w:cs="宋体"/>
          <w:sz w:val="32"/>
          <w:szCs w:val="32"/>
          <w:highlight w:val="none"/>
          <w:lang w:val="en-US" w:eastAsia="zh-CN" w:bidi="ar-SA"/>
        </w:rPr>
        <w:t xml:space="preserve">合同编号：</w:t>
      </w:r>
      <w:r>
        <w:rPr>
          <w:rFonts w:hint="eastAsia" w:ascii="宋体" w:hAnsi="宋体" w:cs="宋体"/>
          <w:sz w:val="32"/>
          <w:szCs w:val="32"/>
          <w:highlight w:val="none"/>
          <w:u w:val="single"/>
          <w:lang w:val="en-US" w:eastAsia="zh-CN" w:bidi="ar-SA"/>
        </w:rPr>
        <w:t xml:space="preserve">                             </w:t>
      </w:r>
      <w:r/>
    </w:p>
    <w:p>
      <w:pPr>
        <w:ind w:left="420" w:firstLine="315"/>
        <w:spacing w:line="360" w:lineRule="auto"/>
        <w:rPr>
          <w:rFonts w:ascii="宋体" w:hAnsi="宋体" w:cs="宋体"/>
          <w:sz w:val="32"/>
          <w:szCs w:val="32"/>
          <w:highlight w:val="none"/>
          <w:lang w:val="en-US" w:eastAsia="zh-CN" w:bidi="ar-SA"/>
        </w:rPr>
      </w:pPr>
      <w:r>
        <w:rPr>
          <w:rFonts w:hint="eastAsia" w:ascii="宋体" w:hAnsi="宋体" w:cs="宋体"/>
          <w:sz w:val="32"/>
          <w:szCs w:val="32"/>
          <w:highlight w:val="none"/>
          <w:lang w:val="en-US" w:eastAsia="zh-CN" w:bidi="ar-SA"/>
        </w:rPr>
        <w:t xml:space="preserve">甲    方：</w:t>
      </w:r>
      <w:r>
        <w:rPr>
          <w:rFonts w:hint="eastAsia" w:ascii="宋体" w:hAnsi="宋体" w:cs="宋体"/>
          <w:sz w:val="32"/>
          <w:szCs w:val="32"/>
          <w:highlight w:val="none"/>
          <w:u w:val="single"/>
          <w:lang w:val="en-US" w:eastAsia="zh-CN" w:bidi="ar-SA"/>
        </w:rPr>
        <w:t xml:space="preserve">                             </w:t>
      </w:r>
      <w:r/>
    </w:p>
    <w:p>
      <w:pPr>
        <w:ind w:left="420" w:firstLine="315"/>
        <w:spacing w:line="360" w:lineRule="auto"/>
        <w:rPr>
          <w:rFonts w:ascii="宋体" w:hAnsi="宋体" w:cs="宋体"/>
          <w:sz w:val="32"/>
          <w:szCs w:val="32"/>
          <w:highlight w:val="none"/>
          <w:u w:val="single"/>
          <w:lang w:val="en-US" w:eastAsia="zh-CN" w:bidi="ar-SA"/>
        </w:rPr>
      </w:pPr>
      <w:r>
        <w:rPr>
          <w:rFonts w:hint="eastAsia" w:ascii="宋体" w:hAnsi="宋体" w:cs="宋体"/>
          <w:sz w:val="32"/>
          <w:szCs w:val="32"/>
          <w:highlight w:val="none"/>
          <w:lang w:val="en-US" w:eastAsia="zh-CN" w:bidi="ar-SA"/>
        </w:rPr>
        <w:t xml:space="preserve">乙    方：</w:t>
      </w:r>
      <w:r>
        <w:rPr>
          <w:rFonts w:hint="eastAsia" w:ascii="宋体" w:hAnsi="宋体" w:cs="宋体"/>
          <w:sz w:val="32"/>
          <w:szCs w:val="32"/>
          <w:highlight w:val="none"/>
          <w:u w:val="single"/>
          <w:lang w:val="en-US" w:eastAsia="zh-CN" w:bidi="ar-SA"/>
        </w:rPr>
        <w:t xml:space="preserve">                             </w:t>
      </w:r>
      <w:r/>
    </w:p>
    <w:p>
      <w:pPr>
        <w:ind w:left="420" w:firstLine="315"/>
        <w:spacing w:line="360" w:lineRule="auto"/>
        <w:rPr>
          <w:rFonts w:ascii="方正黑体_GBK" w:hAnsi="方正黑体_GBK" w:eastAsia="方正黑体_GBK" w:cs="方正黑体_GBK"/>
          <w:sz w:val="28"/>
          <w:szCs w:val="28"/>
          <w:highlight w:val="none"/>
        </w:rPr>
      </w:pPr>
      <w:r>
        <w:rPr>
          <w:rFonts w:hint="eastAsia" w:ascii="宋体" w:hAnsi="宋体" w:cs="宋体"/>
          <w:sz w:val="32"/>
          <w:szCs w:val="32"/>
          <w:highlight w:val="none"/>
          <w:lang w:val="en-US" w:eastAsia="zh-CN" w:bidi="ar-SA"/>
        </w:rPr>
        <w:t xml:space="preserve">签订时间：</w:t>
      </w:r>
      <w:r>
        <w:rPr>
          <w:rFonts w:hint="eastAsia" w:ascii="宋体" w:hAnsi="宋体" w:cs="宋体"/>
          <w:sz w:val="32"/>
          <w:szCs w:val="32"/>
          <w:highlight w:val="none"/>
          <w:u w:val="single"/>
          <w:lang w:val="en-US" w:eastAsia="zh-CN" w:bidi="ar-SA"/>
        </w:rPr>
        <w:t xml:space="preserve">      </w:t>
      </w:r>
      <w:r>
        <w:rPr>
          <w:rFonts w:ascii="宋体" w:hAnsi="宋体" w:cs="宋体"/>
          <w:sz w:val="32"/>
          <w:szCs w:val="32"/>
          <w:highlight w:val="none"/>
          <w:u w:val="single"/>
          <w:lang w:val="en-US" w:eastAsia="zh-CN" w:bidi="ar-SA"/>
        </w:rPr>
        <w:t xml:space="preserve">           </w:t>
      </w:r>
      <w:r>
        <w:rPr>
          <w:rFonts w:hint="eastAsia" w:ascii="宋体" w:hAnsi="宋体" w:cs="宋体"/>
          <w:sz w:val="32"/>
          <w:szCs w:val="32"/>
          <w:highlight w:val="none"/>
          <w:u w:val="single"/>
          <w:lang w:val="en-US" w:eastAsia="zh-CN" w:bidi="ar-SA"/>
        </w:rPr>
        <w:t xml:space="preserve">            </w:t>
      </w:r>
      <w:r/>
    </w:p>
    <w:p>
      <w:pPr>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p>
    <w:p>
      <w:pPr>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p>
    <w:p>
      <w:pPr>
        <w:ind w:firstLine="315"/>
        <w:jc w:val="center"/>
        <w:spacing w:line="360" w:lineRule="auto"/>
        <w:rPr>
          <w:rFonts w:hint="eastAsia" w:ascii="宋体" w:hAnsi="宋体" w:eastAsia="黑体" w:cs="宋体"/>
          <w:sz w:val="44"/>
          <w:szCs w:val="44"/>
          <w:highlight w:val="none"/>
          <w:lang w:val="en-US" w:eastAsia="zh-CN" w:bidi="ar-SA"/>
        </w:rPr>
      </w:pPr>
      <w:r>
        <w:rPr>
          <w:rFonts w:hint="eastAsia" w:ascii="宋体" w:hAnsi="宋体" w:eastAsia="黑体" w:cs="宋体"/>
          <w:sz w:val="44"/>
          <w:szCs w:val="44"/>
          <w:highlight w:val="none"/>
          <w:lang w:val="en-US" w:eastAsia="zh-CN" w:bidi="ar-SA"/>
        </w:rPr>
        <w:t xml:space="preserve">使 用 说 明</w:t>
      </w:r>
      <w:r/>
    </w:p>
    <w:p>
      <w:pPr>
        <w:ind w:firstLine="640"/>
        <w:spacing w:line="360" w:lineRule="auto"/>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r>
      <w:r/>
    </w:p>
    <w:p>
      <w:pPr>
        <w:ind w:firstLine="640"/>
        <w:spacing w:line="360" w:lineRule="auto"/>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 xml:space="preserve">1.本合同标准文本适用于购买现成货物的采购项目，不包括需要供应商定制开发、创新研发的货物采购项目。</w:t>
      </w:r>
      <w:r/>
    </w:p>
    <w:p>
      <w:pPr>
        <w:ind w:firstLine="0"/>
        <w:spacing w:line="360" w:lineRule="auto"/>
        <w:rPr>
          <w:rFonts w:hint="default" w:ascii="宋体" w:hAnsi="宋体" w:eastAsia="黑体" w:cs="宋体"/>
          <w:sz w:val="44"/>
          <w:szCs w:val="44"/>
          <w:highlight w:val="none"/>
          <w:lang w:val="en-US" w:eastAsia="zh-CN" w:bidi="ar-SA"/>
        </w:rPr>
      </w:pPr>
      <w:r>
        <w:rPr>
          <w:rFonts w:hint="eastAsia" w:ascii="宋体" w:hAnsi="宋体" w:eastAsia="黑体" w:cs="宋体"/>
          <w:sz w:val="44"/>
          <w:szCs w:val="44"/>
          <w:highlight w:val="none"/>
          <w:lang w:val="en-US" w:eastAsia="zh-CN" w:bidi="ar-SA"/>
        </w:rPr>
        <w:t xml:space="preserve">   </w:t>
      </w:r>
      <w:r>
        <w:rPr>
          <w:rFonts w:hint="eastAsia" w:ascii="仿宋_GB2312" w:hAnsi="仿宋_GB2312" w:eastAsia="仿宋_GB2312" w:cs="仿宋_GB2312"/>
          <w:sz w:val="32"/>
          <w:szCs w:val="32"/>
          <w:highlight w:val="none"/>
          <w:lang w:val="en-US" w:eastAsia="zh-CN" w:bidi="ar-SA"/>
        </w:rPr>
        <w:t xml:space="preserve">2.本合同标准文本为政府采购货物买卖合同编制提供参考，可以结合采购项目具体情况，对文本作必要的调整修订后使用。</w:t>
      </w:r>
      <w:r/>
    </w:p>
    <w:p>
      <w:pPr>
        <w:ind w:firstLine="640"/>
        <w:spacing w:line="360" w:lineRule="auto"/>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highlight w:val="none"/>
        </w:rPr>
        <w:sectPr>
          <w:footerReference w:type="default" r:id="rId15"/>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highlight w:val="none"/>
        </w:rPr>
      </w:r>
      <w:r/>
    </w:p>
    <w:p>
      <w:pPr>
        <w:ind w:firstLine="315"/>
        <w:jc w:val="center"/>
        <w:keepLines/>
        <w:keepNext/>
        <w:spacing w:before="260" w:after="260" w:line="400" w:lineRule="exact"/>
        <w:widowControl w:val="off"/>
        <w:rPr>
          <w:rFonts w:hint="eastAsia" w:ascii="黑体" w:hAnsi="黑体" w:eastAsia="黑体" w:cs="等线 Light"/>
          <w:b/>
          <w:bCs/>
          <w:sz w:val="28"/>
          <w:szCs w:val="28"/>
          <w:highlight w:val="none"/>
          <w:lang w:val="en-US" w:eastAsia="zh-CN" w:bidi="ar-SA"/>
        </w:rPr>
        <w:outlineLvl w:val="9"/>
      </w:pPr>
      <w:r/>
      <w:bookmarkStart w:id="269" w:name="_Toc22209"/>
      <w:r/>
      <w:r/>
    </w:p>
    <w:p>
      <w:pPr>
        <w:ind w:firstLine="315"/>
        <w:jc w:val="center"/>
        <w:keepLines/>
        <w:keepNext/>
        <w:spacing w:before="260" w:after="260" w:line="400" w:lineRule="exact"/>
        <w:widowControl w:val="off"/>
        <w:rPr>
          <w:rFonts w:hint="eastAsia" w:ascii="黑体" w:hAnsi="华文中宋" w:eastAsia="黑体" w:cs="等线 Light"/>
          <w:b w:val="0"/>
          <w:bCs w:val="0"/>
          <w:sz w:val="28"/>
          <w:szCs w:val="28"/>
          <w:highlight w:val="none"/>
          <w:lang w:val="en-US" w:eastAsia="zh-CN" w:bidi="ar-SA"/>
        </w:rPr>
        <w:outlineLvl w:val="1"/>
      </w:pPr>
      <w:r/>
      <w:bookmarkStart w:id="270" w:name="_Toc26725"/>
      <w:r>
        <w:rPr>
          <w:rFonts w:hint="eastAsia" w:ascii="黑体" w:hAnsi="黑体" w:eastAsia="黑体" w:cs="等线 Light"/>
          <w:b w:val="0"/>
          <w:bCs w:val="0"/>
          <w:sz w:val="28"/>
          <w:szCs w:val="28"/>
          <w:highlight w:val="none"/>
          <w:lang w:val="en-US" w:eastAsia="zh-CN" w:bidi="ar-SA"/>
        </w:rPr>
        <w:t xml:space="preserve">第一节 </w:t>
      </w:r>
      <w:r>
        <w:rPr>
          <w:rFonts w:hint="eastAsia" w:ascii="黑体" w:hAnsi="华文中宋" w:eastAsia="黑体" w:cs="等线 Light"/>
          <w:b w:val="0"/>
          <w:bCs w:val="0"/>
          <w:sz w:val="28"/>
          <w:szCs w:val="28"/>
          <w:highlight w:val="none"/>
          <w:lang w:val="en-US" w:eastAsia="zh-CN" w:bidi="ar-SA"/>
        </w:rPr>
        <w:t xml:space="preserve">政府采购合同协议书</w:t>
      </w:r>
      <w:bookmarkEnd w:id="269"/>
      <w:r/>
      <w:bookmarkEnd w:id="270"/>
      <w:r/>
      <w:r/>
    </w:p>
    <w:p>
      <w:pPr>
        <w:ind w:firstLine="315"/>
        <w:jc w:val="center"/>
        <w:keepLines/>
        <w:keepNext/>
        <w:spacing w:before="260" w:after="260" w:line="400" w:lineRule="exact"/>
        <w:widowControl w:val="off"/>
        <w:rPr>
          <w:rFonts w:hint="eastAsia" w:ascii="黑体" w:hAnsi="华文中宋" w:eastAsia="黑体" w:cs="等线 Light"/>
          <w:b w:val="0"/>
          <w:bCs w:val="0"/>
          <w:sz w:val="28"/>
          <w:szCs w:val="28"/>
          <w:highlight w:val="none"/>
          <w:lang w:val="en-US" w:eastAsia="zh-CN" w:bidi="ar-SA"/>
        </w:rPr>
        <w:outlineLvl w:val="9"/>
      </w:pPr>
      <w:r>
        <w:rPr>
          <w:rFonts w:hint="eastAsia" w:ascii="黑体" w:hAnsi="华文中宋" w:eastAsia="黑体" w:cs="等线 Light"/>
          <w:b w:val="0"/>
          <w:bCs w:val="0"/>
          <w:sz w:val="28"/>
          <w:szCs w:val="28"/>
          <w:highlight w:val="none"/>
          <w:lang w:val="en-US" w:eastAsia="zh-CN" w:bidi="ar-SA"/>
        </w:rPr>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甲方（全称）:</w:t>
      </w:r>
      <w:r>
        <w:rPr>
          <w:rFonts w:hint="eastAsia" w:ascii="宋体" w:hAnsi="宋体"/>
          <w:szCs w:val="21"/>
          <w:highlight w:val="none"/>
          <w:u w:val="single"/>
        </w:rPr>
        <w:t xml:space="preserve">                        </w:t>
      </w:r>
      <w:r>
        <w:rPr>
          <w:rFonts w:hint="eastAsia" w:ascii="方正仿宋_GBK" w:hAnsi="方正仿宋_GBK" w:eastAsia="宋体" w:cs="方正仿宋_GBK"/>
          <w:sz w:val="21"/>
          <w:szCs w:val="28"/>
          <w:highlight w:val="none"/>
        </w:rPr>
        <w:t xml:space="preserve">（采购人、受采购人委托签订合同的单位或采购文件约定的合同甲方）</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乙方（全称）:</w:t>
      </w:r>
      <w:r>
        <w:rPr>
          <w:rFonts w:hint="eastAsia" w:ascii="宋体" w:hAnsi="宋体"/>
          <w:szCs w:val="21"/>
          <w:highlight w:val="none"/>
          <w:u w:val="single"/>
        </w:rPr>
        <w:t xml:space="preserve">                        </w:t>
      </w:r>
      <w:r>
        <w:rPr>
          <w:rFonts w:hint="eastAsia" w:ascii="方正仿宋_GBK" w:hAnsi="方正仿宋_GBK" w:eastAsia="宋体" w:cs="方正仿宋_GBK"/>
          <w:sz w:val="21"/>
          <w:szCs w:val="28"/>
          <w:highlight w:val="none"/>
        </w:rPr>
        <w:t xml:space="preserve">（供应商）</w:t>
      </w:r>
      <w:r/>
    </w:p>
    <w:p>
      <w:pPr>
        <w:pStyle w:val="1095"/>
        <w:ind w:left="0" w:firstLine="560"/>
        <w:spacing w:after="0"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p>
      <w:pPr>
        <w:pStyle w:val="1095"/>
        <w:ind w:left="0" w:firstLine="560"/>
        <w:spacing w:after="0"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before="0" w:line="400" w:lineRule="exact"/>
        <w:rPr>
          <w:rFonts w:ascii="宋体" w:hAnsi="宋体" w:cs="宋体"/>
          <w:b/>
          <w:szCs w:val="21"/>
          <w:highlight w:val="none"/>
          <w:lang w:val="en-US" w:eastAsia="zh-CN" w:bidi="ar-SA"/>
        </w:rPr>
      </w:pPr>
      <w:r>
        <w:rPr>
          <w:rFonts w:hint="eastAsia" w:ascii="宋体" w:hAnsi="宋体" w:cs="宋体"/>
          <w:b/>
          <w:szCs w:val="21"/>
          <w:highlight w:val="none"/>
          <w:lang w:val="en-US" w:eastAsia="zh-CN" w:bidi="ar-SA"/>
        </w:rPr>
        <w:t xml:space="preserve">项目信息</w:t>
      </w:r>
      <w:r/>
    </w:p>
    <w:p>
      <w:pPr>
        <w:pStyle w:val="1095"/>
        <w:numPr>
          <w:ilvl w:val="0"/>
          <w:numId w:val="6"/>
        </w:numPr>
        <w:ind w:left="0" w:firstLine="560"/>
        <w:spacing w:after="0"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rPr>
        <w:t xml:space="preserve">采购项目名称：</w:t>
      </w:r>
      <w:r>
        <w:rPr>
          <w:rFonts w:hint="eastAsia" w:ascii="方正仿宋_GBK" w:hAnsi="方正仿宋_GBK" w:eastAsia="宋体" w:cs="方正仿宋_GBK"/>
          <w:sz w:val="21"/>
          <w:szCs w:val="28"/>
          <w:highlight w:val="none"/>
          <w:u w:val="single"/>
        </w:rPr>
        <w:t xml:space="preserve">                                          </w:t>
      </w:r>
      <w:r/>
    </w:p>
    <w:p>
      <w:pPr>
        <w:pStyle w:val="1095"/>
        <w:ind w:left="0" w:firstLine="560"/>
        <w:spacing w:after="0" w:line="400" w:lineRule="exact"/>
        <w:tabs>
          <w:tab w:val="left" w:pos="999" w:leader="none"/>
        </w:tabs>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采购项目编号：</w:t>
      </w:r>
      <w:r>
        <w:rPr>
          <w:rFonts w:hint="eastAsia" w:ascii="方正仿宋_GBK" w:hAnsi="方正仿宋_GBK" w:eastAsia="宋体" w:cs="方正仿宋_GBK"/>
          <w:sz w:val="21"/>
          <w:szCs w:val="28"/>
          <w:highlight w:val="none"/>
          <w:u w:val="single"/>
        </w:rPr>
        <w:t xml:space="preserve">                                          </w:t>
      </w:r>
      <w:r/>
    </w:p>
    <w:p>
      <w:pPr>
        <w:pStyle w:val="1095"/>
        <w:ind w:left="0" w:firstLine="560"/>
        <w:spacing w:after="0"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（2）采购计划编号：</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 </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（3）项目内容：</w:t>
      </w:r>
      <w:r/>
    </w:p>
    <w:p>
      <w:pPr>
        <w:ind w:firstLine="420"/>
        <w:spacing w:before="0" w:line="400" w:lineRule="exact"/>
        <w:rPr>
          <w:rFonts w:hint="eastAsia" w:ascii="宋体" w:hAnsi="宋体" w:cs="宋体"/>
          <w:szCs w:val="21"/>
          <w:highlight w:val="none"/>
          <w:lang w:val="en-US" w:eastAsia="zh-CN" w:bidi="ar-SA"/>
        </w:rPr>
      </w:pPr>
      <w:r>
        <w:rPr>
          <w:rFonts w:hint="eastAsia" w:ascii="宋体" w:hAnsi="宋体" w:cs="宋体"/>
          <w:szCs w:val="21"/>
          <w:highlight w:val="none"/>
          <w:lang w:val="en-US" w:eastAsia="zh-CN" w:bidi="ar-SA"/>
        </w:rPr>
        <w:t xml:space="preserve">     采购标的及数量（台/套</w:t>
      </w:r>
      <w:r>
        <w:rPr>
          <w:rFonts w:hint="default" w:ascii="宋体" w:hAnsi="宋体" w:cs="宋体"/>
          <w:szCs w:val="21"/>
          <w:highlight w:val="none"/>
          <w:lang w:val="en" w:eastAsia="zh-CN" w:bidi="ar-SA"/>
        </w:rPr>
        <w:t xml:space="preserve">/</w:t>
      </w:r>
      <w:r>
        <w:rPr>
          <w:rFonts w:hint="eastAsia" w:ascii="宋体" w:hAnsi="宋体" w:cs="宋体"/>
          <w:szCs w:val="21"/>
          <w:highlight w:val="none"/>
          <w:lang w:val="en" w:eastAsia="zh-CN" w:bidi="ar-SA"/>
        </w:rPr>
        <w:t xml:space="preserve">个</w:t>
      </w:r>
      <w:r>
        <w:rPr>
          <w:rFonts w:hint="default" w:ascii="宋体" w:hAnsi="宋体" w:cs="宋体"/>
          <w:szCs w:val="21"/>
          <w:highlight w:val="none"/>
          <w:lang w:val="en" w:eastAsia="zh-CN" w:bidi="ar-SA"/>
        </w:rPr>
        <w:t xml:space="preserve">/</w:t>
      </w:r>
      <w:r>
        <w:rPr>
          <w:rFonts w:hint="eastAsia" w:ascii="宋体" w:hAnsi="宋体" w:cs="宋体"/>
          <w:szCs w:val="21"/>
          <w:highlight w:val="none"/>
          <w:lang w:val="en" w:eastAsia="zh-CN" w:bidi="ar-SA"/>
        </w:rPr>
        <w:t xml:space="preserve">架</w:t>
      </w:r>
      <w:r>
        <w:rPr>
          <w:rFonts w:hint="default" w:ascii="宋体" w:hAnsi="宋体" w:cs="宋体"/>
          <w:szCs w:val="21"/>
          <w:highlight w:val="none"/>
          <w:lang w:val="en" w:eastAsia="zh-CN" w:bidi="ar-SA"/>
        </w:rPr>
        <w:t xml:space="preserve">/</w:t>
      </w:r>
      <w:r>
        <w:rPr>
          <w:rFonts w:hint="eastAsia" w:ascii="宋体" w:hAnsi="宋体" w:cs="宋体"/>
          <w:szCs w:val="21"/>
          <w:highlight w:val="none"/>
          <w:lang w:val="en" w:eastAsia="zh-CN" w:bidi="ar-SA"/>
        </w:rPr>
        <w:t xml:space="preserve">组等</w:t>
      </w:r>
      <w:r>
        <w:rPr>
          <w:rFonts w:hint="eastAsia" w:ascii="宋体" w:hAnsi="宋体" w:cs="宋体"/>
          <w:szCs w:val="21"/>
          <w:highlight w:val="none"/>
          <w:lang w:val="en-US" w:eastAsia="zh-CN" w:bidi="ar-SA"/>
        </w:rPr>
        <w:t xml:space="preserve">）：</w:t>
      </w:r>
      <w:r>
        <w:rPr>
          <w:rFonts w:hint="eastAsia" w:ascii="宋体" w:hAnsi="宋体" w:cs="宋体"/>
          <w:szCs w:val="21"/>
          <w:highlight w:val="none"/>
          <w:u w:val="single"/>
          <w:lang w:val="en-US" w:eastAsia="zh-CN" w:bidi="ar-SA"/>
        </w:rPr>
        <w:t xml:space="preserve">                       </w:t>
      </w:r>
      <w:r/>
    </w:p>
    <w:p>
      <w:pPr>
        <w:numPr>
          <w:ilvl w:val="-1"/>
          <w:numId w:val="0"/>
        </w:numPr>
        <w:ind w:firstLine="420"/>
        <w:spacing w:before="0" w:line="400" w:lineRule="exact"/>
        <w:rPr>
          <w:rFonts w:hint="default" w:ascii="宋体" w:hAnsi="宋体" w:cs="宋体"/>
          <w:szCs w:val="21"/>
          <w:highlight w:val="none"/>
          <w:lang w:val="en" w:eastAsia="zh-CN" w:bidi="ar-SA"/>
        </w:rPr>
      </w:pPr>
      <w:r>
        <w:rPr>
          <w:rFonts w:hint="eastAsia" w:ascii="宋体" w:hAnsi="宋体" w:cs="宋体"/>
          <w:szCs w:val="21"/>
          <w:highlight w:val="none"/>
          <w:u w:val="none"/>
          <w:lang w:val="en-US" w:eastAsia="zh-CN" w:bidi="ar-SA"/>
        </w:rPr>
        <w:t xml:space="preserve">     </w:t>
      </w:r>
      <w:r>
        <w:rPr>
          <w:rFonts w:hint="eastAsia" w:ascii="宋体" w:hAnsi="宋体" w:cs="宋体"/>
          <w:szCs w:val="21"/>
          <w:highlight w:val="none"/>
          <w:lang w:val="en-US" w:eastAsia="zh-CN" w:bidi="ar-SA"/>
        </w:rPr>
        <w:t xml:space="preserve">品牌：</w:t>
      </w:r>
      <w:r>
        <w:rPr>
          <w:rFonts w:hint="eastAsia" w:ascii="宋体" w:hAnsi="宋体" w:cs="宋体"/>
          <w:szCs w:val="21"/>
          <w:highlight w:val="none"/>
          <w:u w:val="single"/>
          <w:lang w:val="en-US" w:eastAsia="zh-CN" w:bidi="ar-SA"/>
        </w:rPr>
        <w:t xml:space="preserve">      </w:t>
      </w:r>
      <w:r>
        <w:rPr>
          <w:rFonts w:hint="default" w:ascii="宋体" w:hAnsi="宋体" w:cs="宋体"/>
          <w:szCs w:val="21"/>
          <w:highlight w:val="none"/>
          <w:u w:val="single"/>
          <w:lang w:val="en" w:eastAsia="zh-CN" w:bidi="ar-SA"/>
        </w:rPr>
        <w:t xml:space="preserve">   </w:t>
      </w:r>
      <w:r>
        <w:rPr>
          <w:rFonts w:hint="eastAsia" w:ascii="宋体" w:hAnsi="宋体" w:cs="宋体"/>
          <w:szCs w:val="21"/>
          <w:highlight w:val="none"/>
          <w:u w:val="single"/>
          <w:lang w:val="en-US" w:eastAsia="zh-CN" w:bidi="ar-SA"/>
        </w:rPr>
        <w:t xml:space="preserve">    </w:t>
      </w:r>
      <w:r>
        <w:rPr>
          <w:rFonts w:hint="default" w:ascii="宋体" w:hAnsi="宋体" w:cs="宋体"/>
          <w:szCs w:val="21"/>
          <w:highlight w:val="none"/>
          <w:u w:val="single"/>
          <w:lang w:val="en" w:eastAsia="zh-CN" w:bidi="ar-SA"/>
        </w:rPr>
        <w:t xml:space="preserve"> </w:t>
      </w:r>
      <w:r>
        <w:rPr>
          <w:rFonts w:hint="eastAsia" w:ascii="宋体" w:hAnsi="宋体" w:cs="宋体"/>
          <w:szCs w:val="21"/>
          <w:highlight w:val="none"/>
          <w:u w:val="single"/>
          <w:lang w:val="en-US" w:eastAsia="zh-CN" w:bidi="ar-SA"/>
        </w:rPr>
        <w:t xml:space="preserve"> </w:t>
      </w:r>
      <w:r>
        <w:rPr>
          <w:rFonts w:hint="default" w:ascii="宋体" w:hAnsi="宋体" w:cs="宋体"/>
          <w:szCs w:val="21"/>
          <w:highlight w:val="none"/>
          <w:u w:val="none"/>
          <w:lang w:val="en" w:eastAsia="zh-CN" w:bidi="ar-SA"/>
        </w:rPr>
        <w:t xml:space="preserve">     </w:t>
      </w:r>
      <w:r>
        <w:rPr>
          <w:rFonts w:hint="eastAsia" w:ascii="宋体" w:hAnsi="宋体" w:cs="宋体"/>
          <w:szCs w:val="21"/>
          <w:highlight w:val="none"/>
          <w:lang w:val="en-US" w:eastAsia="zh-CN" w:bidi="ar-SA"/>
        </w:rPr>
        <w:t xml:space="preserve">规格型号：</w:t>
      </w:r>
      <w:r>
        <w:rPr>
          <w:rFonts w:hint="eastAsia" w:ascii="宋体" w:hAnsi="宋体" w:cs="宋体"/>
          <w:szCs w:val="21"/>
          <w:highlight w:val="none"/>
          <w:u w:val="single"/>
          <w:lang w:val="en-US" w:eastAsia="zh-CN" w:bidi="ar-SA"/>
        </w:rPr>
        <w:t xml:space="preserve">   </w:t>
      </w:r>
      <w:r>
        <w:rPr>
          <w:rFonts w:hint="default" w:ascii="宋体" w:hAnsi="宋体" w:cs="宋体"/>
          <w:szCs w:val="21"/>
          <w:highlight w:val="none"/>
          <w:u w:val="single"/>
          <w:lang w:val="en" w:eastAsia="zh-CN" w:bidi="ar-SA"/>
        </w:rPr>
        <w:t xml:space="preserve">  </w:t>
      </w:r>
      <w:r>
        <w:rPr>
          <w:rFonts w:hint="eastAsia" w:ascii="宋体" w:hAnsi="宋体" w:cs="宋体"/>
          <w:szCs w:val="21"/>
          <w:highlight w:val="none"/>
          <w:u w:val="single"/>
          <w:lang w:val="en-US" w:eastAsia="zh-CN" w:bidi="ar-SA"/>
        </w:rPr>
        <w:t xml:space="preserve">       </w:t>
      </w:r>
      <w:r>
        <w:rPr>
          <w:rFonts w:hint="default" w:ascii="宋体" w:hAnsi="宋体" w:cs="宋体"/>
          <w:szCs w:val="21"/>
          <w:highlight w:val="none"/>
          <w:u w:val="single"/>
          <w:lang w:val="en" w:eastAsia="zh-CN" w:bidi="ar-SA"/>
        </w:rPr>
        <w:t xml:space="preserve">   </w:t>
      </w:r>
      <w:r/>
    </w:p>
    <w:p>
      <w:pPr>
        <w:ind w:firstLine="945"/>
        <w:spacing w:before="0" w:line="400" w:lineRule="exact"/>
        <w:rPr>
          <w:rFonts w:ascii="宋体" w:hAnsi="宋体" w:cs="宋体"/>
          <w:szCs w:val="21"/>
          <w:highlight w:val="none"/>
          <w:u w:val="single"/>
          <w:lang w:val="en-US" w:eastAsia="zh-CN" w:bidi="ar-SA"/>
        </w:rPr>
      </w:pPr>
      <w:r>
        <w:rPr>
          <w:rFonts w:hint="eastAsia" w:ascii="宋体" w:hAnsi="宋体" w:cs="宋体"/>
          <w:szCs w:val="21"/>
          <w:highlight w:val="none"/>
          <w:u w:val="none"/>
          <w:lang w:val="en-US" w:eastAsia="zh-CN" w:bidi="ar-SA"/>
        </w:rPr>
        <w:t xml:space="preserve">采购标的的技术要求、商务要求具体见附件。</w:t>
      </w:r>
      <w:r/>
    </w:p>
    <w:p>
      <w:pPr>
        <w:numPr>
          <w:ilvl w:val="-1"/>
          <w:numId w:val="0"/>
        </w:numPr>
        <w:ind w:firstLine="945"/>
        <w:spacing w:before="0" w:line="400" w:lineRule="exact"/>
        <w:rPr>
          <w:rFonts w:hint="eastAsia" w:ascii="宋体" w:hAnsi="宋体" w:cs="宋体"/>
          <w:szCs w:val="21"/>
          <w:highlight w:val="none"/>
          <w:lang w:val="en-US" w:eastAsia="zh-CN" w:bidi="ar-SA"/>
        </w:rPr>
      </w:pPr>
      <w:r>
        <w:rPr>
          <w:rFonts w:hint="eastAsia" w:ascii="汉仪书宋二S" w:hAnsi="汉仪书宋二S" w:eastAsia="汉仪书宋二S" w:cs="汉仪书宋二S"/>
          <w:szCs w:val="21"/>
          <w:highlight w:val="none"/>
          <w:lang w:val="en-US" w:eastAsia="zh-CN" w:bidi="ar-SA"/>
        </w:rPr>
        <w:t xml:space="preserve">①</w:t>
      </w:r>
      <w:r>
        <w:rPr>
          <w:rFonts w:hint="eastAsia" w:ascii="宋体" w:hAnsi="宋体" w:cs="宋体"/>
          <w:szCs w:val="21"/>
          <w:highlight w:val="none"/>
          <w:lang w:val="en-US" w:eastAsia="zh-CN" w:bidi="ar-SA"/>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highlight w:val="none"/>
          <w:u w:val="single"/>
          <w:lang w:val="en-US" w:eastAsia="zh-CN" w:bidi="ar-SA"/>
        </w:rPr>
      </w:pPr>
      <w:r>
        <w:rPr>
          <w:rFonts w:hint="eastAsia" w:ascii="宋体" w:hAnsi="宋体" w:cs="宋体"/>
          <w:szCs w:val="21"/>
          <w:highlight w:val="none"/>
          <w:lang w:val="en-US" w:eastAsia="zh-CN" w:bidi="ar-SA"/>
        </w:rPr>
        <w:t xml:space="preserve">     标的名称：</w:t>
      </w:r>
      <w:r>
        <w:rPr>
          <w:rFonts w:hint="eastAsia" w:ascii="宋体" w:hAnsi="宋体" w:cs="宋体"/>
          <w:szCs w:val="21"/>
          <w:highlight w:val="none"/>
          <w:u w:val="single"/>
          <w:lang w:val="en-US" w:eastAsia="zh-CN" w:bidi="ar-SA"/>
        </w:rPr>
        <w:t xml:space="preserve">      </w:t>
      </w:r>
      <w:r>
        <w:rPr>
          <w:rFonts w:hint="default" w:ascii="宋体" w:hAnsi="宋体" w:cs="宋体"/>
          <w:szCs w:val="21"/>
          <w:highlight w:val="none"/>
          <w:u w:val="single"/>
          <w:lang w:val="en" w:eastAsia="zh-CN" w:bidi="ar-SA"/>
        </w:rPr>
        <w:t xml:space="preserve">               </w:t>
      </w:r>
      <w:r>
        <w:rPr>
          <w:rFonts w:hint="eastAsia" w:ascii="宋体" w:hAnsi="宋体" w:cs="宋体"/>
          <w:szCs w:val="21"/>
          <w:highlight w:val="none"/>
          <w:u w:val="single"/>
          <w:lang w:val="en-US" w:eastAsia="zh-CN" w:bidi="ar-SA"/>
        </w:rPr>
        <w:t xml:space="preserve">    </w:t>
      </w:r>
      <w:r/>
    </w:p>
    <w:p>
      <w:pPr>
        <w:numPr>
          <w:ilvl w:val="-1"/>
          <w:numId w:val="0"/>
        </w:numPr>
        <w:ind w:firstLine="420"/>
        <w:spacing w:before="0" w:line="400" w:lineRule="exact"/>
        <w:rPr>
          <w:rFonts w:hint="eastAsia" w:ascii="宋体" w:hAnsi="宋体" w:cs="宋体"/>
          <w:szCs w:val="21"/>
          <w:highlight w:val="none"/>
          <w:lang w:val="en-US" w:eastAsia="zh-CN" w:bidi="ar-SA"/>
        </w:rPr>
      </w:pPr>
      <w:r>
        <w:rPr>
          <w:rFonts w:hint="eastAsia" w:ascii="宋体" w:hAnsi="宋体" w:cs="宋体"/>
          <w:szCs w:val="21"/>
          <w:highlight w:val="none"/>
          <w:lang w:val="en-US" w:eastAsia="zh-CN" w:bidi="ar-SA"/>
        </w:rPr>
        <w:t xml:space="preserve">     关键部件：</w:t>
      </w:r>
      <w:r>
        <w:rPr>
          <w:rFonts w:hint="eastAsia" w:ascii="宋体" w:hAnsi="宋体" w:cs="宋体"/>
          <w:szCs w:val="21"/>
          <w:highlight w:val="none"/>
          <w:u w:val="single"/>
          <w:lang w:val="en-US" w:eastAsia="zh-CN" w:bidi="ar-SA"/>
        </w:rPr>
        <w:t xml:space="preserve">          </w:t>
      </w:r>
      <w:r>
        <w:rPr>
          <w:rFonts w:hint="eastAsia" w:ascii="宋体" w:hAnsi="宋体" w:cs="宋体"/>
          <w:szCs w:val="21"/>
          <w:highlight w:val="none"/>
          <w:u w:val="none"/>
          <w:lang w:val="en-US" w:eastAsia="zh-CN" w:bidi="ar-SA"/>
        </w:rPr>
        <w:t xml:space="preserve"> </w:t>
      </w:r>
      <w:r>
        <w:rPr>
          <w:rFonts w:hint="eastAsia" w:ascii="宋体" w:hAnsi="宋体" w:cs="宋体"/>
          <w:szCs w:val="21"/>
          <w:highlight w:val="none"/>
          <w:lang w:val="en-US" w:eastAsia="zh-CN" w:bidi="ar-SA"/>
        </w:rPr>
        <w:t xml:space="preserve">品牌：</w:t>
      </w:r>
      <w:r>
        <w:rPr>
          <w:rFonts w:hint="eastAsia" w:ascii="宋体" w:hAnsi="宋体" w:cs="宋体"/>
          <w:szCs w:val="21"/>
          <w:highlight w:val="none"/>
          <w:u w:val="single"/>
          <w:lang w:val="en-US" w:eastAsia="zh-CN" w:bidi="ar-SA"/>
        </w:rPr>
        <w:t xml:space="preserve">        </w:t>
      </w:r>
      <w:r>
        <w:rPr>
          <w:rFonts w:hint="eastAsia" w:ascii="宋体" w:hAnsi="宋体" w:cs="宋体"/>
          <w:szCs w:val="21"/>
          <w:highlight w:val="none"/>
          <w:u w:val="none"/>
          <w:lang w:val="en-US" w:eastAsia="zh-CN" w:bidi="ar-SA"/>
        </w:rPr>
        <w:t xml:space="preserve"> </w:t>
      </w:r>
      <w:r>
        <w:rPr>
          <w:rFonts w:hint="eastAsia" w:ascii="宋体" w:hAnsi="宋体" w:cs="宋体"/>
          <w:szCs w:val="21"/>
          <w:highlight w:val="none"/>
          <w:lang w:val="en-US" w:eastAsia="zh-CN" w:bidi="ar-SA"/>
        </w:rPr>
        <w:t xml:space="preserve">型号：</w:t>
      </w:r>
      <w:r>
        <w:rPr>
          <w:rFonts w:hint="eastAsia" w:ascii="宋体" w:hAnsi="宋体" w:cs="宋体"/>
          <w:szCs w:val="21"/>
          <w:highlight w:val="none"/>
          <w:u w:val="single"/>
          <w:lang w:val="en-US" w:eastAsia="zh-CN" w:bidi="ar-SA"/>
        </w:rPr>
        <w:t xml:space="preserve">       </w:t>
      </w:r>
      <w:r>
        <w:rPr>
          <w:rFonts w:hint="eastAsia" w:ascii="宋体" w:hAnsi="宋体" w:cs="宋体"/>
          <w:szCs w:val="21"/>
          <w:highlight w:val="none"/>
          <w:lang w:val="en-US" w:eastAsia="zh-CN" w:bidi="ar-SA"/>
        </w:rPr>
        <w:t xml:space="preserve"> </w:t>
      </w:r>
      <w:r/>
    </w:p>
    <w:p>
      <w:pPr>
        <w:ind w:firstLine="44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sz w:val="21"/>
          <w:szCs w:val="21"/>
          <w:highlight w:val="none"/>
          <w:lang w:val="en-US" w:eastAsia="zh-CN" w:bidi="ar-SA"/>
        </w:rPr>
        <w:t xml:space="preserve">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sz w:val="21"/>
          <w:szCs w:val="21"/>
          <w:highlight w:val="none"/>
          <w:lang w:val="en-US" w:eastAsia="zh-CN" w:bidi="ar-SA"/>
        </w:rPr>
        <w:t xml:space="preserve">型号：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44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sz w:val="21"/>
          <w:szCs w:val="21"/>
          <w:highlight w:val="none"/>
          <w:lang w:val="en-US" w:eastAsia="zh-CN" w:bidi="ar-SA"/>
        </w:rPr>
        <w:t xml:space="preserve">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sz w:val="21"/>
          <w:szCs w:val="21"/>
          <w:highlight w:val="none"/>
          <w:lang w:val="en-US" w:eastAsia="zh-CN" w:bidi="ar-SA"/>
        </w:rPr>
        <w:t xml:space="preserve">型号：</w:t>
      </w:r>
      <w:r>
        <w:rPr>
          <w:rFonts w:hint="eastAsia" w:ascii="宋体" w:hAnsi="宋体" w:eastAsia="宋体" w:cs="宋体"/>
          <w:sz w:val="21"/>
          <w:szCs w:val="21"/>
          <w:highlight w:val="none"/>
          <w:u w:val="single"/>
          <w:lang w:val="en-US" w:eastAsia="zh-CN" w:bidi="ar-SA"/>
        </w:rPr>
        <w:t xml:space="preserve">       </w:t>
      </w:r>
      <w:r/>
    </w:p>
    <w:p>
      <w:pPr>
        <w:pStyle w:val="1169"/>
        <w:ind w:left="0" w:firstLine="630"/>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1169"/>
        <w:ind w:firstLine="947"/>
        <w:keepLines w:val="0"/>
        <w:keepNext w:val="0"/>
        <w:pageBreakBefore w:val="0"/>
        <w:widowControl/>
        <w:rPr>
          <w:rFonts w:hint="eastAsia" w:ascii="汉仪书宋二S" w:hAnsi="汉仪书宋二S" w:eastAsia="汉仪书宋二S" w:cs="汉仪书宋二S"/>
          <w:sz w:val="21"/>
          <w:szCs w:val="21"/>
          <w:highlight w:val="none"/>
          <w:lang w:val="en-US" w:eastAsia="zh-CN" w:bidi="ar-SA"/>
        </w:rPr>
      </w:pPr>
      <w:r>
        <w:rPr>
          <w:rFonts w:hint="eastAsia" w:ascii="汉仪书宋二S" w:hAnsi="汉仪书宋二S" w:eastAsia="汉仪书宋二S" w:cs="汉仪书宋二S"/>
          <w:sz w:val="21"/>
          <w:szCs w:val="21"/>
          <w:highlight w:val="none"/>
          <w:lang w:val="en-US" w:eastAsia="zh-CN" w:bidi="ar-SA"/>
        </w:rPr>
        <w:t xml:space="preserve">②涉及车辆采购，请填写是否属于新能源汽车：</w:t>
      </w:r>
      <w:r/>
    </w:p>
    <w:p>
      <w:pPr>
        <w:pStyle w:val="1169"/>
        <w:ind w:firstLine="768"/>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是，《政府采购品目分类目录》底级品目名称：</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 数量：</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 金额：</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 </w:t>
      </w:r>
      <w:r/>
    </w:p>
    <w:p>
      <w:pPr>
        <w:pStyle w:val="1169"/>
        <w:ind w:firstLine="768"/>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否</w:t>
      </w:r>
      <w:r/>
    </w:p>
    <w:p>
      <w:pPr>
        <w:pStyle w:val="1169"/>
        <w:numPr>
          <w:ilvl w:val="0"/>
          <w:numId w:val="7"/>
        </w:numPr>
        <w:ind w:firstLine="560"/>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政府采购组织形式：</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政府集中采购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部门集中采购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分散采购</w:t>
      </w:r>
      <w:r/>
    </w:p>
    <w:p>
      <w:pPr>
        <w:pStyle w:val="1169"/>
        <w:numPr>
          <w:ilvl w:val="0"/>
          <w:numId w:val="7"/>
        </w:numPr>
        <w:ind w:firstLine="560"/>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政府采购方式：</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公开招标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邀请招标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竞争性谈判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竞争性磋商</w:t>
      </w:r>
      <w:r/>
    </w:p>
    <w:p>
      <w:pPr>
        <w:pStyle w:val="1169"/>
        <w:ind w:firstLine="2538"/>
        <w:rPr>
          <w:rFonts w:hint="eastAsia" w:ascii="方正仿宋_GBK" w:hAnsi="方正仿宋_GBK" w:eastAsia="宋体" w:cs="方正仿宋_GBK"/>
          <w:sz w:val="21"/>
          <w:szCs w:val="28"/>
          <w:highlight w:val="none"/>
          <w:u w:val="single"/>
        </w:rPr>
      </w:pP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询价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单一来源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框架协议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其他：</w:t>
      </w:r>
      <w:r>
        <w:rPr>
          <w:rFonts w:hint="eastAsia" w:ascii="方正仿宋_GBK" w:hAnsi="方正仿宋_GBK" w:eastAsia="宋体" w:cs="方正仿宋_GBK"/>
          <w:sz w:val="21"/>
          <w:szCs w:val="28"/>
          <w:highlight w:val="none"/>
          <w:u w:val="single"/>
        </w:rPr>
        <w:t xml:space="preserve">          </w:t>
      </w:r>
      <w:r/>
    </w:p>
    <w:p>
      <w:pPr>
        <w:pStyle w:val="1169"/>
        <w:ind w:firstLine="560"/>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（注：在框架协议采购的第二阶段，可选择使用该合同文本）</w:t>
      </w:r>
      <w:r/>
    </w:p>
    <w:p>
      <w:pPr>
        <w:pStyle w:val="1169"/>
        <w:ind w:firstLine="560"/>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（6）中标（成交）采购标的制造商是否为中小企业：</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是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否</w:t>
      </w:r>
      <w:r/>
    </w:p>
    <w:p>
      <w:pPr>
        <w:ind w:firstLine="560"/>
        <w:spacing w:line="400" w:lineRule="exact"/>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本合同是否为专门面向中小企业的采购合同（中小企业预留合同）：</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是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否</w:t>
      </w:r>
      <w:r/>
    </w:p>
    <w:p>
      <w:pPr>
        <w:ind w:firstLine="560"/>
        <w:spacing w:line="400" w:lineRule="exact"/>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若本项目不专门面向中小企业采购，是否给予小微企业评审优惠：</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是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否</w:t>
      </w:r>
      <w:r/>
    </w:p>
    <w:p>
      <w:pPr>
        <w:ind w:firstLine="560"/>
        <w:spacing w:line="400" w:lineRule="exact"/>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中标（成交）采购标的制造商是否为残疾人福利性单位：</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是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否</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中标（成交）采购标的制造商是否为监狱企业：</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是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否</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（7）合同是否分包：</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是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否</w:t>
      </w:r>
      <w:r/>
    </w:p>
    <w:p>
      <w:pPr>
        <w:ind w:firstLine="560"/>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分包主要内容：</w:t>
      </w:r>
      <w:r>
        <w:rPr>
          <w:rFonts w:hint="eastAsia" w:ascii="方正仿宋_GBK" w:hAnsi="方正仿宋_GBK" w:eastAsia="宋体" w:cs="方正仿宋_GBK"/>
          <w:sz w:val="21"/>
          <w:szCs w:val="28"/>
          <w:highlight w:val="none"/>
          <w:u w:val="single"/>
        </w:rPr>
        <w:t xml:space="preserve">                                            </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分包供应商/制造商名称（如供应商和制造商不同，请分别填写）：</w:t>
      </w:r>
      <w:r/>
    </w:p>
    <w:p>
      <w:pPr>
        <w:ind w:firstLine="560"/>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 </w:t>
      </w:r>
      <w:r>
        <w:rPr>
          <w:rFonts w:hint="eastAsia" w:ascii="方正仿宋_GBK" w:hAnsi="方正仿宋_GBK" w:eastAsia="宋体" w:cs="方正仿宋_GBK"/>
          <w:sz w:val="21"/>
          <w:szCs w:val="28"/>
          <w:highlight w:val="none"/>
          <w:u w:val="single"/>
        </w:rPr>
        <w:t xml:space="preserve">                                                          </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分包供应商/制造商类型（如果供应商和制造商不同，只填写制造商类型）：</w:t>
      </w:r>
      <w:r/>
    </w:p>
    <w:p>
      <w:pPr>
        <w:ind w:firstLine="560"/>
        <w:spacing w:line="400" w:lineRule="exact"/>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iCs/>
          <w:sz w:val="21"/>
          <w:szCs w:val="28"/>
          <w:highlight w:val="none"/>
        </w:rPr>
        <w:t xml:space="preserve"> </w:t>
      </w:r>
      <w:r>
        <w:rPr>
          <w:rFonts w:hint="eastAsia" w:ascii="方正仿宋_GBK" w:hAnsi="方正仿宋_GBK" w:cs="方正仿宋_GBK"/>
          <w:iCs/>
          <w:sz w:val="21"/>
          <w:szCs w:val="28"/>
          <w:highlight w:val="none"/>
          <w:lang w:val="en-US" w:eastAsia="zh-CN"/>
        </w:rPr>
        <w:t xml:space="preserve">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大型企业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中型企业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小微型企业  </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iCs/>
          <w:sz w:val="21"/>
          <w:szCs w:val="28"/>
          <w:highlight w:val="none"/>
        </w:rPr>
        <w:t xml:space="preserve"> </w:t>
      </w:r>
      <w:r>
        <w:rPr>
          <w:rFonts w:hint="eastAsia" w:ascii="方正仿宋_GBK" w:hAnsi="方正仿宋_GBK" w:cs="方正仿宋_GBK"/>
          <w:iCs/>
          <w:sz w:val="21"/>
          <w:szCs w:val="28"/>
          <w:highlight w:val="none"/>
          <w:lang w:val="en-US" w:eastAsia="zh-CN"/>
        </w:rPr>
        <w:t xml:space="preserve">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残疾人福利性单位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监狱企业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其他</w:t>
      </w:r>
      <w:r/>
    </w:p>
    <w:p>
      <w:pPr>
        <w:ind w:firstLine="560"/>
        <w:spacing w:line="400" w:lineRule="exact"/>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sz w:val="21"/>
          <w:szCs w:val="28"/>
          <w:highlight w:val="none"/>
        </w:rPr>
        <w:t xml:space="preserve">（8）中标（成交）供应商是否为外商投资企业：</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是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否</w:t>
      </w:r>
      <w:r/>
    </w:p>
    <w:p>
      <w:pPr>
        <w:pStyle w:val="1169"/>
        <w:tabs>
          <w:tab w:val="left" w:pos="1340" w:leader="none"/>
        </w:tabs>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rPr>
        <w:t xml:space="preserve"> </w:t>
      </w:r>
      <w:r>
        <w:rPr>
          <w:rFonts w:hint="eastAsia" w:ascii="方正仿宋_GBK" w:hAnsi="方正仿宋_GBK" w:eastAsia="宋体"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外商投资企业类型：</w:t>
      </w:r>
      <w:r>
        <w:rPr>
          <w:rFonts w:ascii="Wingdings" w:hAnsi="Wingdings" w:eastAsia="宋体" w:cs="Wingdings"/>
          <w:iCs/>
          <w:sz w:val="21"/>
          <w:szCs w:val="28"/>
          <w:highlight w:val="none"/>
        </w:rPr>
        <w:t xml:space="preserve">¨</w:t>
      </w:r>
      <w:r>
        <w:rPr>
          <w:rFonts w:hint="eastAsia" w:ascii="方正仿宋_GBK" w:hAnsi="方正仿宋_GBK" w:eastAsia="宋体" w:cs="方正仿宋_GBK"/>
          <w:sz w:val="21"/>
          <w:szCs w:val="28"/>
          <w:highlight w:val="none"/>
        </w:rPr>
        <w:t xml:space="preserve">全部由外国投资者投资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部分由外国投资者投资</w:t>
      </w:r>
      <w:r/>
    </w:p>
    <w:p>
      <w:pPr>
        <w:numPr>
          <w:ilvl w:val="0"/>
          <w:numId w:val="8"/>
        </w:numPr>
        <w:ind w:firstLine="560"/>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rPr>
        <w:t xml:space="preserve">是否涉及进口产品：</w:t>
      </w:r>
      <w:r/>
    </w:p>
    <w:p>
      <w:pPr>
        <w:numPr>
          <w:ilvl w:val="0"/>
          <w:numId w:val="0"/>
        </w:numPr>
        <w:ind w:firstLine="1050"/>
        <w:spacing w:line="400" w:lineRule="exact"/>
        <w:rPr>
          <w:rFonts w:hint="eastAsia" w:ascii="方正仿宋_GBK" w:hAnsi="方正仿宋_GBK" w:eastAsia="宋体" w:cs="方正仿宋_GBK"/>
          <w:sz w:val="21"/>
          <w:szCs w:val="28"/>
          <w:highlight w:val="none"/>
          <w:u w:val="single"/>
        </w:rPr>
      </w:pPr>
      <w:r>
        <w:rPr>
          <w:rFonts w:ascii="Wingdings" w:hAnsi="Wingdings" w:eastAsia="Wingdings" w:cs="Wingdings"/>
          <w:sz w:val="21"/>
          <w:szCs w:val="28"/>
          <w:highlight w:val="none"/>
        </w:rPr>
        <w:t xml:space="preserve">¨</w:t>
      </w:r>
      <w:r>
        <w:rPr>
          <w:rFonts w:hint="eastAsia" w:ascii="方正仿宋_GBK" w:hAnsi="方正仿宋_GBK" w:eastAsia="宋体" w:cs="方正仿宋_GBK"/>
          <w:sz w:val="21"/>
          <w:szCs w:val="28"/>
          <w:highlight w:val="none"/>
        </w:rPr>
        <w:t xml:space="preserve">是，《政府采购品目分类目录》底级品目名称：</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 金额：</w:t>
      </w:r>
      <w:r>
        <w:rPr>
          <w:rFonts w:hint="eastAsia" w:ascii="方正仿宋_GBK" w:hAnsi="方正仿宋_GBK" w:eastAsia="宋体" w:cs="方正仿宋_GBK"/>
          <w:sz w:val="21"/>
          <w:szCs w:val="28"/>
          <w:highlight w:val="none"/>
          <w:u w:val="single"/>
        </w:rPr>
        <w:t xml:space="preserve">    </w:t>
      </w:r>
      <w:r/>
    </w:p>
    <w:p>
      <w:pPr>
        <w:ind w:firstLine="1814"/>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国别：</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品牌：</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规格型号：</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     </w:t>
      </w:r>
      <w:r/>
    </w:p>
    <w:p>
      <w:pPr>
        <w:ind w:firstLine="1050"/>
        <w:spacing w:line="400" w:lineRule="exact"/>
        <w:rPr>
          <w:rFonts w:hint="eastAsia" w:ascii="方正仿宋_GBK" w:hAnsi="方正仿宋_GBK" w:eastAsia="宋体" w:cs="方正仿宋_GBK"/>
          <w:sz w:val="21"/>
          <w:szCs w:val="28"/>
          <w:highlight w:val="none"/>
        </w:rPr>
      </w:pP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否</w:t>
      </w:r>
      <w:r/>
    </w:p>
    <w:p>
      <w:pPr>
        <w:ind w:firstLine="560"/>
        <w:spacing w:line="400" w:lineRule="exact"/>
        <w:tabs>
          <w:tab w:val="left" w:pos="740" w:leader="none"/>
        </w:tabs>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（10）是否涉及节能产品：</w:t>
      </w:r>
      <w:r/>
    </w:p>
    <w:p>
      <w:pPr>
        <w:ind w:firstLine="1186"/>
        <w:spacing w:line="400" w:lineRule="exact"/>
        <w:tabs>
          <w:tab w:val="left" w:pos="740" w:leader="none"/>
        </w:tabs>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sz w:val="21"/>
          <w:szCs w:val="28"/>
          <w:highlight w:val="none"/>
        </w:rPr>
        <w:t xml:space="preserve">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是，《节能产品政府采购品目清单》的底级品目名称：</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iCs/>
          <w:sz w:val="21"/>
          <w:szCs w:val="28"/>
          <w:highlight w:val="none"/>
        </w:rPr>
        <w:t xml:space="preserve">     </w:t>
      </w:r>
      <w:r/>
    </w:p>
    <w:p>
      <w:pPr>
        <w:ind w:firstLine="2024"/>
        <w:spacing w:line="400" w:lineRule="exact"/>
        <w:tabs>
          <w:tab w:val="left" w:pos="740" w:leader="none"/>
        </w:tabs>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iCs/>
          <w:sz w:val="21"/>
          <w:szCs w:val="28"/>
          <w:highlight w:val="none"/>
        </w:rPr>
        <w:t xml:space="preserve">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强制采购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优先采购    </w:t>
      </w:r>
      <w:r/>
    </w:p>
    <w:p>
      <w:pPr>
        <w:ind w:firstLine="1186"/>
        <w:spacing w:line="400" w:lineRule="exact"/>
        <w:tabs>
          <w:tab w:val="left" w:pos="740" w:leader="none"/>
        </w:tabs>
        <w:rPr>
          <w:rFonts w:hint="eastAsia" w:ascii="方正仿宋_GBK" w:hAnsi="方正仿宋_GBK" w:eastAsia="宋体" w:cs="方正仿宋_GBK"/>
          <w:sz w:val="21"/>
          <w:szCs w:val="28"/>
          <w:highlight w:val="none"/>
        </w:rPr>
      </w:pPr>
      <w:r>
        <w:rPr>
          <w:rFonts w:hint="eastAsia" w:ascii="方正仿宋_GBK" w:hAnsi="方正仿宋_GBK" w:eastAsia="宋体" w:cs="方正仿宋_GBK"/>
          <w:iCs/>
          <w:sz w:val="21"/>
          <w:szCs w:val="28"/>
          <w:highlight w:val="none"/>
        </w:rPr>
        <w:t xml:space="preserve">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否</w:t>
      </w:r>
      <w:r/>
    </w:p>
    <w:p>
      <w:pPr>
        <w:ind w:firstLine="1260"/>
        <w:spacing w:line="400" w:lineRule="exact"/>
        <w:tabs>
          <w:tab w:val="left" w:pos="740" w:leader="none"/>
        </w:tabs>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是否涉及环境标志产品：</w:t>
      </w:r>
      <w:r/>
    </w:p>
    <w:p>
      <w:pPr>
        <w:ind w:firstLine="560"/>
        <w:spacing w:line="400" w:lineRule="exact"/>
        <w:tabs>
          <w:tab w:val="left" w:pos="740" w:leader="none"/>
        </w:tabs>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是，《环境标志产品政府采购品目清单》的底级品目名称：</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iCs/>
          <w:sz w:val="21"/>
          <w:szCs w:val="28"/>
          <w:highlight w:val="none"/>
        </w:rPr>
        <w:t xml:space="preserve"> </w:t>
      </w:r>
      <w:r/>
    </w:p>
    <w:p>
      <w:pPr>
        <w:ind w:firstLine="560"/>
        <w:spacing w:line="400" w:lineRule="exact"/>
        <w:tabs>
          <w:tab w:val="left" w:pos="740" w:leader="none"/>
        </w:tabs>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iCs/>
          <w:sz w:val="21"/>
          <w:szCs w:val="28"/>
          <w:highlight w:val="none"/>
        </w:rPr>
        <w:t xml:space="preserve">  </w:t>
      </w:r>
      <w:r>
        <w:rPr>
          <w:rFonts w:hint="eastAsia" w:ascii="方正仿宋_GBK" w:hAnsi="方正仿宋_GBK" w:cs="方正仿宋_GBK"/>
          <w:iCs/>
          <w:sz w:val="21"/>
          <w:szCs w:val="28"/>
          <w:highlight w:val="none"/>
          <w:lang w:val="en-US" w:eastAsia="zh-CN"/>
        </w:rPr>
        <w:t xml:space="preserve">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强制采购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优先采购    </w:t>
      </w:r>
      <w:r/>
    </w:p>
    <w:p>
      <w:pPr>
        <w:ind w:firstLine="560"/>
        <w:spacing w:line="400" w:lineRule="exact"/>
        <w:tabs>
          <w:tab w:val="left" w:pos="740" w:leader="none"/>
        </w:tabs>
        <w:rPr>
          <w:rFonts w:hint="eastAsia" w:ascii="方正仿宋_GBK" w:hAnsi="方正仿宋_GBK" w:eastAsia="宋体" w:cs="方正仿宋_GBK"/>
          <w:sz w:val="21"/>
          <w:szCs w:val="28"/>
          <w:highlight w:val="none"/>
        </w:rPr>
      </w:pPr>
      <w:r>
        <w:rPr>
          <w:rFonts w:hint="eastAsia" w:ascii="方正仿宋_GBK" w:hAnsi="方正仿宋_GBK" w:eastAsia="宋体" w:cs="方正仿宋_GBK"/>
          <w:iCs/>
          <w:sz w:val="21"/>
          <w:szCs w:val="28"/>
          <w:highlight w:val="none"/>
        </w:rPr>
        <w:t xml:space="preserve"> </w:t>
      </w:r>
      <w:r>
        <w:rPr>
          <w:rFonts w:hint="eastAsia" w:ascii="方正仿宋_GBK" w:hAnsi="方正仿宋_GBK" w:cs="方正仿宋_GBK"/>
          <w:iCs/>
          <w:sz w:val="21"/>
          <w:szCs w:val="28"/>
          <w:highlight w:val="none"/>
          <w:lang w:val="en-US" w:eastAsia="zh-CN"/>
        </w:rPr>
        <w:t xml:space="preserve">     </w:t>
      </w:r>
      <w:r>
        <w:rPr>
          <w:rFonts w:hint="eastAsia" w:ascii="方正仿宋_GBK" w:hAnsi="方正仿宋_GBK" w:eastAsia="宋体" w:cs="方正仿宋_GBK"/>
          <w:iCs/>
          <w:sz w:val="21"/>
          <w:szCs w:val="28"/>
          <w:highlight w:val="none"/>
        </w:rPr>
        <w:t xml:space="preserve">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否</w:t>
      </w:r>
      <w:r/>
    </w:p>
    <w:p>
      <w:pPr>
        <w:pStyle w:val="1169"/>
        <w:ind w:firstLine="560"/>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eastAsia="宋体"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是否涉及绿色产品： </w:t>
      </w:r>
      <w:r/>
    </w:p>
    <w:p>
      <w:pPr>
        <w:pStyle w:val="1169"/>
        <w:ind w:firstLine="560"/>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rPr>
        <w:t xml:space="preserve">  </w:t>
      </w:r>
      <w:r>
        <w:rPr>
          <w:rFonts w:hint="eastAsia" w:ascii="方正仿宋_GBK" w:hAnsi="方正仿宋_GBK" w:eastAsia="宋体" w:cs="方正仿宋_GBK"/>
          <w:sz w:val="21"/>
          <w:szCs w:val="28"/>
          <w:highlight w:val="none"/>
          <w:lang w:val="en-US" w:eastAsia="zh-CN"/>
        </w:rPr>
        <w:t xml:space="preserve">     </w:t>
      </w:r>
      <w:r>
        <w:rPr>
          <w:rFonts w:ascii="Wingdings" w:hAnsi="Wingdings" w:eastAsia="Wingdings" w:cs="Wingdings"/>
          <w:sz w:val="21"/>
          <w:szCs w:val="28"/>
          <w:highlight w:val="none"/>
        </w:rPr>
        <w:t xml:space="preserve">¨</w:t>
      </w:r>
      <w:r>
        <w:rPr>
          <w:rFonts w:hint="eastAsia" w:ascii="方正仿宋_GBK" w:hAnsi="方正仿宋_GBK" w:eastAsia="宋体" w:cs="方正仿宋_GBK"/>
          <w:sz w:val="21"/>
          <w:szCs w:val="28"/>
          <w:highlight w:val="none"/>
        </w:rPr>
        <w:t xml:space="preserve">是，绿色产品政府采购相关政策确定的底级品目名称：</w:t>
      </w:r>
      <w:r>
        <w:rPr>
          <w:rFonts w:hint="eastAsia" w:ascii="方正仿宋_GBK" w:hAnsi="方正仿宋_GBK" w:eastAsia="宋体" w:cs="方正仿宋_GBK"/>
          <w:sz w:val="21"/>
          <w:szCs w:val="28"/>
          <w:highlight w:val="none"/>
          <w:u w:val="single"/>
        </w:rPr>
        <w:t xml:space="preserve">         </w:t>
      </w:r>
      <w:r/>
    </w:p>
    <w:p>
      <w:pPr>
        <w:pStyle w:val="1169"/>
        <w:ind w:firstLine="560"/>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iCs/>
          <w:sz w:val="21"/>
          <w:szCs w:val="28"/>
          <w:highlight w:val="none"/>
        </w:rPr>
        <w:t xml:space="preserve"> </w:t>
      </w:r>
      <w:r>
        <w:rPr>
          <w:rFonts w:hint="eastAsia" w:ascii="方正仿宋_GBK" w:hAnsi="方正仿宋_GBK" w:eastAsia="宋体" w:cs="方正仿宋_GBK"/>
          <w:iCs/>
          <w:sz w:val="21"/>
          <w:szCs w:val="28"/>
          <w:highlight w:val="none"/>
          <w:lang w:val="en-US" w:eastAsia="zh-CN"/>
        </w:rPr>
        <w:t xml:space="preserve">            </w:t>
      </w:r>
      <w:r>
        <w:rPr>
          <w:rFonts w:hint="eastAsia" w:ascii="方正仿宋_GBK" w:hAnsi="方正仿宋_GBK" w:eastAsia="宋体" w:cs="方正仿宋_GBK"/>
          <w:iCs/>
          <w:sz w:val="21"/>
          <w:szCs w:val="28"/>
          <w:highlight w:val="none"/>
        </w:rPr>
        <w:t xml:space="preserve">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强制采购       </w:t>
      </w:r>
      <w:r>
        <w:rPr>
          <w:rFonts w:ascii="Wingdings" w:hAnsi="Wingdings" w:eastAsia="宋体" w:cs="Wingdings"/>
          <w:iCs/>
          <w:sz w:val="21"/>
          <w:szCs w:val="28"/>
          <w:highlight w:val="none"/>
        </w:rPr>
        <w:t xml:space="preserve">¨</w:t>
      </w:r>
      <w:r>
        <w:rPr>
          <w:rFonts w:hint="eastAsia" w:ascii="方正仿宋_GBK" w:hAnsi="方正仿宋_GBK" w:eastAsia="宋体" w:cs="方正仿宋_GBK"/>
          <w:iCs/>
          <w:sz w:val="21"/>
          <w:szCs w:val="28"/>
          <w:highlight w:val="none"/>
        </w:rPr>
        <w:t xml:space="preserve">优先采购    </w:t>
      </w:r>
      <w:r/>
    </w:p>
    <w:p>
      <w:pPr>
        <w:pStyle w:val="1169"/>
        <w:ind w:firstLine="1278"/>
        <w:rPr>
          <w:rFonts w:hint="eastAsia" w:ascii="方正仿宋_GBK" w:hAnsi="方正仿宋_GBK" w:eastAsia="宋体" w:cs="方正仿宋_GBK"/>
          <w:sz w:val="21"/>
          <w:szCs w:val="28"/>
          <w:highlight w:val="none"/>
        </w:rPr>
      </w:pP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否</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（11）涉及商品包装和快递包装的，是否参考《商品包装政府采购需求标准（试行）》、《快递包装政府采购需求标准（试行）》明确产品及相关快递服务的具体包装要求：</w:t>
      </w:r>
      <w:r/>
    </w:p>
    <w:p>
      <w:pPr>
        <w:ind w:firstLine="1260"/>
        <w:spacing w:line="400" w:lineRule="exact"/>
        <w:rPr>
          <w:rFonts w:hint="eastAsia" w:ascii="方正仿宋_GBK" w:hAnsi="方正仿宋_GBK" w:eastAsia="宋体" w:cs="方正仿宋_GBK"/>
          <w:sz w:val="21"/>
          <w:szCs w:val="28"/>
          <w:highlight w:val="none"/>
        </w:rPr>
      </w:pP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是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否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不涉及</w:t>
      </w:r>
      <w:r/>
    </w:p>
    <w:p>
      <w:pPr>
        <w:ind w:firstLine="562"/>
        <w:spacing w:line="400" w:lineRule="exact"/>
        <w:rPr>
          <w:rFonts w:hint="eastAsia" w:ascii="方正仿宋_GBK" w:hAnsi="方正仿宋_GBK" w:eastAsia="宋体" w:cs="方正仿宋_GBK"/>
          <w:b/>
          <w:sz w:val="21"/>
          <w:szCs w:val="28"/>
          <w:highlight w:val="none"/>
        </w:rPr>
      </w:pPr>
      <w:r>
        <w:rPr>
          <w:rFonts w:hint="eastAsia" w:ascii="方正仿宋_GBK" w:hAnsi="方正仿宋_GBK" w:eastAsia="宋体" w:cs="方正仿宋_GBK"/>
          <w:b/>
          <w:sz w:val="21"/>
          <w:szCs w:val="28"/>
          <w:highlight w:val="none"/>
        </w:rPr>
        <w:t xml:space="preserve">2.合同金额</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（1）合同金额小写：</w:t>
      </w:r>
      <w:r>
        <w:rPr>
          <w:rFonts w:hint="eastAsia" w:ascii="方正仿宋_GBK" w:hAnsi="方正仿宋_GBK" w:eastAsia="宋体" w:cs="方正仿宋_GBK"/>
          <w:sz w:val="21"/>
          <w:szCs w:val="28"/>
          <w:highlight w:val="none"/>
          <w:u w:val="single"/>
        </w:rPr>
        <w:t xml:space="preserve">               </w:t>
      </w:r>
      <w:r/>
    </w:p>
    <w:p>
      <w:pPr>
        <w:ind w:firstLine="560"/>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大写：</w:t>
      </w:r>
      <w:r>
        <w:rPr>
          <w:rFonts w:hint="eastAsia" w:ascii="方正仿宋_GBK" w:hAnsi="方正仿宋_GBK" w:eastAsia="宋体" w:cs="方正仿宋_GBK"/>
          <w:sz w:val="21"/>
          <w:szCs w:val="28"/>
          <w:highlight w:val="none"/>
          <w:u w:val="single"/>
        </w:rPr>
        <w:t xml:space="preserve">                           </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分包金额（如有）小写：</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cs="方正仿宋_GBK"/>
          <w:sz w:val="21"/>
          <w:szCs w:val="28"/>
          <w:highlight w:val="none"/>
          <w:u w:val="single"/>
          <w:lang w:val="en-US" w:eastAsia="zh-CN"/>
        </w:rPr>
        <w:t xml:space="preserve">        </w:t>
      </w:r>
      <w:r>
        <w:rPr>
          <w:rFonts w:hint="eastAsia" w:ascii="方正仿宋_GBK" w:hAnsi="方正仿宋_GBK" w:eastAsia="宋体" w:cs="方正仿宋_GBK"/>
          <w:sz w:val="21"/>
          <w:szCs w:val="28"/>
          <w:highlight w:val="none"/>
          <w:u w:val="single"/>
        </w:rPr>
        <w:t xml:space="preserve">    </w:t>
      </w:r>
      <w:r/>
    </w:p>
    <w:p>
      <w:pPr>
        <w:ind w:firstLine="560"/>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大写：</w:t>
      </w:r>
      <w:r>
        <w:rPr>
          <w:rFonts w:hint="eastAsia" w:ascii="方正仿宋_GBK" w:hAnsi="方正仿宋_GBK" w:eastAsia="宋体" w:cs="方正仿宋_GBK"/>
          <w:sz w:val="21"/>
          <w:szCs w:val="28"/>
          <w:highlight w:val="none"/>
          <w:u w:val="single"/>
        </w:rPr>
        <w:t xml:space="preserve">                   </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 </w:t>
      </w:r>
      <w:r>
        <w:rPr>
          <w:rFonts w:hint="eastAsia" w:ascii="方正仿宋_GBK" w:hAnsi="方正仿宋_GBK" w:cs="方正仿宋_GBK"/>
          <w:sz w:val="21"/>
          <w:szCs w:val="28"/>
          <w:highlight w:val="none"/>
          <w:lang w:val="en-US" w:eastAsia="zh-CN"/>
        </w:rPr>
        <w:t xml:space="preserve">   </w:t>
      </w:r>
      <w:r>
        <w:rPr>
          <w:rFonts w:hint="eastAsia" w:ascii="方正仿宋_GBK" w:hAnsi="方正仿宋_GBK" w:eastAsia="宋体" w:cs="方正仿宋_GBK"/>
          <w:sz w:val="21"/>
          <w:szCs w:val="28"/>
          <w:highlight w:val="none"/>
        </w:rPr>
        <w:t xml:space="preserve">（注：固定单价合同应填写单价和最高限价）</w:t>
      </w:r>
      <w:r/>
    </w:p>
    <w:p>
      <w:pPr>
        <w:ind w:firstLine="561"/>
        <w:keepLines w:val="0"/>
        <w:keepNext w:val="0"/>
        <w:pageBreakBefore w:val="0"/>
        <w:spacing w:line="400" w:lineRule="exact"/>
        <w:widowControl w:val="off"/>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（2）合同定价方式（采用组合定价方式的，可以勾选多项）：</w:t>
      </w:r>
      <w:r/>
    </w:p>
    <w:p>
      <w:pPr>
        <w:ind w:firstLine="976"/>
        <w:spacing w:line="400" w:lineRule="exact"/>
        <w:rPr>
          <w:rFonts w:eastAsia="宋体"/>
          <w:sz w:val="21"/>
          <w:szCs w:val="28"/>
          <w:highlight w:val="none"/>
        </w:rPr>
      </w:pPr>
      <w:r>
        <w:rPr>
          <w:rFonts w:ascii="Wingdings" w:hAnsi="Wingdings" w:eastAsia="Wingdings" w:cs="Wingdings"/>
          <w:sz w:val="21"/>
          <w:szCs w:val="28"/>
          <w:highlight w:val="none"/>
        </w:rPr>
        <w:t xml:space="preserve">¨</w:t>
      </w:r>
      <w:r>
        <w:rPr>
          <w:rFonts w:hint="eastAsia" w:ascii="方正仿宋_GBK" w:hAnsi="方正仿宋_GBK" w:eastAsia="宋体" w:cs="方正仿宋_GBK"/>
          <w:sz w:val="21"/>
          <w:szCs w:val="28"/>
          <w:highlight w:val="none"/>
        </w:rPr>
        <w:t xml:space="preserve">固定总价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固定单价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固定费率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成本补偿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绩效激励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其他     </w:t>
      </w:r>
      <w:r>
        <w:rPr>
          <w:rFonts w:hint="eastAsia" w:eastAsia="宋体"/>
          <w:sz w:val="21"/>
          <w:szCs w:val="28"/>
          <w:highlight w:val="none"/>
        </w:rPr>
        <w:t xml:space="preserve">  </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（3）付款方式（按项目实际勾选填写）：</w:t>
      </w:r>
      <w:r/>
    </w:p>
    <w:p>
      <w:pPr>
        <w:ind w:firstLine="976"/>
        <w:keepLines w:val="0"/>
        <w:keepNext w:val="0"/>
        <w:pageBreakBefore w:val="0"/>
        <w:spacing w:line="400" w:lineRule="exact"/>
        <w:widowControl w:val="off"/>
        <w:rPr>
          <w:rFonts w:hint="eastAsia" w:ascii="方正仿宋_GBK" w:hAnsi="方正仿宋_GBK" w:eastAsia="宋体" w:cs="方正仿宋_GBK"/>
          <w:bCs/>
          <w:sz w:val="21"/>
          <w:szCs w:val="28"/>
          <w:highlight w:val="none"/>
        </w:rPr>
      </w:pPr>
      <w:r>
        <w:rPr>
          <w:rFonts w:ascii="Wingdings 2" w:hAnsi="Wingdings 2" w:eastAsia="Wingdings 2" w:cs="Wingdings 2"/>
          <w:sz w:val="21"/>
          <w:szCs w:val="28"/>
          <w:highlight w:val="none"/>
        </w:rPr>
        <w:t xml:space="preserve">£</w:t>
      </w:r>
      <w:r>
        <w:rPr>
          <w:rFonts w:hint="eastAsia" w:ascii="方正仿宋_GBK" w:hAnsi="方正仿宋_GBK" w:eastAsia="宋体" w:cs="方正仿宋_GBK"/>
          <w:sz w:val="21"/>
          <w:szCs w:val="28"/>
          <w:highlight w:val="none"/>
        </w:rPr>
        <w:t xml:space="preserve">全额付款</w:t>
      </w:r>
      <w:r>
        <w:rPr>
          <w:rFonts w:hint="eastAsia" w:ascii="方正仿宋_GBK" w:hAnsi="方正仿宋_GBK" w:eastAsia="宋体" w:cs="方正仿宋_GBK"/>
          <w:sz w:val="21"/>
          <w:szCs w:val="28"/>
          <w:highlight w:val="none"/>
          <w:u w:val="single"/>
        </w:rPr>
        <w:t xml:space="preserve">：</w:t>
      </w:r>
      <w:r>
        <w:rPr>
          <w:rFonts w:hint="eastAsia" w:ascii="方正仿宋_GBK" w:hAnsi="方正仿宋_GBK" w:eastAsia="宋体" w:cs="方正仿宋_GBK"/>
          <w:sz w:val="21"/>
          <w:szCs w:val="32"/>
          <w:highlight w:val="none"/>
          <w:u w:val="single"/>
        </w:rPr>
        <w:t xml:space="preserve"> （应明确一次性支付合同款项的条件）</w:t>
      </w:r>
      <w:r/>
    </w:p>
    <w:p>
      <w:pPr>
        <w:ind w:firstLine="976"/>
        <w:spacing w:line="400" w:lineRule="exact"/>
        <w:rPr>
          <w:rFonts w:hint="eastAsia" w:ascii="方正仿宋_GBK" w:hAnsi="方正仿宋_GBK" w:eastAsia="宋体" w:cs="方正仿宋_GBK"/>
          <w:sz w:val="21"/>
          <w:szCs w:val="28"/>
          <w:highlight w:val="none"/>
        </w:rPr>
      </w:pP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分期付款：</w:t>
      </w:r>
      <w:r>
        <w:rPr>
          <w:rFonts w:hint="eastAsia" w:ascii="方正仿宋_GBK" w:hAnsi="方正仿宋_GBK" w:eastAsia="宋体" w:cs="方正仿宋_GBK"/>
          <w:sz w:val="21"/>
          <w:szCs w:val="28"/>
          <w:highlight w:val="none"/>
          <w:u w:val="single"/>
        </w:rPr>
        <w:t xml:space="preserve">   （应明确分期支付合同款项的各期比例和支付条件，各期支付条件应与分期履约验收情况挂钩） </w:t>
      </w:r>
      <w:r>
        <w:rPr>
          <w:rFonts w:hint="eastAsia" w:ascii="方正仿宋_GBK" w:hAnsi="方正仿宋_GBK" w:eastAsia="宋体" w:cs="方正仿宋_GBK"/>
          <w:sz w:val="21"/>
          <w:szCs w:val="28"/>
          <w:highlight w:val="none"/>
        </w:rPr>
        <w:t xml:space="preserve">，其中涉及预付款的：</w:t>
      </w:r>
      <w:r>
        <w:rPr>
          <w:rFonts w:hint="eastAsia" w:ascii="方正仿宋_GBK" w:hAnsi="方正仿宋_GBK" w:eastAsia="宋体" w:cs="方正仿宋_GBK"/>
          <w:sz w:val="21"/>
          <w:szCs w:val="28"/>
          <w:highlight w:val="none"/>
          <w:u w:val="single"/>
        </w:rPr>
        <w:t xml:space="preserve"> （应明确预付款的支付比例和支付条件） </w:t>
      </w:r>
      <w:r/>
    </w:p>
    <w:p>
      <w:pPr>
        <w:ind w:firstLine="976"/>
        <w:spacing w:line="400" w:lineRule="exact"/>
        <w:rPr>
          <w:rFonts w:hint="eastAsia" w:ascii="方正仿宋_GBK" w:hAnsi="方正仿宋_GBK" w:eastAsia="宋体" w:cs="方正仿宋_GBK"/>
          <w:sz w:val="21"/>
          <w:szCs w:val="28"/>
          <w:highlight w:val="none"/>
          <w:u w:val="single"/>
        </w:rPr>
      </w:pPr>
      <w:r>
        <w:rPr>
          <w:rFonts w:ascii="Wingdings" w:hAnsi="Wingdings" w:eastAsia="宋体" w:cs="Wingdings"/>
          <w:sz w:val="21"/>
          <w:szCs w:val="28"/>
          <w:highlight w:val="none"/>
          <w:u w:val="single"/>
        </w:rPr>
        <w:t xml:space="preserve">¨</w:t>
      </w:r>
      <w:r>
        <w:rPr>
          <w:rFonts w:hint="eastAsia" w:ascii="方正仿宋_GBK" w:hAnsi="方正仿宋_GBK" w:eastAsia="宋体" w:cs="方正仿宋_GBK"/>
          <w:sz w:val="21"/>
          <w:szCs w:val="28"/>
          <w:highlight w:val="none"/>
          <w:u w:val="single"/>
        </w:rPr>
        <w:t xml:space="preserve">成本补偿：      （应明确按照成本补偿方式的支付方式和支付条件）   </w:t>
      </w:r>
      <w:r/>
    </w:p>
    <w:p>
      <w:pPr>
        <w:ind w:firstLine="976"/>
        <w:spacing w:line="400" w:lineRule="exact"/>
        <w:rPr>
          <w:rFonts w:hint="eastAsia" w:ascii="方正仿宋_GBK" w:hAnsi="方正仿宋_GBK" w:eastAsia="宋体" w:cs="方正仿宋_GBK"/>
          <w:sz w:val="21"/>
          <w:szCs w:val="28"/>
          <w:highlight w:val="none"/>
          <w:u w:val="single"/>
        </w:rPr>
      </w:pPr>
      <w:r>
        <w:rPr>
          <w:rFonts w:ascii="Wingdings" w:hAnsi="Wingdings" w:eastAsia="宋体" w:cs="Wingdings"/>
          <w:sz w:val="21"/>
          <w:szCs w:val="28"/>
          <w:highlight w:val="none"/>
          <w:u w:val="single"/>
        </w:rPr>
        <w:t xml:space="preserve">¨</w:t>
      </w:r>
      <w:r>
        <w:rPr>
          <w:rFonts w:hint="eastAsia" w:ascii="方正仿宋_GBK" w:hAnsi="方正仿宋_GBK" w:eastAsia="宋体" w:cs="方正仿宋_GBK"/>
          <w:sz w:val="21"/>
          <w:szCs w:val="28"/>
          <w:highlight w:val="none"/>
          <w:u w:val="single"/>
        </w:rPr>
        <w:t xml:space="preserve">绩效激励：      （应明确按照绩效激励方式的支付方式和支付条件）   </w:t>
      </w:r>
      <w:r/>
    </w:p>
    <w:p>
      <w:pPr>
        <w:ind w:firstLine="562"/>
        <w:spacing w:line="400" w:lineRule="exact"/>
        <w:rPr>
          <w:rFonts w:hint="eastAsia" w:ascii="方正仿宋_GBK" w:hAnsi="方正仿宋_GBK" w:eastAsia="宋体" w:cs="方正仿宋_GBK"/>
          <w:b/>
          <w:sz w:val="21"/>
          <w:szCs w:val="28"/>
          <w:highlight w:val="none"/>
          <w:u w:val="single"/>
        </w:rPr>
      </w:pPr>
      <w:r>
        <w:rPr>
          <w:rFonts w:hint="eastAsia" w:ascii="方正仿宋_GBK" w:hAnsi="方正仿宋_GBK" w:eastAsia="宋体" w:cs="方正仿宋_GBK"/>
          <w:b/>
          <w:sz w:val="21"/>
          <w:szCs w:val="28"/>
          <w:highlight w:val="none"/>
        </w:rPr>
        <w:t xml:space="preserve">3.合同履行</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（1）起始日期：</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年</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月</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日，完成日期：</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年</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月</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日。</w:t>
      </w:r>
      <w:r/>
    </w:p>
    <w:p>
      <w:pPr>
        <w:ind w:firstLine="560"/>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rPr>
        <w:t xml:space="preserve">（2）履约地点</w:t>
      </w:r>
      <w:r>
        <w:rPr>
          <w:rFonts w:hint="eastAsia" w:ascii="方正仿宋_GBK" w:hAnsi="方正仿宋_GBK" w:eastAsia="宋体" w:cs="方正仿宋_GBK"/>
          <w:bCs/>
          <w:sz w:val="21"/>
          <w:szCs w:val="28"/>
          <w:highlight w:val="none"/>
        </w:rPr>
        <w:t xml:space="preserve">：</w:t>
      </w:r>
      <w:r>
        <w:rPr>
          <w:rFonts w:hint="eastAsia" w:ascii="方正仿宋_GBK" w:hAnsi="方正仿宋_GBK" w:eastAsia="宋体" w:cs="方正仿宋_GBK"/>
          <w:sz w:val="21"/>
          <w:szCs w:val="28"/>
          <w:highlight w:val="none"/>
          <w:u w:val="single"/>
        </w:rPr>
        <w:t xml:space="preserve">                             </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bCs/>
          <w:sz w:val="21"/>
          <w:szCs w:val="28"/>
          <w:highlight w:val="none"/>
        </w:rPr>
        <w:t xml:space="preserve">（3）履约担保：</w:t>
      </w:r>
      <w:r>
        <w:rPr>
          <w:rFonts w:hint="eastAsia" w:ascii="方正仿宋_GBK" w:hAnsi="方正仿宋_GBK" w:eastAsia="宋体" w:cs="方正仿宋_GBK"/>
          <w:sz w:val="21"/>
          <w:szCs w:val="28"/>
          <w:highlight w:val="none"/>
        </w:rPr>
        <w:t xml:space="preserve">是否收取履约保证金：</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是    </w:t>
      </w:r>
      <w:r>
        <w:rPr>
          <w:rFonts w:ascii="Wingdings" w:hAnsi="Wingdings" w:eastAsia="宋体" w:cs="Wingdings"/>
          <w:sz w:val="21"/>
          <w:szCs w:val="28"/>
          <w:highlight w:val="none"/>
        </w:rPr>
        <w:t xml:space="preserve">¨</w:t>
      </w:r>
      <w:r>
        <w:rPr>
          <w:rFonts w:hint="eastAsia" w:ascii="方正仿宋_GBK" w:hAnsi="方正仿宋_GBK" w:eastAsia="宋体" w:cs="方正仿宋_GBK"/>
          <w:sz w:val="21"/>
          <w:szCs w:val="28"/>
          <w:highlight w:val="none"/>
        </w:rPr>
        <w:t xml:space="preserve">否</w:t>
      </w:r>
      <w:r/>
    </w:p>
    <w:p>
      <w:pPr>
        <w:pStyle w:val="1169"/>
        <w:ind w:firstLine="1068"/>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收取履约保证金形式：</w:t>
      </w:r>
      <w:r>
        <w:rPr>
          <w:rFonts w:hint="eastAsia" w:ascii="方正仿宋_GBK" w:hAnsi="方正仿宋_GBK" w:eastAsia="宋体" w:cs="方正仿宋_GBK"/>
          <w:bCs/>
          <w:sz w:val="21"/>
          <w:szCs w:val="28"/>
          <w:highlight w:val="none"/>
          <w:u w:val="single"/>
        </w:rPr>
        <w:t xml:space="preserve">保函          </w:t>
      </w:r>
      <w:r/>
    </w:p>
    <w:p>
      <w:pPr>
        <w:pStyle w:val="1169"/>
        <w:ind w:firstLine="1068"/>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收取履约保证金金额：</w:t>
      </w:r>
      <w:r>
        <w:rPr>
          <w:rFonts w:hint="eastAsia" w:ascii="方正仿宋_GBK" w:hAnsi="方正仿宋_GBK" w:eastAsia="宋体" w:cs="方正仿宋_GBK"/>
          <w:bCs/>
          <w:sz w:val="21"/>
          <w:szCs w:val="28"/>
          <w:highlight w:val="none"/>
          <w:u w:val="single"/>
        </w:rPr>
        <w:t xml:space="preserve">   合同价款的10%          </w:t>
      </w:r>
      <w:r/>
    </w:p>
    <w:p>
      <w:pPr>
        <w:ind w:firstLine="1050"/>
        <w:keepLines w:val="0"/>
        <w:keepNext w:val="0"/>
        <w:pageBreakBefore w:val="0"/>
        <w:spacing w:line="400" w:lineRule="exact"/>
        <w:rPr>
          <w:rFonts w:hint="eastAsia" w:ascii="方正仿宋_GBK" w:hAnsi="方正仿宋_GBK" w:eastAsia="宋体" w:cs="方正仿宋_GBK"/>
          <w:bCs/>
          <w:sz w:val="21"/>
          <w:szCs w:val="28"/>
          <w:highlight w:val="none"/>
          <w:u w:val="single"/>
        </w:rPr>
      </w:pPr>
      <w:r>
        <w:rPr>
          <w:rFonts w:hint="eastAsia" w:ascii="方正仿宋_GBK" w:hAnsi="方正仿宋_GBK" w:eastAsia="宋体" w:cs="方正仿宋_GBK"/>
          <w:bCs/>
          <w:sz w:val="21"/>
          <w:szCs w:val="28"/>
          <w:highlight w:val="none"/>
        </w:rPr>
        <w:t xml:space="preserve">履约担保期限：</w:t>
      </w:r>
      <w:r>
        <w:rPr>
          <w:rFonts w:hint="eastAsia" w:ascii="方正仿宋_GBK" w:hAnsi="方正仿宋_GBK" w:eastAsia="宋体" w:cs="方正仿宋_GBK"/>
          <w:bCs/>
          <w:sz w:val="21"/>
          <w:szCs w:val="28"/>
          <w:highlight w:val="none"/>
          <w:u w:val="single"/>
        </w:rPr>
        <w:t xml:space="preserve">    </w:t>
      </w:r>
      <w:r>
        <w:rPr>
          <w:rFonts w:hint="eastAsia" w:ascii="方正仿宋_GBK" w:hAnsi="方正仿宋_GBK" w:eastAsia="宋体" w:cs="方正仿宋_GBK"/>
          <w:bCs/>
          <w:sz w:val="21"/>
          <w:szCs w:val="32"/>
          <w:highlight w:val="none"/>
          <w:u w:val="single"/>
        </w:rPr>
        <w:t xml:space="preserve">自该合同下的所有采购货物验收合格后</w:t>
      </w:r>
      <w:r>
        <w:rPr>
          <w:rFonts w:hint="eastAsia" w:ascii="方正仿宋_GBK" w:hAnsi="方正仿宋_GBK" w:eastAsia="宋体" w:cs="方正仿宋_GBK"/>
          <w:bCs/>
          <w:sz w:val="21"/>
          <w:szCs w:val="32"/>
          <w:highlight w:val="none"/>
          <w:u w:val="single"/>
          <w:lang w:val="en-US" w:eastAsia="zh-CN"/>
        </w:rPr>
        <w:t xml:space="preserve">一</w:t>
      </w:r>
      <w:r>
        <w:rPr>
          <w:rFonts w:hint="eastAsia" w:ascii="方正仿宋_GBK" w:hAnsi="方正仿宋_GBK" w:eastAsia="宋体" w:cs="方正仿宋_GBK"/>
          <w:bCs/>
          <w:sz w:val="21"/>
          <w:szCs w:val="32"/>
          <w:highlight w:val="none"/>
          <w:u w:val="single"/>
        </w:rPr>
        <w:t xml:space="preserve">年</w:t>
      </w:r>
      <w:r>
        <w:rPr>
          <w:rFonts w:hint="eastAsia" w:ascii="方正仿宋_GBK" w:hAnsi="方正仿宋_GBK" w:eastAsia="宋体" w:cs="方正仿宋_GBK"/>
          <w:bCs/>
          <w:sz w:val="21"/>
          <w:szCs w:val="28"/>
          <w:highlight w:val="none"/>
          <w:u w:val="single"/>
        </w:rPr>
        <w:t xml:space="preserve">       </w:t>
      </w:r>
      <w:r/>
    </w:p>
    <w:p>
      <w:pPr>
        <w:pStyle w:val="1098"/>
        <w:ind w:left="0" w:firstLine="1050"/>
        <w:keepLines w:val="0"/>
        <w:keepNext w:val="0"/>
        <w:pageBreakBefore w:val="0"/>
        <w:spacing w:line="400" w:lineRule="exact"/>
        <w:widowControl/>
        <w:rPr>
          <w:rFonts w:hint="eastAsia" w:ascii="方正仿宋_GBK" w:hAnsi="方正仿宋_GBK" w:eastAsia="宋体" w:cs="方正仿宋_GBK"/>
          <w:bCs/>
          <w:sz w:val="21"/>
          <w:szCs w:val="32"/>
          <w:highlight w:val="none"/>
        </w:rPr>
      </w:pPr>
      <w:r>
        <w:rPr>
          <w:rFonts w:hint="eastAsia" w:ascii="方正仿宋_GBK" w:hAnsi="方正仿宋_GBK" w:eastAsia="宋体" w:cs="方正仿宋_GBK"/>
          <w:bCs/>
          <w:sz w:val="21"/>
          <w:szCs w:val="32"/>
          <w:highlight w:val="none"/>
        </w:rPr>
        <w:t xml:space="preserve">履约保证金退还方式：按照相关规定和流程无息退还</w:t>
      </w:r>
      <w:r/>
    </w:p>
    <w:p>
      <w:pPr>
        <w:ind w:firstLine="1056"/>
        <w:keepLines w:val="0"/>
        <w:keepNext w:val="0"/>
        <w:pageBreakBefore w:val="0"/>
        <w:spacing w:line="400" w:lineRule="exact"/>
        <w:widowControl w:val="off"/>
        <w:rPr>
          <w:rFonts w:hint="eastAsia" w:ascii="方正仿宋_GBK" w:hAnsi="方正仿宋_GBK" w:eastAsia="宋体" w:cs="方正仿宋_GBK"/>
          <w:bCs/>
          <w:sz w:val="21"/>
          <w:szCs w:val="32"/>
          <w:highlight w:val="none"/>
        </w:rPr>
      </w:pPr>
      <w:r>
        <w:rPr>
          <w:rFonts w:hint="eastAsia" w:ascii="方正仿宋_GBK" w:hAnsi="方正仿宋_GBK" w:eastAsia="宋体" w:cs="方正仿宋_GBK"/>
          <w:bCs/>
          <w:sz w:val="21"/>
          <w:szCs w:val="32"/>
          <w:highlight w:val="none"/>
        </w:rPr>
        <w:t xml:space="preserve">履约保证金退还条件：该合同下的所有采购验收合格满一年后</w:t>
      </w:r>
      <w:r/>
    </w:p>
    <w:p>
      <w:pPr>
        <w:ind w:firstLine="1050"/>
        <w:keepLines w:val="0"/>
        <w:keepNext w:val="0"/>
        <w:pageBreakBefore w:val="0"/>
        <w:spacing w:line="400" w:lineRule="exact"/>
        <w:widowControl w:val="off"/>
        <w:rPr>
          <w:rFonts w:hint="eastAsia" w:ascii="方正仿宋_GBK" w:hAnsi="方正仿宋_GBK" w:eastAsia="宋体" w:cs="方正仿宋_GBK"/>
          <w:bCs/>
          <w:sz w:val="21"/>
          <w:szCs w:val="32"/>
          <w:highlight w:val="none"/>
        </w:rPr>
      </w:pPr>
      <w:r>
        <w:rPr>
          <w:rFonts w:hint="eastAsia" w:ascii="方正仿宋_GBK" w:hAnsi="方正仿宋_GBK" w:eastAsia="宋体" w:cs="方正仿宋_GBK"/>
          <w:bCs/>
          <w:sz w:val="21"/>
          <w:szCs w:val="32"/>
          <w:highlight w:val="none"/>
        </w:rPr>
        <w:t xml:space="preserve">履约保证金不予退还的情形：未按合同要求履约</w:t>
      </w:r>
      <w:r/>
    </w:p>
    <w:p>
      <w:pPr>
        <w:ind w:firstLine="561"/>
        <w:keepLines w:val="0"/>
        <w:keepNext w:val="0"/>
        <w:pageBreakBefore w:val="0"/>
        <w:spacing w:line="400" w:lineRule="exact"/>
        <w:widowControl w:val="off"/>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（4）分期履行要求：</w:t>
      </w:r>
      <w:r>
        <w:rPr>
          <w:rFonts w:hint="eastAsia" w:ascii="方正仿宋_GBK" w:hAnsi="方正仿宋_GBK" w:eastAsia="宋体" w:cs="方正仿宋_GBK"/>
          <w:bCs/>
          <w:sz w:val="21"/>
          <w:szCs w:val="28"/>
          <w:highlight w:val="none"/>
          <w:u w:val="single"/>
        </w:rPr>
        <w:t xml:space="preserve">                                                        </w:t>
      </w:r>
      <w:r/>
    </w:p>
    <w:p>
      <w:pPr>
        <w:ind w:firstLine="561"/>
        <w:keepLines w:val="0"/>
        <w:keepNext w:val="0"/>
        <w:pageBreakBefore w:val="0"/>
        <w:spacing w:line="400" w:lineRule="exact"/>
        <w:widowControl w:val="off"/>
        <w:rPr>
          <w:rFonts w:hint="eastAsia" w:ascii="宋体" w:hAnsi="宋体" w:eastAsia="宋体" w:cs="宋体"/>
          <w:sz w:val="21"/>
          <w:szCs w:val="28"/>
          <w:highlight w:val="none"/>
          <w:u w:val="single"/>
        </w:rPr>
      </w:pPr>
      <w:r>
        <w:rPr>
          <w:rFonts w:hint="eastAsia" w:ascii="方正仿宋_GBK" w:hAnsi="方正仿宋_GBK" w:eastAsia="宋体" w:cs="方正仿宋_GBK"/>
          <w:bCs/>
          <w:sz w:val="21"/>
          <w:szCs w:val="28"/>
          <w:highlight w:val="none"/>
        </w:rPr>
        <w:t xml:space="preserve">（5）风险处置措施和替代方案：</w:t>
      </w:r>
      <w:r>
        <w:rPr>
          <w:rFonts w:hint="eastAsia" w:ascii="方正仿宋_GBK" w:hAnsi="方正仿宋_GBK" w:eastAsia="宋体" w:cs="方正仿宋_GBK"/>
          <w:sz w:val="21"/>
          <w:szCs w:val="28"/>
          <w:highlight w:val="none"/>
          <w:u w:val="single"/>
        </w:rPr>
        <w:t xml:space="preserve">                                               </w:t>
      </w:r>
      <w:r>
        <w:rPr>
          <w:rFonts w:hint="eastAsia" w:ascii="宋体" w:hAnsi="宋体" w:eastAsia="宋体" w:cs="宋体"/>
          <w:sz w:val="21"/>
          <w:szCs w:val="28"/>
          <w:highlight w:val="none"/>
          <w:u w:val="single"/>
        </w:rPr>
        <w:t xml:space="preserve"> </w:t>
      </w:r>
      <w:r/>
    </w:p>
    <w:p>
      <w:pPr>
        <w:ind w:firstLine="562"/>
        <w:spacing w:line="400" w:lineRule="exact"/>
        <w:rPr>
          <w:rFonts w:hint="eastAsia" w:ascii="方正仿宋_GBK" w:hAnsi="方正仿宋_GBK" w:eastAsia="宋体" w:cs="方正仿宋_GBK"/>
          <w:b/>
          <w:sz w:val="21"/>
          <w:szCs w:val="28"/>
          <w:highlight w:val="none"/>
        </w:rPr>
      </w:pPr>
      <w:r>
        <w:rPr>
          <w:rFonts w:hint="eastAsia" w:ascii="方正仿宋_GBK" w:hAnsi="方正仿宋_GBK" w:eastAsia="宋体" w:cs="方正仿宋_GBK"/>
          <w:b/>
          <w:sz w:val="21"/>
          <w:szCs w:val="28"/>
          <w:highlight w:val="none"/>
        </w:rPr>
        <w:t xml:space="preserve">4.合同验收</w:t>
      </w:r>
      <w:r/>
    </w:p>
    <w:p>
      <w:pPr>
        <w:ind w:firstLine="560"/>
        <w:spacing w:line="400" w:lineRule="exact"/>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（1）验收组织方式：</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自行组织 </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委托第三方组织</w:t>
      </w:r>
      <w:r/>
    </w:p>
    <w:p>
      <w:pPr>
        <w:ind w:firstLine="1050"/>
        <w:spacing w:line="400" w:lineRule="exact"/>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验收主体：</w:t>
      </w:r>
      <w:r>
        <w:rPr>
          <w:rFonts w:hint="eastAsia" w:ascii="方正仿宋_GBK" w:hAnsi="方正仿宋_GBK" w:eastAsia="宋体" w:cs="方正仿宋_GBK"/>
          <w:bCs/>
          <w:sz w:val="21"/>
          <w:szCs w:val="28"/>
          <w:highlight w:val="none"/>
          <w:u w:val="single"/>
        </w:rPr>
        <w:t xml:space="preserve">                  </w:t>
      </w:r>
      <w:r/>
    </w:p>
    <w:p>
      <w:pPr>
        <w:ind w:firstLine="1050"/>
        <w:spacing w:line="400" w:lineRule="exact"/>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是否邀请本项目的其他供应商参加验收：</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是  </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否</w:t>
      </w:r>
      <w:r/>
    </w:p>
    <w:p>
      <w:pPr>
        <w:ind w:firstLine="1050"/>
        <w:spacing w:line="400" w:lineRule="exact"/>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是否邀请专家参加验收：</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是  </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否</w:t>
      </w:r>
      <w:r/>
    </w:p>
    <w:p>
      <w:pPr>
        <w:ind w:firstLine="1050"/>
        <w:spacing w:line="400" w:lineRule="exact"/>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是否邀请服务对象参加验收：</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是  </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否</w:t>
      </w:r>
      <w:r/>
    </w:p>
    <w:p>
      <w:pPr>
        <w:ind w:firstLine="1050"/>
        <w:spacing w:line="400" w:lineRule="exact"/>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是否邀请第三方检测机构参加验收：</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是  </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否</w:t>
      </w:r>
      <w:r/>
    </w:p>
    <w:p>
      <w:pPr>
        <w:ind w:firstLine="1050"/>
        <w:spacing w:line="400" w:lineRule="exact"/>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是否进行抽查检测：</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是，抽查比例：</w:t>
      </w:r>
      <w:r>
        <w:rPr>
          <w:rFonts w:hint="eastAsia" w:ascii="方正仿宋_GBK" w:hAnsi="方正仿宋_GBK" w:eastAsia="宋体" w:cs="方正仿宋_GBK"/>
          <w:bCs/>
          <w:sz w:val="21"/>
          <w:szCs w:val="28"/>
          <w:highlight w:val="none"/>
          <w:u w:val="single"/>
        </w:rPr>
        <w:t xml:space="preserve">        </w:t>
      </w:r>
      <w:r>
        <w:rPr>
          <w:rFonts w:hint="eastAsia" w:ascii="方正仿宋_GBK" w:hAnsi="方正仿宋_GBK" w:eastAsia="宋体" w:cs="方正仿宋_GBK"/>
          <w:bCs/>
          <w:sz w:val="21"/>
          <w:szCs w:val="28"/>
          <w:highlight w:val="none"/>
        </w:rPr>
        <w:t xml:space="preserve"> </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否</w:t>
      </w:r>
      <w:r/>
    </w:p>
    <w:p>
      <w:pPr>
        <w:ind w:firstLine="1050"/>
        <w:spacing w:line="400" w:lineRule="exact"/>
        <w:rPr>
          <w:rFonts w:hint="eastAsia" w:ascii="方正仿宋_GBK" w:hAnsi="方正仿宋_GBK" w:eastAsia="宋体" w:cs="方正仿宋_GBK"/>
          <w:bCs/>
          <w:sz w:val="21"/>
          <w:szCs w:val="28"/>
          <w:highlight w:val="none"/>
          <w:u w:val="single"/>
        </w:rPr>
      </w:pPr>
      <w:r>
        <w:rPr>
          <w:rFonts w:hint="eastAsia" w:ascii="方正仿宋_GBK" w:hAnsi="方正仿宋_GBK" w:eastAsia="宋体" w:cs="方正仿宋_GBK"/>
          <w:bCs/>
          <w:sz w:val="21"/>
          <w:szCs w:val="28"/>
          <w:highlight w:val="none"/>
        </w:rPr>
        <w:t xml:space="preserve">是否存在破坏性检测：</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是，</w:t>
      </w:r>
      <w:r>
        <w:rPr>
          <w:rFonts w:hint="eastAsia" w:ascii="方正仿宋_GBK" w:hAnsi="方正仿宋_GBK" w:eastAsia="宋体" w:cs="方正仿宋_GBK"/>
          <w:bCs/>
          <w:sz w:val="21"/>
          <w:szCs w:val="28"/>
          <w:highlight w:val="none"/>
          <w:u w:val="single"/>
        </w:rPr>
        <w:t xml:space="preserve">（应明确对被破坏的检测产品的处理方式）</w:t>
      </w:r>
      <w:r/>
    </w:p>
    <w:p>
      <w:pPr>
        <w:ind w:firstLine="3150"/>
        <w:spacing w:line="400" w:lineRule="exact"/>
        <w:rPr>
          <w:rFonts w:hint="eastAsia" w:ascii="方正仿宋_GBK" w:hAnsi="方正仿宋_GBK" w:eastAsia="宋体" w:cs="方正仿宋_GBK"/>
          <w:bCs/>
          <w:sz w:val="21"/>
          <w:szCs w:val="28"/>
          <w:highlight w:val="none"/>
        </w:rPr>
      </w:pP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否</w:t>
      </w:r>
      <w:r/>
    </w:p>
    <w:p>
      <w:pPr>
        <w:ind w:firstLine="1050"/>
        <w:spacing w:line="400" w:lineRule="exact"/>
        <w:rPr>
          <w:rFonts w:hint="eastAsia" w:ascii="方正仿宋_GBK" w:hAnsi="方正仿宋_GBK" w:eastAsia="宋体" w:cs="方正仿宋_GBK"/>
          <w:bCs/>
          <w:sz w:val="21"/>
          <w:szCs w:val="28"/>
          <w:highlight w:val="none"/>
          <w:u w:val="single"/>
        </w:rPr>
      </w:pPr>
      <w:r>
        <w:rPr>
          <w:rFonts w:hint="eastAsia" w:ascii="方正仿宋_GBK" w:hAnsi="方正仿宋_GBK" w:eastAsia="宋体" w:cs="方正仿宋_GBK"/>
          <w:bCs/>
          <w:sz w:val="21"/>
          <w:szCs w:val="28"/>
          <w:highlight w:val="none"/>
        </w:rPr>
        <w:t xml:space="preserve">验收组织的其他事项：</w:t>
      </w:r>
      <w:r>
        <w:rPr>
          <w:rFonts w:hint="eastAsia" w:ascii="方正仿宋_GBK" w:hAnsi="方正仿宋_GBK" w:eastAsia="宋体" w:cs="方正仿宋_GBK"/>
          <w:bCs/>
          <w:sz w:val="21"/>
          <w:szCs w:val="28"/>
          <w:highlight w:val="none"/>
          <w:u w:val="single"/>
        </w:rPr>
        <w:t xml:space="preserve">                </w:t>
      </w:r>
      <w:r/>
    </w:p>
    <w:p>
      <w:pPr>
        <w:ind w:firstLine="560"/>
        <w:spacing w:line="400" w:lineRule="exact"/>
        <w:rPr>
          <w:rFonts w:hint="eastAsia" w:ascii="方正仿宋_GBK" w:hAnsi="方正仿宋_GBK" w:eastAsia="宋体" w:cs="方正仿宋_GBK"/>
          <w:bCs/>
          <w:sz w:val="21"/>
          <w:szCs w:val="28"/>
          <w:highlight w:val="none"/>
          <w:u w:val="single"/>
        </w:rPr>
      </w:pPr>
      <w:r>
        <w:rPr>
          <w:rFonts w:hint="eastAsia" w:ascii="方正仿宋_GBK" w:hAnsi="方正仿宋_GBK" w:eastAsia="宋体" w:cs="方正仿宋_GBK"/>
          <w:bCs/>
          <w:sz w:val="21"/>
          <w:szCs w:val="28"/>
          <w:highlight w:val="none"/>
        </w:rPr>
        <w:t xml:space="preserve">（2）履约验收时间：</w:t>
      </w:r>
      <w:r>
        <w:rPr>
          <w:rFonts w:hint="eastAsia" w:ascii="方正仿宋_GBK" w:hAnsi="方正仿宋_GBK" w:eastAsia="宋体" w:cs="方正仿宋_GBK"/>
          <w:bCs/>
          <w:sz w:val="21"/>
          <w:szCs w:val="28"/>
          <w:highlight w:val="none"/>
          <w:u w:val="single"/>
        </w:rPr>
        <w:t xml:space="preserve">（计划于何时验收/供应商提出验收申请之日起   日内组织验收） </w:t>
      </w:r>
      <w:r/>
    </w:p>
    <w:p>
      <w:pPr>
        <w:ind w:firstLine="560"/>
        <w:spacing w:line="400" w:lineRule="exact"/>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（3）履约验收方式：</w:t>
      </w:r>
      <w:r>
        <w:rPr>
          <w:rFonts w:ascii="Wingdings" w:hAnsi="Wingdings" w:eastAsia="Wingdings" w:cs="Wingdings"/>
          <w:sz w:val="21"/>
          <w:szCs w:val="28"/>
          <w:highlight w:val="none"/>
        </w:rPr>
        <w:t xml:space="preserve">¨</w:t>
      </w:r>
      <w:r>
        <w:rPr>
          <w:rFonts w:hint="eastAsia" w:ascii="方正仿宋_GBK" w:hAnsi="方正仿宋_GBK" w:eastAsia="宋体" w:cs="方正仿宋_GBK"/>
          <w:bCs/>
          <w:sz w:val="21"/>
          <w:szCs w:val="28"/>
          <w:highlight w:val="none"/>
        </w:rPr>
        <w:t xml:space="preserve">一次性验收    </w:t>
      </w:r>
      <w:r>
        <w:rPr>
          <w:rFonts w:ascii="Wingdings" w:hAnsi="Wingdings" w:eastAsia="Wingdings" w:cs="Wingdings"/>
          <w:sz w:val="21"/>
          <w:szCs w:val="28"/>
          <w:highlight w:val="none"/>
        </w:rPr>
        <w:t xml:space="preserve">¨</w:t>
      </w:r>
      <w:r>
        <w:rPr>
          <w:rFonts w:hint="eastAsia" w:ascii="方正仿宋_GBK" w:hAnsi="方正仿宋_GBK" w:eastAsia="宋体" w:cs="方正仿宋_GBK"/>
          <w:bCs/>
          <w:sz w:val="21"/>
          <w:szCs w:val="28"/>
          <w:highlight w:val="none"/>
        </w:rPr>
        <w:t xml:space="preserve">分期/分项验收：</w:t>
      </w:r>
      <w:r>
        <w:rPr>
          <w:rFonts w:hint="eastAsia" w:ascii="方正仿宋_GBK" w:hAnsi="方正仿宋_GBK" w:eastAsia="宋体" w:cs="方正仿宋_GBK"/>
          <w:bCs/>
          <w:sz w:val="21"/>
          <w:szCs w:val="28"/>
          <w:highlight w:val="none"/>
          <w:u w:val="single"/>
        </w:rPr>
        <w:t xml:space="preserve"> （应明确分期/分项验收的工作安排）  </w:t>
      </w:r>
      <w:r/>
    </w:p>
    <w:p>
      <w:pPr>
        <w:ind w:firstLine="560"/>
        <w:spacing w:line="400" w:lineRule="exact"/>
        <w:rPr>
          <w:rFonts w:hint="eastAsia" w:ascii="方正仿宋_GBK" w:hAnsi="方正仿宋_GBK" w:eastAsia="宋体" w:cs="方正仿宋_GBK"/>
          <w:bCs/>
          <w:sz w:val="21"/>
          <w:szCs w:val="28"/>
          <w:highlight w:val="none"/>
        </w:rPr>
      </w:pPr>
      <w:r>
        <w:rPr>
          <w:rFonts w:hint="eastAsia" w:ascii="方正仿宋_GBK" w:hAnsi="方正仿宋_GBK" w:eastAsia="宋体" w:cs="方正仿宋_GBK"/>
          <w:bCs/>
          <w:sz w:val="21"/>
          <w:szCs w:val="28"/>
          <w:highlight w:val="none"/>
        </w:rPr>
        <w:t xml:space="preserve">（4）履约验收程序：</w:t>
      </w:r>
      <w:r>
        <w:rPr>
          <w:rFonts w:hint="eastAsia" w:ascii="方正仿宋_GBK" w:hAnsi="方正仿宋_GBK" w:eastAsia="宋体" w:cs="方正仿宋_GBK"/>
          <w:bCs/>
          <w:sz w:val="21"/>
          <w:szCs w:val="28"/>
          <w:highlight w:val="none"/>
          <w:u w:val="single"/>
        </w:rPr>
        <w:t xml:space="preserve">                                         </w:t>
      </w:r>
      <w:r/>
    </w:p>
    <w:p>
      <w:pPr>
        <w:ind w:firstLine="420"/>
        <w:spacing w:before="0" w:line="400" w:lineRule="exact"/>
        <w:rPr>
          <w:rFonts w:hint="eastAsia" w:ascii="方正仿宋_GBK" w:hAnsi="方正仿宋_GBK" w:eastAsia="宋体" w:cs="方正仿宋_GBK"/>
          <w:bCs/>
          <w:sz w:val="21"/>
          <w:szCs w:val="28"/>
          <w:highlight w:val="none"/>
          <w:u w:val="single"/>
        </w:rPr>
      </w:pPr>
      <w:r>
        <w:rPr>
          <w:rFonts w:hint="eastAsia" w:ascii="方正仿宋_GBK" w:hAnsi="方正仿宋_GBK" w:eastAsia="宋体" w:cs="方正仿宋_GBK"/>
          <w:bCs/>
          <w:sz w:val="21"/>
          <w:szCs w:val="28"/>
          <w:highlight w:val="none"/>
        </w:rPr>
        <w:t xml:space="preserve">（5）履约验收的内容：</w:t>
      </w:r>
      <w:r>
        <w:rPr>
          <w:rFonts w:hint="eastAsia" w:ascii="宋体" w:hAnsi="宋体" w:cs="宋体"/>
          <w:bCs/>
          <w:szCs w:val="21"/>
          <w:highlight w:val="none"/>
          <w:u w:val="single"/>
          <w:lang w:val="en-US" w:eastAsia="zh-CN" w:bidi="ar-SA"/>
        </w:rPr>
        <w:t xml:space="preserve"> （应当包括每一项技术和商务要求的履约情况，特别是落实政府采购扶持中小企业，支持绿色发展和乡村振兴等政策情况）                                      </w:t>
      </w:r>
      <w:r/>
    </w:p>
    <w:p>
      <w:pPr>
        <w:ind w:firstLine="420"/>
        <w:spacing w:before="0" w:line="400" w:lineRule="exact"/>
        <w:rPr>
          <w:rFonts w:hint="eastAsia" w:ascii="方正仿宋_GBK" w:hAnsi="方正仿宋_GBK" w:eastAsia="宋体" w:cs="方正仿宋_GBK"/>
          <w:bCs/>
          <w:sz w:val="21"/>
          <w:szCs w:val="28"/>
          <w:highlight w:val="none"/>
          <w:u w:val="single"/>
        </w:rPr>
      </w:pPr>
      <w:r>
        <w:rPr>
          <w:rFonts w:hint="eastAsia" w:ascii="方正仿宋_GBK" w:hAnsi="方正仿宋_GBK" w:eastAsia="宋体" w:cs="方正仿宋_GBK"/>
          <w:bCs/>
          <w:sz w:val="21"/>
          <w:szCs w:val="28"/>
          <w:highlight w:val="none"/>
        </w:rPr>
        <w:t xml:space="preserve">（6）履约验收标准：</w:t>
      </w:r>
      <w:r>
        <w:rPr>
          <w:rFonts w:hint="eastAsia" w:ascii="宋体" w:hAnsi="宋体" w:cs="宋体"/>
          <w:bCs/>
          <w:szCs w:val="21"/>
          <w:highlight w:val="none"/>
          <w:u w:val="single"/>
          <w:lang w:val="en-US" w:eastAsia="zh-CN" w:bidi="ar-SA"/>
        </w:rPr>
        <w:t xml:space="preserve">                                         </w:t>
      </w:r>
      <w:r/>
    </w:p>
    <w:p>
      <w:pPr>
        <w:pStyle w:val="1169"/>
        <w:ind w:firstLine="560"/>
        <w:rPr>
          <w:rFonts w:hint="eastAsia" w:ascii="方正仿宋_GBK" w:hAnsi="方正仿宋_GBK" w:eastAsia="宋体" w:cs="方正仿宋_GBK"/>
          <w:sz w:val="21"/>
          <w:szCs w:val="28"/>
          <w:highlight w:val="none"/>
        </w:rPr>
      </w:pPr>
      <w:r>
        <w:rPr>
          <w:rFonts w:hint="eastAsia" w:ascii="方正仿宋_GBK" w:hAnsi="方正仿宋_GBK" w:eastAsia="宋体" w:cs="方正仿宋_GBK"/>
          <w:bCs/>
          <w:sz w:val="21"/>
          <w:szCs w:val="28"/>
          <w:highlight w:val="none"/>
        </w:rPr>
        <w:t xml:space="preserve">（7）是否以采购活动中供应商提供的样品作为参考：</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是      </w:t>
      </w:r>
      <w:r>
        <w:rPr>
          <w:rFonts w:ascii="Wingdings" w:hAnsi="Wingdings" w:eastAsia="宋体" w:cs="Wingdings"/>
          <w:sz w:val="21"/>
          <w:szCs w:val="28"/>
          <w:highlight w:val="none"/>
        </w:rPr>
        <w:t xml:space="preserve">¨</w:t>
      </w:r>
      <w:r>
        <w:rPr>
          <w:rFonts w:hint="eastAsia" w:ascii="方正仿宋_GBK" w:hAnsi="方正仿宋_GBK" w:eastAsia="宋体" w:cs="方正仿宋_GBK"/>
          <w:bCs/>
          <w:sz w:val="21"/>
          <w:szCs w:val="28"/>
          <w:highlight w:val="none"/>
        </w:rPr>
        <w:t xml:space="preserve">否</w:t>
      </w:r>
      <w:r/>
    </w:p>
    <w:p>
      <w:pPr>
        <w:ind w:firstLine="560"/>
        <w:spacing w:line="400" w:lineRule="exact"/>
        <w:rPr>
          <w:rFonts w:hint="eastAsia" w:ascii="方正仿宋_GBK" w:hAnsi="方正仿宋_GBK" w:eastAsia="宋体" w:cs="方正仿宋_GBK"/>
          <w:bCs/>
          <w:sz w:val="21"/>
          <w:szCs w:val="28"/>
          <w:highlight w:val="none"/>
          <w:u w:val="single"/>
        </w:rPr>
      </w:pPr>
      <w:r>
        <w:rPr>
          <w:rFonts w:hint="eastAsia" w:ascii="方正仿宋_GBK" w:hAnsi="方正仿宋_GBK" w:eastAsia="宋体" w:cs="方正仿宋_GBK"/>
          <w:bCs/>
          <w:sz w:val="21"/>
          <w:szCs w:val="28"/>
          <w:highlight w:val="none"/>
        </w:rPr>
        <w:t xml:space="preserve">（8）履约验收其他事项：</w:t>
      </w:r>
      <w:r>
        <w:rPr>
          <w:rFonts w:hint="eastAsia" w:ascii="方正仿宋_GBK" w:hAnsi="方正仿宋_GBK" w:eastAsia="宋体" w:cs="方正仿宋_GBK"/>
          <w:bCs/>
          <w:sz w:val="21"/>
          <w:szCs w:val="28"/>
          <w:highlight w:val="none"/>
          <w:u w:val="single"/>
        </w:rPr>
        <w:t xml:space="preserve">      （产权过户登记等）          </w:t>
      </w:r>
      <w:r/>
    </w:p>
    <w:p>
      <w:pPr>
        <w:ind w:firstLine="562"/>
        <w:spacing w:line="400" w:lineRule="exact"/>
        <w:rPr>
          <w:rFonts w:hint="eastAsia" w:ascii="方正仿宋_GBK" w:hAnsi="方正仿宋_GBK" w:eastAsia="宋体" w:cs="方正仿宋_GBK"/>
          <w:b/>
          <w:sz w:val="21"/>
          <w:szCs w:val="28"/>
          <w:highlight w:val="none"/>
        </w:rPr>
      </w:pPr>
      <w:r>
        <w:rPr>
          <w:rFonts w:hint="eastAsia" w:ascii="方正仿宋_GBK" w:hAnsi="方正仿宋_GBK" w:eastAsia="宋体" w:cs="方正仿宋_GBK"/>
          <w:b/>
          <w:sz w:val="21"/>
          <w:szCs w:val="28"/>
          <w:highlight w:val="none"/>
        </w:rPr>
        <w:t xml:space="preserve">5.组成合同的文件</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（1）政府采购合同协议书及其变更、补充协议</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（2）政府采购合同专用条款</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（3）政府采购合同通用条款</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（4）中标（成交）通知书</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（5）投标（响应）文件</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（6）采购文件</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（7）有关技术文件，图纸</w:t>
      </w:r>
      <w:r/>
    </w:p>
    <w:p>
      <w:pPr>
        <w:pStyle w:val="1169"/>
        <w:ind w:firstLine="560"/>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（8）国家法律、行政法规和规章制度规定或合同约定的作为合同组成部分的其他文件</w:t>
      </w:r>
      <w:r/>
    </w:p>
    <w:p>
      <w:pPr>
        <w:ind w:firstLine="562"/>
        <w:spacing w:line="400" w:lineRule="exact"/>
        <w:rPr>
          <w:rFonts w:hint="eastAsia" w:ascii="方正仿宋_GBK" w:hAnsi="方正仿宋_GBK" w:eastAsia="宋体" w:cs="方正仿宋_GBK"/>
          <w:b/>
          <w:sz w:val="21"/>
          <w:szCs w:val="28"/>
          <w:highlight w:val="none"/>
        </w:rPr>
      </w:pPr>
      <w:r>
        <w:rPr>
          <w:rFonts w:hint="eastAsia" w:ascii="方正仿宋_GBK" w:hAnsi="方正仿宋_GBK" w:eastAsia="宋体" w:cs="方正仿宋_GBK"/>
          <w:b/>
          <w:sz w:val="21"/>
          <w:szCs w:val="28"/>
          <w:highlight w:val="none"/>
        </w:rPr>
        <w:t xml:space="preserve">6.合同生效</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本合同自</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生效。</w:t>
      </w:r>
      <w:r/>
    </w:p>
    <w:p>
      <w:pPr>
        <w:ind w:firstLine="562"/>
        <w:spacing w:line="400" w:lineRule="exact"/>
        <w:rPr>
          <w:rFonts w:hint="eastAsia" w:ascii="方正仿宋_GBK" w:hAnsi="方正仿宋_GBK" w:eastAsia="宋体" w:cs="方正仿宋_GBK"/>
          <w:b/>
          <w:sz w:val="21"/>
          <w:szCs w:val="28"/>
          <w:highlight w:val="none"/>
        </w:rPr>
      </w:pPr>
      <w:r>
        <w:rPr>
          <w:rFonts w:hint="eastAsia" w:ascii="方正仿宋_GBK" w:hAnsi="方正仿宋_GBK" w:eastAsia="宋体" w:cs="方正仿宋_GBK"/>
          <w:b/>
          <w:sz w:val="21"/>
          <w:szCs w:val="28"/>
          <w:highlight w:val="none"/>
        </w:rPr>
        <w:t xml:space="preserve">7.合同份数</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本合同一式</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份，甲方执</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份，乙方执</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份，均具有同等法律效力。</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合同订立时间：</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年</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月</w:t>
      </w:r>
      <w:r>
        <w:rPr>
          <w:rFonts w:hint="eastAsia" w:ascii="方正仿宋_GBK" w:hAnsi="方正仿宋_GBK" w:eastAsia="宋体" w:cs="方正仿宋_GBK"/>
          <w:sz w:val="21"/>
          <w:szCs w:val="28"/>
          <w:highlight w:val="none"/>
          <w:u w:val="single"/>
        </w:rPr>
        <w:t xml:space="preserve">      </w:t>
      </w:r>
      <w:r>
        <w:rPr>
          <w:rFonts w:hint="eastAsia" w:ascii="方正仿宋_GBK" w:hAnsi="方正仿宋_GBK" w:eastAsia="宋体" w:cs="方正仿宋_GBK"/>
          <w:sz w:val="21"/>
          <w:szCs w:val="28"/>
          <w:highlight w:val="none"/>
        </w:rPr>
        <w:t xml:space="preserve">日</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合同订立地点：</w:t>
      </w:r>
      <w:r>
        <w:rPr>
          <w:rFonts w:hint="eastAsia" w:ascii="方正仿宋_GBK" w:hAnsi="方正仿宋_GBK" w:eastAsia="宋体" w:cs="方正仿宋_GBK"/>
          <w:sz w:val="21"/>
          <w:szCs w:val="28"/>
          <w:highlight w:val="none"/>
          <w:u w:val="single"/>
        </w:rPr>
        <w:t xml:space="preserve">                           </w:t>
      </w:r>
      <w:r/>
    </w:p>
    <w:p>
      <w:pPr>
        <w:ind w:firstLine="560"/>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附件：具体标的及其技术要求和商务要求、联合协议、分包意向协议等</w:t>
      </w:r>
      <w:r/>
    </w:p>
    <w:p>
      <w:pPr>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br w:type="page" w:clear="all"/>
      </w:r>
      <w:r/>
    </w:p>
    <w:p>
      <w:pPr>
        <w:pStyle w:val="1136"/>
        <w:ind w:left="0" w:firstLine="0"/>
        <w:spacing w:line="400" w:lineRule="exact"/>
        <w:rPr>
          <w:rFonts w:eastAsia="宋体"/>
          <w:sz w:val="21"/>
          <w:szCs w:val="28"/>
          <w:highlight w:val="none"/>
          <w:lang w:eastAsia="zh-CN"/>
        </w:rPr>
      </w:pPr>
      <w:r>
        <w:rPr>
          <w:rFonts w:eastAsia="宋体"/>
          <w:sz w:val="21"/>
          <w:szCs w:val="28"/>
          <w:highlight w:val="none"/>
          <w:lang w:eastAsia="zh-CN"/>
        </w:rPr>
      </w:r>
      <w:r/>
    </w:p>
    <w:tbl>
      <w:tblPr>
        <w:tblStyle w:val="852"/>
        <w:tblW w:w="4916"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3004"/>
        <w:gridCol w:w="1947"/>
        <w:gridCol w:w="2405"/>
      </w:tblGrid>
      <w:tr>
        <w:trPr>
          <w:trHeight w:val="490"/>
        </w:trPr>
        <w:tc>
          <w:tcPr>
            <w:gridSpan w:val="2"/>
            <w:tcBorders>
              <w:bottom w:val="single" w:color="000000" w:sz="2" w:space="0"/>
              <w:right w:val="single" w:color="000000" w:sz="2" w:space="0"/>
            </w:tcBorders>
            <w:tcW w:w="2707"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229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单位名称（公章或合同章）</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cantSplit/>
          <w:trHeight w:val="1171"/>
        </w:trPr>
        <w:tc>
          <w:tcPr>
            <w:tcBorders>
              <w:top w:val="single" w:color="000000" w:sz="2" w:space="0"/>
              <w:right w:val="single" w:color="000000" w:sz="2" w:space="0"/>
            </w:tcBorders>
            <w:tcW w:w="1124" w:type="pct"/>
            <w:vAlign w:val="center"/>
            <w:vMerge w:val="restart"/>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法定代表人</w:t>
            </w:r>
            <w:r/>
          </w:p>
          <w:p>
            <w:pPr>
              <w:ind w:firstLine="134"/>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或其委托代理人（签章）</w:t>
            </w:r>
            <w:r/>
          </w:p>
        </w:tc>
        <w:tc>
          <w:tcPr>
            <w:tcBorders>
              <w:top w:val="single" w:color="000000" w:sz="2" w:space="0"/>
              <w:left w:val="single" w:color="000000" w:sz="2" w:space="0"/>
              <w:right w:val="single" w:color="000000" w:sz="2" w:space="0"/>
            </w:tcBorders>
            <w:tcW w:w="1582" w:type="pct"/>
            <w:vAlign w:val="center"/>
            <w:vMerge w:val="restart"/>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法定代表人</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或其委托代理人（签章）</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cantSplit/>
          <w:trHeight w:val="483"/>
        </w:trPr>
        <w:tc>
          <w:tcPr>
            <w:tcBorders>
              <w:bottom w:val="single" w:color="000000" w:sz="2" w:space="0"/>
              <w:right w:val="single" w:color="000000" w:sz="2" w:space="0"/>
            </w:tcBorders>
            <w:tcW w:w="1124" w:type="pct"/>
            <w:vAlign w:val="center"/>
            <w:vMerge w:val="continue"/>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left w:val="single" w:color="000000" w:sz="2" w:space="0"/>
              <w:bottom w:val="single" w:color="000000" w:sz="2" w:space="0"/>
              <w:right w:val="single" w:color="000000" w:sz="2" w:space="0"/>
            </w:tcBorders>
            <w:tcW w:w="1582" w:type="pct"/>
            <w:vAlign w:val="center"/>
            <w:vMerge w:val="continue"/>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拥有者性别</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住  所</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联 系 人</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联系电话</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通信地址</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邮政编码</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电子邮箱</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统一社会信用代码</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开户名称</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开户银行</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银行账号</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pacing w:val="20"/>
                <w:sz w:val="21"/>
                <w:szCs w:val="28"/>
                <w:highlight w:val="none"/>
              </w:rPr>
            </w:r>
            <w:r/>
          </w:p>
        </w:tc>
      </w:tr>
      <w:tr>
        <w:trPr>
          <w:trHeight w:val="586"/>
        </w:trPr>
        <w:tc>
          <w:tcPr>
            <w:gridSpan w:val="4"/>
            <w:tcBorders>
              <w:top w:val="single" w:color="000000" w:sz="2" w:space="0"/>
            </w:tcBorders>
            <w:tcW w:w="5000" w:type="pct"/>
            <w:vAlign w:val="center"/>
            <w:textDirection w:val="lrTb"/>
            <w:noWrap w:val="false"/>
          </w:tcPr>
          <w:p>
            <w:pPr>
              <w:pStyle w:val="1095"/>
              <w:ind w:left="0"/>
              <w:jc w:val="left"/>
              <w:spacing w:before="156" w:after="0" w:line="400" w:lineRule="exact"/>
              <w:rPr>
                <w:rFonts w:hint="eastAsia" w:ascii="方正仿宋_GBK" w:hAnsi="方正仿宋_GBK" w:eastAsia="宋体" w:cs="方正仿宋_GBK"/>
                <w:spacing w:val="20"/>
                <w:sz w:val="21"/>
                <w:szCs w:val="28"/>
                <w:highlight w:val="none"/>
              </w:rPr>
            </w:pPr>
            <w:r>
              <w:rPr>
                <w:rFonts w:hint="eastAsia" w:ascii="方正仿宋_GBK" w:hAnsi="方正仿宋_GBK" w:eastAsia="宋体" w:cs="方正仿宋_GBK"/>
                <w:sz w:val="21"/>
                <w:szCs w:val="28"/>
                <w:highlight w:val="none"/>
              </w:rPr>
              <w:t xml:space="preserve">注：涉及联合体或其他合同主体的信息应按上表格式加列。</w:t>
            </w:r>
            <w:r/>
          </w:p>
        </w:tc>
      </w:tr>
    </w:tbl>
    <w:p>
      <w:pPr>
        <w:pStyle w:val="843"/>
        <w:ind w:firstLine="317"/>
        <w:jc w:val="center"/>
        <w:keepLines/>
        <w:keepNext/>
        <w:pageBreakBefore w:val="0"/>
        <w:spacing w:before="156" w:after="260" w:line="360" w:lineRule="auto"/>
        <w:widowControl w:val="off"/>
        <w:rPr>
          <w:rFonts w:hint="eastAsia" w:ascii="黑体" w:hAnsi="黑体" w:eastAsia="宋体"/>
          <w:sz w:val="21"/>
          <w:szCs w:val="28"/>
          <w:highlight w:val="none"/>
        </w:rPr>
      </w:pPr>
      <w:r>
        <w:rPr>
          <w:rFonts w:ascii="宋体" w:hAnsi="宋体" w:eastAsia="宋体"/>
          <w:sz w:val="21"/>
          <w:szCs w:val="28"/>
          <w:highlight w:val="none"/>
          <w:u w:val="single"/>
        </w:rPr>
        <w:br w:type="page" w:clear="all"/>
      </w:r>
      <w:bookmarkStart w:id="271" w:name="_Toc16279"/>
      <w:r>
        <w:rPr>
          <w:rFonts w:hint="eastAsia" w:ascii="黑体" w:hAnsi="黑体" w:eastAsia="黑体" w:cs="等线 Light"/>
          <w:b w:val="0"/>
          <w:bCs w:val="0"/>
          <w:sz w:val="28"/>
          <w:szCs w:val="28"/>
          <w:highlight w:val="none"/>
          <w:lang w:val="en-US" w:eastAsia="zh-CN" w:bidi="ar-SA"/>
        </w:rPr>
        <w:t xml:space="preserve">第二节 政府采购合同通用条款</w:t>
      </w:r>
      <w:bookmarkEnd w:id="271"/>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1. 定义</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1.1合同当事人</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（1）采购人（以下称甲方）是指使用财政性资金，通过政府采购方式向供应商购买货物及其相关服务的国家机关、事业单位、团体组织。</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（2）供应商（以下称乙方）是指参加政府采购活动并且中标（成交），向采购人提供合同约定的货物及其相关服务的法人、非法人组织或者自然人。</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（3）其他合同主体是指除采购人和供应商以外，依法参与合同缔结或履行，享有权利、承担义务的合同当事人。</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1.2本合同下列术语应解释为：</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（2）“合同价款”系指根据本合同规定乙方在全面履行合同义务后甲方应支付给乙方的价款。</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（3）“货物”系指乙方根据本合同规定须向甲方提供的各种形态和种类的物品，包括原材料、设备、产品（包括软件）及相关的备品备件、工具、手册及其他技术资料和材料等。</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（7）其他术语解释，见</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2. 合同标的及金额</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2.1 合同标的及金额应与中标（成交）结果一致。乙方为履行本合同而发生的所有费用均应包含在合同价款中，甲方不再另行支付其他任何费用。</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3. 履行合同的时间、地点和方式</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3.1 乙方应当在约定的时间、地点，按照约定方式履行合同。</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4. 甲方的权利和义务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4.3 甲方有权要求乙方对缺陷部分予以修复，并按合同约定享有货物保修及其他合同约定的权利。</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4.4 甲方应当按照合同约定及时对交付的货物进行验收，未在</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约定的期限内对乙方履约提出任何异议或者向乙方作出任何说明的，视为验收通过。</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4.5 甲方应当根据合同约定及时向乙方支付合同价款，不得以内部人员变更、履行内部付款流程等为由，拒绝或迟延支付。</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4.6 国家法律法规规定及</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约定应由甲方承担的其他义务和责任。</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5. 乙方的权利和义务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5.1 签署合同后，乙方应确定项目负责人（或项目联系人），负责与本合同有关的事务。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5.3乙方有权根据合同约定向甲方收取合同价款。</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5.4国家法律法规规定及</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约定应由乙方承担的其他义务和责任。</w:t>
      </w:r>
      <w:r/>
    </w:p>
    <w:p>
      <w:pPr>
        <w:pStyle w:val="1169"/>
        <w:numPr>
          <w:ilvl w:val="0"/>
          <w:numId w:val="9"/>
        </w:numPr>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合同履行</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6.1 甲乙双方应当按照</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约定顺序履行合同义务；如果没有先后顺序的，应当同时履行。</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7. 货物包装、运输、保险和交付要求</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7.1 本合同涉及商品包装、快递包装的，除</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另有约定外，包装应适应远距离运输、防潮、防震、防锈和防野蛮装卸等要求，确保货物安全无损地运抵</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约定的指定现场。</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7.2 除</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另有约定外，乙方负责办理将货物运抵本合同规定的交货地点，并装卸、交付至甲方的一切运输事项，相关费用应包含在合同价款中。</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7.3 货物保险要求按</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规定执行。</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7.5 乙方在运输到达之前应提前通知甲方，并提示货物运输装卸的注意事项，甲方配合乙方做好货物的接收工作。</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7.6 如因包装、运输问题导致货物损毁、丢失或者品质下降，甲方有权要求降价、换货、拒收部分或整批货物，由此产生的费用和损失，均由乙方承担。</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8. 质量标准和保证</w:t>
      </w:r>
      <w:r/>
    </w:p>
    <w:p>
      <w:pPr>
        <w:pStyle w:val="1169"/>
        <w:ind w:firstLine="560"/>
        <w:rPr>
          <w:rFonts w:hint="eastAsia" w:ascii="宋体" w:hAnsi="宋体" w:eastAsia="宋体" w:cs="宋体"/>
          <w:b/>
          <w:bCs/>
          <w:sz w:val="21"/>
          <w:szCs w:val="28"/>
          <w:highlight w:val="none"/>
        </w:rPr>
      </w:pPr>
      <w:r>
        <w:rPr>
          <w:rFonts w:hint="eastAsia" w:ascii="宋体" w:hAnsi="宋体" w:eastAsia="宋体" w:cs="宋体"/>
          <w:b/>
          <w:bCs/>
          <w:sz w:val="21"/>
          <w:szCs w:val="28"/>
          <w:highlight w:val="none"/>
        </w:rPr>
        <w:t xml:space="preserve">8.1 质量标准</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69"/>
        <w:ind w:firstLine="560"/>
        <w:rPr>
          <w:rFonts w:hint="eastAsia" w:ascii="宋体" w:hAnsi="宋体" w:eastAsia="宋体" w:cs="宋体"/>
          <w:b/>
          <w:bCs/>
          <w:sz w:val="21"/>
          <w:szCs w:val="28"/>
          <w:highlight w:val="none"/>
        </w:rPr>
      </w:pPr>
      <w:r>
        <w:rPr>
          <w:rFonts w:hint="eastAsia" w:ascii="宋体" w:hAnsi="宋体" w:eastAsia="宋体" w:cs="宋体"/>
          <w:b/>
          <w:bCs/>
          <w:sz w:val="21"/>
          <w:szCs w:val="28"/>
          <w:highlight w:val="none"/>
        </w:rPr>
        <w:t xml:space="preserve">（2）采用中华人民共和国法定计量单位。</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（3）乙方所提供的货物应符合国家有关安全、环保、卫生的规定。</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8.2 保证</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规定或乙方书面承诺（两者以较长的为准）的质量保证期内，本保证保持有效。</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（2）在质量保证期内所发现的缺陷，甲方应尽快以书面形式通知乙方。</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（3）乙方收到通知后，应在</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规定的响应时间内以合理的速度免费维修或更换有缺陷的货物或部件。</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（5）乙方在约定的时间内未能弥补缺陷，甲方可采取必要的补救措施，但其风险和费用将由乙方承担，甲方根据合同约定对乙方行使的其他权利不受影响。</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9. 权利瑕疵担保</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9.1 乙方保证对其出售的货物享有合法的权利。</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9.2 乙方保证在交付的货物上不存在抵押权等担保物权。</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9.3 如甲方使用上述货物构成对第三人侵权的，则由乙方承担全部责任。</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10. 知识产权保护</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11. 保密义务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中约定。</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12. 合同价款支付</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12.1 合同价款支付按照国库集中支付制度及财政管理相关规定执行。</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中约定。</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13. 履约保证金</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13.1 乙方应当以支票、汇票、本票或者金融机构、担保机构出具的保函等非现金形式提交。</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13.2 如果乙方出现</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13.3 甲方在项目通过验收后按照</w:t>
      </w:r>
      <w:r>
        <w:rPr>
          <w:rFonts w:hint="eastAsia" w:ascii="宋体" w:hAnsi="宋体" w:eastAsia="宋体" w:cs="宋体"/>
          <w:b/>
          <w:bCs/>
          <w:sz w:val="21"/>
          <w:szCs w:val="28"/>
          <w:highlight w:val="none"/>
          <w:lang w:eastAsia="zh-CN"/>
        </w:rPr>
        <w:t xml:space="preserve">【政府采购合同专用条款】</w:t>
      </w:r>
      <w:r>
        <w:rPr>
          <w:rFonts w:hint="eastAsia" w:ascii="宋体" w:hAnsi="宋体" w:eastAsia="宋体" w:cs="宋体"/>
          <w:sz w:val="21"/>
          <w:szCs w:val="28"/>
          <w:highlight w:val="none"/>
        </w:rPr>
        <w:t xml:space="preserve">规定的时间内将履约保证金退还乙方；逾期退还的，乙方可要求甲方支付违约金，违约金按照</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规定支付。</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14. 售后服务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14.1 除项目不涉及或采购活动中明确约定无须承担外，乙方还应提供下列服务：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（1）货物的现场移动、安装、调试、启动监督及技术支持；</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（2）提供货物组装和维修所需的专用工具和辅助材料；</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（3）在</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约定的期限内对所有的货物实施运行监督、维修，但前提条件是该服务并不能免除乙方在质量保证期内所承担的义务；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（4）在制造商所在地或指定现场就货物的安装、启动、运营、维护、废弃处置等对甲方操作人员进行培训；</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（5）依照法律、行政法规的规定或者按照</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约定，货物在有效使用年限届满后应予回收的，乙方负有自行或者委托第三人对货物予以回收的义务；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（6）</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规定由乙方提供的其他服务。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14.2 乙方提供的售后服务的费用已包含在合同价款中，甲方不再另行支付。</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15. 违约责任</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15.1质量瑕疵的违约责任</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乙方提供的产品不符合合同约定的质量标准或存在产品质量缺陷，甲方有权要求乙方根据</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要求及时修理、重作、更换，并承担由此给甲方造成的损失。</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15.2 迟延交货的违约责任</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规定执行。如果涉及公共利益，且赔偿金额无法弥补公共利益损失，甲方可要求继续履行或者采取其他补救措施。</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15.3 迟延支付的违约责任</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甲方存在迟延支付乙方合同款项的，应当承担</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规定的逾期付款利息。</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15.4其他违约责任根据项目实际需要按</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规定执行。</w:t>
      </w:r>
      <w:r/>
    </w:p>
    <w:p>
      <w:pPr>
        <w:pStyle w:val="1169"/>
        <w:numPr>
          <w:ilvl w:val="0"/>
          <w:numId w:val="10"/>
        </w:numPr>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合同变更、中止与终止</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16.1合同的变更</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政府采购合同履行中，在不改变合同其他条款的前提下，甲方可以在合同价款10%的范围内追加与合同标的相同的货物，并就此与乙方协商一致后签订补充协议。</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16.2合同的中止</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（1）合同履行过程中因供应商就采购文件、采购过程或结果提起投诉的，甲方认为有必要的，可以中止合同的履行。</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（4）甲方不得以行政区划调整、政府换届、机构或者职能调整以及相关责任人更替为由中止合同。</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16.3合同的终止</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（1）合同因有效期限届满而终止；</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（2）乙方未按合同约定履行，构成根本性违约的，甲方有权终止合同，并追究乙方的违约责任。</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16.4 涉及国家利益、社会公共利益的情形</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1169"/>
        <w:numPr>
          <w:ilvl w:val="0"/>
          <w:numId w:val="11"/>
        </w:numPr>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合同分包</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17.1 乙方不得将合同转包给其他供应商。涉及合同分包的，乙方应根据采购文件和投标（响应）文件规定进行合同分包。</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17.2 乙方执行政府采购政策向中小企业依法分包的，乙方应当按采购文件和投标（响应）文件签订分包意向协议，分包意向协议属于本合同组成部分。</w:t>
      </w:r>
      <w:r/>
    </w:p>
    <w:p>
      <w:pPr>
        <w:pStyle w:val="1169"/>
        <w:numPr>
          <w:ilvl w:val="0"/>
          <w:numId w:val="11"/>
        </w:numPr>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不可抗力</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18.1 不可抗力是指合同双方不能预见、不能避免且不能克服的客观情况。</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18.2 任何一方对由于不可抗力造成的部分或全部不能履行合同不承担违约责任。但迟延履行后发生不可抗力的，不能免除责任。</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19. 解决争议的方法</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19.2 选择仲裁的，应在</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中明确仲裁机构及仲裁地；通过诉讼方式解决的，可以在</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中进一步约定选择与争议有实际联系的地点的人民法院管辖，但管辖法院的约定不得违反级别管辖和专属管辖的规定。</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19.3 如甲乙双方有争议的事项不影响合同其他部分的履行，在争议解决期间，合同其他部分应当继续履行。</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20. 政府采购政策</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20.1 </w:t>
      </w:r>
      <w:r>
        <w:rPr>
          <w:rFonts w:hint="eastAsia" w:ascii="宋体" w:hAnsi="宋体" w:eastAsia="宋体" w:cs="宋体"/>
          <w:sz w:val="21"/>
          <w:szCs w:val="28"/>
          <w:highlight w:val="none"/>
          <w:lang w:val="en-GB"/>
        </w:rPr>
        <w:t xml:space="preserve">本合同应当按照规定执行政府采购政策。</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20.2 本合同依法执行政府采购政策的方式和内容，属于合同履约验收的范围。甲乙双方</w:t>
      </w:r>
      <w:r>
        <w:rPr>
          <w:rFonts w:hint="eastAsia" w:ascii="宋体" w:hAnsi="宋体" w:eastAsia="宋体" w:cs="宋体"/>
          <w:sz w:val="21"/>
          <w:szCs w:val="28"/>
          <w:highlight w:val="none"/>
          <w:lang w:val="en-GB"/>
        </w:rPr>
        <w:t xml:space="preserve">未按规定要求执行政府采购政策造成损失的</w:t>
      </w:r>
      <w:r>
        <w:rPr>
          <w:rFonts w:hint="eastAsia" w:ascii="宋体" w:hAnsi="宋体" w:eastAsia="宋体" w:cs="宋体"/>
          <w:sz w:val="21"/>
          <w:szCs w:val="28"/>
          <w:highlight w:val="none"/>
        </w:rPr>
        <w:t xml:space="preserve">，有过错的一方应当承担赔偿责任，双方都有过错的，各自承担相应的责任。</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21. 法律适用</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21.1 本合同的订立、生效、解释、履行及与本合同有关的争议解决，均适用法律、行政法规。</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21.2 本合同条款与法律、行政法规的强制性规定不一致的，双方当事人应按照法律、行政法规的强制性规定修改本合同的相关条款。</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22. 通知</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22.1 本合同任何一方向对方发出的通知、信件、数据电文等，应当发送至本合同第一部分《政府采购合同协议书》所约定的通讯地址、联系人、联系电话或电子邮箱。</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22.2 一方当事人变更名称、住所、联系人、联系电话或电子邮箱等信息的，应当在变更后3日内及时书面通知对方，对方实际收到变更通知前的送达仍为有效送达。</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22.3本合同一方给另一方的通知均应采用书面形式，传真或快递送到本合同中规定的对方的地址和办理签收手续。</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22.4通知以送达之日或通知书中规定的生效之日起生效，两者中以较迟之日为准。</w:t>
      </w:r>
      <w:r/>
    </w:p>
    <w:p>
      <w:pPr>
        <w:pStyle w:val="1169"/>
        <w:ind w:firstLine="560"/>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t xml:space="preserve">23. 合同未尽事项</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23.1合同未尽事项见</w:t>
      </w:r>
      <w:r>
        <w:rPr>
          <w:rFonts w:hint="eastAsia" w:ascii="宋体" w:hAnsi="宋体" w:eastAsia="宋体" w:cs="宋体"/>
          <w:b/>
          <w:sz w:val="21"/>
          <w:szCs w:val="28"/>
          <w:highlight w:val="none"/>
          <w:lang w:eastAsia="zh-CN"/>
        </w:rPr>
        <w:t xml:space="preserve">【政府采购合同专用条款】</w:t>
      </w:r>
      <w:r>
        <w:rPr>
          <w:rFonts w:hint="eastAsia" w:ascii="宋体" w:hAnsi="宋体" w:eastAsia="宋体" w:cs="宋体"/>
          <w:sz w:val="21"/>
          <w:szCs w:val="28"/>
          <w:highlight w:val="none"/>
        </w:rPr>
        <w:t xml:space="preserve">。</w:t>
      </w:r>
      <w:r/>
    </w:p>
    <w:p>
      <w:pPr>
        <w:pStyle w:val="1169"/>
        <w:ind w:firstLine="560"/>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23.2合同附件与合同正文具有同等的法律效力。</w:t>
      </w:r>
      <w:r/>
    </w:p>
    <w:p>
      <w:pPr>
        <w:pStyle w:val="843"/>
        <w:ind w:firstLine="315"/>
        <w:jc w:val="center"/>
        <w:spacing w:before="260" w:after="260" w:line="416" w:lineRule="auto"/>
        <w:rPr>
          <w:rFonts w:hint="eastAsia" w:ascii="黑体" w:hAnsi="华文中宋" w:eastAsia="宋体"/>
          <w:b w:val="0"/>
          <w:bCs w:val="0"/>
          <w:sz w:val="21"/>
          <w:szCs w:val="28"/>
          <w:highlight w:val="none"/>
        </w:rPr>
      </w:pPr>
      <w:r>
        <w:rPr>
          <w:rFonts w:hint="eastAsia" w:ascii="黑体" w:hAnsi="华文中宋" w:eastAsia="宋体"/>
          <w:sz w:val="21"/>
          <w:szCs w:val="28"/>
          <w:highlight w:val="none"/>
        </w:rPr>
        <w:br w:type="page" w:clear="all"/>
      </w:r>
      <w:bookmarkStart w:id="272" w:name="_Toc12135"/>
      <w:r>
        <w:rPr>
          <w:rFonts w:hint="eastAsia" w:ascii="黑体" w:hAnsi="华文中宋" w:eastAsia="黑体" w:cs="等线 Light"/>
          <w:b w:val="0"/>
          <w:bCs w:val="0"/>
          <w:sz w:val="28"/>
          <w:szCs w:val="28"/>
          <w:highlight w:val="none"/>
          <w:lang w:val="en-US" w:eastAsia="zh-CN" w:bidi="ar-SA"/>
        </w:rPr>
        <w:t xml:space="preserve">第三节 政府采购合同专用条款</w:t>
      </w:r>
      <w:bookmarkEnd w:id="272"/>
      <w:r/>
      <w:r/>
    </w:p>
    <w:tbl>
      <w:tblPr>
        <w:tblStyle w:val="852"/>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2358"/>
        <w:gridCol w:w="3822"/>
      </w:tblGrid>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第1.2（6）项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联合体具体要求</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604"/>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第1.2（7）项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其他术语解释</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第4.4款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履约验收中甲方提出异议或作出说明的期限</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第4.6款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约定甲方承担的其他义务和责任</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第5.4款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约定乙方承担的其他义务和责任</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第6.1款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履行合同义务的顺序</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cantSplit/>
          <w:trHeight w:val="667"/>
        </w:trPr>
        <w:tc>
          <w:tcPr>
            <w:tcW w:w="2339" w:type="dxa"/>
            <w:vAlign w:val="center"/>
            <w:vMerge w:val="restart"/>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第7.1款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包装特殊要求</w:t>
            </w:r>
            <w:r/>
          </w:p>
        </w:tc>
        <w:tc>
          <w:tcPr>
            <w:tcW w:w="3822" w:type="dxa"/>
            <w:vAlign w:val="center"/>
            <w:textDirection w:val="lrTb"/>
            <w:noWrap w:val="false"/>
          </w:tcPr>
          <w:p>
            <w:pP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cantSplit/>
          <w:trHeight w:val="667"/>
        </w:trPr>
        <w:tc>
          <w:tcPr>
            <w:tcW w:w="2339" w:type="dxa"/>
            <w:vAlign w:val="center"/>
            <w:vMerge w:val="continue"/>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指定现场</w:t>
            </w:r>
            <w:r/>
          </w:p>
        </w:tc>
        <w:tc>
          <w:tcPr>
            <w:tcW w:w="3822" w:type="dxa"/>
            <w:vAlign w:val="center"/>
            <w:textDirection w:val="lrTb"/>
            <w:noWrap w:val="false"/>
          </w:tcPr>
          <w:p>
            <w:pP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72"/>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第7.2款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运输特殊要求</w:t>
            </w:r>
            <w:r/>
          </w:p>
        </w:tc>
        <w:tc>
          <w:tcPr>
            <w:tcW w:w="3822" w:type="dxa"/>
            <w:vAlign w:val="center"/>
            <w:textDirection w:val="lrTb"/>
            <w:noWrap w:val="false"/>
          </w:tcPr>
          <w:p>
            <w:pP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667"/>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第7.3款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保险要求</w:t>
            </w:r>
            <w:r/>
          </w:p>
        </w:tc>
        <w:tc>
          <w:tcPr>
            <w:tcW w:w="3822" w:type="dxa"/>
            <w:vAlign w:val="center"/>
            <w:textDirection w:val="lrTb"/>
            <w:noWrap w:val="false"/>
          </w:tcPr>
          <w:p>
            <w:pP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第8.2（1）项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质量保证期</w:t>
            </w:r>
            <w:r/>
          </w:p>
        </w:tc>
        <w:tc>
          <w:tcPr>
            <w:tcW w:w="3822" w:type="dxa"/>
            <w:vAlign w:val="center"/>
            <w:textDirection w:val="lrTb"/>
            <w:noWrap w:val="false"/>
          </w:tcPr>
          <w:p>
            <w:pPr>
              <w:ind w:firstLine="560"/>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第8.2（3）项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货物质量缺陷</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响应时间</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pStyle w:val="1169"/>
              <w:ind w:firstLine="0"/>
              <w:jc w:val="center"/>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第11.1款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其他应当保密的信息</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第12.2款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合同价款支付时间</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第13.2款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履约保证金不予退还的情形</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第13.3款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履约保证金退还时间及逾期退还的违约金</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第14.1（3）项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运行监督、维修期限</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第14.1（5）项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货物回收的约定</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第14.1（6）项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乙方提供的其他服务</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第15.1款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修理、重作、更换相关具体规定</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第15.2（2）项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迟延交货赔偿费</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u w:val="singl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第15.3款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逾期付款利息</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u w:val="single"/>
              </w:rPr>
            </w:r>
            <w:r/>
          </w:p>
        </w:tc>
      </w:tr>
      <w:tr>
        <w:trPr>
          <w:trHeight w:val="876"/>
        </w:trPr>
        <w:tc>
          <w:tcPr>
            <w:tcBorders>
              <w:bottom w:val="single" w:color="000000" w:sz="2" w:space="0"/>
              <w:right w:val="single" w:color="000000" w:sz="2" w:space="0"/>
            </w:tcBorders>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第15.4款</w:t>
            </w:r>
            <w:r/>
          </w:p>
        </w:tc>
        <w:tc>
          <w:tcPr>
            <w:tcBorders>
              <w:left w:val="single" w:color="000000" w:sz="2" w:space="0"/>
              <w:bottom w:val="single" w:color="000000" w:sz="2" w:space="0"/>
              <w:right w:val="single" w:color="000000" w:sz="2" w:space="0"/>
            </w:tcBorders>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其他违约责任</w:t>
            </w:r>
            <w:r/>
          </w:p>
        </w:tc>
        <w:tc>
          <w:tcPr>
            <w:tcBorders>
              <w:left w:val="single" w:color="000000" w:sz="2" w:space="0"/>
              <w:bottom w:val="single" w:color="000000" w:sz="2" w:space="0"/>
            </w:tcBorders>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sz w:val="21"/>
                <w:szCs w:val="28"/>
                <w:highlight w:val="none"/>
                <w:u w:val="single"/>
              </w:rPr>
            </w:r>
            <w:r/>
          </w:p>
        </w:tc>
      </w:tr>
      <w:tr>
        <w:trPr>
          <w:trHeight w:val="90"/>
        </w:trPr>
        <w:tc>
          <w:tcPr>
            <w:tcBorders>
              <w:top w:val="single" w:color="000000" w:sz="2" w:space="0"/>
              <w:right w:val="single" w:color="000000" w:sz="2" w:space="0"/>
            </w:tcBorders>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第19.2款</w:t>
            </w:r>
            <w:r/>
          </w:p>
        </w:tc>
        <w:tc>
          <w:tcPr>
            <w:tcBorders>
              <w:top w:val="single" w:color="000000" w:sz="2" w:space="0"/>
              <w:left w:val="single" w:color="000000" w:sz="2" w:space="0"/>
              <w:right w:val="single" w:color="000000" w:sz="2" w:space="0"/>
            </w:tcBorders>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解决争议的方法</w:t>
            </w:r>
            <w:r/>
          </w:p>
        </w:tc>
        <w:tc>
          <w:tcPr>
            <w:tcBorders>
              <w:top w:val="single" w:color="000000" w:sz="2" w:space="0"/>
              <w:left w:val="single" w:color="000000" w:sz="2" w:space="0"/>
            </w:tcBorders>
            <w:tcW w:w="3822" w:type="dxa"/>
            <w:vAlign w:val="center"/>
            <w:textDirection w:val="lrTb"/>
            <w:noWrap w:val="false"/>
          </w:tcPr>
          <w:p>
            <w:pPr>
              <w:jc w:val="left"/>
              <w:spacing w:line="400" w:lineRule="exact"/>
              <w:rPr>
                <w:rFonts w:hint="eastAsia" w:ascii="方正仿宋_GBK" w:hAnsi="方正仿宋_GBK" w:eastAsia="宋体" w:cs="方正仿宋_GBK"/>
                <w:iCs/>
                <w:sz w:val="21"/>
                <w:szCs w:val="28"/>
                <w:highlight w:val="none"/>
              </w:rPr>
            </w:pPr>
            <w:r>
              <w:rPr>
                <w:rFonts w:hint="eastAsia" w:ascii="方正仿宋_GBK" w:hAnsi="方正仿宋_GBK" w:eastAsia="宋体" w:cs="方正仿宋_GBK"/>
                <w:iCs/>
                <w:sz w:val="21"/>
                <w:szCs w:val="28"/>
                <w:highlight w:val="none"/>
              </w:rPr>
              <w:t xml:space="preserve">因本合同及合同有关事项发生的争议，按下列第</w:t>
            </w:r>
            <w:r>
              <w:rPr>
                <w:rFonts w:hint="eastAsia" w:ascii="方正仿宋_GBK" w:hAnsi="方正仿宋_GBK" w:eastAsia="宋体" w:cs="方正仿宋_GBK"/>
                <w:iCs/>
                <w:sz w:val="21"/>
                <w:szCs w:val="28"/>
                <w:highlight w:val="none"/>
                <w:u w:val="single"/>
              </w:rPr>
              <w:t xml:space="preserve">（2）</w:t>
            </w:r>
            <w:r>
              <w:rPr>
                <w:rFonts w:hint="eastAsia" w:ascii="方正仿宋_GBK" w:hAnsi="方正仿宋_GBK" w:eastAsia="宋体" w:cs="方正仿宋_GBK"/>
                <w:iCs/>
                <w:sz w:val="21"/>
                <w:szCs w:val="28"/>
                <w:highlight w:val="none"/>
              </w:rPr>
              <w:t xml:space="preserve">种方式解决：</w:t>
            </w:r>
            <w:r/>
          </w:p>
          <w:p>
            <w:pPr>
              <w:jc w:val="left"/>
              <w:spacing w:line="400" w:lineRule="exact"/>
              <w:rPr>
                <w:rFonts w:hint="eastAsia" w:ascii="方正仿宋_GBK" w:hAnsi="方正仿宋_GBK" w:eastAsia="宋体" w:cs="方正仿宋_GBK"/>
                <w:sz w:val="21"/>
                <w:szCs w:val="28"/>
                <w:highlight w:val="none"/>
                <w:u w:val="single"/>
              </w:rPr>
            </w:pPr>
            <w:r>
              <w:rPr>
                <w:rFonts w:hint="eastAsia" w:ascii="方正仿宋_GBK" w:hAnsi="方正仿宋_GBK" w:eastAsia="宋体" w:cs="方正仿宋_GBK"/>
                <w:iCs/>
                <w:sz w:val="21"/>
                <w:szCs w:val="28"/>
                <w:highlight w:val="none"/>
              </w:rPr>
              <w:t xml:space="preserve">（1）向</w:t>
            </w:r>
            <w:r>
              <w:rPr>
                <w:rFonts w:hint="eastAsia" w:ascii="方正仿宋_GBK" w:hAnsi="方正仿宋_GBK" w:eastAsia="宋体" w:cs="方正仿宋_GBK"/>
                <w:iCs/>
                <w:sz w:val="21"/>
                <w:szCs w:val="28"/>
                <w:highlight w:val="none"/>
                <w:u w:val="single"/>
              </w:rPr>
              <w:t xml:space="preserve">    </w:t>
            </w:r>
            <w:r>
              <w:rPr>
                <w:rFonts w:hint="eastAsia" w:ascii="方正仿宋_GBK" w:hAnsi="方正仿宋_GBK" w:eastAsia="宋体" w:cs="方正仿宋_GBK"/>
                <w:iCs/>
                <w:sz w:val="21"/>
                <w:szCs w:val="28"/>
                <w:highlight w:val="none"/>
              </w:rPr>
              <w:t xml:space="preserve">仲裁委员会申请仲裁，仲裁地点为</w:t>
            </w:r>
            <w:r>
              <w:rPr>
                <w:rFonts w:hint="eastAsia" w:ascii="方正仿宋_GBK" w:hAnsi="方正仿宋_GBK" w:eastAsia="宋体" w:cs="方正仿宋_GBK"/>
                <w:iCs/>
                <w:sz w:val="21"/>
                <w:szCs w:val="28"/>
                <w:highlight w:val="none"/>
                <w:u w:val="single"/>
              </w:rPr>
              <w:t xml:space="preserve">     </w:t>
            </w:r>
            <w:r>
              <w:rPr>
                <w:rFonts w:hint="eastAsia" w:ascii="方正仿宋_GBK" w:hAnsi="方正仿宋_GBK" w:eastAsia="宋体" w:cs="方正仿宋_GBK"/>
                <w:iCs/>
                <w:sz w:val="21"/>
                <w:szCs w:val="28"/>
                <w:highlight w:val="none"/>
              </w:rPr>
              <w:t xml:space="preserve">；（2）向</w:t>
            </w:r>
            <w:r>
              <w:rPr>
                <w:rFonts w:hint="eastAsia" w:ascii="方正仿宋_GBK" w:hAnsi="方正仿宋_GBK" w:eastAsia="宋体" w:cs="方正仿宋_GBK"/>
                <w:iCs/>
                <w:sz w:val="21"/>
                <w:szCs w:val="28"/>
                <w:highlight w:val="none"/>
                <w:u w:val="single"/>
              </w:rPr>
              <w:t xml:space="preserve">  甲方所在地 </w:t>
            </w:r>
            <w:r>
              <w:rPr>
                <w:rFonts w:hint="eastAsia" w:ascii="方正仿宋_GBK" w:hAnsi="方正仿宋_GBK" w:eastAsia="宋体" w:cs="方正仿宋_GBK"/>
                <w:iCs/>
                <w:sz w:val="21"/>
                <w:szCs w:val="28"/>
                <w:highlight w:val="none"/>
              </w:rPr>
              <w:t xml:space="preserve">人民法院起诉。</w:t>
            </w:r>
            <w:r/>
          </w:p>
        </w:tc>
      </w:tr>
      <w:tr>
        <w:trPr>
          <w:trHeight w:val="770"/>
        </w:trPr>
        <w:tc>
          <w:tcPr>
            <w:tcW w:w="2339"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第二节</w:t>
            </w:r>
            <w:r/>
          </w:p>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t xml:space="preserve">第23.1款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bCs/>
                <w:sz w:val="21"/>
                <w:szCs w:val="28"/>
                <w:highlight w:val="none"/>
              </w:rPr>
              <w:t xml:space="preserve">其他专用条款</w:t>
            </w:r>
            <w:r/>
          </w:p>
        </w:tc>
        <w:tc>
          <w:tcPr>
            <w:tcW w:w="3822" w:type="dxa"/>
            <w:vAlign w:val="center"/>
            <w:textDirection w:val="lrTb"/>
            <w:noWrap w:val="false"/>
          </w:tcPr>
          <w:p>
            <w:pPr>
              <w:jc w:val="left"/>
              <w:spacing w:line="400" w:lineRule="exact"/>
              <w:rPr>
                <w:rFonts w:hint="eastAsia" w:ascii="方正仿宋_GBK" w:hAnsi="方正仿宋_GBK" w:eastAsia="宋体" w:cs="方正仿宋_GBK"/>
                <w:sz w:val="21"/>
                <w:szCs w:val="28"/>
                <w:highlight w:val="none"/>
              </w:rPr>
            </w:pPr>
            <w:r>
              <w:rPr>
                <w:rFonts w:hint="eastAsia" w:ascii="方正仿宋_GBK" w:hAnsi="方正仿宋_GBK" w:eastAsia="宋体" w:cs="方正仿宋_GBK"/>
                <w:sz w:val="21"/>
                <w:szCs w:val="28"/>
                <w:highlight w:val="none"/>
              </w:rPr>
            </w:r>
            <w:r/>
          </w:p>
        </w:tc>
      </w:tr>
    </w:tbl>
    <w:p>
      <w:pPr>
        <w:pStyle w:val="1093"/>
        <w:jc w:val="center"/>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1093"/>
        <w:jc w:val="center"/>
        <w:rPr>
          <w:rFonts w:ascii="黑体" w:hAnsi="Courier New" w:eastAsia="黑体" w:cs="Courier New"/>
          <w:bCs/>
          <w:sz w:val="44"/>
          <w:szCs w:val="21"/>
          <w:highlight w:val="none"/>
        </w:rPr>
        <w:sectPr>
          <w:headerReference w:type="default" r:id="rId11"/>
          <w:footerReference w:type="default" r:id="rId16"/>
          <w:footerReference w:type="even" r:id="rId17"/>
          <w:footnotePr/>
          <w:endnotePr/>
          <w:type w:val="nextPage"/>
          <w:pgSz w:w="11906" w:h="16838" w:orient="portrait"/>
          <w:pgMar w:top="1242" w:right="1111" w:bottom="1440" w:left="1134" w:header="851" w:footer="799" w:gutter="0"/>
          <w:cols w:num="1" w:sep="0" w:space="720" w:equalWidth="1"/>
          <w:docGrid w:linePitch="360"/>
        </w:sectPr>
      </w:pPr>
      <w:r>
        <w:rPr>
          <w:rFonts w:ascii="黑体" w:hAnsi="Courier New" w:eastAsia="黑体" w:cs="Courier New"/>
          <w:bCs/>
          <w:sz w:val="44"/>
          <w:szCs w:val="21"/>
          <w:highlight w:val="none"/>
        </w:rPr>
      </w:r>
      <w:r/>
    </w:p>
    <w:p>
      <w:pPr>
        <w:pStyle w:val="874"/>
        <w:contextualSpacing w:val="0"/>
        <w:ind w:left="-141" w:firstLine="0"/>
        <w:jc w:val="center"/>
        <w:spacing w:before="240" w:after="60" w:line="360" w:lineRule="auto"/>
        <w:rPr>
          <w:rFonts w:hint="eastAsia" w:ascii="Cambria" w:hAnsi="Cambria" w:cs="宋体"/>
          <w:b/>
          <w:bCs/>
          <w:color w:val="auto"/>
          <w:sz w:val="32"/>
          <w:szCs w:val="32"/>
          <w:highlight w:val="none"/>
          <w:lang w:val="en-US" w:eastAsia="zh-CN" w:bidi="ar-SA"/>
        </w:rPr>
        <w:outlineLvl w:val="0"/>
      </w:pPr>
      <w:r/>
      <w:bookmarkStart w:id="273" w:name="_Toc17459"/>
      <w:r/>
      <w:bookmarkStart w:id="274" w:name="_Toc233969288"/>
      <w:r/>
      <w:bookmarkStart w:id="275" w:name="_Toc2080075614"/>
      <w:r>
        <w:rPr>
          <w:rFonts w:hint="eastAsia" w:ascii="Cambria" w:hAnsi="Cambria" w:cs="宋体"/>
          <w:b/>
          <w:bCs/>
          <w:color w:val="auto"/>
          <w:sz w:val="32"/>
          <w:szCs w:val="32"/>
          <w:highlight w:val="none"/>
          <w:lang w:val="en-US" w:eastAsia="zh-CN" w:bidi="ar-SA"/>
        </w:rPr>
        <w:t xml:space="preserve">第</w:t>
      </w:r>
      <w:bookmarkEnd w:id="259"/>
      <w:r>
        <w:rPr>
          <w:rFonts w:hint="eastAsia" w:ascii="Cambria" w:hAnsi="Cambria" w:cs="宋体"/>
          <w:b/>
          <w:bCs/>
          <w:color w:val="auto"/>
          <w:sz w:val="32"/>
          <w:szCs w:val="32"/>
          <w:highlight w:val="none"/>
          <w:lang w:val="en-US" w:eastAsia="zh-CN" w:bidi="ar-SA"/>
        </w:rPr>
        <w:t xml:space="preserve">四章 采购需求</w:t>
      </w:r>
      <w:bookmarkEnd w:id="260"/>
      <w:r/>
      <w:bookmarkEnd w:id="261"/>
      <w:r/>
      <w:bookmarkEnd w:id="262"/>
      <w:r/>
      <w:bookmarkEnd w:id="273"/>
      <w:r/>
      <w:bookmarkEnd w:id="274"/>
      <w:r/>
      <w:bookmarkEnd w:id="275"/>
      <w:r/>
      <w:r/>
    </w:p>
    <w:p>
      <w:pPr>
        <w:jc w:val="both"/>
        <w:spacing w:line="360" w:lineRule="auto"/>
        <w:rPr>
          <w:rFonts w:hint="eastAsia" w:ascii="宋体" w:hAnsi="宋体" w:eastAsia="宋体" w:cs="宋体"/>
          <w:b/>
          <w:bCs/>
          <w:sz w:val="24"/>
          <w:szCs w:val="24"/>
          <w:highlight w:val="none"/>
          <w:lang w:val="en-US" w:eastAsia="zh-CN" w:bidi="ar-SA"/>
        </w:rPr>
        <w:outlineLvl w:val="1"/>
      </w:pPr>
      <w:r/>
      <w:bookmarkStart w:id="276" w:name="_Toc19399"/>
      <w:r/>
      <w:bookmarkStart w:id="277" w:name="_Toc26554093"/>
      <w:r/>
      <w:bookmarkStart w:id="278" w:name="_Toc49090575"/>
      <w:r>
        <w:rPr>
          <w:rFonts w:hint="eastAsia" w:ascii="宋体" w:hAnsi="宋体" w:eastAsia="宋体" w:cs="宋体"/>
          <w:b/>
          <w:bCs/>
          <w:sz w:val="24"/>
          <w:szCs w:val="24"/>
          <w:highlight w:val="none"/>
          <w:lang w:val="en-US" w:eastAsia="zh-CN" w:bidi="ar-SA"/>
        </w:rPr>
        <w:t xml:space="preserve">一、项目预算</w:t>
      </w:r>
      <w:bookmarkEnd w:id="276"/>
      <w:r/>
      <w:r/>
    </w:p>
    <w:p>
      <w:pPr>
        <w:ind w:firstLine="482"/>
        <w:jc w:val="both"/>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共500</w:t>
      </w:r>
      <w:r>
        <w:rPr>
          <w:rFonts w:hint="eastAsia" w:ascii="宋体" w:hAnsi="宋体" w:eastAsia="宋体" w:cs="宋体"/>
          <w:b w:val="0"/>
          <w:bCs w:val="0"/>
          <w:sz w:val="24"/>
          <w:szCs w:val="24"/>
          <w:highlight w:val="none"/>
          <w:lang w:val="en-US" w:eastAsia="zh-CN" w:bidi="ar-SA"/>
        </w:rPr>
        <w:t xml:space="preserve">万元人民币，其中采购包1预算金额</w:t>
      </w:r>
      <w:r>
        <w:rPr>
          <w:rFonts w:hint="eastAsia" w:ascii="宋体" w:hAnsi="宋体" w:cs="宋体"/>
          <w:b w:val="0"/>
          <w:bCs w:val="0"/>
          <w:sz w:val="24"/>
          <w:szCs w:val="24"/>
          <w:highlight w:val="none"/>
          <w:lang w:val="en-US" w:eastAsia="zh-CN" w:bidi="ar-SA"/>
        </w:rPr>
        <w:t xml:space="preserve">405</w:t>
      </w:r>
      <w:r>
        <w:rPr>
          <w:rFonts w:hint="eastAsia" w:ascii="宋体" w:hAnsi="宋体" w:eastAsia="宋体" w:cs="宋体"/>
          <w:b w:val="0"/>
          <w:bCs w:val="0"/>
          <w:sz w:val="24"/>
          <w:szCs w:val="24"/>
          <w:highlight w:val="none"/>
          <w:lang w:val="en-US" w:eastAsia="zh-CN" w:bidi="ar-SA"/>
        </w:rPr>
        <w:t xml:space="preserve">万元人民币；采购包2预算金额</w:t>
      </w:r>
      <w:r>
        <w:rPr>
          <w:rFonts w:hint="eastAsia" w:ascii="宋体" w:hAnsi="宋体" w:cs="宋体"/>
          <w:b w:val="0"/>
          <w:bCs w:val="0"/>
          <w:sz w:val="24"/>
          <w:szCs w:val="24"/>
          <w:highlight w:val="none"/>
          <w:lang w:val="en-US" w:eastAsia="zh-CN" w:bidi="ar-SA"/>
        </w:rPr>
        <w:t xml:space="preserve">95</w:t>
      </w:r>
      <w:r>
        <w:rPr>
          <w:rFonts w:hint="eastAsia" w:ascii="宋体" w:hAnsi="宋体" w:eastAsia="宋体" w:cs="宋体"/>
          <w:b w:val="0"/>
          <w:bCs w:val="0"/>
          <w:sz w:val="24"/>
          <w:szCs w:val="24"/>
          <w:highlight w:val="none"/>
          <w:lang w:val="en-US" w:eastAsia="zh-CN" w:bidi="ar-SA"/>
        </w:rPr>
        <w:t xml:space="preserve">万元人民币</w:t>
      </w:r>
      <w:r/>
    </w:p>
    <w:p>
      <w:pPr>
        <w:ind w:firstLine="482"/>
        <w:jc w:val="both"/>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jc w:val="both"/>
        <w:spacing w:line="360" w:lineRule="auto"/>
        <w:rPr>
          <w:rFonts w:hint="default" w:eastAsia="黑体"/>
          <w:highlight w:val="none"/>
          <w:lang w:val="en-US" w:eastAsia="zh-CN"/>
        </w:rPr>
        <w:outlineLvl w:val="1"/>
      </w:pPr>
      <w:r/>
      <w:bookmarkStart w:id="279" w:name="_Toc19215"/>
      <w:r>
        <w:rPr>
          <w:rFonts w:hint="eastAsia" w:ascii="宋体" w:hAnsi="宋体" w:eastAsia="宋体" w:cs="宋体"/>
          <w:b/>
          <w:bCs/>
          <w:sz w:val="24"/>
          <w:szCs w:val="24"/>
          <w:highlight w:val="none"/>
          <w:lang w:val="en-US" w:eastAsia="zh-CN" w:bidi="ar-SA"/>
        </w:rPr>
        <w:t xml:space="preserve">二、采购标的清单</w:t>
      </w:r>
      <w:bookmarkEnd w:id="279"/>
      <w:r/>
      <w:r/>
    </w:p>
    <w:p>
      <w:pPr>
        <w:pStyle w:val="854"/>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采购包 </w:t>
      </w: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SEQ 采购包 \* ARABIC </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 检察侦查指挥中心家具包1</w:t>
      </w:r>
      <w:r/>
    </w:p>
    <w:tbl>
      <w:tblPr>
        <w:tblStyle w:val="852"/>
        <w:tblW w:w="102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3338"/>
        <w:gridCol w:w="3687"/>
        <w:gridCol w:w="2431"/>
      </w:tblGrid>
      <w:tr>
        <w:trPr>
          <w:cantSplit/>
          <w:jc w:val="center"/>
          <w:trHeight w:val="576"/>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序号</w:t>
            </w:r>
            <w:r/>
          </w:p>
        </w:tc>
        <w:tc>
          <w:tcPr>
            <w:gridSpan w:val="2"/>
            <w:shd w:val="clear" w:color="auto" w:fill="auto"/>
            <w:tcW w:w="70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采购标的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对应中小企业划分标准所属行业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接待台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3500*800*900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c>
          <w:tcPr>
            <w:shd w:val="clear" w:color="auto" w:fill="auto"/>
            <w:tcW w:w="333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接待椅</w:t>
            </w:r>
            <w:r/>
          </w:p>
        </w:tc>
        <w:tc>
          <w:tcPr>
            <w:shd w:val="clear" w:color="auto" w:fill="auto"/>
            <w:tcW w:w="368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555D*640W*(1180-1275)H</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高低床</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2000*1000*1800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活动衣柜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1000*550*1800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320"/>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单人床（含床背板）</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2100*1350*1000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床头柜1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700*500*550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休闲椅1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585*607*950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大床1（含床背板）</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2000*1800*1000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大床2（含床背板）</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2000*1800*1000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床头柜2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700*500*550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床头柜3</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700*500*550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休闲椅2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585*607*950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L型沙发2820/1900*1000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茶几：直径800*420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边几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圆边几：直径600*680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四方桌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900*900*750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550*470*750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休闲椅3</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585*607*950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L型沙发：3420/2130*900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单椅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边凳：1500*600*890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组合茶几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茶几：直径1000*420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边几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圆边几：直径400*680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书桌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2000*700*750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书椅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550*530*720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三池分离</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1800*700*750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消毒柜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1700*900*500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落地晾衣杆（活动式）</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1600*500*1600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接待台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6500*800*1050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主席台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1600*600*750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主席椅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625*790*1060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4人条桌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2400*500*750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会议椅1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单人沙发</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870*830*900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550*500*550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圆桌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直径800*750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休闲椅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4人长餐桌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1400*700*750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餐椅1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圆桌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直径1200*750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单人椅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边几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直径350*560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圆桌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直径3000*750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餐椅2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L型沙发：2530/1730*755*420/800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单椅： 700*710*420/820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茶几：1300*700*300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圆边几：直径500*500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备餐台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1680*500*850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办公桌1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1600*800*750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办公椅1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办公桌2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1800*1600*750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办公椅2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多人沙发</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1940*810*780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椭圆茶几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1200*600*430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文件柜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900*450*2000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茶水柜1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1200*400*850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茶水柜2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800*400*850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18人会议桌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4200*1600*750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4人条桌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2400*450*750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10人长条桌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4000*1000*750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休闲椅1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520*530*460/770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4人圆桌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直径800*750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2人休闲桌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700*700*750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休闲椅2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490*590*450/730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茶水矮柜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1200*600*850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单人休闲椅1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720*780*400/800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单人休闲椅2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850*990*450/810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茶歇桌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3000*600*750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69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三人沙发：2050*700*420/760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双人沙发：1540*700*420/760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单人沙发1组810*700*420/760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茶几 ：1200*600*480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方边几：600*600*480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边柜 ：1600*400*1200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6人条桌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3600*500*750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7人会议边桌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4200*450*750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椭圆会议桌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1638/1366*3500*750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组合式会议桌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1200*600*750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79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2人会议边桌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1200*450*750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90"/>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会议椅2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服务台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3000*800*1050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茶水柜3</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800*400*850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单人休闲椅3</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460*410*500/840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圆边几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直径400*500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乒乓球桌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t xml:space="preserve">2740*1525*760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操作台I</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29300mm*850mm*750mm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弧形操作台I</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5800mm*850mm*750mm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领导会客沙发</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1030mm*850mm*910mm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400mm*600mm*450mm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90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茶水间开水炉</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400mm*280mm*680mm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91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消毒柜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480mm*380mm*1500mm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92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装饰画</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1500mm*30mm*600mm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93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休息室绿植盆栽</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50mm*40mm*1400mm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bl>
    <w:p>
      <w:pPr>
        <w:pStyle w:val="1066"/>
        <w:rPr>
          <w:rFonts w:hint="eastAsia" w:ascii="黑体" w:hAnsi="黑体" w:eastAsia="黑体"/>
          <w:sz w:val="28"/>
          <w:szCs w:val="28"/>
          <w:highlight w:val="none"/>
        </w:rPr>
      </w:pPr>
      <w:r>
        <w:rPr>
          <w:rFonts w:hint="eastAsia" w:ascii="黑体" w:hAnsi="黑体" w:eastAsia="黑体"/>
          <w:sz w:val="28"/>
          <w:szCs w:val="28"/>
          <w:highlight w:val="none"/>
        </w:rPr>
      </w:r>
      <w:r/>
    </w:p>
    <w:p>
      <w:pPr>
        <w:pStyle w:val="854"/>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采购包 </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SEQ 采购包 \* ARABIC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lang w:val="en-US" w:eastAsia="zh-CN"/>
        </w:rPr>
        <w:t xml:space="preserve"> 检察侦查指挥中心家具包2</w:t>
      </w:r>
      <w:r/>
    </w:p>
    <w:tbl>
      <w:tblPr>
        <w:tblStyle w:val="852"/>
        <w:tblW w:w="102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2941"/>
        <w:gridCol w:w="2942"/>
        <w:gridCol w:w="3071"/>
      </w:tblGrid>
      <w:tr>
        <w:trPr>
          <w:cantSplit/>
          <w:jc w:val="center"/>
          <w:trHeight w:val="576"/>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序号</w:t>
            </w:r>
            <w:r/>
          </w:p>
        </w:tc>
        <w:tc>
          <w:tcPr>
            <w:gridSpan w:val="2"/>
            <w:tcW w:w="58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采购标的</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对应中小企业划分标准所属行业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一字工位取证工作台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1800mm*800mm*750mm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c>
          <w:tcPr>
            <w:tcW w:w="2941"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一字工位取证工作台</w:t>
            </w:r>
            <w:r/>
          </w:p>
        </w:tc>
        <w:tc>
          <w:tcPr>
            <w:tcW w:w="294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3000mm*850mm*750mm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一字工位取证工作台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1894mm*800mm*750mm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一字工位取证工作台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1500mm*700mm*750</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1894mm*800mm*750mm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1800mm*700mm*750mm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一字型办公桌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1592mm*800mm*750mm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8</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一字型办公桌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1639mm*850mm*750mm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9</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一字型控制台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4640mm*850mm*750mm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10</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弧形控制台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5100mm*850mm*750mm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11</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六边办公桌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长边 1200，短边 600，腰 600，三块拼成拼接后形成六边形</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12</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蝶形办公桌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单块：1200*600*750mm，三块拼成 120° 夹角整套最大外接尺寸：2400mm*2400mm*750mm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13</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文件柜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800mm*450mm*1850mm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14</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文件柜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800mm*450mm*1850mm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15</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操作台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2000mm*1500mm*750mm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16</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防磁柜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525mm*480mm*1500mm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17</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干燥柜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525mm*480mm*1500mm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18</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茶水柜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1000mm*700mm*750mm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19</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会议桌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5500mm*1800mm*750mm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20</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沙发</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2040mm*780mm*850mm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21</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沙发</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1600mm*780mm*850mm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22</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心理测试椅</w:t>
            </w:r>
            <w:r/>
          </w:p>
        </w:tc>
        <w:tc>
          <w:tcPr>
            <w:tcW w:w="2942" w:type="dxa"/>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1.尺寸（扶手收回）：87cm×84cm×69cm（高×宽×深）；扶手抬起高102cm，侧展宽96cm，靠背后倾深度76cm</w:t>
            </w:r>
            <w:r>
              <w:rPr>
                <w:rFonts w:hint="eastAsia" w:ascii="宋体" w:hAnsi="宋体" w:eastAsia="宋体" w:cs="宋体"/>
                <w:i w:val="0"/>
                <w:iCs w:val="0"/>
                <w:color w:val="000000"/>
                <w:sz w:val="24"/>
                <w:szCs w:val="24"/>
                <w:highlight w:val="none"/>
                <w:u w:val="none"/>
                <w:lang w:val="en-US" w:eastAsia="zh-CN"/>
              </w:rPr>
              <w:br/>
            </w:r>
            <w:r>
              <w:rPr>
                <w:rFonts w:hint="eastAsia" w:ascii="宋体" w:hAnsi="宋体" w:eastAsia="宋体" w:cs="宋体"/>
                <w:i w:val="0"/>
                <w:iCs w:val="0"/>
                <w:color w:val="000000"/>
                <w:sz w:val="24"/>
                <w:szCs w:val="24"/>
                <w:highlight w:val="none"/>
                <w:u w:val="none"/>
                <w:lang w:val="en-US" w:eastAsia="zh-CN"/>
              </w:rPr>
              <w:t xml:space="preserve">·座面：53cm（宽）×50cm（深）</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23</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圆椅</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直径420mm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24</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办公椅</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640mm*690mm*960mm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25</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会议椅</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常规</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工业</w:t>
            </w:r>
            <w:r/>
          </w:p>
        </w:tc>
      </w:tr>
    </w:tbl>
    <w:p>
      <w:pPr>
        <w:pStyle w:val="1066"/>
        <w:rPr>
          <w:rFonts w:hint="eastAsia" w:ascii="黑体" w:hAnsi="黑体" w:eastAsia="黑体"/>
          <w:sz w:val="28"/>
          <w:szCs w:val="28"/>
          <w:highlight w:val="none"/>
        </w:rPr>
      </w:pPr>
      <w:r>
        <w:rPr>
          <w:rFonts w:hint="eastAsia" w:ascii="黑体" w:hAnsi="黑体" w:eastAsia="黑体"/>
          <w:sz w:val="28"/>
          <w:szCs w:val="28"/>
          <w:highlight w:val="none"/>
        </w:rPr>
      </w:r>
      <w:r/>
    </w:p>
    <w:p>
      <w:pPr>
        <w:ind w:firstLine="315"/>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核心产品：</w:t>
      </w:r>
      <w:r/>
    </w:p>
    <w:tbl>
      <w:tblPr>
        <w:tblStyle w:val="852"/>
        <w:tblW w:w="79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1"/>
        <w:gridCol w:w="6433"/>
      </w:tblGrid>
      <w:tr>
        <w:trPr>
          <w:cantSplit/>
          <w:jc w:val="center"/>
          <w:trHeight w:val="291"/>
        </w:trPr>
        <w:tc>
          <w:tcPr>
            <w:tcMar>
              <w:left w:w="0" w:type="dxa"/>
              <w:top w:w="0" w:type="dxa"/>
              <w:right w:w="0" w:type="dxa"/>
              <w:bottom w:w="0" w:type="dxa"/>
            </w:tcMar>
            <w:tcW w:w="1481" w:type="dxa"/>
            <w:vAlign w:val="center"/>
            <w:textDirection w:val="lrTb"/>
            <w:noWrap w:val="false"/>
          </w:tcPr>
          <w:p>
            <w:pPr>
              <w:jc w:val="center"/>
              <w:spacing w:line="0" w:lineRule="atLeast"/>
              <w:tabs>
                <w:tab w:val="left" w:pos="3685"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w:t>
            </w:r>
            <w:r/>
          </w:p>
        </w:tc>
        <w:tc>
          <w:tcPr>
            <w:tcMar>
              <w:left w:w="0" w:type="dxa"/>
              <w:top w:w="0" w:type="dxa"/>
              <w:right w:w="0" w:type="dxa"/>
              <w:bottom w:w="0" w:type="dxa"/>
            </w:tcMar>
            <w:tcW w:w="6433" w:type="dxa"/>
            <w:vAlign w:val="center"/>
            <w:textDirection w:val="lrTb"/>
            <w:noWrap w:val="false"/>
          </w:tcPr>
          <w:p>
            <w:pPr>
              <w:jc w:val="center"/>
              <w:spacing w:line="0" w:lineRule="atLeast"/>
              <w:tabs>
                <w:tab w:val="left" w:pos="3685"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核心产品</w:t>
            </w:r>
            <w:r/>
          </w:p>
        </w:tc>
      </w:tr>
      <w:tr>
        <w:trPr>
          <w:cantSplit/>
          <w:jc w:val="center"/>
          <w:trHeight w:val="291"/>
        </w:trPr>
        <w:tc>
          <w:tcPr>
            <w:tcMar>
              <w:left w:w="0" w:type="dxa"/>
              <w:top w:w="0" w:type="dxa"/>
              <w:right w:w="0" w:type="dxa"/>
              <w:bottom w:w="0" w:type="dxa"/>
            </w:tcMar>
            <w:tcW w:w="1481" w:type="dxa"/>
            <w:vAlign w:val="center"/>
            <w:textDirection w:val="lrTb"/>
            <w:noWrap w:val="false"/>
          </w:tcPr>
          <w:p>
            <w:pPr>
              <w:jc w:val="center"/>
              <w:spacing w:line="0" w:lineRule="atLeast"/>
              <w:tabs>
                <w:tab w:val="left" w:pos="368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Mar>
              <w:left w:w="0" w:type="dxa"/>
              <w:top w:w="0" w:type="dxa"/>
              <w:right w:w="0" w:type="dxa"/>
              <w:bottom w:w="0" w:type="dxa"/>
            </w:tcMar>
            <w:tcW w:w="6433" w:type="dxa"/>
            <w:vAlign w:val="center"/>
            <w:textDirection w:val="lrTb"/>
            <w:noWrap w:val="false"/>
          </w:tcPr>
          <w:p>
            <w:pPr>
              <w:jc w:val="center"/>
              <w:spacing w:line="0" w:lineRule="atLeast"/>
              <w:tabs>
                <w:tab w:val="left" w:pos="368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《需求清单》（采购包1）序号86操作台I</w:t>
            </w:r>
            <w:r/>
          </w:p>
        </w:tc>
      </w:tr>
      <w:tr>
        <w:trPr>
          <w:cantSplit/>
          <w:jc w:val="center"/>
          <w:trHeight w:val="291"/>
        </w:trPr>
        <w:tc>
          <w:tcPr>
            <w:tcMar>
              <w:left w:w="0" w:type="dxa"/>
              <w:top w:w="0" w:type="dxa"/>
              <w:right w:w="0" w:type="dxa"/>
              <w:bottom w:w="0" w:type="dxa"/>
            </w:tcMar>
            <w:tcW w:w="1481" w:type="dxa"/>
            <w:vAlign w:val="center"/>
            <w:textDirection w:val="lrTb"/>
            <w:noWrap w:val="false"/>
          </w:tcPr>
          <w:p>
            <w:pPr>
              <w:jc w:val="center"/>
              <w:spacing w:line="0" w:lineRule="atLeast"/>
              <w:tabs>
                <w:tab w:val="left" w:pos="368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left w:w="0" w:type="dxa"/>
              <w:top w:w="0" w:type="dxa"/>
              <w:right w:w="0" w:type="dxa"/>
              <w:bottom w:w="0" w:type="dxa"/>
            </w:tcMar>
            <w:tcW w:w="6433" w:type="dxa"/>
            <w:vAlign w:val="center"/>
            <w:textDirection w:val="lrTb"/>
            <w:noWrap w:val="false"/>
          </w:tcPr>
          <w:p>
            <w:pPr>
              <w:jc w:val="center"/>
              <w:spacing w:line="0" w:lineRule="atLeast"/>
              <w:tabs>
                <w:tab w:val="left" w:pos="3685" w:leader="none"/>
              </w:tabs>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《需求清单》（采购包</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）序号12蝶形办公桌</w:t>
            </w:r>
            <w:r/>
          </w:p>
        </w:tc>
      </w:tr>
    </w:tbl>
    <w:p>
      <w:pPr>
        <w:pStyle w:val="1066"/>
        <w:ind w:left="0" w:firstLine="0"/>
        <w:rPr>
          <w:rFonts w:hint="default" w:ascii="黑体" w:hAnsi="黑体" w:eastAsia="黑体"/>
          <w:sz w:val="28"/>
          <w:szCs w:val="28"/>
          <w:highlight w:val="none"/>
          <w:lang w:val="en-US" w:eastAsia="zh-CN"/>
        </w:rPr>
      </w:pPr>
      <w:r>
        <w:rPr>
          <w:rFonts w:hint="default" w:ascii="黑体" w:hAnsi="黑体" w:eastAsia="黑体"/>
          <w:sz w:val="28"/>
          <w:szCs w:val="28"/>
          <w:highlight w:val="none"/>
          <w:lang w:val="en-US" w:eastAsia="zh-CN"/>
        </w:rPr>
      </w:r>
      <w:r/>
    </w:p>
    <w:p>
      <w:pPr>
        <w:jc w:val="both"/>
        <w:spacing w:line="360" w:lineRule="auto"/>
        <w:rPr>
          <w:rFonts w:hint="eastAsia" w:ascii="宋体" w:hAnsi="宋体" w:eastAsia="宋体" w:cs="宋体"/>
          <w:b/>
          <w:bCs/>
          <w:sz w:val="24"/>
          <w:szCs w:val="24"/>
          <w:highlight w:val="none"/>
          <w:lang w:val="en-US" w:eastAsia="zh-CN" w:bidi="ar-SA"/>
        </w:rPr>
        <w:outlineLvl w:val="1"/>
      </w:pPr>
      <w:r/>
      <w:bookmarkStart w:id="280" w:name="_Toc4955"/>
      <w:r>
        <w:rPr>
          <w:rFonts w:hint="eastAsia" w:ascii="宋体" w:hAnsi="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en-US" w:eastAsia="zh-CN" w:bidi="ar-SA"/>
        </w:rPr>
        <w:t xml:space="preserve">、政府采购中实施本国产品标准及相关政策</w:t>
      </w:r>
      <w:bookmarkEnd w:id="280"/>
      <w:r/>
      <w:r/>
    </w:p>
    <w:p>
      <w:pPr>
        <w:ind w:firstLine="560"/>
        <w:spacing w:line="4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both"/>
        <w:spacing w:line="360" w:lineRule="auto"/>
        <w:rPr>
          <w:rFonts w:hint="default" w:ascii="宋体" w:hAnsi="宋体" w:cs="宋体"/>
          <w:b/>
          <w:bCs/>
          <w:sz w:val="24"/>
          <w:szCs w:val="24"/>
          <w:highlight w:val="none"/>
          <w:lang w:val="en-US" w:eastAsia="zh-CN" w:bidi="ar-SA"/>
        </w:rPr>
        <w:outlineLvl w:val="1"/>
      </w:pPr>
      <w:r/>
      <w:bookmarkStart w:id="281" w:name="_Toc3965"/>
      <w:r>
        <w:rPr>
          <w:rFonts w:hint="eastAsia" w:ascii="宋体" w:hAnsi="宋体" w:cs="宋体"/>
          <w:b/>
          <w:bCs/>
          <w:sz w:val="24"/>
          <w:szCs w:val="24"/>
          <w:highlight w:val="none"/>
          <w:lang w:val="en-US" w:eastAsia="zh-CN" w:bidi="ar-SA"/>
        </w:rPr>
        <w:t xml:space="preserve">四、商务及技术要求（采购包1）</w:t>
      </w:r>
      <w:bookmarkEnd w:id="281"/>
      <w:r/>
      <w:r/>
    </w:p>
    <w:p>
      <w:pPr>
        <w:rPr>
          <w:rFonts w:hint="eastAsia" w:ascii="宋体" w:hAnsi="宋体" w:eastAsia="宋体"/>
          <w:b/>
          <w:sz w:val="24"/>
          <w:szCs w:val="24"/>
          <w:highlight w:val="none"/>
        </w:rPr>
      </w:pPr>
      <w:r/>
      <w:bookmarkStart w:id="282" w:name="_Toc449081337"/>
      <w:r/>
      <w:bookmarkStart w:id="283" w:name="_Toc479456128"/>
      <w:r>
        <w:rPr>
          <w:rFonts w:hint="eastAsia" w:ascii="宋体" w:hAnsi="宋体" w:eastAsia="宋体"/>
          <w:b/>
          <w:sz w:val="24"/>
          <w:szCs w:val="24"/>
          <w:highlight w:val="none"/>
          <w:lang w:val="en-US" w:eastAsia="zh-CN"/>
        </w:rPr>
        <w:t xml:space="preserve">1</w:t>
      </w:r>
      <w:r>
        <w:rPr>
          <w:rFonts w:hint="eastAsia" w:ascii="宋体" w:hAnsi="宋体" w:eastAsia="宋体"/>
          <w:b/>
          <w:sz w:val="24"/>
          <w:szCs w:val="24"/>
          <w:highlight w:val="none"/>
        </w:rPr>
        <w:t xml:space="preserve">、项目概况</w:t>
      </w:r>
      <w:r/>
    </w:p>
    <w:p>
      <w:pPr>
        <w:ind w:firstLine="480"/>
        <w:jc w:val="left"/>
        <w:keepLines w:val="0"/>
        <w:keepNext w:val="0"/>
        <w:pageBreakBefore w:val="0"/>
        <w:spacing w:line="240" w:lineRule="atLeast"/>
        <w:widowControl w:val="off"/>
        <w:tabs>
          <w:tab w:val="left" w:pos="142" w:leader="none"/>
        </w:tabs>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江苏省人民检察院拟建设江苏省检察侦查指挥中心</w:t>
      </w:r>
      <w:r>
        <w:rPr>
          <w:rFonts w:hint="eastAsia" w:ascii="宋体" w:hAnsi="宋体" w:eastAsia="宋体"/>
          <w:sz w:val="24"/>
          <w:szCs w:val="24"/>
          <w:highlight w:val="none"/>
        </w:rPr>
        <w:t xml:space="preserve">，需采购一批定制家具，邀请有能力的供应商参与。项目预算</w:t>
      </w:r>
      <w:r>
        <w:rPr>
          <w:rFonts w:hint="eastAsia" w:ascii="宋体" w:hAnsi="宋体"/>
          <w:sz w:val="24"/>
          <w:szCs w:val="24"/>
          <w:highlight w:val="none"/>
          <w:lang w:val="en-US" w:eastAsia="zh-CN"/>
        </w:rPr>
        <w:t xml:space="preserve">405</w:t>
      </w:r>
      <w:r>
        <w:rPr>
          <w:rFonts w:hint="eastAsia" w:ascii="宋体" w:hAnsi="宋体" w:eastAsia="宋体"/>
          <w:sz w:val="24"/>
          <w:szCs w:val="24"/>
          <w:highlight w:val="none"/>
        </w:rPr>
        <w:t xml:space="preserve">万元。</w:t>
      </w:r>
      <w:r/>
    </w:p>
    <w:p>
      <w:pPr>
        <w:rPr>
          <w:rFonts w:hint="eastAsia" w:ascii="宋体" w:hAnsi="宋体" w:eastAsia="宋体"/>
          <w:b/>
          <w:bCs/>
          <w:sz w:val="24"/>
          <w:szCs w:val="24"/>
          <w:highlight w:val="none"/>
        </w:rPr>
      </w:pPr>
      <w:r>
        <w:rPr>
          <w:rFonts w:hint="eastAsia" w:ascii="宋体" w:hAnsi="宋体" w:eastAsia="宋体"/>
          <w:b/>
          <w:bCs/>
          <w:sz w:val="24"/>
          <w:szCs w:val="24"/>
          <w:highlight w:val="none"/>
          <w:lang w:val="en-US" w:eastAsia="zh-CN"/>
        </w:rPr>
        <w:t xml:space="preserve">2</w:t>
      </w:r>
      <w:r>
        <w:rPr>
          <w:rFonts w:hint="eastAsia" w:ascii="宋体" w:hAnsi="宋体" w:eastAsia="宋体"/>
          <w:b/>
          <w:bCs/>
          <w:sz w:val="24"/>
          <w:szCs w:val="24"/>
          <w:highlight w:val="none"/>
        </w:rPr>
        <w:t xml:space="preserve">、采购清单及方案要求</w:t>
      </w:r>
      <w:bookmarkEnd w:id="282"/>
      <w:r/>
      <w:bookmarkEnd w:id="283"/>
      <w:r/>
      <w:r/>
    </w:p>
    <w:p>
      <w:pPr>
        <w:ind w:firstLine="480"/>
        <w:keepLines w:val="0"/>
        <w:keepNext w:val="0"/>
        <w:pageBreakBefore w:val="0"/>
        <w:widowControl w:val="off"/>
        <w:rPr>
          <w:rFonts w:hint="eastAsia"/>
          <w:sz w:val="24"/>
          <w:szCs w:val="24"/>
          <w:highlight w:val="none"/>
        </w:rPr>
      </w:pPr>
      <w:r>
        <w:rPr>
          <w:rFonts w:hint="eastAsia"/>
          <w:sz w:val="24"/>
          <w:szCs w:val="24"/>
          <w:highlight w:val="none"/>
        </w:rPr>
        <w:t xml:space="preserve">详见《需求清单》（采购包1）</w:t>
      </w:r>
      <w:r/>
    </w:p>
    <w:p>
      <w:pPr>
        <w:ind w:firstLine="480"/>
        <w:rPr>
          <w:rFonts w:hint="eastAsia"/>
          <w:sz w:val="24"/>
          <w:szCs w:val="24"/>
          <w:highlight w:val="none"/>
        </w:rPr>
      </w:pPr>
      <w:r>
        <w:rPr>
          <w:rFonts w:hint="eastAsia"/>
          <w:sz w:val="24"/>
          <w:szCs w:val="24"/>
          <w:highlight w:val="none"/>
        </w:rPr>
        <w:t xml:space="preserve">备注：清单中家具款式、尺寸、颜色、材质均以实际需要为准，涉及变动在成交价范围内调整，总成交价不作变动。本采购文件所引用的相关标准、规范，如有关机构发布最新版本的，以最新版本为准。</w:t>
      </w:r>
      <w:r/>
    </w:p>
    <w:p>
      <w:pPr>
        <w:ind w:firstLine="480"/>
        <w:rPr>
          <w:rFonts w:hint="eastAsia"/>
          <w:sz w:val="24"/>
          <w:szCs w:val="24"/>
          <w:highlight w:val="none"/>
        </w:rPr>
      </w:pPr>
      <w:r>
        <w:rPr>
          <w:rFonts w:hint="eastAsia"/>
          <w:sz w:val="24"/>
          <w:szCs w:val="24"/>
          <w:highlight w:val="none"/>
        </w:rPr>
      </w:r>
      <w:r/>
    </w:p>
    <w:p>
      <w:pPr>
        <w:ind w:firstLine="482"/>
        <w:rPr>
          <w:rFonts w:hint="eastAsia" w:ascii="宋体" w:hAnsi="宋体" w:cs="宋体"/>
          <w:b w:val="0"/>
          <w:bCs/>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2.1技术指标响应</w:t>
      </w:r>
      <w:r>
        <w:rPr>
          <w:rFonts w:hint="eastAsia" w:ascii="宋体" w:hAnsi="宋体" w:cs="宋体"/>
          <w:b/>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由评标委员会根据《需求清单》（采购包1）、《技术要求响应表》等响应情况进行打分，根据投标人对本项目的“关键原材料要求”的重要技术参数（需求清单中带“▲”条款,共20项）的响应情况评分。</w:t>
      </w:r>
      <w:r/>
    </w:p>
    <w:p>
      <w:pPr>
        <w:ind w:firstLine="482"/>
        <w:rPr>
          <w:rFonts w:hint="eastAsia" w:ascii="宋体" w:hAnsi="宋体" w:cs="宋体"/>
          <w:b w:val="0"/>
          <w:bCs/>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2.2项目实施方案。</w:t>
      </w:r>
      <w:r>
        <w:rPr>
          <w:rFonts w:hint="eastAsia" w:ascii="宋体" w:hAnsi="宋体" w:cs="宋体"/>
          <w:b w:val="0"/>
          <w:bCs/>
          <w:sz w:val="24"/>
          <w:szCs w:val="24"/>
          <w:highlight w:val="none"/>
          <w:lang w:val="en-US" w:eastAsia="zh-CN" w:bidi="ar-SA"/>
        </w:rPr>
        <w:t xml:space="preserve">根据投标人对本项目的总体认识、组织部署、技术方案、质量保证措施、时间进度安排、安装及验收方案的合理性、科学性等进行比较评分。</w:t>
      </w:r>
      <w:r/>
    </w:p>
    <w:p>
      <w:pPr>
        <w:ind w:firstLine="482"/>
        <w:rPr>
          <w:rFonts w:hint="eastAsia" w:ascii="宋体" w:hAnsi="宋体" w:cs="宋体"/>
          <w:b w:val="0"/>
          <w:bCs/>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2.3深化设计方案。</w:t>
      </w:r>
      <w:r>
        <w:rPr>
          <w:rFonts w:hint="eastAsia" w:ascii="宋体" w:hAnsi="宋体" w:cs="宋体"/>
          <w:b w:val="0"/>
          <w:bCs/>
          <w:sz w:val="24"/>
          <w:szCs w:val="24"/>
          <w:highlight w:val="none"/>
          <w:lang w:val="en-US" w:eastAsia="zh-CN" w:bidi="ar-SA"/>
        </w:rPr>
        <w:t xml:space="preserve">根据投标人须提供的效果图、结构图，其设计完整规范、布局合理、契合本项目要求的情况进行比较评分。</w:t>
      </w:r>
      <w:r/>
    </w:p>
    <w:p>
      <w:pPr>
        <w:ind w:firstLine="482"/>
        <w:rPr>
          <w:rFonts w:hint="eastAsia" w:ascii="宋体" w:hAnsi="宋体" w:cs="宋体"/>
          <w:b w:val="0"/>
          <w:bCs/>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2.4售后服务响应。</w:t>
      </w:r>
      <w:r>
        <w:rPr>
          <w:rFonts w:hint="eastAsia" w:ascii="宋体" w:hAnsi="宋体" w:cs="宋体"/>
          <w:b w:val="0"/>
          <w:bCs/>
          <w:sz w:val="24"/>
          <w:szCs w:val="24"/>
          <w:highlight w:val="none"/>
          <w:lang w:val="en-US" w:eastAsia="zh-CN" w:bidi="ar-SA"/>
        </w:rPr>
        <w:t xml:space="preserve">根据投标文件中有关服务承诺说明进行评分，包括投标人自身及所投品牌原厂响应标准、备件体系、质保维修方案、售后服务体系、服务范围、响应时间、故障解决方案、应急处理方案、专业技术人员保障等评分。</w:t>
      </w:r>
      <w:r/>
    </w:p>
    <w:p>
      <w:pPr>
        <w:rPr>
          <w:rFonts w:hint="eastAsia" w:ascii="宋体" w:hAnsi="宋体" w:eastAsia="宋体"/>
          <w:b/>
          <w:bCs/>
          <w:sz w:val="24"/>
          <w:szCs w:val="24"/>
          <w:highlight w:val="none"/>
        </w:rPr>
      </w:pPr>
      <w:r>
        <w:rPr>
          <w:rFonts w:hint="eastAsia" w:ascii="宋体" w:hAnsi="宋体" w:eastAsia="宋体"/>
          <w:b/>
          <w:bCs/>
          <w:sz w:val="24"/>
          <w:szCs w:val="24"/>
          <w:highlight w:val="none"/>
          <w:lang w:val="en-US" w:eastAsia="zh-CN"/>
        </w:rPr>
        <w:t xml:space="preserve">3</w:t>
      </w:r>
      <w:r>
        <w:rPr>
          <w:rFonts w:hint="eastAsia" w:ascii="宋体" w:hAnsi="宋体" w:eastAsia="宋体"/>
          <w:b/>
          <w:bCs/>
          <w:sz w:val="24"/>
          <w:szCs w:val="24"/>
          <w:highlight w:val="none"/>
        </w:rPr>
        <w:t xml:space="preserve">、项目实施要求</w:t>
      </w:r>
      <w:r/>
    </w:p>
    <w:p>
      <w:pPr>
        <w:pStyle w:val="857"/>
        <w:ind w:left="0" w:firstLine="480"/>
        <w:rPr>
          <w:rFonts w:hint="eastAsia" w:ascii="宋体" w:hAnsi="宋体" w:cs="微软雅黑"/>
          <w:sz w:val="24"/>
          <w:szCs w:val="24"/>
          <w:highlight w:val="none"/>
        </w:rPr>
      </w:pPr>
      <w:r>
        <w:rPr>
          <w:rFonts w:hint="eastAsia" w:ascii="宋体" w:hAnsi="宋体" w:cs="微软雅黑"/>
          <w:sz w:val="24"/>
          <w:szCs w:val="24"/>
          <w:highlight w:val="none"/>
          <w:lang w:val="en-US" w:eastAsia="zh-CN"/>
        </w:rPr>
        <w:t xml:space="preserve">3.1</w:t>
      </w:r>
      <w:r>
        <w:rPr>
          <w:rFonts w:hint="eastAsia" w:ascii="宋体" w:hAnsi="宋体" w:cs="微软雅黑"/>
          <w:sz w:val="24"/>
          <w:szCs w:val="24"/>
          <w:highlight w:val="none"/>
        </w:rPr>
        <w:t xml:space="preserve">深化设计：</w:t>
      </w:r>
      <w:r/>
    </w:p>
    <w:p>
      <w:pPr>
        <w:pStyle w:val="857"/>
        <w:ind w:left="0" w:firstLine="480"/>
        <w:rPr>
          <w:rFonts w:hint="eastAsia" w:ascii="宋体" w:hAnsi="宋体" w:cs="微软雅黑"/>
          <w:sz w:val="24"/>
          <w:szCs w:val="24"/>
          <w:highlight w:val="none"/>
        </w:rPr>
      </w:pPr>
      <w:r>
        <w:rPr>
          <w:rFonts w:hint="eastAsia" w:ascii="宋体" w:hAnsi="宋体" w:cs="微软雅黑"/>
          <w:sz w:val="24"/>
          <w:szCs w:val="24"/>
          <w:highlight w:val="none"/>
        </w:rPr>
        <w:t xml:space="preserve">（1）投标人须提供效果图，要求完整规范、布局合理、契合本项目的要求；</w:t>
      </w:r>
      <w:r/>
    </w:p>
    <w:p>
      <w:pPr>
        <w:pStyle w:val="857"/>
        <w:ind w:left="0" w:firstLine="480"/>
        <w:rPr>
          <w:rFonts w:hint="eastAsia" w:ascii="宋体" w:hAnsi="宋体" w:cs="微软雅黑"/>
          <w:sz w:val="24"/>
          <w:szCs w:val="24"/>
          <w:highlight w:val="none"/>
        </w:rPr>
      </w:pPr>
      <w:r>
        <w:rPr>
          <w:rFonts w:hint="eastAsia" w:ascii="宋体" w:hAnsi="宋体" w:cs="微软雅黑"/>
          <w:sz w:val="24"/>
          <w:szCs w:val="24"/>
          <w:highlight w:val="none"/>
        </w:rPr>
        <w:t xml:space="preserve">（2）投标人须提供结构图，要求完整规范、结构牢固稳定、契合本项目要求；</w:t>
      </w:r>
      <w:r/>
    </w:p>
    <w:p>
      <w:pPr>
        <w:pStyle w:val="857"/>
        <w:ind w:left="0" w:firstLine="480"/>
        <w:rPr>
          <w:rFonts w:hint="eastAsia" w:ascii="宋体" w:hAnsi="宋体" w:cs="微软雅黑"/>
          <w:sz w:val="24"/>
          <w:szCs w:val="24"/>
          <w:highlight w:val="none"/>
        </w:rPr>
      </w:pPr>
      <w:r>
        <w:rPr>
          <w:rFonts w:hint="eastAsia" w:ascii="宋体" w:hAnsi="宋体" w:cs="微软雅黑"/>
          <w:sz w:val="24"/>
          <w:szCs w:val="24"/>
          <w:highlight w:val="none"/>
          <w:lang w:val="en-US" w:eastAsia="zh-CN"/>
        </w:rPr>
        <w:t xml:space="preserve">3.2</w:t>
      </w:r>
      <w:r>
        <w:rPr>
          <w:rFonts w:hint="eastAsia" w:ascii="宋体" w:hAnsi="宋体" w:cs="微软雅黑"/>
          <w:sz w:val="24"/>
          <w:szCs w:val="24"/>
          <w:highlight w:val="none"/>
        </w:rPr>
        <w:t xml:space="preserve">安装：</w:t>
      </w:r>
      <w:r/>
    </w:p>
    <w:p>
      <w:pPr>
        <w:pStyle w:val="857"/>
        <w:ind w:left="0" w:firstLine="480"/>
        <w:rPr>
          <w:rFonts w:hint="eastAsia" w:ascii="宋体" w:hAnsi="宋体" w:cs="微软雅黑"/>
          <w:sz w:val="24"/>
          <w:szCs w:val="24"/>
          <w:highlight w:val="none"/>
        </w:rPr>
      </w:pPr>
      <w:r>
        <w:rPr>
          <w:rFonts w:hint="eastAsia" w:ascii="宋体" w:hAnsi="宋体" w:cs="微软雅黑"/>
          <w:sz w:val="24"/>
          <w:szCs w:val="24"/>
          <w:highlight w:val="none"/>
        </w:rPr>
        <w:t xml:space="preserve">由成交供应商负责将货物按签订合同的具体数量、具体地点免费运送到最终目的地，并负责安装。经最终验收合格后，交付采购人使用。成交供应商应严格按照响应文件中提供的安装设计方案和进度计划表进行施工组织，并服从采购人的安排。</w:t>
      </w:r>
      <w:r/>
    </w:p>
    <w:p>
      <w:pPr>
        <w:pStyle w:val="857"/>
        <w:ind w:left="0" w:firstLine="480"/>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3.3</w:t>
      </w:r>
      <w:r>
        <w:rPr>
          <w:rFonts w:hint="eastAsia" w:ascii="宋体" w:hAnsi="宋体" w:eastAsia="宋体" w:cs="微软雅黑"/>
          <w:color w:val="000000"/>
          <w:sz w:val="24"/>
          <w:szCs w:val="24"/>
          <w:highlight w:val="none"/>
        </w:rPr>
        <w:t xml:space="preserve">验收标准及方法：</w:t>
      </w:r>
      <w:r/>
    </w:p>
    <w:p>
      <w:pPr>
        <w:ind w:firstLine="480"/>
        <w:rPr>
          <w:rFonts w:hint="eastAsia" w:ascii="宋体" w:hAnsi="宋体" w:cs="宋体"/>
          <w:sz w:val="24"/>
          <w:szCs w:val="24"/>
          <w:highlight w:val="none"/>
        </w:rPr>
      </w:pPr>
      <w:r>
        <w:rPr>
          <w:rFonts w:hint="eastAsia" w:ascii="宋体" w:hAnsi="宋体" w:cs="微软雅黑"/>
          <w:color w:val="000000"/>
          <w:sz w:val="24"/>
          <w:szCs w:val="24"/>
          <w:highlight w:val="none"/>
        </w:rPr>
        <w:t xml:space="preserve">（1）</w:t>
      </w:r>
      <w:r>
        <w:rPr>
          <w:rFonts w:hint="eastAsia" w:ascii="宋体" w:hAnsi="宋体"/>
          <w:sz w:val="24"/>
          <w:szCs w:val="24"/>
          <w:highlight w:val="none"/>
        </w:rPr>
        <w:t xml:space="preserve">家具的甲醛、</w:t>
      </w:r>
      <w:r>
        <w:rPr>
          <w:rFonts w:hint="eastAsia"/>
          <w:sz w:val="24"/>
          <w:szCs w:val="24"/>
          <w:highlight w:val="none"/>
        </w:rPr>
        <w:t xml:space="preserve">苯、甲苯、二甲苯、铅、铬、镉、汞等有害物质含量必须达到国家相关标准规定，符合环保节能产品相关标准。</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（2）成交供应商应保证货物到达采购人所在地完好无损，如有缺漏、损坏，由成交供应商负责调换、补齐或赔偿。</w:t>
      </w:r>
      <w:r/>
    </w:p>
    <w:p>
      <w:pPr>
        <w:pStyle w:val="1181"/>
        <w:ind w:firstLine="420"/>
        <w:rPr>
          <w:rFonts w:hint="eastAsia" w:ascii="宋体" w:hAnsi="宋体" w:eastAsia="宋体"/>
          <w:sz w:val="24"/>
          <w:szCs w:val="24"/>
          <w:highlight w:val="none"/>
          <w:lang w:val="en-US"/>
        </w:rPr>
      </w:pPr>
      <w:r>
        <w:rPr>
          <w:rFonts w:hint="eastAsia" w:ascii="宋体" w:hAnsi="宋体" w:cs="微软雅黑"/>
          <w:sz w:val="24"/>
          <w:szCs w:val="24"/>
          <w:highlight w:val="none"/>
        </w:rPr>
        <w:t xml:space="preserve">（3）成交供应商自检完成后，成交供应商与采购人按采购文件以及合同相关条款要求一同对货物进行验收，并最终签字确认。</w:t>
      </w:r>
      <w:r/>
    </w:p>
    <w:p>
      <w:pPr>
        <w:pStyle w:val="855"/>
        <w:spacing w:before="0"/>
        <w:rPr>
          <w:rFonts w:hint="eastAsia" w:ascii="宋体" w:hAnsi="宋体" w:eastAsia="宋体"/>
          <w:sz w:val="24"/>
          <w:szCs w:val="24"/>
          <w:highlight w:val="none"/>
        </w:rPr>
      </w:pPr>
      <w:r>
        <w:rPr>
          <w:rFonts w:hint="eastAsia" w:ascii="宋体" w:hAnsi="宋体" w:eastAsia="宋体"/>
          <w:sz w:val="24"/>
          <w:szCs w:val="24"/>
          <w:highlight w:val="none"/>
        </w:rPr>
      </w:r>
      <w:r/>
    </w:p>
    <w:p>
      <w:pPr>
        <w:rPr>
          <w:rFonts w:hint="eastAsia" w:ascii="宋体" w:hAnsi="宋体" w:eastAsia="宋体"/>
          <w:b/>
          <w:sz w:val="24"/>
          <w:szCs w:val="24"/>
          <w:highlight w:val="none"/>
        </w:rPr>
      </w:pPr>
      <w:r>
        <w:rPr>
          <w:rFonts w:hint="eastAsia" w:ascii="宋体" w:hAnsi="宋体" w:eastAsia="宋体"/>
          <w:b/>
          <w:sz w:val="24"/>
          <w:szCs w:val="24"/>
          <w:highlight w:val="none"/>
          <w:lang w:val="en-US" w:eastAsia="zh-CN"/>
        </w:rPr>
        <w:t xml:space="preserve">4</w:t>
      </w:r>
      <w:r>
        <w:rPr>
          <w:rFonts w:hint="eastAsia" w:ascii="宋体" w:hAnsi="宋体" w:eastAsia="宋体"/>
          <w:b/>
          <w:sz w:val="24"/>
          <w:szCs w:val="24"/>
          <w:highlight w:val="none"/>
        </w:rPr>
        <w:t xml:space="preserve">、商务要求</w:t>
      </w:r>
      <w:r/>
    </w:p>
    <w:p>
      <w:pPr>
        <w:ind w:firstLine="482"/>
        <w:rPr>
          <w:rFonts w:hint="eastAsia" w:ascii="宋体" w:hAnsi="宋体" w:eastAsia="宋体"/>
          <w:sz w:val="24"/>
          <w:szCs w:val="24"/>
          <w:highlight w:val="none"/>
        </w:rPr>
      </w:pPr>
      <w:r>
        <w:rPr>
          <w:rFonts w:hint="eastAsia" w:ascii="宋体" w:hAnsi="Verdana"/>
          <w:b/>
          <w:bCs/>
          <w:sz w:val="24"/>
          <w:szCs w:val="24"/>
          <w:highlight w:val="none"/>
          <w:lang w:val="en-US" w:eastAsia="zh-CN"/>
        </w:rPr>
        <w:t xml:space="preserve">4.1</w:t>
      </w:r>
      <w:r>
        <w:rPr>
          <w:rFonts w:hint="eastAsia" w:ascii="宋体" w:hAnsi="Verdana"/>
          <w:b/>
          <w:bCs/>
          <w:sz w:val="24"/>
          <w:szCs w:val="24"/>
          <w:highlight w:val="none"/>
          <w:lang w:val="zh-CN"/>
        </w:rPr>
        <w:t xml:space="preserve">投标报价：</w:t>
      </w:r>
      <w:r>
        <w:rPr>
          <w:rFonts w:hint="eastAsia" w:ascii="宋体" w:hAnsi="宋体" w:eastAsia="宋体" w:cs="宋体"/>
          <w:sz w:val="24"/>
          <w:szCs w:val="24"/>
          <w:highlight w:val="none"/>
        </w:rPr>
        <w:t xml:space="preserve">是指提供本采购项目货物（服务），并进行安装、验收及售后等相关服务的所有费用。</w:t>
      </w:r>
      <w:r>
        <w:rPr>
          <w:rFonts w:hint="eastAsia" w:ascii="宋体" w:hAnsi="宋体" w:cs="宋体"/>
          <w:sz w:val="24"/>
          <w:szCs w:val="24"/>
          <w:highlight w:val="none"/>
        </w:rPr>
        <w:t xml:space="preserve">报价不能超过采购预算，否则投标无效。</w:t>
      </w:r>
      <w:r/>
    </w:p>
    <w:p>
      <w:pPr>
        <w:ind w:firstLine="482"/>
        <w:rPr>
          <w:rFonts w:hint="eastAsia" w:ascii="宋体" w:hAnsi="宋体" w:eastAsia="宋体"/>
          <w:sz w:val="24"/>
          <w:szCs w:val="24"/>
          <w:highlight w:val="none"/>
        </w:rPr>
      </w:pPr>
      <w:r>
        <w:rPr>
          <w:rFonts w:hint="eastAsia" w:ascii="宋体" w:hAnsi="Verdana"/>
          <w:b/>
          <w:bCs/>
          <w:sz w:val="24"/>
          <w:szCs w:val="24"/>
          <w:highlight w:val="none"/>
          <w:lang w:val="en-US" w:eastAsia="zh-CN"/>
        </w:rPr>
        <w:t xml:space="preserve">4.2</w:t>
      </w:r>
      <w:r>
        <w:rPr>
          <w:rFonts w:hint="eastAsia" w:ascii="宋体" w:hAnsi="Verdana"/>
          <w:b/>
          <w:bCs/>
          <w:sz w:val="24"/>
          <w:szCs w:val="24"/>
          <w:highlight w:val="none"/>
          <w:lang w:val="zh-CN"/>
        </w:rPr>
        <w:t xml:space="preserve">交付时间：</w:t>
      </w:r>
      <w:r>
        <w:rPr>
          <w:rFonts w:hint="eastAsia" w:ascii="宋体" w:hAnsi="宋体" w:eastAsia="宋体"/>
          <w:sz w:val="24"/>
          <w:szCs w:val="24"/>
          <w:highlight w:val="none"/>
        </w:rPr>
        <w:t xml:space="preserve">签订合同后</w:t>
      </w:r>
      <w:r>
        <w:rPr>
          <w:rFonts w:hint="eastAsia" w:ascii="宋体" w:hAnsi="宋体" w:eastAsia="宋体"/>
          <w:sz w:val="24"/>
          <w:szCs w:val="24"/>
          <w:highlight w:val="none"/>
          <w:u w:val="single"/>
        </w:rPr>
        <w:t xml:space="preserve"> 30 </w:t>
      </w:r>
      <w:r>
        <w:rPr>
          <w:rFonts w:hint="eastAsia" w:ascii="宋体" w:hAnsi="宋体" w:eastAsia="宋体"/>
          <w:sz w:val="24"/>
          <w:szCs w:val="24"/>
          <w:highlight w:val="none"/>
        </w:rPr>
        <w:t xml:space="preserve">日历天内完成项目验收，</w:t>
      </w:r>
      <w:r>
        <w:rPr>
          <w:rFonts w:hint="eastAsia" w:ascii="宋体"/>
          <w:sz w:val="24"/>
          <w:szCs w:val="24"/>
          <w:highlight w:val="none"/>
          <w:lang w:val="zh-CN"/>
        </w:rPr>
        <w:t xml:space="preserve">安装调试完毕交付甲方正常使用。</w:t>
      </w:r>
      <w:r/>
    </w:p>
    <w:p>
      <w:pPr>
        <w:pStyle w:val="855"/>
        <w:ind w:firstLine="482"/>
        <w:rPr>
          <w:rFonts w:hint="default" w:ascii="宋体" w:hAnsi="宋体" w:eastAsia="宋体" w:cs="Times New Roman"/>
          <w:sz w:val="24"/>
          <w:szCs w:val="24"/>
          <w:highlight w:val="none"/>
          <w:lang w:val="en-US" w:eastAsia="zh-CN" w:bidi="ar-SA"/>
        </w:rPr>
      </w:pPr>
      <w:r>
        <w:rPr>
          <w:rFonts w:hint="eastAsia" w:ascii="宋体" w:hAnsi="Verdana"/>
          <w:b/>
          <w:bCs/>
          <w:sz w:val="24"/>
          <w:szCs w:val="24"/>
          <w:highlight w:val="none"/>
          <w:lang w:val="en-US" w:eastAsia="zh-CN"/>
        </w:rPr>
        <w:t xml:space="preserve">4.3</w:t>
      </w:r>
      <w:r>
        <w:rPr>
          <w:rFonts w:hint="eastAsia" w:ascii="宋体" w:hAnsi="Verdana" w:cs="Times New Roman"/>
          <w:b/>
          <w:bCs/>
          <w:sz w:val="24"/>
          <w:szCs w:val="24"/>
          <w:highlight w:val="none"/>
          <w:lang w:val="zh-CN"/>
        </w:rPr>
        <w:t xml:space="preserve">交货地点：</w:t>
      </w:r>
      <w:r>
        <w:rPr>
          <w:rFonts w:hint="eastAsia" w:ascii="宋体" w:hAnsi="宋体" w:eastAsia="宋体" w:cs="Times New Roman"/>
          <w:sz w:val="24"/>
          <w:szCs w:val="24"/>
          <w:highlight w:val="none"/>
          <w:lang w:val="en-US" w:eastAsia="zh-CN" w:bidi="ar-SA"/>
        </w:rPr>
        <w:t xml:space="preserve">南京市溧水区洪蓝街道天生桥路518号。</w:t>
      </w:r>
      <w:r/>
    </w:p>
    <w:p>
      <w:pPr>
        <w:ind w:firstLine="482"/>
        <w:jc w:val="left"/>
        <w:rPr>
          <w:rFonts w:hint="eastAsia" w:ascii="宋体" w:hAnsi="宋体" w:eastAsia="宋体"/>
          <w:sz w:val="24"/>
          <w:szCs w:val="24"/>
          <w:highlight w:val="none"/>
        </w:rPr>
      </w:pPr>
      <w:r>
        <w:rPr>
          <w:rFonts w:hint="eastAsia" w:ascii="宋体" w:hAnsi="Verdana"/>
          <w:b/>
          <w:bCs/>
          <w:sz w:val="24"/>
          <w:szCs w:val="24"/>
          <w:highlight w:val="none"/>
          <w:lang w:val="en-US" w:eastAsia="zh-CN"/>
        </w:rPr>
        <w:t xml:space="preserve">4.4</w:t>
      </w:r>
      <w:r>
        <w:rPr>
          <w:rFonts w:hint="eastAsia" w:ascii="宋体" w:hAnsi="Verdana"/>
          <w:b/>
          <w:bCs/>
          <w:sz w:val="24"/>
          <w:szCs w:val="24"/>
          <w:highlight w:val="none"/>
          <w:lang w:val="zh-CN"/>
        </w:rPr>
        <w:t xml:space="preserve">货物安装：</w:t>
      </w:r>
      <w:r>
        <w:rPr>
          <w:rFonts w:hint="eastAsia" w:ascii="宋体" w:hAnsi="宋体" w:eastAsia="宋体"/>
          <w:sz w:val="24"/>
          <w:szCs w:val="24"/>
          <w:highlight w:val="none"/>
        </w:rPr>
        <w:t xml:space="preserve">供货单位</w:t>
      </w:r>
      <w:r>
        <w:rPr>
          <w:rFonts w:hint="eastAsia" w:ascii="宋体"/>
          <w:sz w:val="24"/>
          <w:szCs w:val="24"/>
          <w:highlight w:val="none"/>
          <w:lang w:val="zh-CN"/>
        </w:rPr>
        <w:t xml:space="preserve">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sz w:val="24"/>
          <w:szCs w:val="24"/>
          <w:highlight w:val="none"/>
        </w:rPr>
        <w:t xml:space="preserve">供货单位负责拆封安装调试交付使用。</w:t>
      </w:r>
      <w:r/>
    </w:p>
    <w:p>
      <w:pPr>
        <w:ind w:firstLine="482"/>
        <w:rPr>
          <w:rFonts w:hint="eastAsia" w:ascii="宋体" w:hAnsi="宋体" w:eastAsia="宋体"/>
          <w:sz w:val="24"/>
          <w:szCs w:val="24"/>
          <w:highlight w:val="none"/>
        </w:rPr>
      </w:pPr>
      <w:r>
        <w:rPr>
          <w:rFonts w:hint="eastAsia" w:ascii="宋体" w:hAnsi="Verdana"/>
          <w:b/>
          <w:bCs/>
          <w:sz w:val="24"/>
          <w:szCs w:val="24"/>
          <w:highlight w:val="none"/>
          <w:lang w:val="en-US" w:eastAsia="zh-CN"/>
        </w:rPr>
        <w:t xml:space="preserve">4.5</w:t>
      </w:r>
      <w:r>
        <w:rPr>
          <w:rFonts w:hint="eastAsia" w:ascii="宋体" w:hAnsi="Verdana"/>
          <w:b/>
          <w:bCs/>
          <w:sz w:val="24"/>
          <w:szCs w:val="24"/>
          <w:highlight w:val="none"/>
          <w:lang w:val="zh-CN"/>
        </w:rPr>
        <w:t xml:space="preserve">质保期限：</w:t>
      </w:r>
      <w:r>
        <w:rPr>
          <w:rFonts w:hint="eastAsia" w:ascii="宋体" w:hAnsi="宋体" w:eastAsia="宋体"/>
          <w:sz w:val="24"/>
          <w:szCs w:val="24"/>
          <w:highlight w:val="none"/>
        </w:rPr>
        <w:t xml:space="preserve">自交付验收</w:t>
      </w:r>
      <w:r>
        <w:rPr>
          <w:rFonts w:hint="eastAsia" w:ascii="宋体" w:hAnsi="宋体"/>
          <w:sz w:val="24"/>
          <w:szCs w:val="24"/>
          <w:highlight w:val="none"/>
          <w:lang w:val="en-US" w:eastAsia="zh-CN"/>
        </w:rPr>
        <w:t xml:space="preserve">合格</w:t>
      </w:r>
      <w:r>
        <w:rPr>
          <w:rFonts w:hint="eastAsia" w:ascii="宋体" w:hAnsi="宋体" w:eastAsia="宋体"/>
          <w:sz w:val="24"/>
          <w:szCs w:val="24"/>
          <w:highlight w:val="none"/>
        </w:rPr>
        <w:t xml:space="preserve">之日起，免费质保期 </w:t>
      </w:r>
      <w:r>
        <w:rPr>
          <w:rFonts w:hint="eastAsia" w:ascii="宋体" w:hAnsi="宋体" w:eastAsia="宋体"/>
          <w:sz w:val="24"/>
          <w:szCs w:val="24"/>
          <w:highlight w:val="none"/>
          <w:u w:val="single"/>
        </w:rPr>
        <w:t xml:space="preserve">  2  </w:t>
      </w:r>
      <w:r>
        <w:rPr>
          <w:rFonts w:hint="eastAsia" w:ascii="宋体" w:hAnsi="宋体" w:eastAsia="宋体"/>
          <w:sz w:val="24"/>
          <w:szCs w:val="24"/>
          <w:highlight w:val="none"/>
        </w:rPr>
        <w:t xml:space="preserve">年；</w:t>
      </w:r>
      <w:r/>
    </w:p>
    <w:p>
      <w:pPr>
        <w:ind w:firstLine="482"/>
        <w:rPr>
          <w:rFonts w:hint="eastAsia" w:ascii="宋体" w:hAnsi="宋体" w:eastAsia="宋体" w:cs="宋体"/>
          <w:sz w:val="24"/>
          <w:szCs w:val="24"/>
          <w:highlight w:val="none"/>
        </w:rPr>
      </w:pPr>
      <w:r>
        <w:rPr>
          <w:rFonts w:hint="eastAsia" w:ascii="宋体" w:hAnsi="Verdana"/>
          <w:b/>
          <w:bCs/>
          <w:sz w:val="24"/>
          <w:szCs w:val="24"/>
          <w:highlight w:val="none"/>
          <w:lang w:val="en-US" w:eastAsia="zh-CN"/>
        </w:rPr>
        <w:t xml:space="preserve">4.6</w:t>
      </w:r>
      <w:r>
        <w:rPr>
          <w:rFonts w:hint="eastAsia" w:ascii="宋体" w:hAnsi="Verdana"/>
          <w:b/>
          <w:bCs/>
          <w:sz w:val="24"/>
          <w:szCs w:val="24"/>
          <w:highlight w:val="none"/>
          <w:lang w:val="zh-CN"/>
        </w:rPr>
        <w:t xml:space="preserve">售后服务：</w:t>
      </w:r>
      <w:r>
        <w:rPr>
          <w:rFonts w:hint="eastAsia" w:ascii="宋体" w:hAnsi="宋体" w:eastAsia="宋体"/>
          <w:sz w:val="24"/>
          <w:szCs w:val="24"/>
          <w:highlight w:val="none"/>
        </w:rPr>
        <w:t xml:space="preserve">质保期内，如因产品质量问题出现损坏、变质等问题，成交供应商在接到甲方的通知后，须采取2天内修复、7天内更换等措施进行售后服务保障</w:t>
      </w:r>
      <w:r>
        <w:rPr>
          <w:rFonts w:hint="eastAsia" w:ascii="宋体" w:hAnsi="宋体" w:eastAsia="宋体" w:cs="微软雅黑"/>
          <w:sz w:val="24"/>
          <w:szCs w:val="24"/>
          <w:highlight w:val="none"/>
        </w:rPr>
        <w:t xml:space="preserve">。</w:t>
      </w:r>
      <w:r/>
    </w:p>
    <w:p>
      <w:pPr>
        <w:ind w:firstLine="482"/>
        <w:rPr>
          <w:rFonts w:hint="eastAsia" w:ascii="宋体" w:hAnsi="宋体" w:eastAsia="宋体"/>
          <w:sz w:val="24"/>
          <w:szCs w:val="24"/>
          <w:highlight w:val="none"/>
          <w:lang w:val="zh-CN"/>
        </w:rPr>
      </w:pPr>
      <w:r>
        <w:rPr>
          <w:rFonts w:hint="eastAsia" w:ascii="宋体" w:hAnsi="Verdana"/>
          <w:b/>
          <w:bCs/>
          <w:sz w:val="24"/>
          <w:szCs w:val="24"/>
          <w:highlight w:val="none"/>
          <w:lang w:val="en-US" w:eastAsia="zh-CN"/>
        </w:rPr>
        <w:t xml:space="preserve">4.7</w:t>
      </w:r>
      <w:r>
        <w:rPr>
          <w:rFonts w:hint="eastAsia" w:ascii="宋体"/>
          <w:b/>
          <w:bCs/>
          <w:sz w:val="24"/>
          <w:szCs w:val="24"/>
          <w:highlight w:val="none"/>
          <w:lang w:val="zh-CN"/>
        </w:rPr>
        <w:t xml:space="preserve">合同款支付</w:t>
      </w:r>
      <w:r>
        <w:rPr>
          <w:rFonts w:hint="eastAsia" w:ascii="宋体" w:hAnsi="宋体" w:eastAsia="宋体"/>
          <w:sz w:val="24"/>
          <w:szCs w:val="24"/>
          <w:highlight w:val="none"/>
        </w:rPr>
        <w:t xml:space="preserve">（甲方付款前，乙方开具正式发票）</w:t>
      </w: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t xml:space="preserve">预付款：签订合同后10个工作日内，甲方支付乙方合同金额的</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0%。设备到货后，10个工作日内，甲方支付乙方合同金额的4</w:t>
      </w:r>
      <w:r>
        <w:rPr>
          <w:rFonts w:hint="eastAsia" w:ascii="宋体" w:hAnsi="宋体" w:eastAsia="宋体"/>
          <w:sz w:val="24"/>
          <w:szCs w:val="24"/>
          <w:highlight w:val="none"/>
          <w:lang w:val="en-US" w:eastAsia="zh-CN"/>
        </w:rPr>
        <w:t xml:space="preserve">0</w:t>
      </w:r>
      <w:r>
        <w:rPr>
          <w:rFonts w:hint="eastAsia" w:ascii="宋体" w:hAnsi="宋体" w:eastAsia="宋体"/>
          <w:sz w:val="24"/>
          <w:szCs w:val="24"/>
          <w:highlight w:val="none"/>
        </w:rPr>
        <w:t xml:space="preserve">%。项目完成，验收合格后15个工作日内，甲方支付乙方至结算审定金额的 95%。项目验收合格两年后，经使用方确认产品合格，售后服务符合要求，一个月内支付至结算审定金额的100%。</w:t>
      </w:r>
      <w:r/>
    </w:p>
    <w:p>
      <w:pPr>
        <w:pStyle w:val="857"/>
        <w:ind w:left="0" w:firstLine="480"/>
        <w:rPr>
          <w:rFonts w:hint="eastAsia" w:ascii="宋体" w:hAnsi="宋体" w:cs="宋体"/>
          <w:sz w:val="24"/>
          <w:szCs w:val="24"/>
          <w:highlight w:val="none"/>
        </w:rPr>
      </w:pPr>
      <w:r>
        <w:rPr>
          <w:rFonts w:hint="eastAsia" w:ascii="宋体" w:hAnsi="宋体" w:eastAsia="宋体" w:cs="宋体"/>
          <w:sz w:val="24"/>
          <w:szCs w:val="24"/>
          <w:highlight w:val="none"/>
        </w:rPr>
        <w:t xml:space="preserve">其他：</w:t>
      </w:r>
      <w:r>
        <w:rPr>
          <w:rFonts w:hint="eastAsia" w:ascii="宋体" w:hAnsi="宋体" w:cs="宋体"/>
          <w:sz w:val="24"/>
          <w:szCs w:val="24"/>
          <w:highlight w:val="none"/>
        </w:rPr>
        <w:t xml:space="preserve">成交供应商对本项目不得以任何形式进行分包、转包，如有违反，即被视为违约，将被取消成交资格、终止合同，并承担相应法律责任和赔偿损失。</w:t>
      </w:r>
      <w:r/>
    </w:p>
    <w:p>
      <w:pPr>
        <w:numPr>
          <w:ilvl w:val="0"/>
          <w:numId w:val="12"/>
        </w:numPr>
        <w:rPr>
          <w:rFonts w:hint="eastAsia" w:ascii="宋体" w:hAnsi="宋体"/>
          <w:b/>
          <w:bCs/>
          <w:sz w:val="24"/>
          <w:szCs w:val="24"/>
          <w:highlight w:val="none"/>
          <w:lang w:eastAsia="zh-CN"/>
        </w:rPr>
      </w:pPr>
      <w:r>
        <w:rPr>
          <w:rFonts w:hint="eastAsia" w:ascii="宋体" w:hAnsi="宋体"/>
          <w:b/>
          <w:bCs/>
          <w:sz w:val="24"/>
          <w:szCs w:val="24"/>
          <w:highlight w:val="none"/>
        </w:rPr>
        <w:t xml:space="preserve">样品要求</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采购包1</w:t>
      </w:r>
      <w:r>
        <w:rPr>
          <w:rFonts w:hint="eastAsia" w:ascii="宋体" w:hAnsi="宋体"/>
          <w:b/>
          <w:bCs/>
          <w:sz w:val="24"/>
          <w:szCs w:val="24"/>
          <w:highlight w:val="none"/>
          <w:lang w:eastAsia="zh-CN"/>
        </w:rPr>
        <w:t xml:space="preserve">）</w:t>
      </w:r>
      <w:r/>
    </w:p>
    <w:p>
      <w:pPr>
        <w:ind w:firstLine="480"/>
        <w:rPr>
          <w:rFonts w:hint="eastAsia" w:ascii="宋体" w:hAnsi="宋体" w:cs="宋体"/>
          <w:b/>
          <w:bCs/>
          <w:sz w:val="24"/>
          <w:szCs w:val="24"/>
          <w:highlight w:val="none"/>
          <w:lang w:val="en-US" w:eastAsia="zh-CN"/>
        </w:rPr>
      </w:pPr>
      <w:r>
        <w:rPr>
          <w:rFonts w:hint="eastAsia" w:ascii="宋体" w:hAnsi="宋体" w:cs="宋体"/>
          <w:sz w:val="24"/>
          <w:szCs w:val="24"/>
          <w:highlight w:val="none"/>
          <w:lang w:val="en-US" w:eastAsia="zh-CN"/>
        </w:rPr>
        <w:t xml:space="preserve">5.1</w:t>
      </w:r>
      <w:r>
        <w:rPr>
          <w:rFonts w:hint="eastAsia" w:ascii="宋体" w:hAnsi="宋体" w:eastAsia="宋体" w:cs="宋体"/>
          <w:sz w:val="24"/>
          <w:szCs w:val="24"/>
          <w:highlight w:val="none"/>
          <w:lang w:val="en-US" w:eastAsia="zh-CN"/>
        </w:rPr>
        <w:t xml:space="preserve">投标供应商需按样品清单提供下列样品实物：</w:t>
      </w:r>
      <w:r/>
    </w:p>
    <w:p>
      <w:pPr>
        <w:jc w:val="center"/>
        <w:rPr>
          <w:b/>
          <w:bCs/>
          <w:sz w:val="24"/>
          <w:szCs w:val="24"/>
          <w:highlight w:val="none"/>
        </w:rPr>
      </w:pPr>
      <w:r>
        <w:rPr>
          <w:rFonts w:hint="eastAsia" w:ascii="宋体" w:hAnsi="宋体" w:cs="宋体"/>
          <w:b/>
          <w:bCs/>
          <w:sz w:val="24"/>
          <w:szCs w:val="24"/>
          <w:highlight w:val="none"/>
        </w:rPr>
        <w:t xml:space="preserve">样品清单</w:t>
      </w:r>
      <w:r/>
    </w:p>
    <w:tbl>
      <w:tblPr>
        <w:tblStyle w:val="852"/>
        <w:tblW w:w="4989" w:type="pct"/>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686"/>
        <w:gridCol w:w="3063"/>
        <w:gridCol w:w="1151"/>
        <w:gridCol w:w="4740"/>
      </w:tblGrid>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sz w:val="24"/>
                <w:szCs w:val="24"/>
                <w:highlight w:val="none"/>
              </w:rPr>
            </w:pPr>
            <w:r>
              <w:rPr>
                <w:rFonts w:ascii="宋体" w:hAnsi="宋体" w:cs="宋体"/>
                <w:b/>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sz w:val="24"/>
                <w:szCs w:val="24"/>
                <w:highlight w:val="none"/>
              </w:rPr>
            </w:pPr>
            <w:r>
              <w:rPr>
                <w:rFonts w:ascii="宋体" w:hAnsi="宋体" w:cs="宋体"/>
                <w:b/>
                <w:sz w:val="24"/>
                <w:szCs w:val="24"/>
                <w:highlight w:val="none"/>
              </w:rPr>
              <w:t xml:space="preserve">样品名称</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sz w:val="24"/>
                <w:szCs w:val="24"/>
                <w:highlight w:val="none"/>
              </w:rPr>
            </w:pPr>
            <w:r>
              <w:rPr>
                <w:rFonts w:ascii="宋体" w:hAnsi="宋体" w:cs="宋体"/>
                <w:b/>
                <w:sz w:val="24"/>
                <w:szCs w:val="24"/>
                <w:highlight w:val="none"/>
              </w:rPr>
              <w:t xml:space="preserve">数量/单位</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eastAsia="宋体"/>
                <w:sz w:val="24"/>
                <w:szCs w:val="24"/>
                <w:highlight w:val="none"/>
                <w:lang w:eastAsia="zh-CN"/>
              </w:rPr>
            </w:pPr>
            <w:r>
              <w:rPr>
                <w:rFonts w:ascii="宋体" w:hAnsi="宋体" w:cs="宋体"/>
                <w:b/>
                <w:sz w:val="24"/>
                <w:szCs w:val="24"/>
                <w:highlight w:val="none"/>
              </w:rPr>
              <w:t xml:space="preserve">样品</w:t>
            </w:r>
            <w:r>
              <w:rPr>
                <w:rFonts w:hint="eastAsia" w:ascii="宋体" w:hAnsi="宋体" w:cs="宋体"/>
                <w:b/>
                <w:sz w:val="24"/>
                <w:szCs w:val="24"/>
                <w:highlight w:val="none"/>
              </w:rPr>
              <w:t xml:space="preserve">参考</w:t>
            </w:r>
            <w:r>
              <w:rPr>
                <w:rFonts w:ascii="宋体" w:hAnsi="宋体" w:cs="宋体"/>
                <w:b/>
                <w:sz w:val="24"/>
                <w:szCs w:val="24"/>
                <w:highlight w:val="none"/>
              </w:rPr>
              <w:t xml:space="preserve">规格</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sz w:val="24"/>
                <w:szCs w:val="24"/>
                <w:highlight w:val="none"/>
              </w:rPr>
            </w:pPr>
            <w:r>
              <w:rPr>
                <w:rFonts w:ascii="宋体" w:hAnsi="宋体" w:cs="宋体"/>
                <w:sz w:val="24"/>
                <w:szCs w:val="24"/>
                <w:highlight w:val="none"/>
              </w:rPr>
              <w:t xml:space="preserve">1</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default" w:ascii="宋体" w:hAnsi="宋体" w:eastAsia="宋体"/>
                <w:bCs/>
                <w:sz w:val="24"/>
                <w:szCs w:val="24"/>
                <w:highlight w:val="none"/>
                <w:lang w:val="en-US" w:eastAsia="zh-CN"/>
              </w:rPr>
            </w:pPr>
            <w:r>
              <w:rPr>
                <w:rFonts w:hint="default" w:ascii="宋体" w:hAnsi="宋体" w:eastAsia="宋体"/>
                <w:bCs/>
                <w:sz w:val="24"/>
                <w:szCs w:val="24"/>
                <w:highlight w:val="none"/>
                <w:lang w:val="en-US" w:eastAsia="zh-CN"/>
              </w:rPr>
              <w:t xml:space="preserve">实木多层板</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sz w:val="24"/>
                <w:szCs w:val="24"/>
                <w:highlight w:val="none"/>
              </w:rPr>
            </w:pPr>
            <w:r>
              <w:rPr>
                <w:rFonts w:ascii="宋体" w:hAnsi="宋体" w:cs="宋体"/>
                <w:sz w:val="24"/>
                <w:szCs w:val="24"/>
                <w:highlight w:val="none"/>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eastAsia="宋体"/>
                <w:sz w:val="24"/>
                <w:szCs w:val="24"/>
                <w:highlight w:val="none"/>
                <w:lang w:eastAsia="zh-CN"/>
              </w:rPr>
            </w:pPr>
            <w:r>
              <w:rPr>
                <w:rFonts w:hint="eastAsia" w:eastAsia="宋体"/>
                <w:sz w:val="24"/>
                <w:szCs w:val="24"/>
                <w:highlight w:val="none"/>
                <w:lang w:eastAsia="zh-CN"/>
              </w:rPr>
              <w:t xml:space="preserve">200mm*200mm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海绵</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300mm*300mm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实木框架（实木方）</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500mm*500mm(20mm*50mm,长100mm)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超纤皮</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Times New Roman" w:hAnsi="Times New Roman" w:eastAsia="宋体" w:cs="Times New Roman"/>
                <w:sz w:val="24"/>
                <w:szCs w:val="24"/>
                <w:highlight w:val="none"/>
                <w:lang w:val="en-US" w:eastAsia="zh-CN"/>
              </w:rPr>
            </w:pPr>
            <w:r>
              <w:rPr>
                <w:rFonts w:ascii="宋体" w:hAnsi="宋体" w:cs="宋体"/>
                <w:sz w:val="24"/>
                <w:szCs w:val="24"/>
                <w:highlight w:val="none"/>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300mm*300mm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天然大理石</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200mm*200mm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天然木皮</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300mm*300mm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缓冲铰链</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Times New Roman" w:hAnsi="Times New Roman" w:eastAsia="宋体" w:cs="Times New Roman"/>
                <w:sz w:val="24"/>
                <w:szCs w:val="24"/>
                <w:highlight w:val="none"/>
                <w:lang w:val="en-US" w:eastAsia="zh-CN"/>
              </w:rPr>
            </w:pPr>
            <w:r>
              <w:rPr>
                <w:rFonts w:ascii="宋体" w:hAnsi="宋体" w:cs="宋体"/>
                <w:sz w:val="24"/>
                <w:szCs w:val="24"/>
                <w:highlight w:val="none"/>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常规</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控制台台板</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材质为实木颗粒板双面贴防火胶板，尺寸不低于400mm*300mm*25mm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控制台铝合金型材主体框架</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尺寸不低于240mm*150mm*25mm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压凹散气控制台门板</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尺寸不低于150mm*100mm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控制台灯光控制装置</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both"/>
              <w:spacing w:line="431"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样品至少有带导光板的屏风和灯控面板等完整的装置，可实现变换红、绿、蓝、白四种颜色灯光。屏风应采用组合式结构，前板应采用合金铝型材制作，顶盖板和后背板应采用冷轧镀锌钢板制作</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床头柜</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700</w:t>
            </w:r>
            <w:r>
              <w:rPr>
                <w:rFonts w:hint="eastAsia" w:ascii="宋体" w:hAnsi="宋体"/>
                <w:bCs/>
                <w:sz w:val="24"/>
                <w:szCs w:val="24"/>
                <w:highlight w:val="none"/>
                <w:lang w:val="en-US" w:eastAsia="zh-CN"/>
              </w:rPr>
              <w:t xml:space="preserve">mm*</w:t>
            </w:r>
            <w:r>
              <w:rPr>
                <w:rFonts w:hint="default" w:ascii="宋体" w:hAnsi="宋体"/>
                <w:bCs/>
                <w:sz w:val="24"/>
                <w:szCs w:val="24"/>
                <w:highlight w:val="none"/>
                <w:lang w:val="en-US" w:eastAsia="zh-CN"/>
              </w:rPr>
              <w:t xml:space="preserve">50</w:t>
            </w:r>
            <w:r>
              <w:rPr>
                <w:rFonts w:hint="eastAsia" w:ascii="宋体" w:hAnsi="宋体"/>
                <w:bCs/>
                <w:sz w:val="24"/>
                <w:szCs w:val="24"/>
                <w:highlight w:val="none"/>
                <w:lang w:val="en-US" w:eastAsia="zh-CN"/>
              </w:rPr>
              <w:t xml:space="preserve">0mm*</w:t>
            </w:r>
            <w:r>
              <w:rPr>
                <w:rFonts w:hint="default" w:ascii="宋体" w:hAnsi="宋体"/>
                <w:bCs/>
                <w:sz w:val="24"/>
                <w:szCs w:val="24"/>
                <w:highlight w:val="none"/>
                <w:lang w:val="en-US" w:eastAsia="zh-CN"/>
              </w:rPr>
              <w:t xml:space="preserve">550</w:t>
            </w:r>
            <w:r>
              <w:rPr>
                <w:rFonts w:hint="eastAsia" w:ascii="宋体" w:hAnsi="宋体"/>
                <w:bCs/>
                <w:sz w:val="24"/>
                <w:szCs w:val="24"/>
                <w:highlight w:val="none"/>
                <w:lang w:val="en-US" w:eastAsia="zh-CN"/>
              </w:rPr>
              <w:t xml:space="preserve">mm（参照《需求清单》采购包1序号6）</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会议椅</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常规（参照《需求清单》采购包1序号32）</w:t>
            </w:r>
            <w:r/>
          </w:p>
        </w:tc>
      </w:tr>
    </w:tbl>
    <w:p>
      <w:pPr>
        <w:ind w:firstLine="440"/>
        <w:rPr>
          <w:rFonts w:hint="eastAsia" w:ascii="宋体" w:hAnsi="宋体" w:cs="宋体"/>
          <w:sz w:val="28"/>
          <w:szCs w:val="28"/>
          <w:highlight w:val="none"/>
        </w:rPr>
      </w:pPr>
      <w:r>
        <w:rPr>
          <w:rFonts w:hint="eastAsia" w:ascii="宋体" w:hAnsi="宋体" w:cs="宋体"/>
          <w:sz w:val="28"/>
          <w:szCs w:val="28"/>
          <w:highlight w:val="none"/>
        </w:rPr>
      </w:r>
      <w:r/>
    </w:p>
    <w:p>
      <w:pPr>
        <w:numPr>
          <w:ilvl w:val="0"/>
          <w:numId w:val="0"/>
        </w:num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5.2</w:t>
      </w:r>
      <w:r>
        <w:rPr>
          <w:rFonts w:hint="eastAsia" w:ascii="宋体" w:hAnsi="宋体" w:cs="宋体"/>
          <w:sz w:val="24"/>
          <w:szCs w:val="24"/>
          <w:highlight w:val="none"/>
        </w:rPr>
        <w:t xml:space="preserve">样品要求：</w:t>
      </w:r>
      <w:r/>
    </w:p>
    <w:p>
      <w:pPr>
        <w:numPr>
          <w:ilvl w:val="0"/>
          <w:numId w:val="13"/>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实木多层板：材质均匀细腻，表面平整光滑无瑕疵，结构稳定且不易变形开裂，具有较高的强度和平整度。</w:t>
      </w:r>
      <w:r/>
    </w:p>
    <w:p>
      <w:pPr>
        <w:numPr>
          <w:ilvl w:val="0"/>
          <w:numId w:val="13"/>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海绵：阻燃海绵、压陷比、拉伸强度、干热老化后拉伸强度、湿热老化后拉伸强度符合标准。</w:t>
      </w:r>
      <w:r/>
    </w:p>
    <w:p>
      <w:pPr>
        <w:numPr>
          <w:ilvl w:val="0"/>
          <w:numId w:val="13"/>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实木框架（实木方）：木材纹理细腻均匀，质感温润舒适，表面光滑无毛刺。</w:t>
      </w:r>
      <w:r/>
    </w:p>
    <w:p>
      <w:pPr>
        <w:numPr>
          <w:ilvl w:val="0"/>
          <w:numId w:val="13"/>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超纤皮：柔软手感好，不掉色、抗污、透气性强、色牢度高，美观大方，耐磨损，无甲醛含量。</w:t>
      </w:r>
      <w:r/>
    </w:p>
    <w:p>
      <w:pPr>
        <w:numPr>
          <w:ilvl w:val="0"/>
          <w:numId w:val="13"/>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天然大理石：色泽一致，无明显色差，台面光滑平整、无波纹、方料痕、刮痕、裂纹，表面耐磨、耐热、耐污染，符合国家标准的环境卫生要求。</w:t>
      </w:r>
      <w:r/>
    </w:p>
    <w:p>
      <w:pPr>
        <w:numPr>
          <w:ilvl w:val="0"/>
          <w:numId w:val="13"/>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天然木皮：应具备自然独特的纹理、温润真实的质感、均匀协调的色泽，以及良好的物理性能和环保特性。</w:t>
      </w:r>
      <w:r/>
    </w:p>
    <w:p>
      <w:pPr>
        <w:numPr>
          <w:ilvl w:val="0"/>
          <w:numId w:val="13"/>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缓冲铰链：品质优良、开合回弹顺畅，安全稳定，经久耐用。</w:t>
      </w:r>
      <w:r/>
    </w:p>
    <w:p>
      <w:pPr>
        <w:numPr>
          <w:ilvl w:val="0"/>
          <w:numId w:val="13"/>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控制台台板：材质均匀细腻，表面平整光滑无瑕疵，结构稳定且不易变形开裂，具有较高的强度和平整度。</w:t>
      </w:r>
      <w:r/>
    </w:p>
    <w:p>
      <w:pPr>
        <w:numPr>
          <w:ilvl w:val="0"/>
          <w:numId w:val="13"/>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控制台铝合金型材主体框架：材质均匀细腻，</w:t>
      </w:r>
      <w:r>
        <w:rPr>
          <w:rFonts w:hint="eastAsia" w:ascii="宋体" w:hAnsi="宋体" w:cs="宋体"/>
          <w:sz w:val="24"/>
          <w:szCs w:val="24"/>
          <w:highlight w:val="none"/>
          <w:lang w:val="en-US" w:eastAsia="zh-CN"/>
        </w:rPr>
        <w:t xml:space="preserve">表面平整光滑无瑕疵，抗腐蚀，耐磨损</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压凹散气控制台门板：材质均匀细腻，表面平整光滑无瑕疵，结构稳定且不易变形开裂，具有较高的强度和平整度。</w:t>
      </w:r>
      <w:r/>
    </w:p>
    <w:p>
      <w:pPr>
        <w:numPr>
          <w:ilvl w:val="0"/>
          <w:numId w:val="0"/>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lang w:eastAsia="zh-CN"/>
        </w:rPr>
        <w:t xml:space="preserve">控制台灯光控制装置：可实现变换红、绿、蓝、白四种颜色灯光警示信号，安全稳定，经久耐用。</w:t>
      </w:r>
      <w:r/>
    </w:p>
    <w:p>
      <w:pPr>
        <w:numPr>
          <w:ilvl w:val="0"/>
          <w:numId w:val="0"/>
        </w:numPr>
        <w:ind w:firstLine="480"/>
        <w:keepLines w:val="0"/>
        <w:keepNext w:val="0"/>
        <w:pageBreakBefore w:val="0"/>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床头柜：采用ENF级实木多层板基材，三底三面烤漆工艺，实木封边，配套阻尼五金，石英石无缝台面，板材经防虫防腐防水处理，具备防水耐磨、耐酸碱易清洁性能。</w:t>
      </w:r>
      <w:r/>
    </w:p>
    <w:p>
      <w:pPr>
        <w:numPr>
          <w:ilvl w:val="0"/>
          <w:numId w:val="0"/>
        </w:numPr>
        <w:ind w:firstLine="480"/>
        <w:keepLines w:val="0"/>
        <w:keepNext w:val="0"/>
        <w:pageBreakBefore w:val="0"/>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（13）会议椅：面料为无甲醛环保超纤皮，耐磨透气；高密度PU海绵达标环保；实木框架经防腐防虫处理，榫卯结构稳固；采用环保漆，漆膜耐磨耐黄变。</w:t>
      </w:r>
      <w:r/>
    </w:p>
    <w:p>
      <w:p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5.3</w:t>
      </w:r>
      <w:r>
        <w:rPr>
          <w:rFonts w:hint="eastAsia" w:ascii="宋体" w:hAnsi="宋体" w:cs="宋体"/>
          <w:sz w:val="24"/>
          <w:szCs w:val="24"/>
          <w:highlight w:val="none"/>
        </w:rPr>
        <w:t xml:space="preserve">样品递交时间及相关注意事项：</w:t>
      </w:r>
      <w:r/>
    </w:p>
    <w:p>
      <w:pPr>
        <w:numPr>
          <w:ilvl w:val="0"/>
          <w:numId w:val="14"/>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样品交付地点：江苏省南京市鼓楼区郑和中路118号D栋。样品交付时间：2026年</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lang w:eastAsia="zh-CN"/>
        </w:rPr>
        <w:t xml:space="preserve">月</w:t>
      </w: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lang w:eastAsia="zh-CN"/>
        </w:rPr>
        <w:t xml:space="preserve">日，逾期不予接受。联系人：储茜，电话18114462183。</w:t>
      </w:r>
      <w:r/>
    </w:p>
    <w:p>
      <w:pPr>
        <w:numPr>
          <w:ilvl w:val="0"/>
          <w:numId w:val="14"/>
        </w:num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投标供应商递交样品时应服从现场工作人员要求，按要求递交样品并签到，不得翻看他人样品及进行拍照，投标人如出现违法违规行为的，视为未提交样品并按照相应法律追究责任。</w:t>
      </w:r>
      <w:r/>
    </w:p>
    <w:p>
      <w:pPr>
        <w:numPr>
          <w:ilvl w:val="0"/>
          <w:numId w:val="14"/>
        </w:num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供应商提交的样品不得含有供应商名称。</w:t>
      </w:r>
      <w:r/>
    </w:p>
    <w:p>
      <w:pPr>
        <w:numPr>
          <w:ilvl w:val="0"/>
          <w:numId w:val="0"/>
        </w:num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numPr>
          <w:ilvl w:val="0"/>
          <w:numId w:val="14"/>
        </w:num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rPr>
        <w:t xml:space="preserve">中标（成交）供应商递交的样品由采购人负责保管、封存并作为履约验收的依据，不再退还中标（成交）供应商。未中标（成交）供应商递交的样品在采购结果公告期结束后5个工作日内，由</w:t>
      </w:r>
      <w:r>
        <w:rPr>
          <w:rFonts w:hint="eastAsia" w:ascii="宋体" w:hAnsi="宋体" w:cs="宋体"/>
          <w:sz w:val="24"/>
          <w:szCs w:val="24"/>
          <w:highlight w:val="none"/>
          <w:lang w:val="en-US" w:eastAsia="zh-CN"/>
        </w:rPr>
        <w:t xml:space="preserve">代理机构</w:t>
      </w:r>
      <w:r>
        <w:rPr>
          <w:rFonts w:hint="eastAsia" w:ascii="宋体" w:hAnsi="宋体" w:cs="宋体"/>
          <w:sz w:val="24"/>
          <w:szCs w:val="24"/>
          <w:highlight w:val="none"/>
        </w:rPr>
        <w:t xml:space="preserve">通知未中标（成交）供应商自行取回，逾期未取回，视同供应商放弃样品所有权，由采购人自行处置。</w:t>
      </w:r>
      <w:r/>
    </w:p>
    <w:p>
      <w:pPr>
        <w:pStyle w:val="1172"/>
        <w:spacing w:beforeAutospacing="0" w:afterAutospacing="0" w:line="460" w:lineRule="exact"/>
        <w:rPr>
          <w:rFonts w:hint="default" w:ascii="方正仿宋_GBK" w:hAnsi="方正仿宋_GBK" w:eastAsia="方正仿宋_GBK" w:cs="方正仿宋_GBK"/>
          <w:bCs/>
          <w:sz w:val="28"/>
          <w:szCs w:val="28"/>
          <w:highlight w:val="none"/>
          <w:lang w:val="en-US" w:eastAsia="zh-CN"/>
        </w:rPr>
      </w:pPr>
      <w:r>
        <w:rPr>
          <w:rFonts w:hint="default" w:ascii="方正仿宋_GBK" w:hAnsi="方正仿宋_GBK" w:eastAsia="方正仿宋_GBK" w:cs="方正仿宋_GBK"/>
          <w:bCs/>
          <w:sz w:val="28"/>
          <w:szCs w:val="28"/>
          <w:highlight w:val="none"/>
          <w:lang w:val="en-US" w:eastAsia="zh-CN"/>
        </w:rPr>
      </w:r>
      <w:r/>
    </w:p>
    <w:p>
      <w:pPr>
        <w:jc w:val="both"/>
        <w:spacing w:line="360" w:lineRule="auto"/>
        <w:rPr>
          <w:rFonts w:hint="default" w:ascii="宋体" w:hAnsi="宋体" w:cs="宋体"/>
          <w:b/>
          <w:bCs/>
          <w:sz w:val="24"/>
          <w:szCs w:val="24"/>
          <w:highlight w:val="none"/>
          <w:lang w:val="en-US" w:eastAsia="zh-CN" w:bidi="ar-SA"/>
        </w:rPr>
        <w:outlineLvl w:val="1"/>
      </w:pPr>
      <w:r/>
      <w:bookmarkStart w:id="284" w:name="_Toc26036"/>
      <w:r>
        <w:rPr>
          <w:rFonts w:hint="eastAsia" w:ascii="宋体" w:hAnsi="宋体" w:cs="宋体"/>
          <w:b/>
          <w:bCs/>
          <w:sz w:val="24"/>
          <w:szCs w:val="24"/>
          <w:highlight w:val="none"/>
          <w:lang w:val="en-US" w:eastAsia="zh-CN" w:bidi="ar-SA"/>
        </w:rPr>
        <w:t xml:space="preserve">五、商务及技术要求（采购包2）</w:t>
      </w:r>
      <w:bookmarkEnd w:id="284"/>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、项目概况</w:t>
      </w:r>
      <w:r/>
    </w:p>
    <w:p>
      <w:pPr>
        <w:ind w:firstLine="480"/>
        <w:jc w:val="left"/>
        <w:spacing w:line="300" w:lineRule="exact"/>
        <w:tabs>
          <w:tab w:val="left" w:pos="142"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江苏省人民检察院</w:t>
      </w:r>
      <w:r>
        <w:rPr>
          <w:rFonts w:hint="eastAsia" w:ascii="宋体" w:hAnsi="宋体" w:eastAsia="宋体" w:cs="宋体"/>
          <w:sz w:val="24"/>
          <w:szCs w:val="24"/>
          <w:highlight w:val="none"/>
        </w:rPr>
        <w:t xml:space="preserve">拟</w:t>
      </w:r>
      <w:r>
        <w:rPr>
          <w:rFonts w:hint="eastAsia" w:ascii="宋体" w:hAnsi="宋体" w:eastAsia="宋体" w:cs="宋体"/>
          <w:sz w:val="24"/>
          <w:szCs w:val="24"/>
          <w:highlight w:val="none"/>
          <w:lang w:val="en-US" w:eastAsia="zh-CN"/>
        </w:rPr>
        <w:t xml:space="preserve">建设天生桥侦查指挥中心实验室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需采购一批定制</w:t>
      </w:r>
      <w:r>
        <w:rPr>
          <w:rFonts w:hint="eastAsia" w:ascii="宋体" w:hAnsi="宋体" w:eastAsia="宋体" w:cs="宋体"/>
          <w:sz w:val="24"/>
          <w:szCs w:val="24"/>
          <w:highlight w:val="none"/>
          <w:lang w:eastAsia="zh-CN"/>
        </w:rPr>
        <w:t xml:space="preserve">家具</w:t>
      </w:r>
      <w:r>
        <w:rPr>
          <w:rFonts w:hint="eastAsia" w:ascii="宋体" w:hAnsi="宋体" w:eastAsia="宋体" w:cs="宋体"/>
          <w:sz w:val="24"/>
          <w:szCs w:val="24"/>
          <w:highlight w:val="none"/>
        </w:rPr>
        <w:t xml:space="preserve">，邀请有能力的供应商参与。项目预算 </w:t>
      </w:r>
      <w:r>
        <w:rPr>
          <w:rFonts w:hint="eastAsia" w:ascii="宋体" w:hAnsi="宋体" w:cs="宋体"/>
          <w:sz w:val="24"/>
          <w:szCs w:val="24"/>
          <w:highlight w:val="none"/>
          <w:lang w:val="en-US" w:eastAsia="zh-CN"/>
        </w:rPr>
        <w:t xml:space="preserve">95</w:t>
      </w:r>
      <w:r>
        <w:rPr>
          <w:rFonts w:hint="eastAsia" w:ascii="宋体" w:hAnsi="宋体" w:eastAsia="宋体" w:cs="宋体"/>
          <w:sz w:val="24"/>
          <w:szCs w:val="24"/>
          <w:highlight w:val="none"/>
        </w:rPr>
        <w:t xml:space="preserve">万元。</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、采购清单</w:t>
      </w:r>
      <w:r/>
    </w:p>
    <w:p>
      <w:pPr>
        <w:ind w:firstLine="480"/>
        <w:jc w:val="left"/>
        <w:spacing w:line="300" w:lineRule="exact"/>
        <w:tabs>
          <w:tab w:val="left" w:pos="142"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详见《需求清单》采购包2</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备注：清单中家具款式、尺寸、颜色、材质均以实际需要为准，涉及变动在成交价范围内调整，总成交价不作变动。</w:t>
      </w:r>
      <w:r>
        <w:rPr>
          <w:rFonts w:hint="eastAsia"/>
          <w:sz w:val="24"/>
          <w:szCs w:val="24"/>
          <w:highlight w:val="none"/>
        </w:rPr>
        <w:t xml:space="preserve">本采购文件所引用的相关标准、规范，如有关机构发布最新版本的，以最新版本为准。</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2.1技术指标响应。</w:t>
      </w:r>
      <w:r>
        <w:rPr>
          <w:rFonts w:hint="eastAsia" w:ascii="宋体" w:hAnsi="宋体" w:eastAsia="宋体" w:cs="宋体"/>
          <w:color w:val="auto"/>
          <w:sz w:val="24"/>
          <w:szCs w:val="24"/>
          <w:highlight w:val="none"/>
          <w:lang w:eastAsia="zh-CN"/>
        </w:rPr>
        <w:t xml:space="preserve">由评标委员会根据《报价明细表》《</w:t>
      </w:r>
      <w:r>
        <w:rPr>
          <w:rFonts w:hint="eastAsia" w:ascii="宋体" w:hAnsi="宋体" w:cs="宋体"/>
          <w:color w:val="auto"/>
          <w:sz w:val="24"/>
          <w:szCs w:val="24"/>
          <w:highlight w:val="none"/>
          <w:lang w:eastAsia="zh-CN"/>
        </w:rPr>
        <w:t xml:space="preserve">技术</w:t>
      </w:r>
      <w:r>
        <w:rPr>
          <w:rFonts w:hint="eastAsia" w:ascii="宋体" w:hAnsi="宋体" w:cs="宋体"/>
          <w:color w:val="auto"/>
          <w:sz w:val="24"/>
          <w:szCs w:val="24"/>
          <w:highlight w:val="none"/>
          <w:lang w:val="en-US" w:eastAsia="zh-CN"/>
        </w:rPr>
        <w:t xml:space="preserve">要求响应</w:t>
      </w:r>
      <w:r>
        <w:rPr>
          <w:rFonts w:hint="eastAsia" w:ascii="宋体" w:hAnsi="宋体" w:cs="宋体"/>
          <w:color w:val="auto"/>
          <w:sz w:val="24"/>
          <w:szCs w:val="24"/>
          <w:highlight w:val="none"/>
          <w:lang w:eastAsia="zh-CN"/>
        </w:rPr>
        <w:t xml:space="preserve">表</w:t>
      </w:r>
      <w:r>
        <w:rPr>
          <w:rFonts w:hint="eastAsia" w:ascii="宋体" w:hAnsi="宋体" w:eastAsia="宋体" w:cs="宋体"/>
          <w:color w:val="auto"/>
          <w:sz w:val="24"/>
          <w:szCs w:val="24"/>
          <w:highlight w:val="none"/>
          <w:lang w:eastAsia="zh-CN"/>
        </w:rPr>
        <w:t xml:space="preserve">》等响应情况进行打分，完全响应招标文件技术参数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要求</w:t>
      </w:r>
      <w:r>
        <w:rPr>
          <w:rFonts w:hint="eastAsia" w:ascii="宋体" w:hAnsi="宋体" w:cs="宋体"/>
          <w:color w:val="auto"/>
          <w:sz w:val="24"/>
          <w:szCs w:val="24"/>
          <w:highlight w:val="none"/>
          <w:lang w:val="en-US" w:eastAsia="zh-CN"/>
        </w:rPr>
        <w:t xml:space="preserve">得满分</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2.2项目实施方案。</w:t>
      </w:r>
      <w:r>
        <w:rPr>
          <w:rFonts w:hint="eastAsia" w:ascii="宋体" w:hAnsi="宋体" w:eastAsia="宋体" w:cs="宋体"/>
          <w:color w:val="auto"/>
          <w:sz w:val="24"/>
          <w:szCs w:val="24"/>
          <w:highlight w:val="none"/>
          <w:lang w:eastAsia="zh-CN"/>
        </w:rPr>
        <w:t xml:space="preserve">根据投标人对本项目的总体认识、组织部署、技术方案、质量保证措施、时间进度安排、安装及验收方案的合理性、科学性等进行比较评分。</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2.3深化设计方案。</w:t>
      </w:r>
      <w:r>
        <w:rPr>
          <w:rFonts w:hint="eastAsia" w:ascii="宋体" w:hAnsi="宋体" w:eastAsia="宋体" w:cs="宋体"/>
          <w:color w:val="auto"/>
          <w:sz w:val="24"/>
          <w:szCs w:val="24"/>
          <w:highlight w:val="none"/>
          <w:lang w:eastAsia="zh-CN"/>
        </w:rPr>
        <w:t xml:space="preserve">根据投标人须提供的效果图、结构图，其设计完整规范、布局合理、契合本项目要求的情况进行比较评分。</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2.4售后服务响应。</w:t>
      </w:r>
      <w:r>
        <w:rPr>
          <w:rFonts w:hint="eastAsia" w:ascii="宋体" w:hAnsi="宋体" w:eastAsia="宋体" w:cs="宋体"/>
          <w:color w:val="auto"/>
          <w:sz w:val="24"/>
          <w:szCs w:val="24"/>
          <w:highlight w:val="none"/>
          <w:lang w:eastAsia="zh-CN"/>
        </w:rPr>
        <w:t xml:space="preserve">根据投标文件中有关服务承诺说明进行评分，包括投标人自身及所投品牌原厂响应标准、备件体系、质保维修方案、售后服务体系、服务范围、响应时间、故障解决方案、应急处理方案、专业技术人员保障等评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、项目实施要求</w:t>
      </w:r>
      <w:r/>
    </w:p>
    <w:p>
      <w:pPr>
        <w:pStyle w:val="857"/>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深化设计：</w:t>
      </w:r>
      <w:r/>
    </w:p>
    <w:p>
      <w:pPr>
        <w:pStyle w:val="857"/>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（1）投标人须提供效果图，要求完整规范、布局合理、契合本项目的要求；</w:t>
      </w:r>
      <w:r/>
    </w:p>
    <w:p>
      <w:pPr>
        <w:pStyle w:val="857"/>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（2）投标人须提供结构图，要求完整规范、结构牢固稳定、契合本项目要求；</w:t>
      </w:r>
      <w:r/>
    </w:p>
    <w:p>
      <w:pPr>
        <w:pStyle w:val="857"/>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安装：</w:t>
      </w:r>
      <w:r/>
    </w:p>
    <w:p>
      <w:pPr>
        <w:pStyle w:val="857"/>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成交供应商负责将货物按签订合同的具体数量、具体地点免费运送到最终目的地，并负责安装。经最终验收合格后，交付采购人使用。成交供应商应严格按照响应文件中提供的安装设计方案和进度计划表进行施工组织，并服从采购人的安排。</w:t>
      </w:r>
      <w:r/>
    </w:p>
    <w:p>
      <w:pPr>
        <w:pStyle w:val="857"/>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验收标准及方法：</w:t>
      </w:r>
      <w:r/>
    </w:p>
    <w:p>
      <w:pPr>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lang w:eastAsia="zh-CN"/>
        </w:rPr>
        <w:t xml:space="preserve">家具</w:t>
      </w:r>
      <w:r>
        <w:rPr>
          <w:rFonts w:hint="eastAsia" w:ascii="宋体" w:hAnsi="宋体" w:eastAsia="宋体" w:cs="宋体"/>
          <w:sz w:val="24"/>
          <w:szCs w:val="24"/>
          <w:highlight w:val="none"/>
        </w:rPr>
        <w:t xml:space="preserve">的甲醛、</w:t>
      </w:r>
      <w:r>
        <w:rPr>
          <w:rFonts w:hint="eastAsia" w:ascii="宋体" w:hAnsi="宋体" w:eastAsia="宋体" w:cs="宋体"/>
          <w:sz w:val="24"/>
          <w:szCs w:val="24"/>
          <w:highlight w:val="none"/>
        </w:rPr>
        <w:t xml:space="preserve">苯、甲苯、二甲苯、铅、铬、镉、汞等有害物质含量必须达到国家相关标准规定，符合环保节能</w:t>
      </w:r>
      <w:r>
        <w:rPr>
          <w:rFonts w:hint="eastAsia" w:ascii="宋体" w:hAnsi="宋体" w:eastAsia="宋体" w:cs="宋体"/>
          <w:sz w:val="24"/>
          <w:szCs w:val="24"/>
          <w:highlight w:val="none"/>
          <w:lang w:eastAsia="zh-CN"/>
        </w:rPr>
        <w:t xml:space="preserve">产品</w:t>
      </w:r>
      <w:r>
        <w:rPr>
          <w:rFonts w:hint="eastAsia" w:ascii="宋体" w:hAnsi="宋体" w:eastAsia="宋体" w:cs="宋体"/>
          <w:sz w:val="24"/>
          <w:szCs w:val="24"/>
          <w:highlight w:val="none"/>
        </w:rPr>
        <w:t xml:space="preserve">相关标准。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（2）成交供应商应保证货物到达采购人所在地完好无损，如有缺漏、损坏，由成交供应商负责调换、补齐或赔偿。</w:t>
      </w:r>
      <w:r/>
    </w:p>
    <w:p>
      <w:pPr>
        <w:pStyle w:val="1181"/>
        <w:ind w:firstLine="420"/>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（3）成交供应商自检完成后，成交供应商与采购人按采购文件以及合同相关条款要求一同对货物进行验收，并最终签字确认。</w:t>
      </w:r>
      <w:r/>
    </w:p>
    <w:p>
      <w:pPr>
        <w:pStyle w:val="855"/>
        <w:spacing w:befor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、商务要求</w:t>
      </w:r>
      <w:r/>
    </w:p>
    <w:p>
      <w:pPr>
        <w:ind w:firstLine="482"/>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bidi="ar-SA"/>
        </w:rPr>
        <w:t xml:space="preserve">4.1</w:t>
      </w:r>
      <w:r>
        <w:rPr>
          <w:rFonts w:hint="eastAsia" w:ascii="宋体" w:hAnsi="宋体" w:eastAsia="宋体" w:cs="宋体"/>
          <w:b/>
          <w:bCs/>
          <w:sz w:val="24"/>
          <w:szCs w:val="24"/>
          <w:highlight w:val="none"/>
          <w:lang w:val="zh-CN" w:eastAsia="zh-CN" w:bidi="ar-SA"/>
        </w:rPr>
        <w:t xml:space="preserve">投标报价：</w:t>
      </w:r>
      <w:r>
        <w:rPr>
          <w:rFonts w:hint="eastAsia" w:ascii="宋体" w:hAnsi="宋体" w:eastAsia="宋体" w:cs="宋体"/>
          <w:sz w:val="24"/>
          <w:szCs w:val="24"/>
          <w:highlight w:val="none"/>
        </w:rPr>
        <w:t xml:space="preserve">是指提供本采购项目货物（服务），并进行安装、验收及售后等相关服务的所有费用。报价不能超过采购预算，否则投标无效。</w:t>
      </w:r>
      <w:r/>
    </w:p>
    <w:p>
      <w:pPr>
        <w:ind w:firstLine="482"/>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bidi="ar-SA"/>
        </w:rPr>
        <w:t xml:space="preserve">4.2</w:t>
      </w:r>
      <w:r>
        <w:rPr>
          <w:rFonts w:hint="eastAsia" w:ascii="宋体" w:hAnsi="宋体" w:eastAsia="宋体" w:cs="宋体"/>
          <w:b/>
          <w:bCs/>
          <w:sz w:val="24"/>
          <w:szCs w:val="24"/>
          <w:highlight w:val="none"/>
          <w:lang w:val="zh-CN" w:eastAsia="zh-CN" w:bidi="ar-SA"/>
        </w:rPr>
        <w:t xml:space="preserve">交付时间：</w:t>
      </w:r>
      <w:r>
        <w:rPr>
          <w:rFonts w:hint="eastAsia" w:ascii="宋体" w:hAnsi="宋体" w:eastAsia="宋体" w:cs="宋体"/>
          <w:color w:val="auto"/>
          <w:sz w:val="24"/>
          <w:szCs w:val="24"/>
          <w:highlight w:val="none"/>
        </w:rPr>
        <w:t xml:space="preserve">签订合同后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日历天内</w:t>
      </w:r>
      <w:r>
        <w:rPr>
          <w:rFonts w:hint="eastAsia" w:ascii="宋体" w:hAnsi="宋体" w:eastAsia="宋体" w:cs="宋体"/>
          <w:sz w:val="24"/>
          <w:szCs w:val="24"/>
          <w:highlight w:val="none"/>
        </w:rPr>
        <w:t xml:space="preserve">完成项目验收，</w:t>
      </w:r>
      <w:r>
        <w:rPr>
          <w:rFonts w:hint="eastAsia" w:ascii="宋体" w:hAnsi="宋体" w:eastAsia="宋体" w:cs="宋体"/>
          <w:sz w:val="24"/>
          <w:szCs w:val="24"/>
          <w:highlight w:val="none"/>
          <w:lang w:val="zh-CN"/>
        </w:rPr>
        <w:t xml:space="preserve">安装调试完毕交付甲方正常使用。</w:t>
      </w:r>
      <w:r/>
    </w:p>
    <w:p>
      <w:pPr>
        <w:pStyle w:val="855"/>
        <w:ind w:firstLine="482"/>
        <w:spacing w:before="0"/>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4.3</w:t>
      </w:r>
      <w:r>
        <w:rPr>
          <w:rFonts w:hint="eastAsia" w:ascii="宋体" w:hAnsi="宋体" w:eastAsia="宋体" w:cs="宋体"/>
          <w:b/>
          <w:bCs/>
          <w:sz w:val="24"/>
          <w:szCs w:val="24"/>
          <w:highlight w:val="none"/>
          <w:lang w:val="zh-CN" w:eastAsia="zh-CN" w:bidi="ar-SA"/>
        </w:rPr>
        <w:t xml:space="preserve">交货地点：</w:t>
      </w:r>
      <w:r>
        <w:rPr>
          <w:rFonts w:hint="eastAsia" w:ascii="宋体" w:hAnsi="宋体" w:eastAsia="宋体" w:cs="宋体"/>
          <w:sz w:val="24"/>
          <w:szCs w:val="24"/>
          <w:highlight w:val="none"/>
          <w:lang w:val="en-US" w:eastAsia="zh-CN" w:bidi="ar-SA"/>
        </w:rPr>
        <w:t xml:space="preserve">南京市溧水区洪蓝街道天生桥路518号。</w:t>
      </w:r>
      <w:r/>
    </w:p>
    <w:p>
      <w:pPr>
        <w:ind w:firstLine="482"/>
        <w:jc w:val="lef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bidi="ar-SA"/>
        </w:rPr>
        <w:t xml:space="preserve">4.4</w:t>
      </w:r>
      <w:r>
        <w:rPr>
          <w:rFonts w:hint="eastAsia" w:ascii="宋体" w:hAnsi="宋体" w:eastAsia="宋体" w:cs="宋体"/>
          <w:b/>
          <w:bCs/>
          <w:sz w:val="24"/>
          <w:szCs w:val="24"/>
          <w:highlight w:val="none"/>
          <w:lang w:val="zh-CN" w:eastAsia="zh-CN" w:bidi="ar-SA"/>
        </w:rPr>
        <w:t xml:space="preserve">货物安装：</w:t>
      </w:r>
      <w:r>
        <w:rPr>
          <w:rFonts w:hint="eastAsia" w:ascii="宋体" w:hAnsi="宋体" w:eastAsia="宋体" w:cs="宋体"/>
          <w:sz w:val="24"/>
          <w:szCs w:val="24"/>
          <w:highlight w:val="none"/>
          <w:lang w:eastAsia="zh-CN"/>
        </w:rPr>
        <w:t xml:space="preserve">供货单位</w:t>
      </w:r>
      <w:r>
        <w:rPr>
          <w:rFonts w:hint="eastAsia" w:ascii="宋体" w:hAnsi="宋体" w:eastAsia="宋体" w:cs="宋体"/>
          <w:sz w:val="24"/>
          <w:szCs w:val="24"/>
          <w:highlight w:val="none"/>
          <w:lang w:val="zh-CN"/>
        </w:rPr>
        <w:t xml:space="preserve">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sz w:val="24"/>
          <w:szCs w:val="24"/>
          <w:highlight w:val="none"/>
          <w:lang w:eastAsia="zh-CN"/>
        </w:rPr>
        <w:t xml:space="preserve">供货单位负责拆封安装调试交付使用。</w:t>
      </w:r>
      <w:r/>
    </w:p>
    <w:p>
      <w:pPr>
        <w:ind w:firstLine="482"/>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bidi="ar-SA"/>
        </w:rPr>
        <w:t xml:space="preserve">4.5</w:t>
      </w:r>
      <w:r>
        <w:rPr>
          <w:rFonts w:hint="eastAsia" w:ascii="宋体" w:hAnsi="宋体" w:eastAsia="宋体" w:cs="宋体"/>
          <w:b/>
          <w:bCs/>
          <w:sz w:val="24"/>
          <w:szCs w:val="24"/>
          <w:highlight w:val="none"/>
          <w:lang w:val="zh-CN" w:eastAsia="zh-CN" w:bidi="ar-SA"/>
        </w:rPr>
        <w:t xml:space="preserve">质保期限：</w:t>
      </w:r>
      <w:r>
        <w:rPr>
          <w:rFonts w:hint="eastAsia" w:ascii="宋体" w:hAnsi="宋体" w:eastAsia="宋体"/>
          <w:sz w:val="24"/>
          <w:szCs w:val="24"/>
          <w:highlight w:val="none"/>
        </w:rPr>
        <w:t xml:space="preserve">自交付验收</w:t>
      </w:r>
      <w:r>
        <w:rPr>
          <w:rFonts w:hint="eastAsia" w:ascii="宋体" w:hAnsi="宋体"/>
          <w:sz w:val="24"/>
          <w:szCs w:val="24"/>
          <w:highlight w:val="none"/>
          <w:lang w:val="en-US" w:eastAsia="zh-CN"/>
        </w:rPr>
        <w:t xml:space="preserve">合格</w:t>
      </w:r>
      <w:r>
        <w:rPr>
          <w:rFonts w:hint="eastAsia" w:ascii="宋体" w:hAnsi="宋体" w:eastAsia="宋体" w:cs="宋体"/>
          <w:sz w:val="24"/>
          <w:szCs w:val="24"/>
          <w:highlight w:val="none"/>
        </w:rPr>
        <w:t xml:space="preserve">之日起，免费质保期</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rPr>
        <w:t xml:space="preserve">年；</w:t>
      </w:r>
      <w:r/>
    </w:p>
    <w:p>
      <w:pPr>
        <w:ind w:firstLine="482"/>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bidi="ar-SA"/>
        </w:rPr>
        <w:t xml:space="preserve">4.6</w:t>
      </w:r>
      <w:r>
        <w:rPr>
          <w:rFonts w:hint="eastAsia" w:ascii="宋体" w:hAnsi="宋体" w:eastAsia="宋体" w:cs="宋体"/>
          <w:b/>
          <w:bCs/>
          <w:sz w:val="24"/>
          <w:szCs w:val="24"/>
          <w:highlight w:val="none"/>
          <w:lang w:val="zh-CN" w:eastAsia="zh-CN" w:bidi="ar-SA"/>
        </w:rPr>
        <w:t xml:space="preserve">售后服务：</w:t>
      </w:r>
      <w:r>
        <w:rPr>
          <w:rFonts w:hint="eastAsia" w:ascii="宋体" w:hAnsi="宋体" w:eastAsia="宋体" w:cs="宋体"/>
          <w:sz w:val="24"/>
          <w:szCs w:val="24"/>
          <w:highlight w:val="none"/>
        </w:rPr>
        <w:t xml:space="preserve">质保期内，</w:t>
      </w:r>
      <w:r>
        <w:rPr>
          <w:rFonts w:hint="eastAsia" w:ascii="宋体" w:hAnsi="宋体" w:eastAsia="宋体" w:cs="宋体"/>
          <w:sz w:val="24"/>
          <w:szCs w:val="24"/>
          <w:highlight w:val="none"/>
          <w:lang w:eastAsia="zh-CN"/>
        </w:rPr>
        <w:t xml:space="preserve">如因产品质量问题出现损坏、变质等问题，</w:t>
      </w:r>
      <w:r>
        <w:rPr>
          <w:rFonts w:hint="eastAsia" w:ascii="宋体" w:hAnsi="宋体" w:eastAsia="宋体" w:cs="宋体"/>
          <w:sz w:val="24"/>
          <w:szCs w:val="24"/>
          <w:highlight w:val="none"/>
        </w:rPr>
        <w:t xml:space="preserve">成交供应商在接到甲方的通知后，</w:t>
      </w:r>
      <w:r>
        <w:rPr>
          <w:rFonts w:hint="eastAsia" w:ascii="宋体" w:hAnsi="宋体" w:eastAsia="宋体" w:cs="宋体"/>
          <w:sz w:val="24"/>
          <w:szCs w:val="24"/>
          <w:highlight w:val="none"/>
          <w:lang w:eastAsia="zh-CN"/>
        </w:rPr>
        <w:t xml:space="preserve">须</w:t>
      </w:r>
      <w:r>
        <w:rPr>
          <w:rFonts w:hint="eastAsia" w:ascii="宋体" w:hAnsi="宋体" w:eastAsia="宋体" w:cs="宋体"/>
          <w:sz w:val="24"/>
          <w:szCs w:val="24"/>
          <w:highlight w:val="none"/>
          <w:lang w:val="en-US" w:eastAsia="zh-CN"/>
        </w:rPr>
        <w:t xml:space="preserve">采取2天内修复、7天内更换等措施进行售后服务保障</w:t>
      </w:r>
      <w:r>
        <w:rPr>
          <w:rFonts w:hint="eastAsia" w:ascii="宋体" w:hAnsi="宋体" w:eastAsia="宋体" w:cs="宋体"/>
          <w:sz w:val="24"/>
          <w:szCs w:val="24"/>
          <w:highlight w:val="none"/>
        </w:rPr>
        <w:t xml:space="preserve">。</w:t>
      </w:r>
      <w:r/>
    </w:p>
    <w:p>
      <w:pPr>
        <w:ind w:firstLine="482"/>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en-US" w:eastAsia="zh-CN"/>
        </w:rPr>
        <w:t xml:space="preserve">4.7</w:t>
      </w:r>
      <w:r>
        <w:rPr>
          <w:rFonts w:hint="eastAsia" w:ascii="宋体" w:hAnsi="宋体" w:eastAsia="宋体" w:cs="宋体"/>
          <w:b/>
          <w:bCs/>
          <w:sz w:val="24"/>
          <w:szCs w:val="24"/>
          <w:highlight w:val="none"/>
          <w:lang w:val="zh-CN"/>
        </w:rPr>
        <w:t xml:space="preserve">、合同款支付</w:t>
      </w:r>
      <w:r>
        <w:rPr>
          <w:rFonts w:hint="eastAsia" w:ascii="宋体" w:hAnsi="宋体" w:eastAsia="宋体" w:cs="宋体"/>
          <w:sz w:val="24"/>
          <w:szCs w:val="24"/>
          <w:highlight w:val="none"/>
        </w:rPr>
        <w:t xml:space="preserve">（甲方付款前，乙方开具正式发票）</w:t>
      </w:r>
      <w:r/>
    </w:p>
    <w:p>
      <w:pPr>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预付款：签订合同后10个工作日内，甲方支付乙方合同金额的</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%。设备到货后，10个工作日内，甲方支付乙方合同金额的4</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%。项目完成，验收合格后15个工作日内，甲方支付乙方至结算审定金额的95%。项目验收合格</w:t>
      </w:r>
      <w:r>
        <w:rPr>
          <w:rFonts w:hint="eastAsia" w:ascii="宋体" w:hAnsi="宋体" w:eastAsia="宋体" w:cs="宋体"/>
          <w:sz w:val="24"/>
          <w:szCs w:val="24"/>
          <w:highlight w:val="none"/>
          <w:lang w:eastAsia="zh-CN"/>
        </w:rPr>
        <w:t xml:space="preserve">两</w:t>
      </w:r>
      <w:r>
        <w:rPr>
          <w:rFonts w:hint="eastAsia" w:ascii="宋体" w:hAnsi="宋体" w:eastAsia="宋体" w:cs="宋体"/>
          <w:sz w:val="24"/>
          <w:szCs w:val="24"/>
          <w:highlight w:val="none"/>
        </w:rPr>
        <w:t xml:space="preserve">年后，经使用方确认产品合格，售后服务符合要求，一个月内支付至结算审定金额的100%。</w:t>
      </w:r>
      <w:r/>
    </w:p>
    <w:p>
      <w:pPr>
        <w:pStyle w:val="1172"/>
        <w:ind w:firstLine="480"/>
        <w:keepLines w:val="0"/>
        <w:keepNext w:val="0"/>
        <w:pageBreakBefore w:val="0"/>
        <w:spacing w:before="0" w:beforeAutospacing="0" w:after="0" w:afterAutospacing="0" w:line="400" w:lineRule="exact"/>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其他：成交供应商对本项目不得以任何形式进行分包、转包，如有违反，即被视为违约，将被取消成交资格、终止合同，并承担相应法律责任和赔偿损失</w:t>
      </w:r>
      <w:r>
        <w:rPr>
          <w:rFonts w:hint="eastAsia" w:ascii="宋体" w:hAnsi="宋体" w:eastAsia="宋体" w:cs="宋体"/>
          <w:sz w:val="24"/>
          <w:szCs w:val="24"/>
          <w:highlight w:val="none"/>
          <w:lang w:eastAsia="zh-CN"/>
        </w:rPr>
        <w:t xml:space="preserve">。</w:t>
      </w:r>
      <w:r/>
    </w:p>
    <w:p>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、样品要求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采购包2</w:t>
      </w:r>
      <w:r>
        <w:rPr>
          <w:rFonts w:hint="eastAsia" w:ascii="宋体" w:hAnsi="宋体" w:eastAsia="宋体" w:cs="宋体"/>
          <w:b/>
          <w:bCs/>
          <w:sz w:val="24"/>
          <w:szCs w:val="24"/>
          <w:highlight w:val="none"/>
          <w:lang w:eastAsia="zh-CN"/>
        </w:rPr>
        <w:t xml:space="preserve">）</w:t>
      </w:r>
      <w:r/>
    </w:p>
    <w:p>
      <w:pPr>
        <w:ind w:firstLine="440"/>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5.1</w:t>
      </w:r>
      <w:r>
        <w:rPr>
          <w:rFonts w:hint="eastAsia" w:ascii="宋体" w:hAnsi="宋体" w:eastAsia="宋体" w:cs="宋体"/>
          <w:b/>
          <w:bCs/>
          <w:sz w:val="24"/>
          <w:szCs w:val="24"/>
          <w:highlight w:val="none"/>
        </w:rPr>
        <w:t xml:space="preserve">样品清单：</w:t>
      </w:r>
      <w:r/>
    </w:p>
    <w:tbl>
      <w:tblPr>
        <w:tblStyle w:val="852"/>
        <w:tblW w:w="5000" w:type="pct"/>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688"/>
        <w:gridCol w:w="3072"/>
        <w:gridCol w:w="1344"/>
        <w:gridCol w:w="4557"/>
      </w:tblGrid>
      <w:tr>
        <w:trPr>
          <w:jc w:val="center"/>
          <w:trHeight w:val="300"/>
        </w:trPr>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jc w:val="center"/>
              <w:spacing w:line="431"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2819" w:type="dxa"/>
            <w:vAlign w:val="center"/>
            <w:textDirection w:val="lrTb"/>
            <w:noWrap w:val="false"/>
          </w:tcPr>
          <w:p>
            <w:pPr>
              <w:jc w:val="center"/>
              <w:spacing w:line="431"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样品名称</w:t>
            </w:r>
            <w:r/>
          </w:p>
        </w:tc>
        <w:tc>
          <w:tcPr>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spacing w:line="431"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数量/单位</w:t>
            </w:r>
            <w:r/>
          </w:p>
        </w:tc>
        <w:tc>
          <w:tcPr>
            <w:tcBorders>
              <w:top w:val="single" w:color="000000" w:sz="8" w:space="0"/>
              <w:left w:val="single" w:color="000000" w:sz="8" w:space="0"/>
              <w:bottom w:val="single" w:color="000000" w:sz="8" w:space="0"/>
              <w:right w:val="single" w:color="000000" w:sz="8" w:space="0"/>
            </w:tcBorders>
            <w:tcW w:w="4181" w:type="dxa"/>
            <w:vAlign w:val="center"/>
            <w:textDirection w:val="lrTb"/>
            <w:noWrap w:val="false"/>
          </w:tcPr>
          <w:p>
            <w:pPr>
              <w:jc w:val="center"/>
              <w:spacing w:line="431"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样品参考规格</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jc w:val="center"/>
              <w:spacing w:line="431"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8" w:space="0"/>
              <w:left w:val="single" w:color="000000" w:sz="8" w:space="0"/>
              <w:bottom w:val="single" w:color="000000" w:sz="8" w:space="0"/>
              <w:right w:val="single" w:color="000000" w:sz="8" w:space="0"/>
            </w:tcBorders>
            <w:tcW w:w="2819" w:type="dxa"/>
            <w:vAlign w:val="center"/>
            <w:textDirection w:val="lrTb"/>
            <w:noWrap w:val="false"/>
          </w:tcPr>
          <w:p>
            <w:pPr>
              <w:jc w:val="center"/>
              <w:spacing w:line="431"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蝶形办公桌</w:t>
            </w:r>
            <w:r/>
          </w:p>
        </w:tc>
        <w:tc>
          <w:tcPr>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spacing w:line="431"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1件</w:t>
            </w:r>
            <w:r/>
          </w:p>
        </w:tc>
        <w:tc>
          <w:tcPr>
            <w:tcBorders>
              <w:top w:val="single" w:color="000000" w:sz="8" w:space="0"/>
              <w:left w:val="single" w:color="000000" w:sz="8" w:space="0"/>
              <w:bottom w:val="single" w:color="000000" w:sz="8" w:space="0"/>
              <w:right w:val="single" w:color="000000" w:sz="8" w:space="0"/>
            </w:tcBorders>
            <w:tcW w:w="4181" w:type="dxa"/>
            <w:vAlign w:val="center"/>
            <w:textDirection w:val="lrTb"/>
            <w:noWrap w:val="false"/>
          </w:tcPr>
          <w:p>
            <w:pPr>
              <w:jc w:val="center"/>
              <w:spacing w:line="431" w:lineRule="exact"/>
              <w:rPr>
                <w:rFonts w:hint="eastAsia" w:ascii="宋体" w:hAnsi="宋体" w:eastAsia="宋体" w:cs="宋体"/>
                <w:sz w:val="24"/>
                <w:szCs w:val="24"/>
                <w:highlight w:val="none"/>
                <w:lang w:eastAsia="zh-CN"/>
              </w:rPr>
            </w:pPr>
            <w:r>
              <w:rPr>
                <w:rFonts w:hint="eastAsia" w:ascii="宋体" w:hAnsi="宋体" w:eastAsia="宋体" w:cs="宋体"/>
                <w:i w:val="0"/>
                <w:iCs w:val="0"/>
                <w:color w:val="000000"/>
                <w:sz w:val="24"/>
                <w:szCs w:val="24"/>
                <w:highlight w:val="none"/>
                <w:u w:val="none"/>
                <w:lang w:val="en-US" w:eastAsia="zh-CN"/>
              </w:rPr>
              <w:t xml:space="preserve">单块：1200*600*750mm，三块拼成 120° 夹角整套最大外接尺寸：2400mm*2400mm*750mm（适配人体工学）</w:t>
            </w:r>
            <w:r>
              <w:rPr>
                <w:rFonts w:hint="eastAsia" w:ascii="宋体" w:hAnsi="宋体" w:cs="宋体"/>
                <w:i w:val="0"/>
                <w:iCs w:val="0"/>
                <w:color w:val="000000"/>
                <w:sz w:val="24"/>
                <w:szCs w:val="24"/>
                <w:highlight w:val="none"/>
                <w:u w:val="none"/>
                <w:lang w:val="en-US" w:eastAsia="zh-CN"/>
              </w:rPr>
              <w:t xml:space="preserve">详见《需求清单》</w:t>
            </w:r>
            <w:r>
              <w:rPr>
                <w:rFonts w:hint="eastAsia" w:ascii="宋体" w:hAnsi="宋体" w:eastAsia="宋体" w:cs="宋体"/>
                <w:i w:val="0"/>
                <w:iCs w:val="0"/>
                <w:color w:val="000000"/>
                <w:sz w:val="24"/>
                <w:szCs w:val="24"/>
                <w:highlight w:val="none"/>
                <w:u w:val="none"/>
                <w:lang w:val="en-US" w:eastAsia="zh-CN"/>
              </w:rPr>
              <w:t xml:space="preserve">采购包2清单序号12</w:t>
            </w:r>
            <w:r>
              <w:rPr>
                <w:rFonts w:hint="eastAsia" w:ascii="宋体" w:hAnsi="宋体" w:eastAsia="宋体" w:cs="宋体"/>
                <w:bCs/>
                <w:sz w:val="24"/>
                <w:szCs w:val="24"/>
                <w:highlight w:val="none"/>
                <w:lang w:val="en-US" w:eastAsia="zh-CN"/>
              </w:rPr>
              <w:t xml:space="preserve"> </w:t>
            </w:r>
            <w:r/>
          </w:p>
        </w:tc>
      </w:tr>
    </w:tbl>
    <w:p>
      <w:pPr>
        <w:ind w:firstLine="44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4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5.2</w:t>
      </w:r>
      <w:r>
        <w:rPr>
          <w:rFonts w:hint="eastAsia" w:ascii="宋体" w:hAnsi="宋体" w:eastAsia="宋体" w:cs="宋体"/>
          <w:sz w:val="24"/>
          <w:szCs w:val="24"/>
          <w:highlight w:val="none"/>
        </w:rPr>
        <w:t xml:space="preserve">样品要求：</w:t>
      </w:r>
      <w:r/>
    </w:p>
    <w:p>
      <w:pPr>
        <w:ind w:firstLine="4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i w:val="0"/>
          <w:iCs w:val="0"/>
          <w:color w:val="000000"/>
          <w:sz w:val="24"/>
          <w:szCs w:val="24"/>
          <w:highlight w:val="none"/>
          <w:u w:val="none"/>
          <w:lang w:val="en-US" w:eastAsia="zh-CN"/>
        </w:rPr>
        <w:t xml:space="preserve">蝶形办公桌</w:t>
      </w:r>
      <w:r>
        <w:rPr>
          <w:rFonts w:hint="eastAsia" w:ascii="宋体" w:hAnsi="宋体" w:eastAsia="宋体" w:cs="宋体"/>
          <w:sz w:val="24"/>
          <w:szCs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rPr>
        <w:t xml:space="preserve">主体哑光象牙白，台面哑光纯黑色，检察蓝装饰漆面，</w:t>
      </w:r>
      <w:r>
        <w:rPr>
          <w:rFonts w:hint="eastAsia" w:ascii="宋体" w:hAnsi="宋体" w:eastAsia="宋体" w:cs="宋体"/>
          <w:sz w:val="24"/>
          <w:szCs w:val="24"/>
          <w:highlight w:val="none"/>
        </w:rPr>
        <w:t xml:space="preserve">造型美观、坐感舒适，连口圆润光滑无毛刺，结构稳定，平整牢固、符合人体工程学，耐磨耐用。</w:t>
      </w:r>
      <w:r/>
    </w:p>
    <w:p>
      <w:pPr>
        <w:ind w:firstLine="440"/>
        <w:tabs>
          <w:tab w:val="left" w:pos="2310"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5.3</w:t>
      </w:r>
      <w:r>
        <w:rPr>
          <w:rFonts w:hint="eastAsia" w:ascii="宋体" w:hAnsi="宋体" w:eastAsia="宋体" w:cs="宋体"/>
          <w:sz w:val="24"/>
          <w:szCs w:val="24"/>
          <w:highlight w:val="none"/>
        </w:rPr>
        <w:t xml:space="preserve">样品递交时间及相关注意事项：</w:t>
      </w:r>
      <w:r/>
    </w:p>
    <w:p>
      <w:pPr>
        <w:numPr>
          <w:ilvl w:val="0"/>
          <w:numId w:val="15"/>
        </w:numPr>
        <w:ind w:firstLine="480"/>
        <w:keepLines w:val="0"/>
        <w:keepNext w:val="0"/>
        <w:pageBreakBefore w:val="0"/>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样品交付地点：江苏省南京市鼓楼区郑和中路118号D栋。样品交付时间：2026年</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lang w:eastAsia="zh-CN"/>
        </w:rPr>
        <w:t xml:space="preserve">月</w:t>
      </w: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lang w:eastAsia="zh-CN"/>
        </w:rPr>
        <w:t xml:space="preserve">日，逾期不予接受。联系人：储茜，电话18114462183。</w:t>
      </w:r>
      <w:r/>
    </w:p>
    <w:p>
      <w:pPr>
        <w:numPr>
          <w:ilvl w:val="0"/>
          <w:numId w:val="15"/>
        </w:num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投标供应商递交样品时应服从现场工作人员要求，按要求递交样品并签到，不得翻看他人样品及进行拍照，投标人如出现违法违规行为的，视为未提交样品并按照相应法律追究责任。</w:t>
      </w:r>
      <w:r/>
    </w:p>
    <w:p>
      <w:pPr>
        <w:numPr>
          <w:ilvl w:val="0"/>
          <w:numId w:val="15"/>
        </w:num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供应商提交的样品不得含有供应商名称。</w:t>
      </w:r>
      <w:r/>
    </w:p>
    <w:p>
      <w:pPr>
        <w:numPr>
          <w:ilvl w:val="0"/>
          <w:numId w:val="0"/>
        </w:num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numPr>
          <w:ilvl w:val="0"/>
          <w:numId w:val="15"/>
        </w:numPr>
        <w:ind w:firstLine="480"/>
        <w:keepLines w:val="0"/>
        <w:keepNext w:val="0"/>
        <w:pageBreakBefore w:val="0"/>
        <w:widowControl w:val="off"/>
        <w:rPr>
          <w:rFonts w:hint="eastAsia" w:ascii="宋体" w:hAnsi="宋体" w:cs="宋体"/>
          <w:sz w:val="24"/>
          <w:szCs w:val="24"/>
          <w:highlight w:val="none"/>
        </w:rPr>
      </w:pPr>
      <w:r>
        <w:rPr>
          <w:rFonts w:hint="eastAsia" w:ascii="宋体" w:hAnsi="宋体" w:cs="宋体"/>
          <w:sz w:val="24"/>
          <w:szCs w:val="24"/>
          <w:highlight w:val="none"/>
        </w:rPr>
        <w:t xml:space="preserve">中标（成交）供应商递交的样品由采购人负责保管、封存并作为履约验收的依据，不再退还中标（成交）供应商。未中标（成交）供应商递交的样品在采购结果公告期结束后5个工作日内，由</w:t>
      </w:r>
      <w:r>
        <w:rPr>
          <w:rFonts w:hint="eastAsia" w:ascii="宋体" w:hAnsi="宋体" w:cs="宋体"/>
          <w:sz w:val="24"/>
          <w:szCs w:val="24"/>
          <w:highlight w:val="none"/>
          <w:lang w:val="en-US" w:eastAsia="zh-CN"/>
        </w:rPr>
        <w:t xml:space="preserve">代理机构</w:t>
      </w:r>
      <w:r>
        <w:rPr>
          <w:rFonts w:hint="eastAsia" w:ascii="宋体" w:hAnsi="宋体" w:cs="宋体"/>
          <w:sz w:val="24"/>
          <w:szCs w:val="24"/>
          <w:highlight w:val="none"/>
        </w:rPr>
        <w:t xml:space="preserve">通知未中标（成交）供应商自行取回，逾期未取回，视同供应商放弃样品所有权，由采购人自行处置。</w:t>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br w:type="page" w:clear="all"/>
      </w:r>
      <w:r/>
    </w:p>
    <w:p>
      <w:pPr>
        <w:pStyle w:val="1172"/>
        <w:jc w:val="center"/>
        <w:spacing w:beforeAutospacing="0" w:afterAutospacing="0" w:line="460" w:lineRule="exact"/>
        <w:rPr>
          <w:rFonts w:hint="eastAsia" w:ascii="宋体" w:hAnsi="宋体" w:eastAsia="宋体" w:cs="宋体"/>
          <w:bCs/>
          <w:sz w:val="24"/>
          <w:szCs w:val="24"/>
          <w:highlight w:val="none"/>
        </w:rPr>
        <w:outlineLvl w:val="2"/>
      </w:pPr>
      <w:r>
        <w:rPr>
          <w:rFonts w:hint="eastAsia" w:ascii="宋体" w:hAnsi="宋体" w:eastAsia="宋体" w:cs="宋体"/>
          <w:bCs/>
          <w:sz w:val="24"/>
          <w:szCs w:val="24"/>
          <w:highlight w:val="none"/>
        </w:rPr>
        <w:t xml:space="preserve">《需求清单》（采购包1）</w:t>
      </w:r>
      <w:r/>
    </w:p>
    <w:tbl>
      <w:tblPr>
        <w:tblStyle w:val="852"/>
        <w:tblW w:w="48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34"/>
        <w:gridCol w:w="637"/>
        <w:gridCol w:w="292"/>
        <w:gridCol w:w="1429"/>
        <w:gridCol w:w="646"/>
        <w:gridCol w:w="439"/>
        <w:gridCol w:w="534"/>
        <w:gridCol w:w="5136"/>
      </w:tblGrid>
      <w:tr>
        <w:trPr>
          <w:trHeight w:val="748"/>
        </w:trPr>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18"/>
                <w:highlight w:val="none"/>
                <w:u w:val="none"/>
              </w:rPr>
              <w:suppressLineNumbers w:val="0"/>
            </w:pPr>
            <w:r>
              <w:rPr>
                <w:rFonts w:hint="eastAsia" w:ascii="Times New Roman" w:hAnsi="Times New Roman" w:eastAsia="宋体" w:cs="宋体"/>
                <w:b w:val="0"/>
                <w:bCs w:val="0"/>
                <w:i w:val="0"/>
                <w:iCs w:val="0"/>
                <w:color w:val="000000"/>
                <w:sz w:val="24"/>
                <w:szCs w:val="18"/>
                <w:highlight w:val="none"/>
                <w:u w:val="none"/>
                <w:lang w:val="en-US" w:eastAsia="zh-CN"/>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18"/>
                <w:highlight w:val="none"/>
                <w:u w:val="none"/>
              </w:rPr>
              <w:suppressLineNumbers w:val="0"/>
            </w:pPr>
            <w:r>
              <w:rPr>
                <w:rFonts w:hint="eastAsia" w:ascii="Times New Roman" w:hAnsi="Times New Roman" w:eastAsia="宋体" w:cs="宋体"/>
                <w:b w:val="0"/>
                <w:bCs w:val="0"/>
                <w:i w:val="0"/>
                <w:iCs w:val="0"/>
                <w:color w:val="000000"/>
                <w:sz w:val="24"/>
                <w:szCs w:val="18"/>
                <w:highlight w:val="none"/>
                <w:u w:val="none"/>
                <w:lang w:val="en-US" w:eastAsia="zh-CN"/>
              </w:rPr>
              <w:t xml:space="preserve">功能名称/房间</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18"/>
                <w:highlight w:val="none"/>
                <w:u w:val="none"/>
              </w:rPr>
              <w:suppressLineNumbers w:val="0"/>
            </w:pPr>
            <w:r>
              <w:rPr>
                <w:rFonts w:hint="eastAsia" w:ascii="Times New Roman" w:hAnsi="Times New Roman" w:eastAsia="宋体" w:cs="宋体"/>
                <w:b w:val="0"/>
                <w:bCs w:val="0"/>
                <w:i w:val="0"/>
                <w:iCs w:val="0"/>
                <w:color w:val="000000"/>
                <w:sz w:val="24"/>
                <w:szCs w:val="18"/>
                <w:highlight w:val="none"/>
                <w:u w:val="none"/>
                <w:lang w:val="en-US" w:eastAsia="zh-CN"/>
              </w:rPr>
              <w:t xml:space="preserve">品类</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18"/>
                <w:highlight w:val="none"/>
                <w:u w:val="none"/>
              </w:rPr>
              <w:suppressLineNumbers w:val="0"/>
            </w:pPr>
            <w:r>
              <w:rPr>
                <w:rFonts w:hint="eastAsia" w:ascii="Times New Roman" w:hAnsi="Times New Roman" w:eastAsia="宋体" w:cs="宋体"/>
                <w:b w:val="0"/>
                <w:bCs w:val="0"/>
                <w:i w:val="0"/>
                <w:iCs w:val="0"/>
                <w:color w:val="000000"/>
                <w:sz w:val="24"/>
                <w:szCs w:val="18"/>
                <w:highlight w:val="none"/>
                <w:u w:val="none"/>
                <w:lang w:val="en-US" w:eastAsia="zh-CN"/>
              </w:rPr>
              <w:t xml:space="preserve">参考图片</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18"/>
                <w:highlight w:val="none"/>
                <w:u w:val="none"/>
              </w:rPr>
              <w:suppressLineNumbers w:val="0"/>
            </w:pPr>
            <w:r>
              <w:rPr>
                <w:rFonts w:hint="eastAsia" w:ascii="Times New Roman" w:hAnsi="Times New Roman" w:eastAsia="宋体" w:cs="宋体"/>
                <w:b w:val="0"/>
                <w:bCs w:val="0"/>
                <w:i w:val="0"/>
                <w:iCs w:val="0"/>
                <w:color w:val="000000"/>
                <w:sz w:val="24"/>
                <w:szCs w:val="18"/>
                <w:highlight w:val="none"/>
                <w:u w:val="none"/>
                <w:lang w:val="en-US" w:eastAsia="zh-CN"/>
              </w:rPr>
              <w:t xml:space="preserve">规格(长*宽*高)/mm</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18"/>
                <w:highlight w:val="none"/>
                <w:u w:val="none"/>
              </w:rPr>
              <w:suppressLineNumbers w:val="0"/>
            </w:pPr>
            <w:r>
              <w:rPr>
                <w:rFonts w:hint="eastAsia" w:ascii="Times New Roman" w:hAnsi="Times New Roman" w:eastAsia="宋体" w:cs="宋体"/>
                <w:b w:val="0"/>
                <w:bCs w:val="0"/>
                <w:i w:val="0"/>
                <w:iCs w:val="0"/>
                <w:color w:val="000000"/>
                <w:sz w:val="24"/>
                <w:szCs w:val="18"/>
                <w:highlight w:val="none"/>
                <w:u w:val="none"/>
                <w:lang w:val="en-US" w:eastAsia="zh-CN"/>
              </w:rPr>
              <w:t xml:space="preserve">数量/组</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18"/>
                <w:highlight w:val="none"/>
                <w:u w:val="none"/>
              </w:rPr>
              <w:suppressLineNumbers w:val="0"/>
            </w:pPr>
            <w:r>
              <w:rPr>
                <w:rFonts w:hint="eastAsia" w:ascii="Times New Roman" w:hAnsi="Times New Roman" w:eastAsia="宋体" w:cs="宋体"/>
                <w:b w:val="0"/>
                <w:bCs w:val="0"/>
                <w:i w:val="0"/>
                <w:iCs w:val="0"/>
                <w:color w:val="000000"/>
                <w:sz w:val="24"/>
                <w:szCs w:val="18"/>
                <w:highlight w:val="none"/>
                <w:u w:val="none"/>
                <w:lang w:val="en-US" w:eastAsia="zh-CN"/>
              </w:rPr>
              <w:t xml:space="preserve">备注</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18"/>
                <w:highlight w:val="none"/>
                <w:u w:val="none"/>
              </w:rPr>
              <w:suppressLineNumbers w:val="0"/>
            </w:pPr>
            <w:r>
              <w:rPr>
                <w:rFonts w:hint="eastAsia" w:ascii="Times New Roman" w:hAnsi="Times New Roman" w:eastAsia="宋体" w:cs="宋体"/>
                <w:b w:val="0"/>
                <w:bCs w:val="0"/>
                <w:i w:val="0"/>
                <w:iCs w:val="0"/>
                <w:color w:val="000000"/>
                <w:sz w:val="24"/>
                <w:szCs w:val="18"/>
                <w:highlight w:val="none"/>
                <w:u w:val="none"/>
                <w:lang w:val="en-US" w:eastAsia="zh-CN"/>
              </w:rPr>
              <w:t xml:space="preserve">材质说明</w:t>
            </w:r>
            <w:r/>
          </w:p>
        </w:tc>
      </w:tr>
      <w:tr>
        <w:trPr>
          <w:trHeight w:val="944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前台接待区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接待台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657225"/>
                      <wp:effectExtent l="0" t="0" r="0" b="9525"/>
                      <wp:docPr id="3" name="图片 1" descr="IMG_256"/>
                      <wp:cNvGraphicFramePr/>
                      <a:graphic xmlns:a="http://schemas.openxmlformats.org/drawingml/2006/main">
                        <a:graphicData uri="http://schemas.openxmlformats.org/drawingml/2006/picture">
                          <pic:pic xmlns:pic="http://schemas.openxmlformats.org/drawingml/2006/picture">
                            <pic:nvPicPr>
                              <pic:cNvPr id="1026" name="图片 1" descr="IMG_256"/>
                              <pic:cNvPicPr/>
                              <pic:nvPr/>
                            </pic:nvPicPr>
                            <pic:blipFill>
                              <a:blip r:embed="rId19"/>
                              <a:stretch/>
                            </pic:blipFill>
                            <pic:spPr bwMode="auto">
                              <a:xfrm>
                                <a:off x="0" y="0"/>
                                <a:ext cx="1257300"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0pt;height:51.8pt;mso-wrap-distance-left:0.0pt;mso-wrap-distance-top:0.0pt;mso-wrap-distance-right:0.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3500*800*900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w:t>
            </w:r>
            <w:r>
              <w:rPr>
                <w:rFonts w:hint="eastAsia"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t xml:space="preserve">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5.四周围边采用天然大理石，色泽一致，无明显色差。台面光滑平整、无波纹、方料痕、刮痕、裂纹。</w:t>
            </w:r>
            <w:r>
              <w:rPr>
                <w:rFonts w:hint="eastAsia" w:cs="仿宋_GB2312"/>
                <w:i w:val="0"/>
                <w:iCs w:val="0"/>
                <w:color w:val="000000"/>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000000"/>
                <w:sz w:val="24"/>
                <w:szCs w:val="20"/>
                <w:highlight w:val="none"/>
                <w:u w:val="none"/>
                <w:lang w:val="en-US" w:eastAsia="zh-CN"/>
              </w:rPr>
              <w:t xml:space="preserve">，符合国家标准的环境卫生要求。推荐品牌：溪石、万里石、东升或同档次其他品牌；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6.工艺要求：底部带灯带</w:t>
            </w:r>
            <w:r/>
          </w:p>
        </w:tc>
      </w:tr>
      <w:tr>
        <w:trPr>
          <w:trHeight w:val="1873"/>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前台接待区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4" name="图片 2" descr="IMG_257"/>
                      <wp:cNvGraphicFramePr/>
                      <a:graphic xmlns:a="http://schemas.openxmlformats.org/drawingml/2006/main">
                        <a:graphicData uri="http://schemas.openxmlformats.org/drawingml/2006/picture">
                          <pic:pic xmlns:pic="http://schemas.openxmlformats.org/drawingml/2006/picture">
                            <pic:nvPicPr>
                              <pic:cNvPr id="1027" name="图片 2" descr="IMG_257"/>
                              <pic:cNvPicPr/>
                              <pic:nvPr/>
                            </pic:nvPicPr>
                            <pic:blipFill>
                              <a:blip r:embed="rId20"/>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9.0pt;height:56.2pt;mso-wrap-distance-left:0.0pt;mso-wrap-distance-top:0.0pt;mso-wrap-distance-right:0.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555D*640W*(1180-</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1275)H</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1.面料：头枕靠背3D立体网布：符合GB 18401-2010《国家纺织产品基本安全技术规范》标准。甲醛含量未检出、耐老化性48h灰卡等级达5级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▲2.海绵：符合GB/T </w:t>
            </w:r>
            <w:r>
              <w:rPr>
                <w:rFonts w:hint="default" w:ascii="Times New Roman" w:hAnsi="Times New Roman" w:eastAsia="宋体" w:cs="仿宋_GB2312"/>
                <w:i w:val="0"/>
                <w:iCs w:val="0"/>
                <w:color w:val="000000"/>
                <w:sz w:val="24"/>
                <w:szCs w:val="20"/>
                <w:highlight w:val="none"/>
                <w:u w:val="none"/>
                <w:lang w:val="en-US" w:eastAsia="zh-CN"/>
              </w:rPr>
              <w:t xml:space="preserve">10802-2023《通用软质聚氨酯泡沫塑料》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3.扶手：PP固定扶手带腰靠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4.背框：尼龙加纤背框，背框灰色</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5.配置：原位锁定底盘，拉伸气压棒推荐品牌：“三弘”或“KG8”或“万得福”或同等品牌四级气杆，管壁≥2.5mm</w:t>
            </w:r>
            <w:r>
              <w:rPr>
                <w:rFonts w:hint="eastAsia"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t xml:space="preserve">340尼龙高脚5分PU静音轮</w:t>
            </w:r>
            <w:r/>
          </w:p>
        </w:tc>
      </w:tr>
      <w:tr>
        <w:trPr>
          <w:trHeight w:val="11191"/>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高低床</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5" name="图片 3" descr="IMG_258"/>
                      <wp:cNvGraphicFramePr/>
                      <a:graphic xmlns:a="http://schemas.openxmlformats.org/drawingml/2006/main">
                        <a:graphicData uri="http://schemas.openxmlformats.org/drawingml/2006/picture">
                          <pic:pic xmlns:pic="http://schemas.openxmlformats.org/drawingml/2006/picture">
                            <pic:nvPicPr>
                              <pic:cNvPr id="1028" name="图片 3" descr="IMG_258"/>
                              <pic:cNvPicPr/>
                              <pic:nvPr/>
                            </pic:nvPicPr>
                            <pic:blipFill>
                              <a:blip r:embed="rId21"/>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0pt;height:56.2pt;mso-wrap-distance-left:0.0pt;mso-wrap-distance-top:0.0pt;mso-wrap-distance-right:0.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2000*1000*1800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▲2.塑粉：符合GB/T 21866-2025《涂膜抗病毒活性和抗菌性测定法》 GB</w:t>
            </w:r>
            <w:r>
              <w:rPr>
                <w:rFonts w:hint="default" w:ascii="Times New Roman" w:hAnsi="Times New Roman" w:eastAsia="宋体" w:cs="仿宋_GB2312"/>
                <w:i w:val="0"/>
                <w:iCs w:val="0"/>
                <w:color w:val="000000"/>
                <w:sz w:val="24"/>
                <w:szCs w:val="20"/>
                <w:highlight w:val="none"/>
                <w:u w:val="none"/>
                <w:lang w:val="en-US" w:eastAsia="zh-CN"/>
              </w:rPr>
              <w:t xml:space="preserve">/T 1741-2020《漆膜耐霉菌性测定法》 HG/T 2006-2022 《热固性和热塑性粉末涂料》 GB 30981.2-2025《涂料中有害物质限量第 2 部分：工业涂料》标准。附着力湿附着力、干附着力、沸水附着力1级；铅笔硬度(内聚破坏中擦伤) 4H；耐沸水性检测符合要求；耐湿性500h 无异常；耐霉菌性能等级0级；抗菌性能抗细菌率：＞99.9%；总重金属含量铅（Pb）、汞（Hg）未检出；可溶性元素含量铅（Pb） 镉（Cd）铬（Cr） 汞（Hg） 锑（Sb） 砷（As）钡（Ba）硒（Se）未检出。</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3.杉木床铺板：烘干杉木板拼接，(床板数≦8块合成)，双面刨光后厚度≥16mm：板底加固3根杉木条，四面刨光后用木螺丝/地板钉连接：整体无板皮、发霉、烂疤。</w:t>
            </w:r>
            <w:r/>
          </w:p>
        </w:tc>
      </w:tr>
      <w:tr>
        <w:trPr>
          <w:trHeight w:val="193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活动衣柜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6" name="图片 4" descr="IMG_259"/>
                      <wp:cNvGraphicFramePr/>
                      <a:graphic xmlns:a="http://schemas.openxmlformats.org/drawingml/2006/main">
                        <a:graphicData uri="http://schemas.openxmlformats.org/drawingml/2006/picture">
                          <pic:pic xmlns:pic="http://schemas.openxmlformats.org/drawingml/2006/picture">
                            <pic:nvPicPr>
                              <pic:cNvPr id="1029" name="图片 4" descr="IMG_259"/>
                              <pic:cNvPicPr/>
                              <pic:nvPr/>
                            </pic:nvPicPr>
                            <pic:blipFill>
                              <a:blip r:embed="rId22"/>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9.0pt;height:56.2pt;mso-wrap-distance-left:0.0pt;mso-wrap-distance-top:0.0pt;mso-wrap-distance-right:0.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1000*550*1800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3"/>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3"/>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2.三聚氰胺饰面实木多层板：饰面三聚氰胺浸渍纸符合GB/T</w:t>
            </w:r>
            <w:r>
              <w:rPr>
                <w:rStyle w:val="1183"/>
                <w:rFonts w:ascii="Times New Roman" w:hAnsi="Times New Roman" w:eastAsia="宋体"/>
                <w:sz w:val="24"/>
                <w:szCs w:val="20"/>
                <w:highlight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Style w:val="1183"/>
                <w:rFonts w:ascii="Times New Roman" w:hAnsi="Times New Roman" w:eastAsia="宋体"/>
                <w:sz w:val="24"/>
                <w:szCs w:val="20"/>
                <w:highlight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▲3.PVC封边条：符合QB/T 4463-2025《家具用封边条》、</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GB/T 17657-2022《</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人造板及饰面人造板理化性能试验方法</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w:t>
            </w:r>
            <w:r>
              <w:rPr>
                <w:rStyle w:val="1183"/>
                <w:rFonts w:ascii="Times New Roman" w:hAnsi="Times New Roman" w:eastAsia="宋体"/>
                <w:sz w:val="24"/>
                <w:szCs w:val="20"/>
                <w:highlight w:val="none"/>
                <w:lang w:val="en-US" w:eastAsia="zh-CN"/>
              </w:rPr>
              <w:t xml:space="preserve">）法》、QB/T3832-1999《轻工产品金属镀层腐蚀试验结果的评价》、GB/T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5.工艺要求 ：门板带拉手，内置挂衣架，活动层板</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双人标间</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单人床（含床背板）</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7" name="图片 5" descr="IMG_260"/>
                      <wp:cNvGraphicFramePr/>
                      <a:graphic xmlns:a="http://schemas.openxmlformats.org/drawingml/2006/main">
                        <a:graphicData uri="http://schemas.openxmlformats.org/drawingml/2006/picture">
                          <pic:pic xmlns:pic="http://schemas.openxmlformats.org/drawingml/2006/picture">
                            <pic:nvPicPr>
                              <pic:cNvPr id="1030" name="图片 5" descr="IMG_260"/>
                              <pic:cNvPicPr/>
                              <pic:nvPr/>
                            </pic:nvPicPr>
                            <pic:blipFill>
                              <a:blip r:embed="rId23"/>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9.0pt;height:56.2pt;mso-wrap-distance-left:0.0pt;mso-wrap-distance-top:0.0pt;mso-wrap-distance-right:0.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2100*1350*1000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174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2号楼一层家具46张，2号楼二层家具70张，2号楼三层家具58张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3.优质超纤皮：符合GB/T 16799-2018《家具用皮革》标准。摩擦色牢度检测：干擦500次达到5级标准；湿擦250次达到5级；碱性汗液80次达5级标准，推荐品牌，科一，爱进，杰诚或同档次其他品牌；</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双人标间、单人间（小）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床头柜1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8" name="图片 6" descr="IMG_261"/>
                      <wp:cNvGraphicFramePr/>
                      <a:graphic xmlns:a="http://schemas.openxmlformats.org/drawingml/2006/main">
                        <a:graphicData uri="http://schemas.openxmlformats.org/drawingml/2006/picture">
                          <pic:pic xmlns:pic="http://schemas.openxmlformats.org/drawingml/2006/picture">
                            <pic:nvPicPr>
                              <pic:cNvPr id="1031" name="图片 6" descr="IMG_261"/>
                              <pic:cNvPicPr/>
                              <pic:nvPr/>
                            </pic:nvPicPr>
                            <pic:blipFill>
                              <a:blip r:embed="rId24"/>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9.0pt;height:56.2pt;mso-wrap-distance-left:0.0pt;mso-wrap-distance-top:0.0pt;mso-wrap-distance-right:0.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700*500*550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194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2号楼一层家具46张，2号楼二层家具70张+14张，2号楼三层家具58张+6张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2346"/>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双人标间、单人间（小）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休闲椅1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9" name="图片 7" descr="IMG_262"/>
                      <wp:cNvGraphicFramePr/>
                      <a:graphic xmlns:a="http://schemas.openxmlformats.org/drawingml/2006/main">
                        <a:graphicData uri="http://schemas.openxmlformats.org/drawingml/2006/picture">
                          <pic:pic xmlns:pic="http://schemas.openxmlformats.org/drawingml/2006/picture">
                            <pic:nvPicPr>
                              <pic:cNvPr id="1032" name="图片 7" descr="IMG_262"/>
                              <pic:cNvPicPr/>
                              <pic:nvPr/>
                            </pic:nvPicPr>
                            <pic:blipFill>
                              <a:blip r:embed="rId25"/>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0pt;height:56.2pt;mso-wrap-distance-left:0.0pt;mso-wrap-distance-top:0.0pt;mso-wrap-distance-right:0.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585*607*950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184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2号楼一层家具46张，2号楼二层家具70张+7张，2号楼三层家具58张+3张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▲3.优质超纤皮：符合GB/T 16799-2018《家具用皮革》标准。摩擦色牢度检测：干擦500次达到5级标准；湿擦250次达到5级；碱性汗液80次达5级标准，推荐品牌，科一，爱进，杰诚或同档次其他品牌；</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大床1（含床背板）</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0" name="图片 8" descr="IMG_263"/>
                      <wp:cNvGraphicFramePr/>
                      <a:graphic xmlns:a="http://schemas.openxmlformats.org/drawingml/2006/main">
                        <a:graphicData uri="http://schemas.openxmlformats.org/drawingml/2006/picture">
                          <pic:pic xmlns:pic="http://schemas.openxmlformats.org/drawingml/2006/picture">
                            <pic:nvPicPr>
                              <pic:cNvPr id="1033" name="图片 8" descr="IMG_263"/>
                              <pic:cNvPicPr/>
                              <pic:nvPr/>
                            </pic:nvPicPr>
                            <pic:blipFill>
                              <a:blip r:embed="rId23"/>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0pt;height:56.2pt;mso-wrap-distance-left:0.0pt;mso-wrap-distance-top:0.0pt;mso-wrap-distance-right:0.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2000*1800*1000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二层家具7张，2号楼三层家具3张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单人间（中）、单人间（大）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大床2（含床背板）</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1" name="图片 9" descr="IMG_264"/>
                      <wp:cNvGraphicFramePr/>
                      <a:graphic xmlns:a="http://schemas.openxmlformats.org/drawingml/2006/main">
                        <a:graphicData uri="http://schemas.openxmlformats.org/drawingml/2006/picture">
                          <pic:pic xmlns:pic="http://schemas.openxmlformats.org/drawingml/2006/picture">
                            <pic:nvPicPr>
                              <pic:cNvPr id="1034" name="图片 9" descr="IMG_264"/>
                              <pic:cNvPicPr/>
                              <pic:nvPr/>
                            </pic:nvPicPr>
                            <pic:blipFill>
                              <a:blip r:embed="rId26"/>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9.0pt;height:56.2pt;mso-wrap-distance-left:0.0pt;mso-wrap-distance-top:0.0pt;mso-wrap-distance-right:0.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2000*1800*1000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二层家具2张，2号楼三层家具4张+2张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床头柜2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2" name="图片 10" descr="IMG_265"/>
                      <wp:cNvGraphicFramePr/>
                      <a:graphic xmlns:a="http://schemas.openxmlformats.org/drawingml/2006/main">
                        <a:graphicData uri="http://schemas.openxmlformats.org/drawingml/2006/picture">
                          <pic:pic xmlns:pic="http://schemas.openxmlformats.org/drawingml/2006/picture">
                            <pic:nvPicPr>
                              <pic:cNvPr id="1035" name="图片 10" descr="IMG_265"/>
                              <pic:cNvPicPr/>
                              <pic:nvPr/>
                            </pic:nvPicPr>
                            <pic:blipFill>
                              <a:blip r:embed="rId27"/>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9.0pt;height:56.2pt;mso-wrap-distance-left:0.0pt;mso-wrap-distance-top:0.0pt;mso-wrap-distance-right:0.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700*500*550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二层家具4张，2号楼三层家具8张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床头柜3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3" name="图片 11" descr="IMG_266"/>
                      <wp:cNvGraphicFramePr/>
                      <a:graphic xmlns:a="http://schemas.openxmlformats.org/drawingml/2006/main">
                        <a:graphicData uri="http://schemas.openxmlformats.org/drawingml/2006/picture">
                          <pic:pic xmlns:pic="http://schemas.openxmlformats.org/drawingml/2006/picture">
                            <pic:nvPicPr>
                              <pic:cNvPr id="1036" name="图片 11" descr="IMG_266"/>
                              <pic:cNvPicPr/>
                              <pic:nvPr/>
                            </pic:nvPicPr>
                            <pic:blipFill>
                              <a:blip r:embed="rId28"/>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9.0pt;height:56.2pt;mso-wrap-distance-left:0.0pt;mso-wrap-distance-top:0.0pt;mso-wrap-distance-right:0.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700*500*550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休闲椅2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4" name="图片 12" descr="IMG_267"/>
                      <wp:cNvGraphicFramePr/>
                      <a:graphic xmlns:a="http://schemas.openxmlformats.org/drawingml/2006/main">
                        <a:graphicData uri="http://schemas.openxmlformats.org/drawingml/2006/picture">
                          <pic:pic xmlns:pic="http://schemas.openxmlformats.org/drawingml/2006/picture">
                            <pic:nvPicPr>
                              <pic:cNvPr id="1037" name="图片 12" descr="IMG_267"/>
                              <pic:cNvPicPr/>
                              <pic:nvPr/>
                            </pic:nvPicPr>
                            <pic:blipFill>
                              <a:blip r:embed="rId29"/>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9.0pt;height:56.2pt;mso-wrap-distance-left:0.0pt;mso-wrap-distance-top:0.0pt;mso-wrap-distance-right:0.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585*607*950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二层家具4张，2号楼三层家具8张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4.配置：升降、倾仰多档锁定功能；“三弘”或“KG8”或“万得福”或同等品牌四级气杆、PU+尼龙万向轮，ADC12铝合金脚</w:t>
            </w:r>
            <w:r/>
          </w:p>
        </w:tc>
      </w:tr>
      <w:tr>
        <w:trPr>
          <w:trHeight w:val="12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5" name="图片 13" descr="IMG_268"/>
                      <wp:cNvGraphicFramePr/>
                      <a:graphic xmlns:a="http://schemas.openxmlformats.org/drawingml/2006/main">
                        <a:graphicData uri="http://schemas.openxmlformats.org/drawingml/2006/picture">
                          <pic:pic xmlns:pic="http://schemas.openxmlformats.org/drawingml/2006/picture">
                            <pic:nvPicPr>
                              <pic:cNvPr id="1038" name="图片 13" descr="IMG_268"/>
                              <pic:cNvPicPr/>
                              <pic:nvPr/>
                            </pic:nvPicPr>
                            <pic:blipFill>
                              <a:blip r:embed="rId30"/>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9.0pt;height:56.2pt;mso-wrap-distance-left:0.0pt;mso-wrap-distance-top:0.0pt;mso-wrap-distance-right:0.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L型沙发：</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2820/1900*1000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二层家具2张，2号楼三层家具4张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6" name="图片 14" descr="IMG_269"/>
                      <wp:cNvGraphicFramePr/>
                      <a:graphic xmlns:a="http://schemas.openxmlformats.org/drawingml/2006/main">
                        <a:graphicData uri="http://schemas.openxmlformats.org/drawingml/2006/picture">
                          <pic:pic xmlns:pic="http://schemas.openxmlformats.org/drawingml/2006/picture">
                            <pic:nvPicPr>
                              <pic:cNvPr id="1039" name="图片 14" descr="IMG_269"/>
                              <pic:cNvPicPr/>
                              <pic:nvPr/>
                            </pic:nvPicPr>
                            <pic:blipFill>
                              <a:blip r:embed="rId31"/>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9.0pt;height:56.2pt;mso-wrap-distance-left:0.0pt;mso-wrap-distance-top:0.0pt;mso-wrap-distance-right:0.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茶几：直径800*420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二层家具2张，2号楼三层家具4张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2.天然优质大理石：符合GB/T26696-2011《家具用高分子材料台面板》、JC/T 908-2013《人造石》、GB 6566-2010《建筑材料放射性核素限量》标准。符合耐香烟灼烧1级；耐水蒸汽无突起、龟裂、变色；表面耐划痕1级；耐污染1级；耐高温1级标准。吸水率检测、耐磨性检测符合要求；落球冲击检测合格无破损、放射性检测内照射指数、外照射指数合格。</w:t>
            </w:r>
            <w:r/>
          </w:p>
        </w:tc>
      </w:tr>
      <w:tr>
        <w:trPr>
          <w:trHeight w:val="908"/>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7" name="图片 15" descr="IMG_270"/>
                      <wp:cNvGraphicFramePr/>
                      <a:graphic xmlns:a="http://schemas.openxmlformats.org/drawingml/2006/main">
                        <a:graphicData uri="http://schemas.openxmlformats.org/drawingml/2006/picture">
                          <pic:pic xmlns:pic="http://schemas.openxmlformats.org/drawingml/2006/picture">
                            <pic:nvPicPr>
                              <pic:cNvPr id="1040" name="图片 15" descr="IMG_270"/>
                              <pic:cNvPicPr/>
                              <pic:nvPr/>
                            </pic:nvPicPr>
                            <pic:blipFill>
                              <a:blip r:embed="rId32"/>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9.0pt;height:56.2pt;mso-wrap-distance-left:0.0pt;mso-wrap-distance-top:0.0pt;mso-wrap-distance-right:0.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圆边几：直径</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600*680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二层家具2张，2号楼三层家具4张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四方桌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19200" cy="1304925"/>
                      <wp:effectExtent l="0" t="0" r="0" b="9525"/>
                      <wp:docPr id="18" name="图片 16" descr="IMG_271"/>
                      <wp:cNvGraphicFramePr/>
                      <a:graphic xmlns:a="http://schemas.openxmlformats.org/drawingml/2006/main">
                        <a:graphicData uri="http://schemas.openxmlformats.org/drawingml/2006/picture">
                          <pic:pic xmlns:pic="http://schemas.openxmlformats.org/drawingml/2006/picture">
                            <pic:nvPicPr>
                              <pic:cNvPr id="1041" name="图片 16" descr="IMG_271"/>
                              <pic:cNvPicPr/>
                              <pic:nvPr/>
                            </pic:nvPicPr>
                            <pic:blipFill>
                              <a:blip r:embed="rId33"/>
                              <a:stretch/>
                            </pic:blipFill>
                            <pic:spPr bwMode="auto">
                              <a:xfrm>
                                <a:off x="0" y="0"/>
                                <a:ext cx="1219200"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6.0pt;height:102.8pt;mso-wrap-distance-left:0.0pt;mso-wrap-distance-top:0.0pt;mso-wrap-distance-right:0.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900*900*750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二层家具2张，2号楼三层家具4张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19200" cy="1304925"/>
                      <wp:effectExtent l="0" t="0" r="0" b="9525"/>
                      <wp:docPr id="19" name="图片 17" descr="IMG_272"/>
                      <wp:cNvGraphicFramePr/>
                      <a:graphic xmlns:a="http://schemas.openxmlformats.org/drawingml/2006/main">
                        <a:graphicData uri="http://schemas.openxmlformats.org/drawingml/2006/picture">
                          <pic:pic xmlns:pic="http://schemas.openxmlformats.org/drawingml/2006/picture">
                            <pic:nvPicPr>
                              <pic:cNvPr id="1042" name="图片 17" descr="IMG_272"/>
                              <pic:cNvPicPr/>
                              <pic:nvPr/>
                            </pic:nvPicPr>
                            <pic:blipFill>
                              <a:blip r:embed="rId33"/>
                              <a:stretch/>
                            </pic:blipFill>
                            <pic:spPr bwMode="auto">
                              <a:xfrm>
                                <a:off x="0" y="0"/>
                                <a:ext cx="1219200"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6.0pt;height:102.8pt;mso-wrap-distance-left:0.0pt;mso-wrap-distance-top:0.0pt;mso-wrap-distance-right:0.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550*470*750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二层家具8张，2号楼三层家具16张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休闲椅3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0" name="图片 18" descr="IMG_273"/>
                      <wp:cNvGraphicFramePr/>
                      <a:graphic xmlns:a="http://schemas.openxmlformats.org/drawingml/2006/main">
                        <a:graphicData uri="http://schemas.openxmlformats.org/drawingml/2006/picture">
                          <pic:pic xmlns:pic="http://schemas.openxmlformats.org/drawingml/2006/picture">
                            <pic:nvPicPr>
                              <pic:cNvPr id="1043" name="图片 18" descr="IMG_273"/>
                              <pic:cNvPicPr/>
                              <pic:nvPr/>
                            </pic:nvPicPr>
                            <pic:blipFill>
                              <a:blip r:embed="rId34"/>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9.0pt;height:56.2pt;mso-wrap-distance-left:0.0pt;mso-wrap-distance-top:0.0pt;mso-wrap-distance-right:0.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585*607*950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1" name="图片 19" descr="IMG_274"/>
                      <wp:cNvGraphicFramePr/>
                      <a:graphic xmlns:a="http://schemas.openxmlformats.org/drawingml/2006/main">
                        <a:graphicData uri="http://schemas.openxmlformats.org/drawingml/2006/picture">
                          <pic:pic xmlns:pic="http://schemas.openxmlformats.org/drawingml/2006/picture">
                            <pic:nvPicPr>
                              <pic:cNvPr id="1044" name="图片 19" descr="IMG_274"/>
                              <pic:cNvPicPr/>
                              <pic:nvPr/>
                            </pic:nvPicPr>
                            <pic:blipFill>
                              <a:blip r:embed="rId35"/>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9.0pt;height:56.2pt;mso-wrap-distance-left:0.0pt;mso-wrap-distance-top:0.0pt;mso-wrap-distance-right:0.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L型沙发：</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3420/2130*900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2" name="图片 20" descr="IMG_275"/>
                      <wp:cNvGraphicFramePr/>
                      <a:graphic xmlns:a="http://schemas.openxmlformats.org/drawingml/2006/main">
                        <a:graphicData uri="http://schemas.openxmlformats.org/drawingml/2006/picture">
                          <pic:pic xmlns:pic="http://schemas.openxmlformats.org/drawingml/2006/picture">
                            <pic:nvPicPr>
                              <pic:cNvPr id="1045" name="图片 20" descr="IMG_275"/>
                              <pic:cNvPicPr/>
                              <pic:nvPr/>
                            </pic:nvPicPr>
                            <pic:blipFill>
                              <a:blip r:embed="rId36"/>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0pt;height:56.2pt;mso-wrap-distance-left:0.0pt;mso-wrap-distance-top:0.0pt;mso-wrap-distance-right:0.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边凳：</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1500*600*890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20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组合茶几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3" name="图片 21" descr="IMG_276"/>
                      <wp:cNvGraphicFramePr/>
                      <a:graphic xmlns:a="http://schemas.openxmlformats.org/drawingml/2006/main">
                        <a:graphicData uri="http://schemas.openxmlformats.org/drawingml/2006/picture">
                          <pic:pic xmlns:pic="http://schemas.openxmlformats.org/drawingml/2006/picture">
                            <pic:nvPicPr>
                              <pic:cNvPr id="1046" name="图片 21" descr="IMG_276"/>
                              <pic:cNvPicPr/>
                              <pic:nvPr/>
                            </pic:nvPicPr>
                            <pic:blipFill>
                              <a:blip r:embed="rId37"/>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9.0pt;height:56.2pt;mso-wrap-distance-left:0.0pt;mso-wrap-distance-top:0.0pt;mso-wrap-distance-right:0.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茶几：直径</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1000*420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▲1.桌面优质岩板 ，符合GB/T26696-2011《家具用高分子材料台面板》、JC/T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▲2.优质304不锈钢符合GB/T3325-2024《金属家具通用技术条件》、QB/T3832-1999《轻工产品金属镀层腐蚀试验结果的评价》、QB/T3826-1999《轻工产品金属镀层和化学处理层的耐腐蚀试验方法 中性盐雾试验(NSS)法》</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QB/T3827-1999《轻工产品金属镀层和化学处理层的耐腐蚀试验方法 </w:t>
            </w:r>
            <w:r>
              <w:rPr>
                <w:rFonts w:hint="default" w:ascii="Times New Roman" w:hAnsi="Times New Roman" w:eastAsia="宋体" w:cs="仿宋_GB2312"/>
                <w:i w:val="0"/>
                <w:iCs w:val="0"/>
                <w:color w:val="000000"/>
                <w:sz w:val="24"/>
                <w:szCs w:val="20"/>
                <w:highlight w:val="none"/>
                <w:u w:val="none"/>
                <w:lang w:val="en-US" w:eastAsia="zh-CN"/>
              </w:rPr>
              <w:t xml:space="preserve">乙酸盐雾试验(ASS)法》、GB/T10125-2021《人造气氛腐蚀试验 盐雾试验》标准。喷漆（塑）涂层外观检测符合要求；金属喷漆（塑）涂层理化性能：耐腐蚀、硬度、耐盐浴、冲击强度检测符合要求；附着力0级；铜加速乙酸盐雾连续喷雾200h，镀（涂）层本身的耐腐蚀等级10级、镀（涂）层对基体的保护等级10级；中性盐雾200h，镀（涂）层本身的耐腐蚀等级10级、镀（涂）层对基体的保护等级10级；乙酸盐雾200h，镀（涂）层本身的耐腐蚀等级10级、镀（涂）层对基体的保护等级10级；恒温恒湿试验后:试样表面无开裂。</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4" name="图片 22" descr="IMG_277"/>
                      <wp:cNvGraphicFramePr/>
                      <a:graphic xmlns:a="http://schemas.openxmlformats.org/drawingml/2006/main">
                        <a:graphicData uri="http://schemas.openxmlformats.org/drawingml/2006/picture">
                          <pic:pic xmlns:pic="http://schemas.openxmlformats.org/drawingml/2006/picture">
                            <pic:nvPicPr>
                              <pic:cNvPr id="1047" name="图片 22" descr="IMG_277"/>
                              <pic:cNvPicPr/>
                              <pic:nvPr/>
                            </pic:nvPicPr>
                            <pic:blipFill>
                              <a:blip r:embed="rId38"/>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9.0pt;height:56.2pt;mso-wrap-distance-left:0.0pt;mso-wrap-distance-top:0.0pt;mso-wrap-distance-right:0.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圆边几：直径</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400*680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5" name="图片 23" descr="IMG_278"/>
                      <wp:cNvGraphicFramePr/>
                      <a:graphic xmlns:a="http://schemas.openxmlformats.org/drawingml/2006/main">
                        <a:graphicData uri="http://schemas.openxmlformats.org/drawingml/2006/picture">
                          <pic:pic xmlns:pic="http://schemas.openxmlformats.org/drawingml/2006/picture">
                            <pic:nvPicPr>
                              <pic:cNvPr id="1048" name="图片 23" descr="IMG_278"/>
                              <pic:cNvPicPr/>
                              <pic:nvPr/>
                            </pic:nvPicPr>
                            <pic:blipFill>
                              <a:blip r:embed="rId39"/>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9.0pt;height:56.2pt;mso-wrap-distance-left:0.0pt;mso-wrap-distance-top:0.0pt;mso-wrap-distance-right:0.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2000*700*750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书椅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6" name="图片 24" descr="IMG_279"/>
                      <wp:cNvGraphicFramePr/>
                      <a:graphic xmlns:a="http://schemas.openxmlformats.org/drawingml/2006/main">
                        <a:graphicData uri="http://schemas.openxmlformats.org/drawingml/2006/picture">
                          <pic:pic xmlns:pic="http://schemas.openxmlformats.org/drawingml/2006/picture">
                            <pic:nvPicPr>
                              <pic:cNvPr id="1049" name="图片 24" descr="IMG_279"/>
                              <pic:cNvPicPr/>
                              <pic:nvPr/>
                            </pic:nvPicPr>
                            <pic:blipFill>
                              <a:blip r:embed="rId40"/>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9.0pt;height:56.2pt;mso-wrap-distance-left:0.0pt;mso-wrap-distance-top:0.0pt;mso-wrap-distance-right:0.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550*530*720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消杀间</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三池分离</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7" name="图片 25" descr="IMG_280"/>
                      <wp:cNvGraphicFramePr/>
                      <a:graphic xmlns:a="http://schemas.openxmlformats.org/drawingml/2006/main">
                        <a:graphicData uri="http://schemas.openxmlformats.org/drawingml/2006/picture">
                          <pic:pic xmlns:pic="http://schemas.openxmlformats.org/drawingml/2006/picture">
                            <pic:nvPicPr>
                              <pic:cNvPr id="1050" name="图片 25" descr="IMG_280"/>
                              <pic:cNvPicPr/>
                              <pic:nvPr/>
                            </pic:nvPicPr>
                            <pic:blipFill>
                              <a:blip r:embed="rId41"/>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9.0pt;height:56.2pt;mso-wrap-distance-left:0.0pt;mso-wrap-distance-top:0.0pt;mso-wrap-distance-right:0.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1800*700*750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2号楼其他</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1.优质≥1.0厚度不锈钢：符合GB/T3325-2024《金属家具通用技术条件》、</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QB/T3832-1999《轻工产品金属镀层腐蚀试验结果的评价》、</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QB/T3826-1999《轻工产品金属镀层和化学处理层的耐腐蚀试验方法 中性盐雾试验(NSS)法》</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QB/T3827-1999《轻工产品金属镀层和化学处理层的耐腐蚀试验方法 乙酸盐雾试验(ASS)法》</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GB/T10125-2021《人造气氛腐蚀试验 盐雾试验》标准。</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喷漆（塑）涂层外观检测符合要求；金属喷漆（塑）涂层理化性能：耐腐蚀、硬度、耐盐浴、冲击强度检测符合要求；附着力0级；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铜加速乙酸盐雾连续喷雾200h，镀（涂）层本身的耐腐蚀等级10级、镀（涂）层对基体的保护等级10级；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中性盐雾200h，镀（涂）层本身的耐腐蚀等级10级、镀（涂）层对基体的保护等级10级；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乙酸盐雾200h，镀（涂）层本身的耐腐蚀等级10级、镀（涂）层对基体的保护等级10级；恒温恒湿试验后:试样表面无开裂。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2.配水龙头等</w:t>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消杀间</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8" name="图片 26" descr="IMG_281"/>
                      <wp:cNvGraphicFramePr/>
                      <a:graphic xmlns:a="http://schemas.openxmlformats.org/drawingml/2006/main">
                        <a:graphicData uri="http://schemas.openxmlformats.org/drawingml/2006/picture">
                          <pic:pic xmlns:pic="http://schemas.openxmlformats.org/drawingml/2006/picture">
                            <pic:nvPicPr>
                              <pic:cNvPr id="1051" name="图片 26" descr="IMG_281"/>
                              <pic:cNvPicPr/>
                              <pic:nvPr/>
                            </pic:nvPicPr>
                            <pic:blipFill>
                              <a:blip r:embed="rId42"/>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9.0pt;height:56.2pt;mso-wrap-distance-left:0.0pt;mso-wrap-distance-top:0.0pt;mso-wrap-distance-right:0.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1700*900*500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2号楼其他</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▲1.采用≥0.8优质冷轧钢板：符合GB/T3325-2024《金属家具通用技术条件》、GB/T10125-2021《人造气氛腐蚀试验 盐雾试验》、QB</w:t>
            </w:r>
            <w:r>
              <w:rPr>
                <w:rFonts w:hint="default" w:ascii="Times New Roman" w:hAnsi="Times New Roman" w:eastAsia="宋体" w:cs="仿宋_GB2312"/>
                <w:i w:val="0"/>
                <w:iCs w:val="0"/>
                <w:color w:val="000000"/>
                <w:sz w:val="24"/>
                <w:szCs w:val="20"/>
                <w:highlight w:val="none"/>
                <w:u w:val="none"/>
                <w:lang w:val="en-US" w:eastAsia="zh-CN"/>
              </w:rPr>
              <w:t xml:space="preserve">/T 3826-1999《轻工产品金属镀层和化学处理层的耐腐蚀试验方法 中性盐雾试验(NSS)法》、QB/T 3827-1999《轻工产品金属镀层和化学处理层的耐腐蚀试验方法 乙酸盐雾试验(ASS)法》、QB/T 3828-1999《轻工产品金属镀层和化学处理层的耐腐蚀试验方法铜盐加速乙酸盐雾试验(CASS)法》、GB/T 21604-2022《化学品 急性皮肤刺激性/腐蚀性试验方法》、GB/T 11253-2019《碳素结构钢冷轧钢板及钢带》、GB/T35607-2024《绿色产品评价家具》、GB/T 4</w:t>
            </w:r>
            <w:r>
              <w:rPr>
                <w:rFonts w:hint="default" w:ascii="Times New Roman" w:hAnsi="Times New Roman" w:eastAsia="宋体" w:cs="仿宋_GB2312"/>
                <w:i w:val="0"/>
                <w:iCs w:val="0"/>
                <w:color w:val="000000"/>
                <w:sz w:val="24"/>
                <w:szCs w:val="20"/>
                <w:highlight w:val="none"/>
                <w:u w:val="none"/>
                <w:lang w:val="en-US" w:eastAsia="zh-CN"/>
              </w:rPr>
              <w:t xml:space="preserve">337-2025 《金属材料 疲劳试验 旋转弯曲方法》标准。铜加速乙酸盐雾连续喷雾200h、中性盐雾200h、乙酸盐雾200h、铜盐加速乙酸盐雾试验（CASS）连续喷雾18h，镀（涂）层本身的耐腐蚀等级：10级，镀（涂）层对基体的保护等级：10级；抗拉强度、下屈服强度、断后伸长率、冲击强度检测符合要求；附着力0级；硬度检测达3H,无塑性变形和内聚破坏；旋转弯曲疲劳试验大于200万次目测无裂纹，样品未断裂；家具涂层可迁移元素未检出；急性皮肤刺激性/腐蚀性试验无刺激性推荐品牌：宝钢、武钢、鞍钢或同档次其他品牌；</w:t>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室外阳台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落地晾衣杆（活动</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9" name="图片 27" descr="IMG_282"/>
                      <wp:cNvGraphicFramePr/>
                      <a:graphic xmlns:a="http://schemas.openxmlformats.org/drawingml/2006/main">
                        <a:graphicData uri="http://schemas.openxmlformats.org/drawingml/2006/picture">
                          <pic:pic xmlns:pic="http://schemas.openxmlformats.org/drawingml/2006/picture">
                            <pic:nvPicPr>
                              <pic:cNvPr id="1052" name="图片 27" descr="IMG_282"/>
                              <pic:cNvPicPr/>
                              <pic:nvPr/>
                            </pic:nvPicPr>
                            <pic:blipFill>
                              <a:blip r:embed="rId43"/>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9.0pt;height:56.2pt;mso-wrap-distance-left:0.0pt;mso-wrap-distance-top:0.0pt;mso-wrap-distance-right:0.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1600*500*1600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2号楼其他</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1.优质≥1.0厚度不锈钢：符合GB/T3325-2024《金属家具通用技术条件》、</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QB/T3832-1999《轻工产品金属镀层腐蚀试验结果的评价》、</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QB/T3826-1999《轻工产品金属镀层和化学处理层的耐腐蚀试验方法 中性盐雾试验(NSS)法》</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QB/T3827-1999《轻工产品金属镀层和化学处理层的耐腐蚀试验方法 乙酸盐雾试验(ASS)法》</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GB/T10125-2021《人造气氛腐蚀试验 盐雾试验》标准。</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喷漆（塑）涂层外观检测符合要求；金属喷漆（塑）涂层理化性能：耐腐蚀、硬度、耐盐浴、冲击强度检测符合要求；附着力0级；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铜加速乙酸盐雾连续喷雾200h，镀（涂）层本身的耐腐蚀等级10级、镀（涂）层对基体的保护等级10级；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中性盐雾200h，镀（涂）层本身的耐腐蚀等级10级、镀（涂）层对基体的保护等级10级；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乙酸盐雾200h，镀（涂）层本身的耐腐蚀等级10级、镀（涂）层对基体的保护等级10级；恒温恒湿试验后:试样表面无开裂。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2.配水龙头等</w:t>
            </w:r>
            <w:r/>
          </w:p>
        </w:tc>
      </w:tr>
      <w:tr>
        <w:trPr>
          <w:trHeight w:val="210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接待台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30" name="图片 28" descr="IMG_283"/>
                      <wp:cNvGraphicFramePr/>
                      <a:graphic xmlns:a="http://schemas.openxmlformats.org/drawingml/2006/main">
                        <a:graphicData uri="http://schemas.openxmlformats.org/drawingml/2006/picture">
                          <pic:pic xmlns:pic="http://schemas.openxmlformats.org/drawingml/2006/picture">
                            <pic:nvPicPr>
                              <pic:cNvPr id="1053" name="图片 28" descr="IMG_283"/>
                              <pic:cNvPicPr/>
                              <pic:nvPr/>
                            </pic:nvPicPr>
                            <pic:blipFill>
                              <a:blip r:embed="rId44"/>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8pt;height:57.0pt;mso-wrap-distance-left:0.0pt;mso-wrap-distance-top:0.0pt;mso-wrap-distance-right:0.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6500*800*1050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5.四周围边采用天然大理石，色泽一致，无明显色差。台面光滑平整、无波纹、方料痕、刮痕、裂纹。</w:t>
            </w:r>
            <w:r>
              <w:rPr>
                <w:rFonts w:hint="eastAsia" w:cs="仿宋_GB2312"/>
                <w:i w:val="0"/>
                <w:iCs w:val="0"/>
                <w:color w:val="000000"/>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000000"/>
                <w:sz w:val="24"/>
                <w:szCs w:val="20"/>
                <w:highlight w:val="none"/>
                <w:u w:val="none"/>
                <w:lang w:val="en-US" w:eastAsia="zh-CN"/>
              </w:rPr>
              <w:t xml:space="preserve">，符合国家标准的环境卫生要求。推荐品牌：溪石、万里石、东升或同档次其他品牌；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6.工艺要求：底部带灯带</w:t>
            </w:r>
            <w:r/>
          </w:p>
        </w:tc>
      </w:tr>
      <w:tr>
        <w:trPr>
          <w:trHeight w:val="3282"/>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多功能厅、专案工作室（120人）213、90人研讨教室221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31" name="图片 29" descr="IMG_284"/>
                      <wp:cNvGraphicFramePr/>
                      <a:graphic xmlns:a="http://schemas.openxmlformats.org/drawingml/2006/main">
                        <a:graphicData uri="http://schemas.openxmlformats.org/drawingml/2006/picture">
                          <pic:pic xmlns:pic="http://schemas.openxmlformats.org/drawingml/2006/picture">
                            <pic:nvPicPr>
                              <pic:cNvPr id="1054" name="图片 29" descr="IMG_284"/>
                              <pic:cNvPicPr/>
                              <pic:nvPr/>
                            </pic:nvPicPr>
                            <pic:blipFill>
                              <a:blip r:embed="rId45"/>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9.8pt;height:57.0pt;mso-wrap-distance-left:0.0pt;mso-wrap-distance-top:0.0pt;mso-wrap-distance-right:0.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1600*600*750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一张主席台配2把椅子，3号楼一层家具5张，3号楼二层家具5张+3张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多功能厅、专案工作室（120人）213、90人研讨教室221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85825" cy="714375"/>
                      <wp:effectExtent l="0" t="0" r="9525" b="9525"/>
                      <wp:docPr id="32" name="图片 30" descr="IMG_285"/>
                      <wp:cNvGraphicFramePr/>
                      <a:graphic xmlns:a="http://schemas.openxmlformats.org/drawingml/2006/main">
                        <a:graphicData uri="http://schemas.openxmlformats.org/drawingml/2006/picture">
                          <pic:pic xmlns:pic="http://schemas.openxmlformats.org/drawingml/2006/picture">
                            <pic:nvPicPr>
                              <pic:cNvPr id="1055" name="图片 30" descr="IMG_285"/>
                              <pic:cNvPicPr/>
                              <pic:nvPr/>
                            </pic:nvPicPr>
                            <pic:blipFill>
                              <a:blip r:embed="rId46"/>
                              <a:stretch/>
                            </pic:blipFill>
                            <pic:spPr bwMode="auto">
                              <a:xfrm>
                                <a:off x="0" y="0"/>
                                <a:ext cx="885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9.8pt;height:56.2pt;mso-wrap-distance-left:0.0pt;mso-wrap-distance-top:0.0pt;mso-wrap-distance-right:0.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625*790*1060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3号楼一层家具10张，3号楼二层家具10张+6张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▲3.优质牛皮：符合GB/T 16799-2018《家具用皮革》 GB/T 19941.2-2019《皮革和毛皮 甲醛含量的测定 第2部分：分光光度法》 GB 20400-2006《皮革和毛皮 有害物质限量》标准。游离甲醛、挥发性有机物（VOC）、禁用偶氮染料未检出；有害物质限量值-可分解有害芳香胺染料未检出。</w:t>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多功能厅、90人研讨教室221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4人条桌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33" name="图片 31" descr="IMG_286"/>
                      <wp:cNvGraphicFramePr/>
                      <a:graphic xmlns:a="http://schemas.openxmlformats.org/drawingml/2006/main">
                        <a:graphicData uri="http://schemas.openxmlformats.org/drawingml/2006/picture">
                          <pic:pic xmlns:pic="http://schemas.openxmlformats.org/drawingml/2006/picture">
                            <pic:nvPicPr>
                              <pic:cNvPr id="1056" name="图片 31" descr="IMG_286"/>
                              <pic:cNvPicPr/>
                              <pic:nvPr/>
                            </pic:nvPicPr>
                            <pic:blipFill>
                              <a:blip r:embed="rId47"/>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9.8pt;height:57.0pt;mso-wrap-distance-left:0.0pt;mso-wrap-distance-top:0.0pt;mso-wrap-distance-right:0.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2400*500*750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一张桌配4把椅子，3号楼一层家具64张，3号楼二层家具12张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45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多功能厅、案件审查工作室209、专案工作室（120人）213、25人案情分析室214、12人案情分析室215、18人战术训练室217和219、32人侦查技术室216、90人研讨教室221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666750" cy="714375"/>
                      <wp:effectExtent l="0" t="0" r="0" b="9525"/>
                      <wp:docPr id="34" name="图片 32" descr="IMG_287"/>
                      <wp:cNvGraphicFramePr/>
                      <a:graphic xmlns:a="http://schemas.openxmlformats.org/drawingml/2006/main">
                        <a:graphicData uri="http://schemas.openxmlformats.org/drawingml/2006/picture">
                          <pic:pic xmlns:pic="http://schemas.openxmlformats.org/drawingml/2006/picture">
                            <pic:nvPicPr>
                              <pic:cNvPr id="1057" name="图片 32" descr="IMG_287"/>
                              <pic:cNvPicPr/>
                              <pic:nvPr/>
                            </pic:nvPicPr>
                            <pic:blipFill>
                              <a:blip r:embed="rId48"/>
                              <a:stretch/>
                            </pic:blipFill>
                            <pic:spPr bwMode="auto">
                              <a:xfrm>
                                <a:off x="0" y="0"/>
                                <a:ext cx="66675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2.5pt;height:56.2pt;mso-wrap-distance-left:0.0pt;mso-wrap-distance-top:0.0pt;mso-wrap-distance-right:0.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592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3号楼一层家具256张，3号楼二层家具336张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候会室、候会室</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单人沙发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38250" cy="876300"/>
                      <wp:effectExtent l="0" t="0" r="0" b="0"/>
                      <wp:docPr id="35" name="图片 33" descr="IMG_288"/>
                      <wp:cNvGraphicFramePr/>
                      <a:graphic xmlns:a="http://schemas.openxmlformats.org/drawingml/2006/main">
                        <a:graphicData uri="http://schemas.openxmlformats.org/drawingml/2006/picture">
                          <pic:pic xmlns:pic="http://schemas.openxmlformats.org/drawingml/2006/picture">
                            <pic:nvPicPr>
                              <pic:cNvPr id="1058" name="图片 33" descr="IMG_288"/>
                              <pic:cNvPicPr/>
                              <pic:nvPr/>
                            </pic:nvPicPr>
                            <pic:blipFill>
                              <a:blip r:embed="rId49"/>
                              <a:stretch/>
                            </pic:blipFill>
                            <pic:spPr bwMode="auto">
                              <a:xfrm>
                                <a:off x="0" y="0"/>
                                <a:ext cx="1238250" cy="87629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7.5pt;height:69.0pt;mso-wrap-distance-left:0.0pt;mso-wrap-distance-top:0.0pt;mso-wrap-distance-right:0.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870*830*900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3号楼一层家具10张，3号楼二层家具10张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3.优质牛皮：符合GB/T 16799-2018《家具用皮革》 GB/T 19941.2-2019《皮革和毛皮 甲醛含量的测定 第2部分：分光光度法》 GB 20400-2006《皮革和毛皮 有害物质限量》标准。游离甲醛、挥发性有机物（VOC）、禁用偶氮染料未检出；有害物质限量值-可分解有害芳香胺染料未检出。</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候会室、候会室</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茶几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38250" cy="876300"/>
                      <wp:effectExtent l="0" t="0" r="0" b="0"/>
                      <wp:docPr id="36" name="图片 34" descr="IMG_289"/>
                      <wp:cNvGraphicFramePr/>
                      <a:graphic xmlns:a="http://schemas.openxmlformats.org/drawingml/2006/main">
                        <a:graphicData uri="http://schemas.openxmlformats.org/drawingml/2006/picture">
                          <pic:pic xmlns:pic="http://schemas.openxmlformats.org/drawingml/2006/picture">
                            <pic:nvPicPr>
                              <pic:cNvPr id="1059" name="图片 34" descr="IMG_289"/>
                              <pic:cNvPicPr/>
                              <pic:nvPr/>
                            </pic:nvPicPr>
                            <pic:blipFill>
                              <a:blip r:embed="rId49"/>
                              <a:stretch/>
                            </pic:blipFill>
                            <pic:spPr bwMode="auto">
                              <a:xfrm>
                                <a:off x="0" y="0"/>
                                <a:ext cx="1238250" cy="87629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7.5pt;height:69.0pt;mso-wrap-distance-left:0.0pt;mso-wrap-distance-top:0.0pt;mso-wrap-distance-right:0.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550*500*550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3号楼一层家具8张，3号楼二层家具9张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1033"/>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04875" cy="666750"/>
                      <wp:effectExtent l="0" t="0" r="9525" b="0"/>
                      <wp:docPr id="37" name="图片 35" descr="IMG_290"/>
                      <wp:cNvGraphicFramePr/>
                      <a:graphic xmlns:a="http://schemas.openxmlformats.org/drawingml/2006/main">
                        <a:graphicData uri="http://schemas.openxmlformats.org/drawingml/2006/picture">
                          <pic:pic xmlns:pic="http://schemas.openxmlformats.org/drawingml/2006/picture">
                            <pic:nvPicPr>
                              <pic:cNvPr id="1060" name="图片 35" descr="IMG_290"/>
                              <pic:cNvPicPr/>
                              <pic:nvPr/>
                            </pic:nvPicPr>
                            <pic:blipFill>
                              <a:blip r:embed="rId50"/>
                              <a:stretch/>
                            </pic:blipFill>
                            <pic:spPr bwMode="auto">
                              <a:xfrm>
                                <a:off x="0" y="0"/>
                                <a:ext cx="904875"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1.2pt;height:52.5pt;mso-wrap-distance-left:0.0pt;mso-wrap-distance-top:0.0pt;mso-wrap-distance-right:0.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直径800*750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r>
      <w:tr>
        <w:trPr>
          <w:trHeight w:val="19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71550" cy="666750"/>
                      <wp:effectExtent l="0" t="0" r="0" b="0"/>
                      <wp:docPr id="38" name="图片 36" descr="IMG_291"/>
                      <wp:cNvGraphicFramePr/>
                      <a:graphic xmlns:a="http://schemas.openxmlformats.org/drawingml/2006/main">
                        <a:graphicData uri="http://schemas.openxmlformats.org/drawingml/2006/picture">
                          <pic:pic xmlns:pic="http://schemas.openxmlformats.org/drawingml/2006/picture">
                            <pic:nvPicPr>
                              <pic:cNvPr id="1061" name="图片 36" descr="IMG_291"/>
                              <pic:cNvPicPr/>
                              <pic:nvPr/>
                            </pic:nvPicPr>
                            <pic:blipFill>
                              <a:blip r:embed="rId51"/>
                              <a:stretch/>
                            </pic:blipFill>
                            <pic:spPr bwMode="auto">
                              <a:xfrm>
                                <a:off x="0" y="0"/>
                                <a:ext cx="971550"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6.5pt;height:52.5pt;mso-wrap-distance-left:0.0pt;mso-wrap-distance-top:0.0pt;mso-wrap-distance-right:0.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2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4人长餐桌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39" name="图片 37" descr="IMG_292"/>
                      <wp:cNvGraphicFramePr/>
                      <a:graphic xmlns:a="http://schemas.openxmlformats.org/drawingml/2006/main">
                        <a:graphicData uri="http://schemas.openxmlformats.org/drawingml/2006/picture">
                          <pic:pic xmlns:pic="http://schemas.openxmlformats.org/drawingml/2006/picture">
                            <pic:nvPicPr>
                              <pic:cNvPr id="1062" name="图片 37" descr="IMG_292"/>
                              <pic:cNvPicPr/>
                              <pic:nvPr/>
                            </pic:nvPicPr>
                            <pic:blipFill>
                              <a:blip r:embed="rId52"/>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9.8pt;height:57.0pt;mso-wrap-distance-left:0.0pt;mso-wrap-distance-top:0.0pt;mso-wrap-distance-right:0.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配156张餐椅</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3"/>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3"/>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2.PVC封边条：符合QB/T 4463-2025《家具用封边条》、</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GB/T 17657-2022《</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人造板及饰面人造板理化性能试验方法</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3.钢管：壁厚≥1.5mm，符合GB/T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Style w:val="1183"/>
                <w:rFonts w:ascii="Times New Roman" w:hAnsi="Times New Roman" w:eastAsia="宋体"/>
                <w:sz w:val="24"/>
                <w:szCs w:val="20"/>
                <w:highlight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餐椅1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04875" cy="666750"/>
                      <wp:effectExtent l="0" t="0" r="9525" b="0"/>
                      <wp:docPr id="40" name="图片 38" descr="IMG_293"/>
                      <wp:cNvGraphicFramePr/>
                      <a:graphic xmlns:a="http://schemas.openxmlformats.org/drawingml/2006/main">
                        <a:graphicData uri="http://schemas.openxmlformats.org/drawingml/2006/picture">
                          <pic:pic xmlns:pic="http://schemas.openxmlformats.org/drawingml/2006/picture">
                            <pic:nvPicPr>
                              <pic:cNvPr id="1063" name="图片 38" descr="IMG_293"/>
                              <pic:cNvPicPr/>
                              <pic:nvPr/>
                            </pic:nvPicPr>
                            <pic:blipFill>
                              <a:blip r:embed="rId53"/>
                              <a:stretch/>
                            </pic:blipFill>
                            <pic:spPr bwMode="auto">
                              <a:xfrm>
                                <a:off x="0" y="0"/>
                                <a:ext cx="904875"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1.2pt;height:52.5pt;mso-wrap-distance-left:0.0pt;mso-wrap-distance-top:0.0pt;mso-wrap-distance-right:0.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1189"/>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41" name="图片 39" descr="IMG_294"/>
                      <wp:cNvGraphicFramePr/>
                      <a:graphic xmlns:a="http://schemas.openxmlformats.org/drawingml/2006/main">
                        <a:graphicData uri="http://schemas.openxmlformats.org/drawingml/2006/picture">
                          <pic:pic xmlns:pic="http://schemas.openxmlformats.org/drawingml/2006/picture">
                            <pic:nvPicPr>
                              <pic:cNvPr id="1064" name="图片 39" descr="IMG_294"/>
                              <pic:cNvPicPr/>
                              <pic:nvPr/>
                            </pic:nvPicPr>
                            <pic:blipFill>
                              <a:blip r:embed="rId54"/>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99.8pt;height:57.0pt;mso-wrap-distance-left:0.0pt;mso-wrap-distance-top:0.0pt;mso-wrap-distance-right:0.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直径1200*750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1.整体采用天然大理石，色泽一致，无明显色差。台面光滑平整、无波纹、方料痕、刮痕、裂纹。</w:t>
            </w:r>
            <w:r>
              <w:rPr>
                <w:rFonts w:hint="eastAsia" w:cs="仿宋_GB2312"/>
                <w:i w:val="0"/>
                <w:iCs w:val="0"/>
                <w:color w:val="000000"/>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000000"/>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2.台面带转盘</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19150" cy="666750"/>
                      <wp:effectExtent l="0" t="0" r="0" b="0"/>
                      <wp:docPr id="42" name="图片 40" descr="IMG_295"/>
                      <wp:cNvGraphicFramePr/>
                      <a:graphic xmlns:a="http://schemas.openxmlformats.org/drawingml/2006/main">
                        <a:graphicData uri="http://schemas.openxmlformats.org/drawingml/2006/picture">
                          <pic:pic xmlns:pic="http://schemas.openxmlformats.org/drawingml/2006/picture">
                            <pic:nvPicPr>
                              <pic:cNvPr id="1065" name="图片 40" descr="IMG_295"/>
                              <pic:cNvPicPr/>
                              <pic:nvPr/>
                            </pic:nvPicPr>
                            <pic:blipFill>
                              <a:blip r:embed="rId55"/>
                              <a:stretch/>
                            </pic:blipFill>
                            <pic:spPr bwMode="auto">
                              <a:xfrm>
                                <a:off x="0" y="0"/>
                                <a:ext cx="819150"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4.5pt;height:52.5pt;mso-wrap-distance-left:0.0pt;mso-wrap-distance-top:0.0pt;mso-wrap-distance-right:0.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037590" cy="666750"/>
                      <wp:effectExtent l="0" t="0" r="9525" b="0"/>
                      <wp:docPr id="43" name="图片 41" descr="IMG_296"/>
                      <wp:cNvGraphicFramePr/>
                      <a:graphic xmlns:a="http://schemas.openxmlformats.org/drawingml/2006/main">
                        <a:graphicData uri="http://schemas.openxmlformats.org/drawingml/2006/picture">
                          <pic:pic xmlns:pic="http://schemas.openxmlformats.org/drawingml/2006/picture">
                            <pic:nvPicPr>
                              <pic:cNvPr id="1066" name="图片 41" descr="IMG_296"/>
                              <pic:cNvPicPr/>
                              <pic:nvPr/>
                            </pic:nvPicPr>
                            <pic:blipFill>
                              <a:blip r:embed="rId56"/>
                              <a:stretch/>
                            </pic:blipFill>
                            <pic:spPr bwMode="auto">
                              <a:xfrm>
                                <a:off x="0" y="0"/>
                                <a:ext cx="1038224"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81.7pt;height:52.5pt;mso-wrap-distance-left:0.0pt;mso-wrap-distance-top:0.0pt;mso-wrap-distance-right:0.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直径350*560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3"/>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3"/>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2.PVC封边条：符合QB/T 4463-2025《家具用封边条》、</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GB/T 17657-2022《</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人造板及饰面人造板理化性能试验方法</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3.钢管：壁厚≥1.5mm，符合GB/T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Style w:val="1183"/>
                <w:rFonts w:ascii="Times New Roman" w:hAnsi="Times New Roman" w:eastAsia="宋体"/>
                <w:sz w:val="24"/>
                <w:szCs w:val="20"/>
                <w:highlight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317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133475" cy="885825"/>
                      <wp:effectExtent l="0" t="0" r="9525" b="9525"/>
                      <wp:docPr id="44" name="图片 42" descr="IMG_297"/>
                      <wp:cNvGraphicFramePr/>
                      <a:graphic xmlns:a="http://schemas.openxmlformats.org/drawingml/2006/main">
                        <a:graphicData uri="http://schemas.openxmlformats.org/drawingml/2006/picture">
                          <pic:pic xmlns:pic="http://schemas.openxmlformats.org/drawingml/2006/picture">
                            <pic:nvPicPr>
                              <pic:cNvPr id="1067" name="图片 42" descr="IMG_297"/>
                              <pic:cNvPicPr/>
                              <pic:nvPr/>
                            </pic:nvPicPr>
                            <pic:blipFill>
                              <a:blip r:embed="rId57"/>
                              <a:stretch/>
                            </pic:blipFill>
                            <pic:spPr bwMode="auto">
                              <a:xfrm>
                                <a:off x="0" y="0"/>
                                <a:ext cx="1133475" cy="8858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89.2pt;height:69.8pt;mso-wrap-distance-left:0.0pt;mso-wrap-distance-top:0.0pt;mso-wrap-distance-right:0.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直径3000*750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搭配32张餐椅，3号楼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5.台面采用天然大理石，色泽一致，无明显色差。台面光滑平整、无波纹、方料痕、刮痕、裂纹。</w:t>
            </w:r>
            <w:r>
              <w:rPr>
                <w:rFonts w:hint="eastAsia" w:cs="仿宋_GB2312"/>
                <w:i w:val="0"/>
                <w:iCs w:val="0"/>
                <w:color w:val="000000"/>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000000"/>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6.台面带转盘</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餐椅2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771525" cy="666750"/>
                      <wp:effectExtent l="0" t="0" r="9525" b="0"/>
                      <wp:docPr id="45" name="图片 43" descr="IMG_298"/>
                      <wp:cNvGraphicFramePr/>
                      <a:graphic xmlns:a="http://schemas.openxmlformats.org/drawingml/2006/main">
                        <a:graphicData uri="http://schemas.openxmlformats.org/drawingml/2006/picture">
                          <pic:pic xmlns:pic="http://schemas.openxmlformats.org/drawingml/2006/picture">
                            <pic:nvPicPr>
                              <pic:cNvPr id="1068" name="图片 43" descr="IMG_298"/>
                              <pic:cNvPicPr/>
                              <pic:nvPr/>
                            </pic:nvPicPr>
                            <pic:blipFill>
                              <a:blip r:embed="rId58"/>
                              <a:stretch/>
                            </pic:blipFill>
                            <pic:spPr bwMode="auto">
                              <a:xfrm>
                                <a:off x="0" y="0"/>
                                <a:ext cx="771525"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0.8pt;height:52.5pt;mso-wrap-distance-left:0.0pt;mso-wrap-distance-top:0.0pt;mso-wrap-distance-right:0.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163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46" name="图片 44" descr="IMG_299"/>
                      <wp:cNvGraphicFramePr/>
                      <a:graphic xmlns:a="http://schemas.openxmlformats.org/drawingml/2006/main">
                        <a:graphicData uri="http://schemas.openxmlformats.org/drawingml/2006/picture">
                          <pic:pic xmlns:pic="http://schemas.openxmlformats.org/drawingml/2006/picture">
                            <pic:nvPicPr>
                              <pic:cNvPr id="1069" name="图片 44" descr="IMG_299"/>
                              <pic:cNvPicPr/>
                              <pic:nvPr/>
                            </pic:nvPicPr>
                            <pic:blipFill>
                              <a:blip r:embed="rId59"/>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99.8pt;height:57.0pt;mso-wrap-distance-left:0.0pt;mso-wrap-distance-top:0.0pt;mso-wrap-distance-right:0.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L型沙发：</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2530/1730*755*420/800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6.</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498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71550" cy="666750"/>
                      <wp:effectExtent l="0" t="0" r="0" b="0"/>
                      <wp:docPr id="47" name="图片 45" descr="IMG_300"/>
                      <wp:cNvGraphicFramePr/>
                      <a:graphic xmlns:a="http://schemas.openxmlformats.org/drawingml/2006/main">
                        <a:graphicData uri="http://schemas.openxmlformats.org/drawingml/2006/picture">
                          <pic:pic xmlns:pic="http://schemas.openxmlformats.org/drawingml/2006/picture">
                            <pic:nvPicPr>
                              <pic:cNvPr id="1070" name="图片 45" descr="IMG_300"/>
                              <pic:cNvPicPr/>
                              <pic:nvPr/>
                            </pic:nvPicPr>
                            <pic:blipFill>
                              <a:blip r:embed="rId60"/>
                              <a:stretch/>
                            </pic:blipFill>
                            <pic:spPr bwMode="auto">
                              <a:xfrm>
                                <a:off x="0" y="0"/>
                                <a:ext cx="971550"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6.5pt;height:52.5pt;mso-wrap-distance-left:0.0pt;mso-wrap-distance-top:0.0pt;mso-wrap-distance-right:0.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单椅： 700*710*420/820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42975" cy="429260"/>
                      <wp:effectExtent l="0" t="0" r="9525" b="8890"/>
                      <wp:docPr id="48" name="图片 46" descr="IMG_301"/>
                      <wp:cNvGraphicFramePr/>
                      <a:graphic xmlns:a="http://schemas.openxmlformats.org/drawingml/2006/main">
                        <a:graphicData uri="http://schemas.openxmlformats.org/drawingml/2006/picture">
                          <pic:pic xmlns:pic="http://schemas.openxmlformats.org/drawingml/2006/picture">
                            <pic:nvPicPr>
                              <pic:cNvPr id="1071" name="图片 46" descr="IMG_301"/>
                              <pic:cNvPicPr/>
                              <pic:nvPr/>
                            </pic:nvPicPr>
                            <pic:blipFill>
                              <a:blip r:embed="rId61"/>
                              <a:stretch/>
                            </pic:blipFill>
                            <pic:spPr bwMode="auto">
                              <a:xfrm>
                                <a:off x="0" y="0"/>
                                <a:ext cx="942975" cy="4292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4.2pt;height:33.8pt;mso-wrap-distance-left:0.0pt;mso-wrap-distance-top:0.0pt;mso-wrap-distance-right:0.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茶几：1300*700*300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1.台面采用天然大理石，色泽一致，无明显色差。台面光滑平整、无波纹、方料痕、刮痕、裂纹。</w:t>
            </w:r>
            <w:r>
              <w:rPr>
                <w:rFonts w:hint="eastAsia" w:cs="仿宋_GB2312"/>
                <w:i w:val="0"/>
                <w:iCs w:val="0"/>
                <w:color w:val="000000"/>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000000"/>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71550" cy="666750"/>
                      <wp:effectExtent l="0" t="0" r="0" b="0"/>
                      <wp:docPr id="49" name="图片 47" descr="IMG_302"/>
                      <wp:cNvGraphicFramePr/>
                      <a:graphic xmlns:a="http://schemas.openxmlformats.org/drawingml/2006/main">
                        <a:graphicData uri="http://schemas.openxmlformats.org/drawingml/2006/picture">
                          <pic:pic xmlns:pic="http://schemas.openxmlformats.org/drawingml/2006/picture">
                            <pic:nvPicPr>
                              <pic:cNvPr id="1072" name="图片 47" descr="IMG_302"/>
                              <pic:cNvPicPr/>
                              <pic:nvPr/>
                            </pic:nvPicPr>
                            <pic:blipFill>
                              <a:blip r:embed="rId62"/>
                              <a:stretch/>
                            </pic:blipFill>
                            <pic:spPr bwMode="auto">
                              <a:xfrm>
                                <a:off x="0" y="0"/>
                                <a:ext cx="971550"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6.5pt;height:52.5pt;mso-wrap-distance-left:0.0pt;mso-wrap-distance-top:0.0pt;mso-wrap-distance-right:0.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圆边几：直径500*500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1.整体采用天然大理石，色泽一致，无明显色差。台面光滑平整、无波纹、方料痕、刮痕、裂纹。</w:t>
            </w:r>
            <w:r>
              <w:rPr>
                <w:rFonts w:hint="eastAsia" w:cs="仿宋_GB2312"/>
                <w:i w:val="0"/>
                <w:iCs w:val="0"/>
                <w:color w:val="000000"/>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000000"/>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2.台面带转盘</w:t>
            </w:r>
            <w:r/>
          </w:p>
        </w:tc>
      </w:tr>
      <w:tr>
        <w:trPr>
          <w:trHeight w:val="78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备餐台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50" name="图片 48" descr="IMG_303"/>
                      <wp:cNvGraphicFramePr/>
                      <a:graphic xmlns:a="http://schemas.openxmlformats.org/drawingml/2006/main">
                        <a:graphicData uri="http://schemas.openxmlformats.org/drawingml/2006/picture">
                          <pic:pic xmlns:pic="http://schemas.openxmlformats.org/drawingml/2006/picture">
                            <pic:nvPicPr>
                              <pic:cNvPr id="1073" name="图片 48" descr="IMG_303"/>
                              <pic:cNvPicPr/>
                              <pic:nvPr/>
                            </pic:nvPicPr>
                            <pic:blipFill>
                              <a:blip r:embed="rId63"/>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9.8pt;height:57.0pt;mso-wrap-distance-left:0.0pt;mso-wrap-distance-top:0.0pt;mso-wrap-distance-right:0.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1680*500*850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4.台面采用天然大理石，色泽一致，无明显色差。台面光滑平整、无波纹、方料痕、刮痕、裂纹。</w:t>
            </w:r>
            <w:r>
              <w:rPr>
                <w:rFonts w:hint="eastAsia" w:cs="仿宋_GB2312"/>
                <w:i w:val="0"/>
                <w:iCs w:val="0"/>
                <w:color w:val="000000"/>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000000"/>
                <w:sz w:val="24"/>
                <w:szCs w:val="20"/>
                <w:highlight w:val="none"/>
                <w:u w:val="none"/>
                <w:lang w:val="en-US" w:eastAsia="zh-CN"/>
              </w:rPr>
              <w:t xml:space="preserve">，符合国家标准的环境卫生要求</w:t>
            </w:r>
            <w:r/>
          </w:p>
        </w:tc>
      </w:tr>
      <w:tr>
        <w:trPr>
          <w:trHeight w:val="223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案件审查工作室共9间(201/202/203/204/205/206/207/208/210)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1247775"/>
                      <wp:effectExtent l="0" t="0" r="9525" b="9525"/>
                      <wp:docPr id="51" name="图片 49" descr="IMG_304"/>
                      <wp:cNvGraphicFramePr/>
                      <a:graphic xmlns:a="http://schemas.openxmlformats.org/drawingml/2006/main">
                        <a:graphicData uri="http://schemas.openxmlformats.org/drawingml/2006/picture">
                          <pic:pic xmlns:pic="http://schemas.openxmlformats.org/drawingml/2006/picture">
                            <pic:nvPicPr>
                              <pic:cNvPr id="1074" name="图片 49" descr="IMG_304"/>
                              <pic:cNvPicPr/>
                              <pic:nvPr/>
                            </pic:nvPicPr>
                            <pic:blipFill>
                              <a:blip r:embed="rId64"/>
                              <a:stretch/>
                            </pic:blipFill>
                            <pic:spPr bwMode="auto">
                              <a:xfrm>
                                <a:off x="0" y="0"/>
                                <a:ext cx="1266825" cy="12477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9.8pt;height:98.2pt;mso-wrap-distance-left:0.0pt;mso-wrap-distance-top:0.0pt;mso-wrap-distance-right:0.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一张桌配一把办公椅1，3号楼二层家具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5"/>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5"/>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2.三聚氰胺饰面实木多层板：饰面三聚氰胺浸渍纸符合GB/T</w:t>
            </w:r>
            <w:r>
              <w:rPr>
                <w:rStyle w:val="1185"/>
                <w:rFonts w:ascii="Times New Roman" w:hAnsi="Times New Roman" w:eastAsia="宋体"/>
                <w:sz w:val="24"/>
                <w:szCs w:val="20"/>
                <w:highlight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Style w:val="1185"/>
                <w:rFonts w:ascii="Times New Roman" w:hAnsi="Times New Roman" w:eastAsia="宋体"/>
                <w:sz w:val="24"/>
                <w:szCs w:val="20"/>
                <w:highlight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3.PVC封边条：符合QB/T 4463-2025《家具用封边条》、</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17657-2022《</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人造板及饰面人造板理化性能试验方法</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4.钢管：壁厚≥1.5mm，符合GB/T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Style w:val="1185"/>
                <w:rFonts w:ascii="Times New Roman" w:hAnsi="Times New Roman" w:eastAsia="宋体"/>
                <w:sz w:val="24"/>
                <w:szCs w:val="20"/>
                <w:highlight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5.工艺说明：60*30门字形扁管钢脚，表面喷涂处理，台面带线盒，铝合金翻盖，ABS边框，桌屏和底盒</w:t>
            </w:r>
            <w:r/>
          </w:p>
        </w:tc>
      </w:tr>
      <w:tr>
        <w:trPr>
          <w:trHeight w:val="90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案件审查工作室共9间(201/202/203/204/205/206/207/208/210)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600075" cy="714375"/>
                      <wp:effectExtent l="0" t="0" r="9525" b="9525"/>
                      <wp:docPr id="52" name="图片 50" descr="IMG_305"/>
                      <wp:cNvGraphicFramePr/>
                      <a:graphic xmlns:a="http://schemas.openxmlformats.org/drawingml/2006/main">
                        <a:graphicData uri="http://schemas.openxmlformats.org/drawingml/2006/picture">
                          <pic:pic xmlns:pic="http://schemas.openxmlformats.org/drawingml/2006/picture">
                            <pic:nvPicPr>
                              <pic:cNvPr id="1075" name="图片 50" descr="IMG_305"/>
                              <pic:cNvPicPr/>
                              <pic:nvPr/>
                            </pic:nvPicPr>
                            <pic:blipFill>
                              <a:blip r:embed="rId65"/>
                              <a:stretch/>
                            </pic:blipFill>
                            <pic:spPr bwMode="auto">
                              <a:xfrm>
                                <a:off x="0" y="0"/>
                                <a:ext cx="60007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2pt;height:56.2pt;mso-wrap-distance-left:0.0pt;mso-wrap-distance-top:0.0pt;mso-wrap-distance-right:0.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1.面料网布：符合GB 18401-2010《国家纺织产品基本安全技术规范》标准。甲醛含量未检出、耐老化性48h灰卡等级达5级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2.海绵：符合GB/T </w:t>
            </w:r>
            <w:r>
              <w:rPr>
                <w:rFonts w:hint="default" w:ascii="Times New Roman" w:hAnsi="Times New Roman" w:eastAsia="宋体" w:cs="仿宋_GB2312"/>
                <w:i w:val="0"/>
                <w:iCs w:val="0"/>
                <w:color w:val="000000"/>
                <w:sz w:val="24"/>
                <w:szCs w:val="20"/>
                <w:highlight w:val="none"/>
                <w:u w:val="none"/>
                <w:lang w:val="en-US" w:eastAsia="zh-CN"/>
              </w:rPr>
              <w:t xml:space="preserve">10802-2023《通用软质聚氨酯泡沫塑料》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3.扶手：PP固定扶手带腰靠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4.背框：尼龙加纤背框，背框黑色</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5.配置：原位锁定底盘，拉伸气压棒推荐品牌：“三弘”或“KG8”或“万得福”或同等品牌四级气杆，管壁≥2.5mm</w:t>
            </w:r>
            <w:r>
              <w:rPr>
                <w:rFonts w:hint="eastAsia"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t xml:space="preserve">340尼龙高脚5分PU静音轮</w:t>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案件审查工作室共9间(201/202/203/204/205/206/207/208/210)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53" name="图片 51" descr="IMG_306"/>
                      <wp:cNvGraphicFramePr/>
                      <a:graphic xmlns:a="http://schemas.openxmlformats.org/drawingml/2006/main">
                        <a:graphicData uri="http://schemas.openxmlformats.org/drawingml/2006/picture">
                          <pic:pic xmlns:pic="http://schemas.openxmlformats.org/drawingml/2006/picture">
                            <pic:nvPicPr>
                              <pic:cNvPr id="1076" name="图片 51" descr="IMG_306"/>
                              <pic:cNvPicPr/>
                              <pic:nvPr/>
                            </pic:nvPicPr>
                            <pic:blipFill>
                              <a:blip r:embed="rId66"/>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9.8pt;height:56.2pt;mso-wrap-distance-left:0.0pt;mso-wrap-distance-top:0.0pt;mso-wrap-distance-right:0.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一张桌配一把办公椅2，3号楼二层家具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5"/>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5"/>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2.三聚氰胺饰面实木多层板：饰面三聚氰胺浸渍纸符合GB/T</w:t>
            </w:r>
            <w:r>
              <w:rPr>
                <w:rStyle w:val="1185"/>
                <w:rFonts w:ascii="Times New Roman" w:hAnsi="Times New Roman" w:eastAsia="宋体"/>
                <w:sz w:val="24"/>
                <w:szCs w:val="20"/>
                <w:highlight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Style w:val="1185"/>
                <w:rFonts w:ascii="Times New Roman" w:hAnsi="Times New Roman" w:eastAsia="宋体"/>
                <w:sz w:val="24"/>
                <w:szCs w:val="20"/>
                <w:highlight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3.PVC封边条：符合QB/T 4463-2025《家具用封边条》、</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17657-2022《</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人造板及饰面人造板理化性能试验方法</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4.钢管：壁厚≥1.5mm，符合GB/T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Style w:val="1185"/>
                <w:rFonts w:ascii="Times New Roman" w:hAnsi="Times New Roman" w:eastAsia="宋体"/>
                <w:sz w:val="24"/>
                <w:szCs w:val="20"/>
                <w:highlight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5.工艺说明：60*30门字形扁管钢脚，表面喷涂处理，台面带线盒，铝合金翻盖，ABS边框，桌屏和底盒</w:t>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204/205/206/</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514350" cy="714375"/>
                      <wp:effectExtent l="0" t="0" r="0" b="9525"/>
                      <wp:docPr id="54" name="图片 52" descr="IMG_307"/>
                      <wp:cNvGraphicFramePr/>
                      <a:graphic xmlns:a="http://schemas.openxmlformats.org/drawingml/2006/main">
                        <a:graphicData uri="http://schemas.openxmlformats.org/drawingml/2006/picture">
                          <pic:pic xmlns:pic="http://schemas.openxmlformats.org/drawingml/2006/picture">
                            <pic:nvPicPr>
                              <pic:cNvPr id="1077" name="图片 52" descr="IMG_307"/>
                              <pic:cNvPicPr/>
                              <pic:nvPr/>
                            </pic:nvPicPr>
                            <pic:blipFill>
                              <a:blip r:embed="rId67"/>
                              <a:stretch/>
                            </pic:blipFill>
                            <pic:spPr bwMode="auto">
                              <a:xfrm>
                                <a:off x="0" y="0"/>
                                <a:ext cx="51435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0.5pt;height:56.2pt;mso-wrap-distance-left:0.0pt;mso-wrap-distance-top:0.0pt;mso-wrap-distance-right:0.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1.面料网布：符合GB 18401-2010《国家纺织产品基本安全技术规范》标准。甲醛含量未检出、耐老化性48h灰卡等级达5级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2.海绵：符合GB/T </w:t>
            </w:r>
            <w:r>
              <w:rPr>
                <w:rFonts w:hint="default" w:ascii="Times New Roman" w:hAnsi="Times New Roman" w:eastAsia="宋体" w:cs="仿宋_GB2312"/>
                <w:i w:val="0"/>
                <w:iCs w:val="0"/>
                <w:color w:val="000000"/>
                <w:sz w:val="24"/>
                <w:szCs w:val="20"/>
                <w:highlight w:val="none"/>
                <w:u w:val="none"/>
                <w:lang w:val="en-US" w:eastAsia="zh-CN"/>
              </w:rPr>
              <w:t xml:space="preserve">10802-2023《通用软质聚氨酯泡沫塑料》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3.扶手：PP固定扶手带腰靠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4.背框：尼龙加纤背框，背框黑色</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5.配置：原位锁定底盘，拉伸气压棒推荐品牌：“三弘”或“KG8”或“万得福”或同等品牌四级气杆，管壁≥2.5mm</w:t>
            </w:r>
            <w:r>
              <w:rPr>
                <w:rFonts w:hint="eastAsia"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t xml:space="preserve">340尼龙高脚5分PU静音轮</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204/205/206/</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多人沙发</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55" name="图片 53" descr="IMG_308"/>
                      <wp:cNvGraphicFramePr/>
                      <a:graphic xmlns:a="http://schemas.openxmlformats.org/drawingml/2006/main">
                        <a:graphicData uri="http://schemas.openxmlformats.org/drawingml/2006/picture">
                          <pic:pic xmlns:pic="http://schemas.openxmlformats.org/drawingml/2006/picture">
                            <pic:nvPicPr>
                              <pic:cNvPr id="1078" name="图片 53" descr="IMG_308"/>
                              <pic:cNvPicPr/>
                              <pic:nvPr/>
                            </pic:nvPicPr>
                            <pic:blipFill>
                              <a:blip r:embed="rId68"/>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99.8pt;height:56.2pt;mso-wrap-distance-left:0.0pt;mso-wrap-distance-top:0.0pt;mso-wrap-distance-right:0.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1940*810*780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204/205/206/</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207/208/210)、服务台、茶歇区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椭圆茶几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56" name="图片 54" descr="IMG_309"/>
                      <wp:cNvGraphicFramePr/>
                      <a:graphic xmlns:a="http://schemas.openxmlformats.org/drawingml/2006/main">
                        <a:graphicData uri="http://schemas.openxmlformats.org/drawingml/2006/picture">
                          <pic:pic xmlns:pic="http://schemas.openxmlformats.org/drawingml/2006/picture">
                            <pic:nvPicPr>
                              <pic:cNvPr id="1079" name="图片 54" descr="IMG_309"/>
                              <pic:cNvPicPr/>
                              <pic:nvPr/>
                            </pic:nvPicPr>
                            <pic:blipFill>
                              <a:blip r:embed="rId69"/>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9.8pt;height:56.2pt;mso-wrap-distance-left:0.0pt;mso-wrap-distance-top:0.0pt;mso-wrap-distance-right:0.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1200*600*430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24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204/205/206/</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695325" cy="714375"/>
                      <wp:effectExtent l="0" t="0" r="9525" b="9525"/>
                      <wp:docPr id="57" name="图片 55" descr="IMG_310"/>
                      <wp:cNvGraphicFramePr/>
                      <a:graphic xmlns:a="http://schemas.openxmlformats.org/drawingml/2006/main">
                        <a:graphicData uri="http://schemas.openxmlformats.org/drawingml/2006/picture">
                          <pic:pic xmlns:pic="http://schemas.openxmlformats.org/drawingml/2006/picture">
                            <pic:nvPicPr>
                              <pic:cNvPr id="1080" name="图片 55" descr="IMG_310"/>
                              <pic:cNvPicPr/>
                              <pic:nvPr/>
                            </pic:nvPicPr>
                            <pic:blipFill>
                              <a:blip r:embed="rId70"/>
                              <a:stretch/>
                            </pic:blipFill>
                            <pic:spPr bwMode="auto">
                              <a:xfrm>
                                <a:off x="0" y="0"/>
                                <a:ext cx="6953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8pt;height:56.2pt;mso-wrap-distance-left:0.0pt;mso-wrap-distance-top:0.0pt;mso-wrap-distance-right:0.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5"/>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5"/>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2.三聚氰胺饰面实木多层板：饰面三聚氰胺浸渍纸符合GB/T</w:t>
            </w:r>
            <w:r>
              <w:rPr>
                <w:rStyle w:val="1185"/>
                <w:rFonts w:ascii="Times New Roman" w:hAnsi="Times New Roman" w:eastAsia="宋体"/>
                <w:sz w:val="24"/>
                <w:szCs w:val="20"/>
                <w:highlight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Style w:val="1185"/>
                <w:rFonts w:ascii="Times New Roman" w:hAnsi="Times New Roman" w:eastAsia="宋体"/>
                <w:sz w:val="24"/>
                <w:szCs w:val="20"/>
                <w:highlight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3.PVC封边条：符合QB/T 4463-2025《家具用封边条》、</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17657-2022《</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人造板及饰面人造板理化性能试验方法</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185"/>
                <w:rFonts w:hint="eastAsia"/>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5.工艺要求 ：门板带拉手，锁</w:t>
            </w:r>
            <w:r/>
          </w:p>
        </w:tc>
      </w:tr>
      <w:tr>
        <w:trPr>
          <w:trHeight w:val="16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204/205/206/</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58" name="图片 56" descr="IMG_311"/>
                      <wp:cNvGraphicFramePr/>
                      <a:graphic xmlns:a="http://schemas.openxmlformats.org/drawingml/2006/main">
                        <a:graphicData uri="http://schemas.openxmlformats.org/drawingml/2006/picture">
                          <pic:pic xmlns:pic="http://schemas.openxmlformats.org/drawingml/2006/picture">
                            <pic:nvPicPr>
                              <pic:cNvPr id="1081" name="图片 56" descr="IMG_311"/>
                              <pic:cNvPicPr/>
                              <pic:nvPr/>
                            </pic:nvPicPr>
                            <pic:blipFill>
                              <a:blip r:embed="rId71"/>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99.8pt;height:56.2pt;mso-wrap-distance-left:0.0pt;mso-wrap-distance-top:0.0pt;mso-wrap-distance-right:0.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5"/>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5"/>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2.三聚氰胺饰面实木多层板：饰面三聚氰胺浸渍纸符合GB/T</w:t>
            </w:r>
            <w:r>
              <w:rPr>
                <w:rStyle w:val="1185"/>
                <w:rFonts w:ascii="Times New Roman" w:hAnsi="Times New Roman" w:eastAsia="宋体"/>
                <w:sz w:val="24"/>
                <w:szCs w:val="20"/>
                <w:highlight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Style w:val="1185"/>
                <w:rFonts w:ascii="Times New Roman" w:hAnsi="Times New Roman" w:eastAsia="宋体"/>
                <w:sz w:val="24"/>
                <w:szCs w:val="20"/>
                <w:highlight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3.PVC封边条：符合QB/T 4463-2025《家具用封边条》、</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17657-2022《</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人造板及饰面人造板理化性能试验方法</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185"/>
                <w:rFonts w:hint="eastAsia"/>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5.工艺要求 ：门板带拉手，锁</w:t>
            </w:r>
            <w:r/>
          </w:p>
        </w:tc>
      </w:tr>
      <w:tr>
        <w:trPr>
          <w:trHeight w:val="1718"/>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204/205/206/</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685800" cy="714375"/>
                      <wp:effectExtent l="0" t="0" r="0" b="9525"/>
                      <wp:docPr id="59" name="图片 57" descr="IMG_312"/>
                      <wp:cNvGraphicFramePr/>
                      <a:graphic xmlns:a="http://schemas.openxmlformats.org/drawingml/2006/main">
                        <a:graphicData uri="http://schemas.openxmlformats.org/drawingml/2006/picture">
                          <pic:pic xmlns:pic="http://schemas.openxmlformats.org/drawingml/2006/picture">
                            <pic:nvPicPr>
                              <pic:cNvPr id="1082" name="图片 57" descr="IMG_312"/>
                              <pic:cNvPicPr/>
                              <pic:nvPr/>
                            </pic:nvPicPr>
                            <pic:blipFill>
                              <a:blip r:embed="rId72"/>
                              <a:stretch/>
                            </pic:blipFill>
                            <pic:spPr bwMode="auto">
                              <a:xfrm>
                                <a:off x="0" y="0"/>
                                <a:ext cx="6858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4.0pt;height:56.2pt;mso-wrap-distance-left:0.0pt;mso-wrap-distance-top:0.0pt;mso-wrap-distance-right:0.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5"/>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5"/>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2.三聚氰胺饰面实木多层板：饰面三聚氰胺浸渍纸符合GB/T</w:t>
            </w:r>
            <w:r>
              <w:rPr>
                <w:rStyle w:val="1185"/>
                <w:rFonts w:ascii="Times New Roman" w:hAnsi="Times New Roman" w:eastAsia="宋体"/>
                <w:sz w:val="24"/>
                <w:szCs w:val="20"/>
                <w:highlight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Style w:val="1185"/>
                <w:rFonts w:ascii="Times New Roman" w:hAnsi="Times New Roman" w:eastAsia="宋体"/>
                <w:sz w:val="24"/>
                <w:szCs w:val="20"/>
                <w:highlight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3.PVC封边条：符合QB/T 4463-2025《家具用封边条》、</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17657-2022《</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人造板及饰面人造板理化性能试验方法</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185"/>
                <w:rFonts w:hint="eastAsia"/>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5.工艺要求 ：门板带拉手，锁</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案件审查工作室209、25人案情分析室214、18人战术训练室217和219、32人侦查技术室216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18人会议桌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48360" cy="457200"/>
                      <wp:effectExtent l="0" t="0" r="8890" b="0"/>
                      <wp:docPr id="60" name="图片 58" descr="IMG_313"/>
                      <wp:cNvGraphicFramePr/>
                      <a:graphic xmlns:a="http://schemas.openxmlformats.org/drawingml/2006/main">
                        <a:graphicData uri="http://schemas.openxmlformats.org/drawingml/2006/picture">
                          <pic:pic xmlns:pic="http://schemas.openxmlformats.org/drawingml/2006/picture">
                            <pic:nvPicPr>
                              <pic:cNvPr id="1083" name="图片 58" descr="IMG_313"/>
                              <pic:cNvPicPr/>
                              <pic:nvPr/>
                            </pic:nvPicPr>
                            <pic:blipFill>
                              <a:blip r:embed="rId73"/>
                              <a:stretch/>
                            </pic:blipFill>
                            <pic:spPr bwMode="auto">
                              <a:xfrm>
                                <a:off x="0" y="0"/>
                                <a:ext cx="848360" cy="4572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6.8pt;height:36.0pt;mso-wrap-distance-left:0.0pt;mso-wrap-distance-top:0.0pt;mso-wrap-distance-right:0.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4200*1600*750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1张桌配18张会议椅，3号楼二层家具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Fonts w:hint="eastAsia"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5.台面配置多功能线盒，底部带检修口</w:t>
            </w:r>
            <w:r/>
          </w:p>
        </w:tc>
      </w:tr>
      <w:tr>
        <w:trPr>
          <w:trHeight w:val="9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案件审查工作室209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4人条桌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95350" cy="543560"/>
                      <wp:effectExtent l="0" t="0" r="0" b="8890"/>
                      <wp:docPr id="61" name="图片 59" descr="IMG_314"/>
                      <wp:cNvGraphicFramePr/>
                      <a:graphic xmlns:a="http://schemas.openxmlformats.org/drawingml/2006/main">
                        <a:graphicData uri="http://schemas.openxmlformats.org/drawingml/2006/picture">
                          <pic:pic xmlns:pic="http://schemas.openxmlformats.org/drawingml/2006/picture">
                            <pic:nvPicPr>
                              <pic:cNvPr id="1084" name="图片 59" descr="IMG_314"/>
                              <pic:cNvPicPr/>
                              <pic:nvPr/>
                            </pic:nvPicPr>
                            <pic:blipFill>
                              <a:blip r:embed="rId74"/>
                              <a:stretch/>
                            </pic:blipFill>
                            <pic:spPr bwMode="auto">
                              <a:xfrm>
                                <a:off x="0" y="0"/>
                                <a:ext cx="895350" cy="5435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0.5pt;height:42.8pt;mso-wrap-distance-left:0.0pt;mso-wrap-distance-top:0.0pt;mso-wrap-distance-right:0.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2400*450*750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1张桌配4张会议椅，3号楼二层家具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活动室/书吧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10人长条桌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2" name="图片 60" descr="IMG_315"/>
                      <wp:cNvGraphicFramePr/>
                      <a:graphic xmlns:a="http://schemas.openxmlformats.org/drawingml/2006/main">
                        <a:graphicData uri="http://schemas.openxmlformats.org/drawingml/2006/picture">
                          <pic:pic xmlns:pic="http://schemas.openxmlformats.org/drawingml/2006/picture">
                            <pic:nvPicPr>
                              <pic:cNvPr id="1085" name="图片 60" descr="IMG_315"/>
                              <pic:cNvPicPr/>
                              <pic:nvPr/>
                            </pic:nvPicPr>
                            <pic:blipFill>
                              <a:blip r:embed="rId75"/>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99.8pt;height:56.2pt;mso-wrap-distance-left:0.0pt;mso-wrap-distance-top:0.0pt;mso-wrap-distance-right:0.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4000*1000*750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活动室/书吧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休闲椅1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3" name="图片 61" descr="IMG_316"/>
                      <wp:cNvGraphicFramePr/>
                      <a:graphic xmlns:a="http://schemas.openxmlformats.org/drawingml/2006/main">
                        <a:graphicData uri="http://schemas.openxmlformats.org/drawingml/2006/picture">
                          <pic:pic xmlns:pic="http://schemas.openxmlformats.org/drawingml/2006/picture">
                            <pic:nvPicPr>
                              <pic:cNvPr id="1086" name="图片 61" descr="IMG_316"/>
                              <pic:cNvPicPr/>
                              <pic:nvPr/>
                            </pic:nvPicPr>
                            <pic:blipFill>
                              <a:blip r:embed="rId76"/>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99.8pt;height:56.2pt;mso-wrap-distance-left:0.0pt;mso-wrap-distance-top:0.0pt;mso-wrap-distance-right:0.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520*530*460/770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18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活动室/书吧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4人圆桌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95350" cy="714375"/>
                      <wp:effectExtent l="0" t="0" r="0" b="9525"/>
                      <wp:docPr id="64" name="图片 62" descr="IMG_317"/>
                      <wp:cNvGraphicFramePr/>
                      <a:graphic xmlns:a="http://schemas.openxmlformats.org/drawingml/2006/main">
                        <a:graphicData uri="http://schemas.openxmlformats.org/drawingml/2006/picture">
                          <pic:pic xmlns:pic="http://schemas.openxmlformats.org/drawingml/2006/picture">
                            <pic:nvPicPr>
                              <pic:cNvPr id="1087" name="图片 62" descr="IMG_317"/>
                              <pic:cNvPicPr/>
                              <pic:nvPr/>
                            </pic:nvPicPr>
                            <pic:blipFill>
                              <a:blip r:embed="rId77"/>
                              <a:stretch/>
                            </pic:blipFill>
                            <pic:spPr bwMode="auto">
                              <a:xfrm>
                                <a:off x="0" y="0"/>
                                <a:ext cx="89535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0.5pt;height:56.2pt;mso-wrap-distance-left:0.0pt;mso-wrap-distance-top:0.0pt;mso-wrap-distance-right:0.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直径800*750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活动室/书吧、服务台、茶歇区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2人休闲桌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76300" cy="714375"/>
                      <wp:effectExtent l="0" t="0" r="0" b="9525"/>
                      <wp:docPr id="65" name="图片 63" descr="IMG_318"/>
                      <wp:cNvGraphicFramePr/>
                      <a:graphic xmlns:a="http://schemas.openxmlformats.org/drawingml/2006/main">
                        <a:graphicData uri="http://schemas.openxmlformats.org/drawingml/2006/picture">
                          <pic:pic xmlns:pic="http://schemas.openxmlformats.org/drawingml/2006/picture">
                            <pic:nvPicPr>
                              <pic:cNvPr id="1088" name="图片 63" descr="IMG_318"/>
                              <pic:cNvPicPr/>
                              <pic:nvPr/>
                            </pic:nvPicPr>
                            <pic:blipFill>
                              <a:blip r:embed="rId78"/>
                              <a:stretch/>
                            </pic:blipFill>
                            <pic:spPr bwMode="auto">
                              <a:xfrm>
                                <a:off x="0" y="0"/>
                                <a:ext cx="876299"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9.0pt;height:56.2pt;mso-wrap-distance-left:0.0pt;mso-wrap-distance-top:0.0pt;mso-wrap-distance-right:0.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700*700*750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活动室/书吧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休闲椅2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48360" cy="409575"/>
                      <wp:effectExtent l="0" t="0" r="8890" b="9525"/>
                      <wp:docPr id="66" name="图片 64" descr="IMG_319"/>
                      <wp:cNvGraphicFramePr/>
                      <a:graphic xmlns:a="http://schemas.openxmlformats.org/drawingml/2006/main">
                        <a:graphicData uri="http://schemas.openxmlformats.org/drawingml/2006/picture">
                          <pic:pic xmlns:pic="http://schemas.openxmlformats.org/drawingml/2006/picture">
                            <pic:nvPicPr>
                              <pic:cNvPr id="1089" name="图片 64" descr="IMG_319"/>
                              <pic:cNvPicPr/>
                              <pic:nvPr/>
                            </pic:nvPicPr>
                            <pic:blipFill>
                              <a:blip r:embed="rId79"/>
                              <a:stretch/>
                            </pic:blipFill>
                            <pic:spPr bwMode="auto">
                              <a:xfrm>
                                <a:off x="0" y="0"/>
                                <a:ext cx="848360" cy="4095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66.8pt;height:32.2pt;mso-wrap-distance-left:0.0pt;mso-wrap-distance-top:0.0pt;mso-wrap-distance-right:0.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490*590*450/730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1027"/>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茶水矮柜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7" name="图片 65" descr="IMG_320"/>
                      <wp:cNvGraphicFramePr/>
                      <a:graphic xmlns:a="http://schemas.openxmlformats.org/drawingml/2006/main">
                        <a:graphicData uri="http://schemas.openxmlformats.org/drawingml/2006/picture">
                          <pic:pic xmlns:pic="http://schemas.openxmlformats.org/drawingml/2006/picture">
                            <pic:nvPicPr>
                              <pic:cNvPr id="1090" name="图片 65" descr="IMG_320"/>
                              <pic:cNvPicPr/>
                              <pic:nvPr/>
                            </pic:nvPicPr>
                            <pic:blipFill>
                              <a:blip r:embed="rId80"/>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9.8pt;height:56.2pt;mso-wrap-distance-left:0.0pt;mso-wrap-distance-top:0.0pt;mso-wrap-distance-right:0.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Fonts w:hint="eastAsia"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5.台面配置多功能线盒，底部带检修口</w:t>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单人休闲椅1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8" name="图片 66" descr="IMG_321"/>
                      <wp:cNvGraphicFramePr/>
                      <a:graphic xmlns:a="http://schemas.openxmlformats.org/drawingml/2006/main">
                        <a:graphicData uri="http://schemas.openxmlformats.org/drawingml/2006/picture">
                          <pic:pic xmlns:pic="http://schemas.openxmlformats.org/drawingml/2006/picture">
                            <pic:nvPicPr>
                              <pic:cNvPr id="1091" name="图片 66" descr="IMG_321"/>
                              <pic:cNvPicPr/>
                              <pic:nvPr/>
                            </pic:nvPicPr>
                            <pic:blipFill>
                              <a:blip r:embed="rId81"/>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9.8pt;height:56.2pt;mso-wrap-distance-left:0.0pt;mso-wrap-distance-top:0.0pt;mso-wrap-distance-right:0.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720*780*400/800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单人休闲椅2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9" name="图片 67" descr="IMG_322"/>
                      <wp:cNvGraphicFramePr/>
                      <a:graphic xmlns:a="http://schemas.openxmlformats.org/drawingml/2006/main">
                        <a:graphicData uri="http://schemas.openxmlformats.org/drawingml/2006/picture">
                          <pic:pic xmlns:pic="http://schemas.openxmlformats.org/drawingml/2006/picture">
                            <pic:nvPicPr>
                              <pic:cNvPr id="1092" name="图片 67" descr="IMG_322"/>
                              <pic:cNvPicPr/>
                              <pic:nvPr/>
                            </pic:nvPicPr>
                            <pic:blipFill>
                              <a:blip r:embed="rId82"/>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9.8pt;height:56.2pt;mso-wrap-distance-left:0.0pt;mso-wrap-distance-top:0.0pt;mso-wrap-distance-right:0.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850*990*450/810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p>
        </w:tc>
      </w:tr>
      <w:tr>
        <w:trPr>
          <w:trHeight w:val="230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茶歇桌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742950" cy="467360"/>
                      <wp:effectExtent l="0" t="0" r="0" b="8890"/>
                      <wp:docPr id="70" name="图片 68" descr="IMG_323"/>
                      <wp:cNvGraphicFramePr/>
                      <a:graphic xmlns:a="http://schemas.openxmlformats.org/drawingml/2006/main">
                        <a:graphicData uri="http://schemas.openxmlformats.org/drawingml/2006/picture">
                          <pic:pic xmlns:pic="http://schemas.openxmlformats.org/drawingml/2006/picture">
                            <pic:nvPicPr>
                              <pic:cNvPr id="1093" name="图片 68" descr="IMG_323"/>
                              <pic:cNvPicPr/>
                              <pic:nvPr/>
                            </pic:nvPicPr>
                            <pic:blipFill>
                              <a:blip r:embed="rId83"/>
                              <a:stretch/>
                            </pic:blipFill>
                            <pic:spPr bwMode="auto">
                              <a:xfrm>
                                <a:off x="0" y="0"/>
                                <a:ext cx="742950" cy="4673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8.5pt;height:36.8pt;mso-wrap-distance-left:0.0pt;mso-wrap-distance-top:0.0pt;mso-wrap-distance-right:0.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3000*600*750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2.三聚氰胺饰面实木多层板：饰面三聚氰胺浸渍纸符合GB/T</w:t>
            </w:r>
            <w:r>
              <w:rPr>
                <w:rFonts w:hint="default" w:ascii="Times New Roman" w:hAnsi="Times New Roman" w:eastAsia="宋体" w:cs="仿宋_GB2312"/>
                <w:i w:val="0"/>
                <w:iCs w:val="0"/>
                <w:color w:val="000000"/>
                <w:sz w:val="24"/>
                <w:szCs w:val="20"/>
                <w:highlight w:val="none"/>
                <w:u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Fonts w:hint="default" w:ascii="Times New Roman" w:hAnsi="Times New Roman" w:eastAsia="宋体" w:cs="仿宋_GB2312"/>
                <w:i w:val="0"/>
                <w:iCs w:val="0"/>
                <w:color w:val="000000"/>
                <w:sz w:val="24"/>
                <w:szCs w:val="20"/>
                <w:highlight w:val="none"/>
                <w:u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3.PVC封边条：符合QB/T 4463-2025《家具用封边条》、‌GB/T 17657-2022《‌人造板及饰面人造板理化性能试验方法‌》、GB/T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5.工艺说明：60*30门字形扁管钢脚，表面喷涂处理，台面带线盒，铝合金翻盖，ABS边框，桌屏和底盒</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28675" cy="420370"/>
                      <wp:effectExtent l="0" t="0" r="9525" b="17780"/>
                      <wp:docPr id="71" name="图片 69" descr="IMG_324"/>
                      <wp:cNvGraphicFramePr/>
                      <a:graphic xmlns:a="http://schemas.openxmlformats.org/drawingml/2006/main">
                        <a:graphicData uri="http://schemas.openxmlformats.org/drawingml/2006/picture">
                          <pic:pic xmlns:pic="http://schemas.openxmlformats.org/drawingml/2006/picture">
                            <pic:nvPicPr>
                              <pic:cNvPr id="1094" name="图片 69" descr="IMG_324"/>
                              <pic:cNvPicPr/>
                              <pic:nvPr/>
                            </pic:nvPicPr>
                            <pic:blipFill>
                              <a:blip r:embed="rId84"/>
                              <a:stretch/>
                            </pic:blipFill>
                            <pic:spPr bwMode="auto">
                              <a:xfrm>
                                <a:off x="0" y="0"/>
                                <a:ext cx="828675" cy="42037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65.2pt;height:33.1pt;mso-wrap-distance-left:0.0pt;mso-wrap-distance-top:0.0pt;mso-wrap-distance-right:0.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三人沙发：</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2050*700*420/760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90600" cy="657225"/>
                      <wp:effectExtent l="0" t="0" r="0" b="9525"/>
                      <wp:docPr id="72" name="图片 70" descr="IMG_325"/>
                      <wp:cNvGraphicFramePr/>
                      <a:graphic xmlns:a="http://schemas.openxmlformats.org/drawingml/2006/main">
                        <a:graphicData uri="http://schemas.openxmlformats.org/drawingml/2006/picture">
                          <pic:pic xmlns:pic="http://schemas.openxmlformats.org/drawingml/2006/picture">
                            <pic:nvPicPr>
                              <pic:cNvPr id="1095" name="图片 70" descr="IMG_325"/>
                              <pic:cNvPicPr/>
                              <pic:nvPr/>
                            </pic:nvPicPr>
                            <pic:blipFill>
                              <a:blip r:embed="rId85"/>
                              <a:stretch/>
                            </pic:blipFill>
                            <pic:spPr bwMode="auto">
                              <a:xfrm>
                                <a:off x="0" y="0"/>
                                <a:ext cx="990600"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8.0pt;height:51.8pt;mso-wrap-distance-left:0.0pt;mso-wrap-distance-top:0.0pt;mso-wrap-distance-right:0.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双人沙发：</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1540*700*420/760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771525" cy="657225"/>
                      <wp:effectExtent l="0" t="0" r="9525" b="9525"/>
                      <wp:docPr id="73" name="图片 71" descr="IMG_326"/>
                      <wp:cNvGraphicFramePr/>
                      <a:graphic xmlns:a="http://schemas.openxmlformats.org/drawingml/2006/main">
                        <a:graphicData uri="http://schemas.openxmlformats.org/drawingml/2006/picture">
                          <pic:pic xmlns:pic="http://schemas.openxmlformats.org/drawingml/2006/picture">
                            <pic:nvPicPr>
                              <pic:cNvPr id="1096" name="图片 71" descr="IMG_326"/>
                              <pic:cNvPicPr/>
                              <pic:nvPr/>
                            </pic:nvPicPr>
                            <pic:blipFill>
                              <a:blip r:embed="rId86"/>
                              <a:stretch/>
                            </pic:blipFill>
                            <pic:spPr bwMode="auto">
                              <a:xfrm>
                                <a:off x="0" y="0"/>
                                <a:ext cx="771525"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0.8pt;height:51.8pt;mso-wrap-distance-left:0.0pt;mso-wrap-distance-top:0.0pt;mso-wrap-distance-right:0.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单人沙发1组：</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810*700*420/760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2.优质海绵：符合GB/T 10802-2023《通用软质聚氨酯泡沫塑料》</w:t>
            </w:r>
            <w:r>
              <w:rPr>
                <w:rFonts w:hint="default" w:ascii="Times New Roman" w:hAnsi="Times New Roman" w:eastAsia="宋体" w:cs="仿宋_GB2312"/>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w:t>
            </w:r>
            <w:r>
              <w:rPr>
                <w:rFonts w:hint="eastAsia" w:cs="仿宋_GB2312"/>
                <w:i w:val="0"/>
                <w:iCs w:val="0"/>
                <w:color w:val="000000"/>
                <w:sz w:val="24"/>
                <w:szCs w:val="20"/>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default" w:ascii="Times New Roman" w:hAnsi="Times New Roman" w:eastAsia="宋体" w:cs="仿宋_GB2312"/>
                <w:i w:val="0"/>
                <w:iCs w:val="0"/>
                <w:color w:val="000000"/>
                <w:sz w:val="24"/>
                <w:szCs w:val="20"/>
                <w:highlight w:val="none"/>
                <w:u w:val="none"/>
                <w:lang w:val="en-US" w:eastAsia="zh-CN"/>
              </w:rPr>
              <w:t xml:space="preserve">；</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57885" cy="505460"/>
                      <wp:effectExtent l="0" t="0" r="18415" b="8890"/>
                      <wp:docPr id="74" name="图片 72" descr="IMG_327"/>
                      <wp:cNvGraphicFramePr/>
                      <a:graphic xmlns:a="http://schemas.openxmlformats.org/drawingml/2006/main">
                        <a:graphicData uri="http://schemas.openxmlformats.org/drawingml/2006/picture">
                          <pic:pic xmlns:pic="http://schemas.openxmlformats.org/drawingml/2006/picture">
                            <pic:nvPicPr>
                              <pic:cNvPr id="1097" name="图片 72" descr="IMG_327"/>
                              <pic:cNvPicPr/>
                              <pic:nvPr/>
                            </pic:nvPicPr>
                            <pic:blipFill>
                              <a:blip r:embed="rId87"/>
                              <a:stretch/>
                            </pic:blipFill>
                            <pic:spPr bwMode="auto">
                              <a:xfrm>
                                <a:off x="0" y="0"/>
                                <a:ext cx="857885" cy="5054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7.5pt;height:39.8pt;mso-wrap-distance-left:0.0pt;mso-wrap-distance-top:0.0pt;mso-wrap-distance-right:0.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茶几 ：1200*600*480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95985" cy="638175"/>
                      <wp:effectExtent l="0" t="0" r="18415" b="9525"/>
                      <wp:docPr id="75" name="图片 73" descr="IMG_328"/>
                      <wp:cNvGraphicFramePr/>
                      <a:graphic xmlns:a="http://schemas.openxmlformats.org/drawingml/2006/main">
                        <a:graphicData uri="http://schemas.openxmlformats.org/drawingml/2006/picture">
                          <pic:pic xmlns:pic="http://schemas.openxmlformats.org/drawingml/2006/picture">
                            <pic:nvPicPr>
                              <pic:cNvPr id="1098" name="图片 73" descr="IMG_328"/>
                              <pic:cNvPicPr/>
                              <pic:nvPr/>
                            </pic:nvPicPr>
                            <pic:blipFill>
                              <a:blip r:embed="rId88"/>
                              <a:stretch/>
                            </pic:blipFill>
                            <pic:spPr bwMode="auto">
                              <a:xfrm>
                                <a:off x="0" y="0"/>
                                <a:ext cx="895985" cy="6381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0.5pt;height:50.2pt;mso-wrap-distance-left:0.0pt;mso-wrap-distance-top:0.0pt;mso-wrap-distance-right:0.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方边几：600*600*480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1742"/>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95350" cy="523875"/>
                      <wp:effectExtent l="0" t="0" r="0" b="9525"/>
                      <wp:docPr id="76" name="图片 74" descr="IMG_329"/>
                      <wp:cNvGraphicFramePr/>
                      <a:graphic xmlns:a="http://schemas.openxmlformats.org/drawingml/2006/main">
                        <a:graphicData uri="http://schemas.openxmlformats.org/drawingml/2006/picture">
                          <pic:pic xmlns:pic="http://schemas.openxmlformats.org/drawingml/2006/picture">
                            <pic:nvPicPr>
                              <pic:cNvPr id="1099" name="图片 74" descr="IMG_329"/>
                              <pic:cNvPicPr/>
                              <pic:nvPr/>
                            </pic:nvPicPr>
                            <pic:blipFill>
                              <a:blip r:embed="rId89"/>
                              <a:stretch/>
                            </pic:blipFill>
                            <pic:spPr bwMode="auto">
                              <a:xfrm>
                                <a:off x="0" y="0"/>
                                <a:ext cx="895350" cy="5238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0.5pt;height:41.2pt;mso-wrap-distance-left:0.0pt;mso-wrap-distance-top:0.0pt;mso-wrap-distance-right:0.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边柜 ：1600*400*1200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5"/>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5"/>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2.三聚氰胺饰面实木多层板：饰面三聚氰胺浸渍纸符合GB/T</w:t>
            </w:r>
            <w:r>
              <w:rPr>
                <w:rStyle w:val="1185"/>
                <w:rFonts w:ascii="Times New Roman" w:hAnsi="Times New Roman" w:eastAsia="宋体"/>
                <w:sz w:val="24"/>
                <w:szCs w:val="20"/>
                <w:highlight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Style w:val="1185"/>
                <w:rFonts w:ascii="Times New Roman" w:hAnsi="Times New Roman" w:eastAsia="宋体"/>
                <w:sz w:val="24"/>
                <w:szCs w:val="20"/>
                <w:highlight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3.PVC封边条：符合QB/T 4463-2025《家具用封边条》、</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17657-2022《</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人造板及饰面人造板理化性能试验方法</w:t>
            </w:r>
            <w:r>
              <w:rPr>
                <w:rStyle w:val="1186"/>
                <w:rFonts w:ascii="Times New Roman" w:hAnsi="Times New Roman" w:eastAsia="宋体"/>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185"/>
                <w:rFonts w:hint="eastAsia"/>
                <w:sz w:val="24"/>
                <w:szCs w:val="20"/>
                <w:highlight w:val="none"/>
                <w:lang w:val="en-US" w:eastAsia="zh-CN"/>
              </w:rPr>
              <w:t xml:space="preserve">、</w:t>
            </w:r>
            <w:r>
              <w:rPr>
                <w:rStyle w:val="1185"/>
                <w:rFonts w:ascii="Times New Roman" w:hAnsi="Times New Roman" w:eastAsia="宋体"/>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185"/>
                <w:rFonts w:ascii="Times New Roman" w:hAnsi="Times New Roman" w:eastAsia="宋体"/>
                <w:sz w:val="24"/>
                <w:szCs w:val="20"/>
                <w:highlight w:val="none"/>
                <w:lang w:val="en-US" w:eastAsia="zh-CN"/>
              </w:rPr>
              <w:br/>
            </w:r>
            <w:r>
              <w:rPr>
                <w:rStyle w:val="1185"/>
                <w:rFonts w:ascii="Times New Roman" w:hAnsi="Times New Roman" w:eastAsia="宋体"/>
                <w:sz w:val="24"/>
                <w:szCs w:val="20"/>
                <w:highlight w:val="none"/>
                <w:lang w:val="en-US" w:eastAsia="zh-CN"/>
              </w:rPr>
              <w:t xml:space="preserve">5.工艺要求 ：门板带拉手，锁</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专案工作室（120人）213、90人研讨教室</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6人条桌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57885" cy="514350"/>
                      <wp:effectExtent l="0" t="0" r="18415" b="0"/>
                      <wp:docPr id="77" name="图片 75" descr="IMG_330"/>
                      <wp:cNvGraphicFramePr/>
                      <a:graphic xmlns:a="http://schemas.openxmlformats.org/drawingml/2006/main">
                        <a:graphicData uri="http://schemas.openxmlformats.org/drawingml/2006/picture">
                          <pic:pic xmlns:pic="http://schemas.openxmlformats.org/drawingml/2006/picture">
                            <pic:nvPicPr>
                              <pic:cNvPr id="1100" name="图片 75" descr="IMG_330"/>
                              <pic:cNvPicPr/>
                              <pic:nvPr/>
                            </pic:nvPicPr>
                            <pic:blipFill>
                              <a:blip r:embed="rId90"/>
                              <a:stretch/>
                            </pic:blipFill>
                            <pic:spPr bwMode="auto">
                              <a:xfrm>
                                <a:off x="0" y="0"/>
                                <a:ext cx="857885" cy="5143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7.5pt;height:40.5pt;mso-wrap-distance-left:0.0pt;mso-wrap-distance-top:0.0pt;mso-wrap-distance-right:0.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3600*500*750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一张桌配6张椅子，3号楼二层家具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25人案情分析室</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214、32人侦查技术室216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7人会议边桌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67410" cy="495300"/>
                      <wp:effectExtent l="0" t="0" r="8890" b="0"/>
                      <wp:docPr id="78" name="图片 76" descr="IMG_331"/>
                      <wp:cNvGraphicFramePr/>
                      <a:graphic xmlns:a="http://schemas.openxmlformats.org/drawingml/2006/main">
                        <a:graphicData uri="http://schemas.openxmlformats.org/drawingml/2006/picture">
                          <pic:pic xmlns:pic="http://schemas.openxmlformats.org/drawingml/2006/picture">
                            <pic:nvPicPr>
                              <pic:cNvPr id="1101" name="图片 76" descr="IMG_331"/>
                              <pic:cNvPicPr/>
                              <pic:nvPr/>
                            </pic:nvPicPr>
                            <pic:blipFill>
                              <a:blip r:embed="rId91"/>
                              <a:stretch/>
                            </pic:blipFill>
                            <pic:spPr bwMode="auto">
                              <a:xfrm>
                                <a:off x="0" y="0"/>
                                <a:ext cx="867410" cy="4953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8.3pt;height:39.0pt;mso-wrap-distance-left:0.0pt;mso-wrap-distance-top:0.0pt;mso-wrap-distance-right:0.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4200*450*750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一张桌配7张会议椅，3号楼二层家具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p>
        </w:tc>
      </w:tr>
      <w:tr>
        <w:trPr>
          <w:trHeight w:val="486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12人案情分析室</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椭圆会议桌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14400" cy="561975"/>
                      <wp:effectExtent l="0" t="0" r="0" b="9525"/>
                      <wp:docPr id="79" name="图片 77" descr="IMG_332"/>
                      <wp:cNvGraphicFramePr/>
                      <a:graphic xmlns:a="http://schemas.openxmlformats.org/drawingml/2006/main">
                        <a:graphicData uri="http://schemas.openxmlformats.org/drawingml/2006/picture">
                          <pic:pic xmlns:pic="http://schemas.openxmlformats.org/drawingml/2006/picture">
                            <pic:nvPicPr>
                              <pic:cNvPr id="1102" name="图片 77" descr="IMG_332"/>
                              <pic:cNvPicPr/>
                              <pic:nvPr/>
                            </pic:nvPicPr>
                            <pic:blipFill>
                              <a:blip r:embed="rId92"/>
                              <a:stretch/>
                            </pic:blipFill>
                            <pic:spPr bwMode="auto">
                              <a:xfrm>
                                <a:off x="0" y="0"/>
                                <a:ext cx="914400" cy="5619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2.0pt;height:44.2pt;mso-wrap-distance-left:0.0pt;mso-wrap-distance-top:0.0pt;mso-wrap-distance-right:0.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1638/1366*3500*750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配12张会议椅，3号楼二层家具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4.台面配置多功能线盒</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56人侦查技术室218、56人模拟询问室220、56人研讨室222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组合式会议桌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00735" cy="447675"/>
                      <wp:effectExtent l="0" t="0" r="18415" b="9525"/>
                      <wp:docPr id="80" name="图片 78" descr="IMG_333"/>
                      <wp:cNvGraphicFramePr/>
                      <a:graphic xmlns:a="http://schemas.openxmlformats.org/drawingml/2006/main">
                        <a:graphicData uri="http://schemas.openxmlformats.org/drawingml/2006/picture">
                          <pic:pic xmlns:pic="http://schemas.openxmlformats.org/drawingml/2006/picture">
                            <pic:nvPicPr>
                              <pic:cNvPr id="1103" name="图片 78" descr="IMG_333"/>
                              <pic:cNvPicPr/>
                              <pic:nvPr/>
                            </pic:nvPicPr>
                            <pic:blipFill>
                              <a:blip r:embed="rId93"/>
                              <a:stretch/>
                            </pic:blipFill>
                            <pic:spPr bwMode="auto">
                              <a:xfrm>
                                <a:off x="0" y="0"/>
                                <a:ext cx="800735" cy="4476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3.0pt;height:35.2pt;mso-wrap-distance-left:0.0pt;mso-wrap-distance-top:0.0pt;mso-wrap-distance-right:0.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vMerge w:val="restart"/>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配156张会议椅，3号楼二层家具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vMerge w:val="restart"/>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2.三聚氰胺饰面实木多层板：饰面三聚氰胺浸渍纸符合GB/T</w:t>
            </w:r>
            <w:r>
              <w:rPr>
                <w:rFonts w:hint="default" w:ascii="Times New Roman" w:hAnsi="Times New Roman" w:eastAsia="宋体" w:cs="仿宋_GB2312"/>
                <w:i w:val="0"/>
                <w:iCs w:val="0"/>
                <w:color w:val="000000"/>
                <w:sz w:val="24"/>
                <w:szCs w:val="20"/>
                <w:highlight w:val="none"/>
                <w:u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Fonts w:hint="default" w:ascii="Times New Roman" w:hAnsi="Times New Roman" w:eastAsia="宋体" w:cs="仿宋_GB2312"/>
                <w:i w:val="0"/>
                <w:iCs w:val="0"/>
                <w:color w:val="000000"/>
                <w:sz w:val="24"/>
                <w:szCs w:val="20"/>
                <w:highlight w:val="none"/>
                <w:u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3.PVC封边条：符合QB/T 4463-2025《家具用封边条》、‌GB/T 17657-2022《‌人造板及饰面人造板理化性能试验方法‌》、GB/T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5.工艺说明：60*30门字形扁管钢脚，表面喷涂处理，台面带线盒，铝合金翻盖，ABS边框，桌屏和底盒</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56人侦查技术室218、56人模拟询问室220、56人研讨室222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2人会议边桌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00735" cy="428625"/>
                      <wp:effectExtent l="0" t="0" r="18415" b="9525"/>
                      <wp:docPr id="81" name="图片 79" descr="IMG_334"/>
                      <wp:cNvGraphicFramePr/>
                      <a:graphic xmlns:a="http://schemas.openxmlformats.org/drawingml/2006/main">
                        <a:graphicData uri="http://schemas.openxmlformats.org/drawingml/2006/picture">
                          <pic:pic xmlns:pic="http://schemas.openxmlformats.org/drawingml/2006/picture">
                            <pic:nvPicPr>
                              <pic:cNvPr id="1104" name="图片 79" descr="IMG_334"/>
                              <pic:cNvPicPr/>
                              <pic:nvPr/>
                            </pic:nvPicPr>
                            <pic:blipFill>
                              <a:blip r:embed="rId93"/>
                              <a:stretch/>
                            </pic:blipFill>
                            <pic:spPr bwMode="auto">
                              <a:xfrm>
                                <a:off x="0" y="0"/>
                                <a:ext cx="800735" cy="4286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63.0pt;height:33.8pt;mso-wrap-distance-left:0.0pt;mso-wrap-distance-top:0.0pt;mso-wrap-distance-right:0.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1200*450*750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vMerge w:val="continue"/>
            <w:textDirection w:val="lrTb"/>
            <w:noWrap w:val="false"/>
          </w:tcPr>
          <w:p>
            <w:pPr>
              <w:jc w:val="center"/>
              <w:rPr>
                <w:rFonts w:hint="default" w:ascii="Times New Roman" w:hAnsi="Times New Roman" w:eastAsia="宋体" w:cs="仿宋_GB2312"/>
                <w:i w:val="0"/>
                <w:iCs w:val="0"/>
                <w:color w:val="000000"/>
                <w:sz w:val="24"/>
                <w:szCs w:val="20"/>
                <w:highlight w:val="none"/>
                <w:u w:val="none"/>
              </w:rPr>
            </w:pPr>
            <w:r>
              <w:rPr>
                <w:rFonts w:hint="default" w:ascii="Times New Roman" w:hAnsi="Times New Roman" w:eastAsia="宋体" w:cs="仿宋_GB2312"/>
                <w:i w:val="0"/>
                <w:iCs w:val="0"/>
                <w:color w:val="000000"/>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vMerge w:val="continue"/>
            <w:textDirection w:val="lrTb"/>
            <w:noWrap w:val="false"/>
          </w:tcPr>
          <w:p>
            <w:pPr>
              <w:jc w:val="center"/>
              <w:rPr>
                <w:rFonts w:hint="default" w:ascii="Times New Roman" w:hAnsi="Times New Roman" w:eastAsia="宋体" w:cs="仿宋_GB2312"/>
                <w:i w:val="0"/>
                <w:iCs w:val="0"/>
                <w:color w:val="000000"/>
                <w:sz w:val="24"/>
                <w:szCs w:val="20"/>
                <w:highlight w:val="none"/>
                <w:u w:val="none"/>
              </w:rPr>
            </w:pPr>
            <w:r>
              <w:rPr>
                <w:rFonts w:hint="default" w:ascii="Times New Roman" w:hAnsi="Times New Roman" w:eastAsia="宋体" w:cs="仿宋_GB2312"/>
                <w:i w:val="0"/>
                <w:iCs w:val="0"/>
                <w:color w:val="000000"/>
                <w:sz w:val="24"/>
                <w:szCs w:val="20"/>
                <w:highlight w:val="none"/>
                <w:u w:val="none"/>
              </w:rPr>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56人侦查技术室218、56人模拟询问室220、56人研讨室222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42975" cy="714375"/>
                      <wp:effectExtent l="0" t="0" r="9525" b="9525"/>
                      <wp:docPr id="82" name="图片 80" descr="IMG_335"/>
                      <wp:cNvGraphicFramePr/>
                      <a:graphic xmlns:a="http://schemas.openxmlformats.org/drawingml/2006/main">
                        <a:graphicData uri="http://schemas.openxmlformats.org/drawingml/2006/picture">
                          <pic:pic xmlns:pic="http://schemas.openxmlformats.org/drawingml/2006/picture">
                            <pic:nvPicPr>
                              <pic:cNvPr id="1105" name="图片 80" descr="IMG_335"/>
                              <pic:cNvPicPr/>
                              <pic:nvPr/>
                            </pic:nvPicPr>
                            <pic:blipFill>
                              <a:blip r:embed="rId94"/>
                              <a:stretch/>
                            </pic:blipFill>
                            <pic:spPr bwMode="auto">
                              <a:xfrm>
                                <a:off x="0" y="0"/>
                                <a:ext cx="94297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4.2pt;height:56.2pt;mso-wrap-distance-left:0.0pt;mso-wrap-distance-top:0.0pt;mso-wrap-distance-right:0.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1.面料网布：符合GB 18401-2010《国家纺织产品基本安全技术规范》标准。甲醛含量未检出、耐老化性48h灰卡等级达5级</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2.海绵：符合GB/T </w:t>
            </w:r>
            <w:r>
              <w:rPr>
                <w:rFonts w:hint="default" w:ascii="Times New Roman" w:hAnsi="Times New Roman" w:eastAsia="宋体" w:cs="仿宋_GB2312"/>
                <w:i w:val="0"/>
                <w:iCs w:val="0"/>
                <w:color w:val="000000"/>
                <w:sz w:val="24"/>
                <w:szCs w:val="20"/>
                <w:highlight w:val="none"/>
                <w:u w:val="none"/>
                <w:lang w:val="en-US" w:eastAsia="zh-CN"/>
              </w:rPr>
              <w:t xml:space="preserve">10802-2023《通用软质聚氨酯泡沫塑料》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3.扶手：PP固定扶手带腰靠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4.背框：尼龙加纤背框，背框黑色</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5.配置：弓形钢管：壁厚≥1.5mm，符合GB/T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1767"/>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接待区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服务台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86460" cy="447675"/>
                      <wp:effectExtent l="0" t="0" r="8890" b="9525"/>
                      <wp:docPr id="83" name="图片 81" descr="IMG_336"/>
                      <wp:cNvGraphicFramePr/>
                      <a:graphic xmlns:a="http://schemas.openxmlformats.org/drawingml/2006/main">
                        <a:graphicData uri="http://schemas.openxmlformats.org/drawingml/2006/picture">
                          <pic:pic xmlns:pic="http://schemas.openxmlformats.org/drawingml/2006/picture">
                            <pic:nvPicPr>
                              <pic:cNvPr id="1106" name="图片 81" descr="IMG_336"/>
                              <pic:cNvPicPr/>
                              <pic:nvPr/>
                            </pic:nvPicPr>
                            <pic:blipFill>
                              <a:blip r:embed="rId95"/>
                              <a:stretch/>
                            </pic:blipFill>
                            <pic:spPr bwMode="auto">
                              <a:xfrm>
                                <a:off x="0" y="0"/>
                                <a:ext cx="886460" cy="4476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69.8pt;height:35.2pt;mso-wrap-distance-left:0.0pt;mso-wrap-distance-top:0.0pt;mso-wrap-distance-right:0.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3000*800*1050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default" w:ascii="Times New Roman" w:hAnsi="Times New Roman" w:eastAsia="宋体" w:cs="仿宋_GB2312"/>
                <w:i w:val="0"/>
                <w:iCs w:val="0"/>
                <w:color w:val="000000"/>
                <w:sz w:val="24"/>
                <w:szCs w:val="20"/>
                <w:highlight w:val="none"/>
                <w:u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未检出；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w:t>
            </w:r>
            <w:r>
              <w:rPr>
                <w:rFonts w:hint="default" w:ascii="Times New Roman" w:hAnsi="Times New Roman" w:eastAsia="宋体" w:cs="仿宋_GB2312"/>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default" w:ascii="Times New Roman" w:hAnsi="Times New Roman" w:eastAsia="宋体" w:cs="仿宋_GB2312"/>
                <w:i w:val="0"/>
                <w:iCs w:val="0"/>
                <w:color w:val="000000"/>
                <w:sz w:val="24"/>
                <w:szCs w:val="20"/>
                <w:highlight w:val="none"/>
                <w:u w:val="none"/>
                <w:lang w:val="en-US" w:eastAsia="zh-CN"/>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5.四周围边采用天然大理石，色泽一致，无明显色差。台面光滑平整、无波纹、方料痕、刮痕、裂纹。</w:t>
            </w:r>
            <w:r>
              <w:rPr>
                <w:rFonts w:hint="eastAsia" w:cs="仿宋_GB2312"/>
                <w:i w:val="0"/>
                <w:iCs w:val="0"/>
                <w:color w:val="000000"/>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000000"/>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6.工艺要求：底部带灯带</w:t>
            </w:r>
            <w:r/>
          </w:p>
        </w:tc>
      </w:tr>
      <w:tr>
        <w:trPr>
          <w:trHeight w:val="1743"/>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接待区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茶水柜3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914400" cy="657225"/>
                      <wp:effectExtent l="0" t="0" r="0" b="9525"/>
                      <wp:docPr id="84" name="图片 82" descr="IMG_337"/>
                      <wp:cNvGraphicFramePr/>
                      <a:graphic xmlns:a="http://schemas.openxmlformats.org/drawingml/2006/main">
                        <a:graphicData uri="http://schemas.openxmlformats.org/drawingml/2006/picture">
                          <pic:pic xmlns:pic="http://schemas.openxmlformats.org/drawingml/2006/picture">
                            <pic:nvPicPr>
                              <pic:cNvPr id="1107" name="图片 82" descr="IMG_337"/>
                              <pic:cNvPicPr/>
                              <pic:nvPr/>
                            </pic:nvPicPr>
                            <pic:blipFill>
                              <a:blip r:embed="rId96"/>
                              <a:stretch/>
                            </pic:blipFill>
                            <pic:spPr bwMode="auto">
                              <a:xfrm>
                                <a:off x="0" y="0"/>
                                <a:ext cx="914400"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2.0pt;height:51.8pt;mso-wrap-distance-left:0.0pt;mso-wrap-distance-top:0.0pt;mso-wrap-distance-right:0.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Style w:val="1183"/>
                <w:rFonts w:ascii="Times New Roman" w:hAnsi="Times New Roman" w:eastAsia="宋体"/>
                <w:sz w:val="24"/>
                <w:szCs w:val="20"/>
                <w:highlight w:val="none"/>
                <w:lang w:val="en-US" w:eastAsia="zh-CN"/>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Style w:val="1183"/>
                <w:rFonts w:ascii="Times New Roman" w:hAnsi="Times New Roman" w:eastAsia="宋体"/>
                <w:sz w:val="24"/>
                <w:szCs w:val="20"/>
                <w:highlight w:val="none"/>
                <w:lang w:val="en-US" w:eastAsia="zh-CN"/>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2.三聚氰胺饰面实木多层板：饰面三聚氰胺浸渍纸符合GB/T</w:t>
            </w:r>
            <w:r>
              <w:rPr>
                <w:rStyle w:val="1183"/>
                <w:rFonts w:ascii="Times New Roman" w:hAnsi="Times New Roman" w:eastAsia="宋体"/>
                <w:sz w:val="24"/>
                <w:szCs w:val="20"/>
                <w:highlight w:val="none"/>
                <w:lang w:val="en-US" w:eastAsia="zh-CN"/>
              </w:rPr>
              <w:t xml:space="preserve"> 28995-2022《人造板饰面专用纸》,基材：实木多层板符合GB/T9846-2015《普通胶合板》、GB/T39600-2021《人造板及其制品甲醛释放量分级》、GB18580-2025《室内装饰装修材料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w:t>
            </w:r>
            <w:r>
              <w:rPr>
                <w:rStyle w:val="1183"/>
                <w:rFonts w:ascii="Times New Roman" w:hAnsi="Times New Roman" w:eastAsia="宋体"/>
                <w:sz w:val="24"/>
                <w:szCs w:val="20"/>
                <w:highlight w:val="none"/>
                <w:lang w:val="en-US" w:eastAsia="zh-CN"/>
              </w:rPr>
              <w:t xml:space="preserve">《人造板及饰面人造板理化性能试验方法》标准。理化性能-静曲强度≥25Mpa、弹性模量≥3500Mpa；胶合强度≥0.5Mpa；含水率6.0~14.0%；甲醛释放量（1m³气候箱法）要求未检出：品质属性-挥发性有机化合物释放浓度（7d）苯、甲苯、二甲苯、总挥发性有机化合物（TVOC）未检出、总挥发性有机化合物（TVOC）释放率未检出：抗菌防霉性能抗细菌率-肺炎克雷伯氏菌≥99.9%；防霉菌等级-黑曲霉0级；气味分级-气味等级0级；醛酮类化合物24h甲醛未检出；醛酮类化合物24h乙醛、苯甲醛、邻甲苯甲醛未检出。</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3.PVC封边条：符合QB/T 4463-2025《家具用封边条》、</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GB/T 17657-2022《</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人造板及饰面人造板理化性能试验方法</w:t>
            </w:r>
            <w:r>
              <w:rPr>
                <w:rStyle w:val="1184"/>
                <w:rFonts w:ascii="Times New Roman" w:hAnsi="Times New Roman" w:eastAsia="宋体"/>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183"/>
                <w:rFonts w:hint="eastAsia"/>
                <w:sz w:val="24"/>
                <w:szCs w:val="20"/>
                <w:highlight w:val="none"/>
                <w:lang w:val="en-US" w:eastAsia="zh-CN"/>
              </w:rPr>
              <w:t xml:space="preserve">、</w:t>
            </w:r>
            <w:r>
              <w:rPr>
                <w:rStyle w:val="1183"/>
                <w:rFonts w:ascii="Times New Roman" w:hAnsi="Times New Roman" w:eastAsia="宋体"/>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183"/>
                <w:rFonts w:ascii="Times New Roman" w:hAnsi="Times New Roman" w:eastAsia="宋体"/>
                <w:sz w:val="24"/>
                <w:szCs w:val="20"/>
                <w:highlight w:val="none"/>
                <w:lang w:val="en-US" w:eastAsia="zh-CN"/>
              </w:rPr>
              <w:br/>
            </w:r>
            <w:r>
              <w:rPr>
                <w:rStyle w:val="1183"/>
                <w:rFonts w:ascii="Times New Roman" w:hAnsi="Times New Roman" w:eastAsia="宋体"/>
                <w:sz w:val="24"/>
                <w:szCs w:val="20"/>
                <w:highlight w:val="none"/>
                <w:lang w:val="en-US" w:eastAsia="zh-CN"/>
              </w:rPr>
              <w:t xml:space="preserve">5.工艺要求 ：门板带拉手，锁</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球场训练区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单人休闲椅3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66775" cy="657225"/>
                      <wp:effectExtent l="0" t="0" r="9525" b="9525"/>
                      <wp:docPr id="85" name="图片 83" descr="IMG_338"/>
                      <wp:cNvGraphicFramePr/>
                      <a:graphic xmlns:a="http://schemas.openxmlformats.org/drawingml/2006/main">
                        <a:graphicData uri="http://schemas.openxmlformats.org/drawingml/2006/picture">
                          <pic:pic xmlns:pic="http://schemas.openxmlformats.org/drawingml/2006/picture">
                            <pic:nvPicPr>
                              <pic:cNvPr id="1108" name="图片 83" descr="IMG_338"/>
                              <pic:cNvPicPr/>
                              <pic:nvPr/>
                            </pic:nvPicPr>
                            <pic:blipFill>
                              <a:blip r:embed="rId97"/>
                              <a:stretch/>
                            </pic:blipFill>
                            <pic:spPr bwMode="auto">
                              <a:xfrm>
                                <a:off x="0" y="0"/>
                                <a:ext cx="866775"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8.2pt;height:51.8pt;mso-wrap-distance-left:0.0pt;mso-wrap-distance-top:0.0pt;mso-wrap-distance-right:0.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460*410*500/840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1.PP塑料：符合GB/T 32487-2016《塑料家具通用技术条件》、GB 18584-2024《家具中有害物质限量》、GB/T 37866-2019《绿色产品评价 塑料制品》标准。塑料件外观、冲击强度检测符合要求；挥发性气体-有机挥发物总含量（TVOC）未检出；多环芳烃-18种多环芳烃（PAH）总量未检出。</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2.实心钢管：符合GB/T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球场训练区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圆边几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866775" cy="657225"/>
                      <wp:effectExtent l="0" t="0" r="9525" b="9525"/>
                      <wp:docPr id="86" name="图片 84" descr="IMG_339"/>
                      <wp:cNvGraphicFramePr/>
                      <a:graphic xmlns:a="http://schemas.openxmlformats.org/drawingml/2006/main">
                        <a:graphicData uri="http://schemas.openxmlformats.org/drawingml/2006/picture">
                          <pic:pic xmlns:pic="http://schemas.openxmlformats.org/drawingml/2006/picture">
                            <pic:nvPicPr>
                              <pic:cNvPr id="1109" name="图片 84" descr="IMG_339"/>
                              <pic:cNvPicPr/>
                              <pic:nvPr/>
                            </pic:nvPicPr>
                            <pic:blipFill>
                              <a:blip r:embed="rId98"/>
                              <a:stretch/>
                            </pic:blipFill>
                            <pic:spPr bwMode="auto">
                              <a:xfrm>
                                <a:off x="0" y="0"/>
                                <a:ext cx="866775"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68.2pt;height:51.8pt;mso-wrap-distance-left:0.0pt;mso-wrap-distance-top:0.0pt;mso-wrap-distance-right:0.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直径400*500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000000"/>
                <w:sz w:val="24"/>
                <w:szCs w:val="20"/>
                <w:highlight w:val="none"/>
                <w:u w:val="none"/>
                <w:lang w:val="en-US" w:eastAsia="zh-CN"/>
              </w:rPr>
              <w:br/>
            </w:r>
            <w:r>
              <w:rPr>
                <w:rFonts w:hint="default" w:ascii="Times New Roman" w:hAnsi="Times New Roman" w:eastAsia="宋体" w:cs="仿宋_GB2312"/>
                <w:i w:val="0"/>
                <w:iCs w:val="0"/>
                <w:color w:val="000000"/>
                <w:sz w:val="24"/>
                <w:szCs w:val="20"/>
                <w:highlight w:val="none"/>
                <w:u w:val="none"/>
                <w:lang w:val="en-US" w:eastAsia="zh-CN"/>
              </w:rPr>
              <w:t xml:space="preserve">2.钢管：壁厚≥1.5mm，符合GB/T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default" w:ascii="Times New Roman" w:hAnsi="Times New Roman" w:eastAsia="宋体" w:cs="仿宋_GB2312"/>
                <w:i w:val="0"/>
                <w:iCs w:val="0"/>
                <w:color w:val="000000"/>
                <w:sz w:val="24"/>
                <w:szCs w:val="20"/>
                <w:highlight w:val="none"/>
                <w:u w:val="none"/>
                <w:lang w:val="en-US" w:eastAsia="zh-CN"/>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r>
      <w:tr>
        <w:trPr>
          <w:trHeight w:val="1267"/>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球场训练区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乒乓球桌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mc:AlternateContent>
                <mc:Choice Requires="wpg">
                  <w:drawing>
                    <wp:inline xmlns:wp="http://schemas.openxmlformats.org/drawingml/2006/wordprocessingDrawing" distT="0" distB="0" distL="0" distR="0">
                      <wp:extent cx="1152525" cy="771525"/>
                      <wp:effectExtent l="0" t="0" r="9525" b="9525"/>
                      <wp:docPr id="87" name="图片 85" descr="IMG_340"/>
                      <wp:cNvGraphicFramePr/>
                      <a:graphic xmlns:a="http://schemas.openxmlformats.org/drawingml/2006/main">
                        <a:graphicData uri="http://schemas.openxmlformats.org/drawingml/2006/picture">
                          <pic:pic xmlns:pic="http://schemas.openxmlformats.org/drawingml/2006/picture">
                            <pic:nvPicPr>
                              <pic:cNvPr id="1110" name="图片 85" descr="IMG_340"/>
                              <pic:cNvPicPr/>
                              <pic:nvPr/>
                            </pic:nvPicPr>
                            <pic:blipFill>
                              <a:blip r:embed="rId99"/>
                              <a:stretch/>
                            </pic:blipFill>
                            <pic:spPr bwMode="auto">
                              <a:xfrm>
                                <a:off x="0" y="0"/>
                                <a:ext cx="1152525" cy="7715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90.8pt;height:60.8pt;mso-wrap-distance-left:0.0pt;mso-wrap-distance-top:0.0pt;mso-wrap-distance-right:0.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2740*1525*760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default" w:ascii="Times New Roman" w:hAnsi="Times New Roman" w:eastAsia="宋体" w:cs="仿宋_GB2312"/>
                <w:i w:val="0"/>
                <w:iCs w:val="0"/>
                <w:color w:val="000000"/>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000000"/>
                <w:sz w:val="24"/>
                <w:szCs w:val="20"/>
                <w:highlight w:val="none"/>
                <w:u w:val="none"/>
              </w:rPr>
              <w:suppressLineNumbers w:val="0"/>
            </w:pPr>
            <w:r>
              <w:rPr>
                <w:rFonts w:hint="eastAsia" w:ascii="Times New Roman" w:hAnsi="Times New Roman" w:eastAsia="宋体" w:cs="仿宋_GB2312"/>
                <w:i w:val="0"/>
                <w:iCs w:val="0"/>
                <w:color w:val="000000"/>
                <w:sz w:val="24"/>
                <w:szCs w:val="20"/>
                <w:highlight w:val="none"/>
                <w:u w:val="none"/>
                <w:lang w:val="en-US" w:eastAsia="zh-CN"/>
              </w:rPr>
              <w:t xml:space="preserve">符合国家相关标准的质量和双鱼（非指定）同档次的乒乓球台</w:t>
            </w:r>
            <w:r>
              <w:rPr>
                <w:rFonts w:hint="default" w:ascii="Times New Roman" w:hAnsi="Times New Roman" w:eastAsia="宋体" w:cs="仿宋_GB2312"/>
                <w:i w:val="0"/>
                <w:iCs w:val="0"/>
                <w:color w:val="000000"/>
                <w:sz w:val="24"/>
                <w:szCs w:val="20"/>
                <w:highlight w:val="none"/>
                <w:u w:val="none"/>
                <w:lang w:val="en-US" w:eastAsia="zh-CN"/>
              </w:rPr>
              <w:t xml:space="preserve">：全新涂淋工艺面板，提高摩擦力，色泽好。台脚承受力大，稳定性强。台面环保工艺涂漆膜硬，弹性好，做工细腻，对人体健康</w:t>
            </w:r>
            <w:r>
              <w:rPr>
                <w:rFonts w:hint="eastAsia" w:ascii="Times New Roman" w:hAnsi="Times New Roman" w:eastAsia="宋体" w:cs="仿宋_GB2312"/>
                <w:i w:val="0"/>
                <w:iCs w:val="0"/>
                <w:color w:val="000000"/>
                <w:sz w:val="24"/>
                <w:szCs w:val="20"/>
                <w:highlight w:val="none"/>
                <w:u w:val="none"/>
                <w:lang w:val="en-US" w:eastAsia="zh-CN"/>
              </w:rPr>
              <w:t xml:space="preserve">无害。</w:t>
            </w:r>
            <w:r/>
          </w:p>
        </w:tc>
      </w:tr>
      <w:tr>
        <w:trPr>
          <w:trHeight w:val="534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操作台I</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31750</wp:posOffset>
                      </wp:positionH>
                      <wp:positionV relativeFrom="paragraph">
                        <wp:posOffset>206375</wp:posOffset>
                      </wp:positionV>
                      <wp:extent cx="848995" cy="734060"/>
                      <wp:effectExtent l="0" t="0" r="8255" b="8890"/>
                      <wp:wrapNone/>
                      <wp:docPr id="88" name="图片_127"/>
                      <wp:cNvGraphicFramePr/>
                      <a:graphic xmlns:a="http://schemas.openxmlformats.org/drawingml/2006/main">
                        <a:graphicData uri="http://schemas.openxmlformats.org/drawingml/2006/picture">
                          <pic:pic xmlns:pic="http://schemas.openxmlformats.org/drawingml/2006/picture">
                            <pic:nvPicPr>
                              <pic:cNvPr id="1111" name="图片_127"/>
                              <pic:cNvPicPr/>
                              <pic:nvPr/>
                            </pic:nvPicPr>
                            <pic:blipFill>
                              <a:blip r:embed="rId100"/>
                              <a:stretch/>
                            </pic:blipFill>
                            <pic:spPr bwMode="auto">
                              <a:xfrm>
                                <a:off x="0" y="0"/>
                                <a:ext cx="848995" cy="73406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2.5pt;mso-position-horizontal:absolute;mso-position-vertical-relative:text;margin-top:16.2pt;mso-position-vertical:absolute;width:66.8pt;height:57.8pt;mso-wrap-distance-left:0.0pt;mso-wrap-distance-top:0.0pt;mso-wrap-distance-right:0.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29300mm*850mm*750mm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29.3米</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vMerge w:val="restart"/>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1.控制台台面：台面板采用实木颗粒板+双面贴防火胶板工艺制作，整体厚度27mm。台面主体为实木颗粒板，厚度25mm，其性能完全符合 GB/T 4897-2015《刨花板》、GB 18580-</w:t>
            </w:r>
            <w:r>
              <w:rPr>
                <w:rFonts w:hint="eastAsia" w:cs="宋体"/>
                <w:i w:val="0"/>
                <w:iCs w:val="0"/>
                <w:color w:val="000000"/>
                <w:sz w:val="24"/>
                <w:szCs w:val="20"/>
                <w:highlight w:val="none"/>
                <w:u w:val="none"/>
                <w:lang w:val="en-US" w:eastAsia="zh-CN"/>
              </w:rPr>
              <w:t xml:space="preserve">2025</w:t>
            </w:r>
            <w:r>
              <w:rPr>
                <w:rFonts w:hint="eastAsia" w:ascii="Times New Roman" w:hAnsi="Times New Roman" w:eastAsia="宋体" w:cs="宋体"/>
                <w:i w:val="0"/>
                <w:iCs w:val="0"/>
                <w:color w:val="000000"/>
                <w:sz w:val="24"/>
                <w:szCs w:val="20"/>
                <w:highlight w:val="none"/>
                <w:u w:val="none"/>
                <w:lang w:val="en-US" w:eastAsia="zh-CN"/>
              </w:rPr>
              <w:t xml:space="preserve">《室内装饰装修材料 人造板及其制品中甲醛释放限量》的要求。</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2. 框架结构：控制台主体拉铝框架应通过 GB/T 10125-2021 （最新标准）《人造气氛腐蚀试验  盐雾试验》测试达到盐雾腐蚀100小时，抗腐蚀能力不低于10级；（该部件带须提供带CMA标识的第三方检测机构出具的检测报告</w:t>
            </w:r>
            <w:r>
              <w:rPr>
                <w:rFonts w:hint="eastAsia" w:cs="宋体"/>
                <w:i w:val="0"/>
                <w:iCs w:val="0"/>
                <w:color w:val="000000"/>
                <w:sz w:val="24"/>
                <w:szCs w:val="20"/>
                <w:highlight w:val="none"/>
                <w:u w:val="none"/>
                <w:lang w:val="en-US" w:eastAsia="zh-CN"/>
              </w:rPr>
              <w:t xml:space="preserve">扫描件</w:t>
            </w:r>
            <w:r>
              <w:rPr>
                <w:rFonts w:hint="eastAsia" w:ascii="Times New Roman" w:hAnsi="Times New Roman" w:eastAsia="宋体" w:cs="宋体"/>
                <w:i w:val="0"/>
                <w:iCs w:val="0"/>
                <w:color w:val="000000"/>
                <w:sz w:val="24"/>
                <w:szCs w:val="20"/>
                <w:highlight w:val="none"/>
                <w:u w:val="none"/>
                <w:lang w:val="en-US" w:eastAsia="zh-CN"/>
              </w:rPr>
              <w:t xml:space="preserve">）。</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3.屏风：应设计成免专用工具可快速拆装维护结构，方便布线维护以及安装信息面板等各类设备辅件；至少屏风前板盖要求为合金铝型材制作，可承装显示器支架，实际显示器支架可横向任意调整布局，其余可为钣金制作；屏风上要求嵌入警示作用或装饰作用的纳米导光板，要求导光板表面和边缘均可明显可见不同颜色变化，可提升大厅整体科技亮点效果；</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4.三防要求：控制台应满足以下规定（提供带CMA标识由第三方检测机构出具的检测报告）：</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a) 防盐雾：盐雾试验应按GJB150.11A-2009规定进行，试验温度35℃，结果达10级（最好）；</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b) 防霉菌：霉菌试验应按GJB150.10A-2009规定进行，结果达0级（最好）；</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c) 防潮（防湿热）：湿热实验应按GJB150.9A-2009规定进行；</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5.布线系统要求：结合控制系统对线缆的要求，操作台底柜内部应设置各方走向的专业理线系统，与整体系统环境相适应，要求布线合理有序、安全、整齐，同时满足强、弱电线分离功能，避免信号干扰；要求线槽的布线容量大、通透性好、防护性好、坚固耐用环保，线缆路径清晰可见，方便各向走线，利于散热，易于维护管理；</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6.控制台产品应符合CNCA-CGP-06:2021《绿色产品认证实施规则 家具》的要求；（须提供中国绿色产品认证证书(证书上应有“中国绿色产品"标识)扫描件并加盖投标人公章）</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7.绝缘强度要求：各带电回路对地（或对柜体）以及两个非电气连接的带电回路之间，应能承受不少于2500V、50Hz的交流电压持续1min，不出现击穿或飞弧</w:t>
            </w:r>
            <w:r>
              <w:rPr>
                <w:rFonts w:hint="eastAsia" w:cs="宋体"/>
                <w:i w:val="0"/>
                <w:iCs w:val="0"/>
                <w:color w:val="000000"/>
                <w:sz w:val="24"/>
                <w:szCs w:val="20"/>
                <w:highlight w:val="none"/>
                <w:u w:val="none"/>
                <w:lang w:val="en-US" w:eastAsia="zh-CN"/>
              </w:rPr>
              <w:t xml:space="preserve">现象</w:t>
            </w:r>
            <w:r>
              <w:rPr>
                <w:rFonts w:hint="eastAsia" w:ascii="Times New Roman" w:hAnsi="Times New Roman" w:eastAsia="宋体" w:cs="宋体"/>
                <w:i w:val="0"/>
                <w:iCs w:val="0"/>
                <w:color w:val="000000"/>
                <w:sz w:val="24"/>
                <w:szCs w:val="20"/>
                <w:highlight w:val="none"/>
                <w:u w:val="none"/>
                <w:lang w:val="en-US" w:eastAsia="zh-CN"/>
              </w:rPr>
              <w:t xml:space="preserve">，漏电流应小于10mA；</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8.工作站要和控制台集成一体，实现电磁兼容、散热、布线的整体设计，确保工作站能安全、稳定、高效地24小时不间断运</w:t>
            </w:r>
            <w:r>
              <w:rPr>
                <w:rFonts w:hint="eastAsia" w:ascii="Times New Roman" w:hAnsi="Times New Roman" w:eastAsia="宋体" w:cs="宋体"/>
                <w:i w:val="0"/>
                <w:iCs w:val="0"/>
                <w:color w:val="000000"/>
                <w:sz w:val="24"/>
                <w:szCs w:val="20"/>
                <w:highlight w:val="none"/>
                <w:u w:val="none"/>
                <w:lang w:val="en-US" w:eastAsia="zh-CN"/>
              </w:rPr>
              <w:t xml:space="preserve">行；由于一体化设计，控制台根据工作站的特性来优化设计，也能提高工作站的实际工作寿命，降低故障率。                                                                                                      9.▲控制台表面理化性能和木材含水率须符合GB/T 3324-2017《木家具通用技术条件》、GB/T 4893.7-2013《家具表面漆膜理化性能试验 第7部分:耐冷热温差测定法》、GB/T 4983.8-20</w:t>
            </w:r>
            <w:r>
              <w:rPr>
                <w:rFonts w:hint="eastAsia" w:cs="宋体"/>
                <w:i w:val="0"/>
                <w:iCs w:val="0"/>
                <w:color w:val="000000"/>
                <w:sz w:val="24"/>
                <w:szCs w:val="20"/>
                <w:highlight w:val="none"/>
                <w:u w:val="none"/>
                <w:lang w:val="en-US" w:eastAsia="zh-CN"/>
              </w:rPr>
              <w:t xml:space="preserve">2</w:t>
            </w:r>
            <w:r>
              <w:rPr>
                <w:rFonts w:hint="eastAsia" w:ascii="Times New Roman" w:hAnsi="Times New Roman" w:eastAsia="宋体" w:cs="宋体"/>
                <w:i w:val="0"/>
                <w:iCs w:val="0"/>
                <w:color w:val="000000"/>
                <w:sz w:val="24"/>
                <w:szCs w:val="20"/>
                <w:highlight w:val="none"/>
                <w:u w:val="none"/>
                <w:lang w:val="en-US" w:eastAsia="zh-CN"/>
              </w:rPr>
              <w:t xml:space="preserve">3、GB/T 4893.9-2013《家具表面漆膜理化性能试验 第9部分:抗冲击测定法》检测标准，其中耐磨和耐冲击性能需达到1级标准；（须提供带CMA标识的第三方检测机构出具的检测报告）</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10.▲控制台的金属制品表面涂层/覆面的性能要求应满足以下标准：①弯曲测试（锥形轴）符合GB/T 11185-2009 《色漆和清漆.弯曲试验(锥形轴)》检测标准，结果应无开裂；② 附着力测试符合 GB/T 9286-2021《色漆和清漆 划格试验》检测标准，结果应达到0级（最好）；③涂层硬度符合GB/T 6739-2022 《色漆和清漆 铅笔法测定漆膜硬度》检测标准，结果应不</w:t>
            </w:r>
            <w:r>
              <w:rPr>
                <w:rFonts w:hint="eastAsia" w:ascii="Times New Roman" w:hAnsi="Times New Roman" w:eastAsia="宋体" w:cs="宋体"/>
                <w:i w:val="0"/>
                <w:iCs w:val="0"/>
                <w:color w:val="000000"/>
                <w:sz w:val="24"/>
                <w:szCs w:val="20"/>
                <w:highlight w:val="none"/>
                <w:u w:val="none"/>
                <w:lang w:val="en-US" w:eastAsia="zh-CN"/>
              </w:rPr>
              <w:t xml:space="preserve">低于3H铅笔硬度；④耐冲击测试符合GB/T 1732-2020《漆膜耐冲击测定法》检测标准，1kg质量冲击高度500mm，结果无开裂或剥落；（须提供带CMA标识的第三方检测机构出具的检测报告）                                                                                                                              11.操作台工艺制作、材质、颜色经业主方签字确认后供货(提供承诺函）</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12. 每个席位配置一把椅子，椅子的款式经业主方签字确认后供货(提供承诺函）</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二、配件</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1.显示器安装支架：采用压铸铝合金材质，可灵活挂装在后屏风导轨槽上。显示器的前、后、左、右、高、低位置可以在支臂范围内任意无极调整。</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2.键盘盆: 控制台台面板下设抽拉式键盘托盆，宽度为600W，可放置455W键盘和鼠标，键盘托盆采用金属材质制作，键盘托盆的手枕采用PU聚氨酯软胶制作，耐磨、抗刮、舒适；手枕全包键盘盆体，盆体无利钣金口外露，有效避免造成伤害。</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3.PDU:需符合国标6位10A 250VAC五孔插座的电源插排，电气性能符合CCC认证标准。</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4.桌面多媒体信息插座要求：安装于后屏风的正面。信息面板采用 5mm 厚铝板制作，表面状态为拉 丝黑色/拉丝银色。面板高度固定为 80mm，面板长 度尽量短，满足实际接口的紧凑型排布。</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5.智能灯光控制面板:控制台设置有智能灯光系统，后屏风上设有导光板，采用纳米导光板与可变色的节能LED灯条相结合结构，起到警示信号和美观的作用，可实现变换红、绿、蓝、白四种颜色灯光警示信号，并设有智能灯光控制面板，能实现通过按钮控制灯光变化。</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弧形操作台I</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8255</wp:posOffset>
                      </wp:positionH>
                      <wp:positionV relativeFrom="paragraph">
                        <wp:posOffset>102235</wp:posOffset>
                      </wp:positionV>
                      <wp:extent cx="820420" cy="619125"/>
                      <wp:effectExtent l="0" t="0" r="17780" b="9525"/>
                      <wp:wrapNone/>
                      <wp:docPr id="89" name="图片_127_SpCnt_1"/>
                      <wp:cNvGraphicFramePr/>
                      <a:graphic xmlns:a="http://schemas.openxmlformats.org/drawingml/2006/main">
                        <a:graphicData uri="http://schemas.openxmlformats.org/drawingml/2006/picture">
                          <pic:pic xmlns:pic="http://schemas.openxmlformats.org/drawingml/2006/picture">
                            <pic:nvPicPr>
                              <pic:cNvPr id="1112" name="图片_127_SpCnt_1"/>
                              <pic:cNvPicPr/>
                              <pic:nvPr/>
                            </pic:nvPicPr>
                            <pic:blipFill>
                              <a:blip r:embed="rId100"/>
                              <a:stretch/>
                            </pic:blipFill>
                            <pic:spPr bwMode="auto">
                              <a:xfrm>
                                <a:off x="0" y="0"/>
                                <a:ext cx="820420" cy="61912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0.7pt;mso-position-horizontal:absolute;mso-position-vertical-relative:text;margin-top:8.0pt;mso-position-vertical:absolute;width:64.6pt;height:48.8pt;mso-wrap-distance-left:0.0pt;mso-wrap-distance-top:0.0pt;mso-wrap-distance-right:0.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5800mm*850mm*750mm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5.8米</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vMerge w:val="continue"/>
            <w:textDirection w:val="lrTb"/>
            <w:noWrap w:val="false"/>
          </w:tcPr>
          <w:p>
            <w:pPr>
              <w:jc w:val="left"/>
              <w:rPr>
                <w:rFonts w:hint="eastAsia" w:ascii="Times New Roman" w:hAnsi="Times New Roman" w:eastAsia="宋体" w:cs="宋体"/>
                <w:i w:val="0"/>
                <w:iCs w:val="0"/>
                <w:color w:val="000000"/>
                <w:sz w:val="24"/>
                <w:szCs w:val="20"/>
                <w:highlight w:val="none"/>
                <w:u w:val="none"/>
              </w:rPr>
            </w:pPr>
            <w:r>
              <w:rPr>
                <w:rFonts w:hint="eastAsia" w:ascii="Times New Roman" w:hAnsi="Times New Roman" w:eastAsia="宋体" w:cs="宋体"/>
                <w:i w:val="0"/>
                <w:iCs w:val="0"/>
                <w:color w:val="000000"/>
                <w:sz w:val="24"/>
                <w:szCs w:val="20"/>
                <w:highlight w:val="none"/>
                <w:u w:val="none"/>
              </w:rPr>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领导会客沙发</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62230</wp:posOffset>
                      </wp:positionH>
                      <wp:positionV relativeFrom="paragraph">
                        <wp:posOffset>367030</wp:posOffset>
                      </wp:positionV>
                      <wp:extent cx="765175" cy="290830"/>
                      <wp:effectExtent l="0" t="0" r="15875" b="13970"/>
                      <wp:wrapNone/>
                      <wp:docPr id="90" name="图片_3"/>
                      <wp:cNvGraphicFramePr/>
                      <a:graphic xmlns:a="http://schemas.openxmlformats.org/drawingml/2006/main">
                        <a:graphicData uri="http://schemas.openxmlformats.org/drawingml/2006/picture">
                          <pic:pic xmlns:pic="http://schemas.openxmlformats.org/drawingml/2006/picture">
                            <pic:nvPicPr>
                              <pic:cNvPr id="1113" name="图片_3"/>
                              <pic:cNvPicPr/>
                              <pic:nvPr/>
                            </pic:nvPicPr>
                            <pic:blipFill>
                              <a:blip r:embed="rId101"/>
                              <a:stretch/>
                            </pic:blipFill>
                            <pic:spPr bwMode="auto">
                              <a:xfrm>
                                <a:off x="0" y="0"/>
                                <a:ext cx="765175" cy="29083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4.9pt;mso-position-horizontal:absolute;mso-position-vertical-relative:text;margin-top:28.9pt;mso-position-vertical:absolute;width:60.2pt;height:22.9pt;mso-wrap-distance-left:0.0pt;mso-wrap-distance-top:0.0pt;mso-wrap-distance-right:0.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1030mm*850mm*910mm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1.框架∶采用优质白蜡木制作ENF级环保实木方，符合 GB/T 3324-2024《木家具通用技术条件》、GB 18584-2024《家具中有害物质限量》甲醛释放量未检出，木材含水率≤12%，气干密度≥0.635g/cm³。无虫蚀、腐朽材。</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2.水性漆：符合HJ 2537-2014《环境标志产品技术要求水性涂料》、GB 30981.2-2025《涂料中有害物质限量第2部分:工业涂料》、GB/T 23999-2009《室内装饰装修用水性木</w:t>
            </w:r>
            <w:r>
              <w:rPr>
                <w:rFonts w:hint="eastAsia" w:ascii="Times New Roman" w:hAnsi="Times New Roman" w:eastAsia="宋体" w:cs="宋体"/>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3.优质海绵：符合GB/T 10802-2023《通用软质聚氨酯泡沫塑料》</w:t>
            </w:r>
            <w:r>
              <w:rPr>
                <w:rFonts w:hint="eastAsia" w:ascii="Times New Roman" w:hAnsi="Times New Roman" w:eastAsia="宋体" w:cs="宋体"/>
                <w:i w:val="0"/>
                <w:iCs w:val="0"/>
                <w:color w:val="000000"/>
                <w:sz w:val="24"/>
                <w:szCs w:val="20"/>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4.优质超纤皮/西皮：符合GB/T 16799-2018《家具用皮革》 GB/T 19941.2-2019《皮革和毛皮 甲醛含量的测定 第2部分：分光光度法》 GB 20400-2006《皮革和毛皮 有害物质限量》标准。游离甲醛、挥发性有机物（VOC）、禁用偶氮染料未检出；有害物质限量值-可分解有害芳香胺染料未检出。</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52070</wp:posOffset>
                      </wp:positionH>
                      <wp:positionV relativeFrom="paragraph">
                        <wp:posOffset>159385</wp:posOffset>
                      </wp:positionV>
                      <wp:extent cx="812165" cy="375920"/>
                      <wp:effectExtent l="0" t="0" r="6985" b="5080"/>
                      <wp:wrapNone/>
                      <wp:docPr id="91" name="图片_3_SpCnt_1"/>
                      <wp:cNvGraphicFramePr/>
                      <a:graphic xmlns:a="http://schemas.openxmlformats.org/drawingml/2006/main">
                        <a:graphicData uri="http://schemas.openxmlformats.org/drawingml/2006/picture">
                          <pic:pic xmlns:pic="http://schemas.openxmlformats.org/drawingml/2006/picture">
                            <pic:nvPicPr>
                              <pic:cNvPr id="1114" name="图片_3_SpCnt_1"/>
                              <pic:cNvPicPr/>
                              <pic:nvPr/>
                            </pic:nvPicPr>
                            <pic:blipFill>
                              <a:blip r:embed="rId101"/>
                              <a:stretch/>
                            </pic:blipFill>
                            <pic:spPr bwMode="auto">
                              <a:xfrm>
                                <a:off x="0" y="0"/>
                                <a:ext cx="812165" cy="37592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4.1pt;mso-position-horizontal:absolute;mso-position-vertical-relative:text;margin-top:12.5pt;mso-position-vertical:absolute;width:63.9pt;height:29.6pt;mso-wrap-distance-left:0.0pt;mso-wrap-distance-top:0.0pt;mso-wrap-distance-right:0.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400mm*600mm*450mm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1.基材采用优质白蜡木制作ENF级环保实木方，符合 GB/T 3324-2024《木家具通用技术条件》、GB 18584-2024《家具中有害物质限量》甲醛释放量未检出，木材含水率≤12%，气干密度≥0.635g/cm³。无虫蚀、腐朽材。</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2.水性漆：符合HJ 2537-2014《环境标志产品技术要求水性涂料》、GB 30981.2-2025《涂料中有害物质限量第2部分:工业涂料》、GB/T 23999-2009《室内装饰装修用水性木</w:t>
            </w:r>
            <w:r>
              <w:rPr>
                <w:rFonts w:hint="eastAsia" w:ascii="Times New Roman" w:hAnsi="Times New Roman" w:eastAsia="宋体" w:cs="宋体"/>
                <w:i w:val="0"/>
                <w:iCs w:val="0"/>
                <w:color w:val="000000"/>
                <w:sz w:val="24"/>
                <w:szCs w:val="20"/>
                <w:highlight w:val="none"/>
                <w:u w:val="none"/>
                <w:lang w:val="en-US" w:eastAsia="zh-CN"/>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茶水间开水炉</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98425</wp:posOffset>
                      </wp:positionH>
                      <wp:positionV relativeFrom="paragraph">
                        <wp:posOffset>42545</wp:posOffset>
                      </wp:positionV>
                      <wp:extent cx="733425" cy="1151255"/>
                      <wp:effectExtent l="0" t="0" r="9525" b="10795"/>
                      <wp:wrapNone/>
                      <wp:docPr id="92" name="图片_2" descr="1b223f82740ba4cd038f04cc8365be25"/>
                      <wp:cNvGraphicFramePr/>
                      <a:graphic xmlns:a="http://schemas.openxmlformats.org/drawingml/2006/main">
                        <a:graphicData uri="http://schemas.openxmlformats.org/drawingml/2006/picture">
                          <pic:pic xmlns:pic="http://schemas.openxmlformats.org/drawingml/2006/picture">
                            <pic:nvPicPr>
                              <pic:cNvPr id="1115" name="图片_2" descr="1b223f82740ba4cd038f04cc8365be25"/>
                              <pic:cNvPicPr/>
                              <pic:nvPr/>
                            </pic:nvPicPr>
                            <pic:blipFill>
                              <a:blip r:embed="rId102"/>
                              <a:stretch/>
                            </pic:blipFill>
                            <pic:spPr bwMode="auto">
                              <a:xfrm>
                                <a:off x="0" y="0"/>
                                <a:ext cx="733424" cy="1151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7.8pt;mso-position-horizontal:absolute;mso-position-vertical-relative:text;margin-top:3.3pt;mso-position-vertical:absolute;width:57.8pt;height:90.6pt;mso-wrap-distance-left:0.0pt;mso-wrap-distance-top:0.0pt;mso-wrap-distance-right:0.0pt;mso-wrap-distance-bottom:0.0pt;" stroked="false">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400mm*280mm*680mm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1、食品级316不锈钢机身。                  </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2、高低双温控设计。                          </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3、带净水功能                             </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4、产品具备国家CCC强制性认证</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135890</wp:posOffset>
                      </wp:positionH>
                      <wp:positionV relativeFrom="paragraph">
                        <wp:posOffset>76200</wp:posOffset>
                      </wp:positionV>
                      <wp:extent cx="630555" cy="1116965"/>
                      <wp:effectExtent l="0" t="0" r="17145" b="6985"/>
                      <wp:wrapNone/>
                      <wp:docPr id="93" name="图片_5" descr="f2bda513822601bee1f30cba57321cf4"/>
                      <wp:cNvGraphicFramePr/>
                      <a:graphic xmlns:a="http://schemas.openxmlformats.org/drawingml/2006/main">
                        <a:graphicData uri="http://schemas.openxmlformats.org/drawingml/2006/picture">
                          <pic:pic xmlns:pic="http://schemas.openxmlformats.org/drawingml/2006/picture">
                            <pic:nvPicPr>
                              <pic:cNvPr id="1116" name="图片_5" descr="f2bda513822601bee1f30cba57321cf4"/>
                              <pic:cNvPicPr/>
                              <pic:nvPr/>
                            </pic:nvPicPr>
                            <pic:blipFill>
                              <a:blip r:embed="rId103"/>
                              <a:stretch/>
                            </pic:blipFill>
                            <pic:spPr bwMode="auto">
                              <a:xfrm>
                                <a:off x="0" y="0"/>
                                <a:ext cx="630555" cy="11169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10.7pt;mso-position-horizontal:absolute;mso-position-vertical-relative:text;margin-top:6.0pt;mso-position-vertical:absolute;width:49.6pt;height:88.0pt;mso-wrap-distance-left:0.0pt;mso-wrap-distance-top:0.0pt;mso-wrap-distance-right:0.0pt;mso-wrap-distance-bottom:0.0pt;" stroked="false">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480mm*380mm*1500mm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1、钢化玻璃面板                           </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2、双开门设计                               </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3、具备臭氧、中温烘干、紫外线、红外线消毒  </w:t>
            </w:r>
            <w:r>
              <w:rPr>
                <w:rFonts w:hint="eastAsia" w:ascii="Times New Roman" w:hAnsi="Times New Roman" w:eastAsia="宋体" w:cs="宋体"/>
                <w:i w:val="0"/>
                <w:iCs w:val="0"/>
                <w:color w:val="000000"/>
                <w:sz w:val="24"/>
                <w:szCs w:val="20"/>
                <w:highlight w:val="none"/>
                <w:u w:val="none"/>
                <w:lang w:val="en-US" w:eastAsia="zh-CN"/>
              </w:rPr>
              <w:br/>
            </w:r>
            <w:r>
              <w:rPr>
                <w:rFonts w:hint="eastAsia" w:ascii="Times New Roman" w:hAnsi="Times New Roman" w:eastAsia="宋体" w:cs="宋体"/>
                <w:i w:val="0"/>
                <w:iCs w:val="0"/>
                <w:color w:val="000000"/>
                <w:sz w:val="24"/>
                <w:szCs w:val="20"/>
                <w:highlight w:val="none"/>
                <w:u w:val="none"/>
                <w:lang w:val="en-US" w:eastAsia="zh-CN"/>
              </w:rPr>
              <w:t xml:space="preserve">4、产品具备国家CCC强制性认证</w:t>
            </w:r>
            <w:r/>
          </w:p>
        </w:tc>
      </w:tr>
      <w:tr>
        <w:trPr>
          <w:trHeight w:val="177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63500</wp:posOffset>
                      </wp:positionH>
                      <wp:positionV relativeFrom="paragraph">
                        <wp:posOffset>-80010</wp:posOffset>
                      </wp:positionV>
                      <wp:extent cx="808355" cy="488950"/>
                      <wp:effectExtent l="0" t="0" r="10795" b="6350"/>
                      <wp:wrapNone/>
                      <wp:docPr id="94" name="图片_7" descr="ebf4b766e45c256d698a0f9db4bf7f60"/>
                      <wp:cNvGraphicFramePr/>
                      <a:graphic xmlns:a="http://schemas.openxmlformats.org/drawingml/2006/main">
                        <a:graphicData uri="http://schemas.openxmlformats.org/drawingml/2006/picture">
                          <pic:pic xmlns:pic="http://schemas.openxmlformats.org/drawingml/2006/picture">
                            <pic:nvPicPr>
                              <pic:cNvPr id="1117" name="图片_7" descr="ebf4b766e45c256d698a0f9db4bf7f60"/>
                              <pic:cNvPicPr/>
                              <pic:nvPr/>
                            </pic:nvPicPr>
                            <pic:blipFill>
                              <a:blip r:embed="rId104"/>
                              <a:stretch/>
                            </pic:blipFill>
                            <pic:spPr bwMode="auto">
                              <a:xfrm>
                                <a:off x="0" y="0"/>
                                <a:ext cx="808355" cy="488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5.0pt;mso-position-horizontal:absolute;mso-position-vertical-relative:text;margin-top:-6.3pt;mso-position-vertical:absolute;width:63.6pt;height:38.5pt;mso-wrap-distance-left:0.0pt;mso-wrap-distance-top:0.0pt;mso-wrap-distance-right:0.0pt;mso-wrap-distance-bottom:0.0pt;" stroked="false">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1500mm*30mm*600mm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油布画、铝合金极窄裱框。</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000000"/>
                <w:sz w:val="24"/>
                <w:szCs w:val="20"/>
                <w:highlight w:val="none"/>
                <w:u w:val="none"/>
              </w:rPr>
              <w:suppressLineNumbers w:val="0"/>
            </w:pPr>
            <w:r>
              <w:rPr>
                <w:rFonts w:hint="default" w:ascii="Times New Roman" w:hAnsi="Times New Roman" w:eastAsia="宋体" w:cs="Arial"/>
                <w:i w:val="0"/>
                <w:iCs w:val="0"/>
                <w:color w:val="000000"/>
                <w:sz w:val="24"/>
                <w:szCs w:val="20"/>
                <w:highlight w:val="none"/>
                <w:u w:val="none"/>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休息室绿植盆栽</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167005</wp:posOffset>
                      </wp:positionH>
                      <wp:positionV relativeFrom="paragraph">
                        <wp:posOffset>159385</wp:posOffset>
                      </wp:positionV>
                      <wp:extent cx="560070" cy="1076960"/>
                      <wp:effectExtent l="0" t="0" r="11430" b="8890"/>
                      <wp:wrapNone/>
                      <wp:docPr id="95" name="图片_6" descr="ed84679c62f5a46c506b10b450c1d622"/>
                      <wp:cNvGraphicFramePr/>
                      <a:graphic xmlns:a="http://schemas.openxmlformats.org/drawingml/2006/main">
                        <a:graphicData uri="http://schemas.openxmlformats.org/drawingml/2006/picture">
                          <pic:pic xmlns:pic="http://schemas.openxmlformats.org/drawingml/2006/picture">
                            <pic:nvPicPr>
                              <pic:cNvPr id="1118" name="图片_6" descr="ed84679c62f5a46c506b10b450c1d622"/>
                              <pic:cNvPicPr/>
                              <pic:nvPr/>
                            </pic:nvPicPr>
                            <pic:blipFill>
                              <a:blip r:embed="rId105"/>
                              <a:srcRect l="0" t="0" r="34992" b="480"/>
                              <a:stretch/>
                            </pic:blipFill>
                            <pic:spPr bwMode="auto">
                              <a:xfrm>
                                <a:off x="0" y="0"/>
                                <a:ext cx="560069" cy="10769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13.1pt;mso-position-horizontal:absolute;mso-position-vertical-relative:text;margin-top:12.5pt;mso-position-vertical:absolute;width:44.1pt;height:84.8pt;mso-wrap-distance-left:0.0pt;mso-wrap-distance-top:0.0pt;mso-wrap-distance-right:0.0pt;mso-wrap-distance-bottom:0.0pt;" stroked="false">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50mm*40mm*1400mm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0"/>
                <w:highlight w:val="none"/>
                <w:u w:val="none"/>
              </w:rPr>
              <w:suppressLineNumbers w:val="0"/>
            </w:pPr>
            <w:r>
              <w:rPr>
                <w:rFonts w:hint="eastAsia" w:ascii="Times New Roman" w:hAnsi="Times New Roman" w:eastAsia="宋体" w:cs="宋体"/>
                <w:i w:val="0"/>
                <w:iCs w:val="0"/>
                <w:color w:val="000000"/>
                <w:sz w:val="24"/>
                <w:szCs w:val="20"/>
                <w:highlight w:val="none"/>
                <w:u w:val="none"/>
                <w:lang w:val="en-US" w:eastAsia="zh-CN"/>
              </w:rPr>
              <w:t xml:space="preserve">带陶瓷花盆</w:t>
            </w:r>
            <w:r/>
          </w:p>
        </w:tc>
      </w:tr>
    </w:tbl>
    <w:p>
      <w:pPr>
        <w:spacing w:line="0" w:lineRule="atLeast"/>
        <w:rPr>
          <w:rFonts w:hint="eastAsia" w:ascii="宋体" w:hAnsi="宋体"/>
          <w:b/>
          <w:bCs/>
          <w:iCs/>
          <w:sz w:val="24"/>
          <w:szCs w:val="24"/>
          <w:highlight w:val="none"/>
        </w:rPr>
      </w:pPr>
      <w:r>
        <w:rPr>
          <w:rFonts w:hint="eastAsia" w:ascii="宋体" w:hAnsi="宋体"/>
          <w:b/>
          <w:bCs/>
          <w:iCs/>
          <w:sz w:val="24"/>
          <w:szCs w:val="24"/>
          <w:highlight w:val="none"/>
        </w:rPr>
      </w:r>
      <w:r/>
    </w:p>
    <w:p>
      <w:pPr>
        <w:spacing w:line="0" w:lineRule="atLeast"/>
        <w:rPr>
          <w:rFonts w:hint="eastAsia" w:ascii="宋体" w:hAnsi="宋体"/>
          <w:b/>
          <w:bCs/>
          <w:iCs/>
          <w:sz w:val="24"/>
          <w:szCs w:val="24"/>
          <w:highlight w:val="none"/>
        </w:rPr>
      </w:pPr>
      <w:r>
        <w:rPr>
          <w:rFonts w:hint="eastAsia" w:ascii="宋体" w:hAnsi="宋体"/>
          <w:b/>
          <w:bCs/>
          <w:iCs/>
          <w:sz w:val="24"/>
          <w:szCs w:val="24"/>
          <w:highlight w:val="none"/>
        </w:rPr>
      </w:r>
      <w:r/>
    </w:p>
    <w:p>
      <w:pPr>
        <w:spacing w:line="0" w:lineRule="atLeast"/>
        <w:rPr>
          <w:rFonts w:hint="eastAsia" w:ascii="宋体" w:hAnsi="宋体"/>
          <w:b/>
          <w:bCs/>
          <w:iCs/>
          <w:sz w:val="24"/>
          <w:szCs w:val="24"/>
          <w:highlight w:val="none"/>
        </w:rPr>
      </w:pPr>
      <w:r>
        <w:rPr>
          <w:rFonts w:hint="eastAsia" w:ascii="宋体" w:hAnsi="宋体"/>
          <w:b/>
          <w:bCs/>
          <w:iCs/>
          <w:sz w:val="24"/>
          <w:szCs w:val="24"/>
          <w:highlight w:val="none"/>
        </w:rPr>
      </w:r>
      <w:r/>
    </w:p>
    <w:p>
      <w:pPr>
        <w:pStyle w:val="874"/>
        <w:jc w:val="center"/>
        <w:rPr>
          <w:rFonts w:hint="eastAsia" w:ascii="宋体" w:hAnsi="宋体" w:eastAsia="宋体" w:cs="宋体"/>
          <w:sz w:val="24"/>
          <w:szCs w:val="24"/>
          <w:highlight w:val="none"/>
          <w:lang w:val="en-US" w:eastAsia="zh-CN"/>
        </w:rPr>
        <w:outlineLvl w:val="2"/>
      </w:pPr>
      <w:r/>
      <w:bookmarkStart w:id="285" w:name="_Toc233969289"/>
      <w:r/>
      <w:bookmarkStart w:id="286" w:name="_Toc120614281"/>
      <w:r>
        <w:rPr>
          <w:rFonts w:hint="eastAsia" w:ascii="宋体" w:hAnsi="宋体" w:eastAsia="宋体" w:cs="宋体"/>
          <w:sz w:val="24"/>
          <w:szCs w:val="24"/>
          <w:highlight w:val="none"/>
          <w:lang w:val="en-US" w:eastAsia="zh-CN"/>
        </w:rPr>
        <w:t xml:space="preserve">《需求清单》（采购包2）</w:t>
      </w:r>
      <w:r/>
    </w:p>
    <w:tbl>
      <w:tblPr>
        <w:tblStyle w:val="875"/>
        <w:tblW w:w="48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5"/>
        <w:gridCol w:w="408"/>
        <w:gridCol w:w="1816"/>
        <w:gridCol w:w="939"/>
        <w:gridCol w:w="1031"/>
        <w:gridCol w:w="548"/>
        <w:gridCol w:w="500"/>
        <w:gridCol w:w="3634"/>
      </w:tblGrid>
      <w:tr>
        <w:trPr>
          <w:jc w:val="center"/>
        </w:trPr>
        <w:tc>
          <w:tcPr>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序号</w:t>
            </w:r>
            <w:r/>
          </w:p>
        </w:tc>
        <w:tc>
          <w:tcPr>
            <w:tcW w:w="220"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品类</w:t>
            </w:r>
            <w:r/>
          </w:p>
        </w:tc>
        <w:tc>
          <w:tcPr>
            <w:tcW w:w="97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参考图片</w:t>
            </w:r>
            <w:r/>
          </w:p>
        </w:tc>
        <w:tc>
          <w:tcPr>
            <w:tcW w:w="505"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颜色</w:t>
            </w:r>
            <w:r/>
          </w:p>
        </w:tc>
        <w:tc>
          <w:tcPr>
            <w:tcW w:w="555"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规格尺寸（长*宽*高(MM))</w:t>
            </w:r>
            <w:r/>
          </w:p>
        </w:tc>
        <w:tc>
          <w:tcPr>
            <w:tcW w:w="295"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数量</w:t>
            </w:r>
            <w:r/>
          </w:p>
        </w:tc>
        <w:tc>
          <w:tcPr>
            <w:tcW w:w="269"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单位</w:t>
            </w:r>
            <w:r/>
          </w:p>
        </w:tc>
        <w:tc>
          <w:tcPr>
            <w:tcW w:w="1957"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材质说明</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r>
            <w:r/>
          </w:p>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lang w:val="en-US" w:eastAsia="zh-CN" w:bidi="ar-SA"/>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1</w:t>
            </w:r>
            <w:r/>
          </w:p>
        </w:tc>
        <w:tc>
          <w:tcPr>
            <w:shd w:val="clear" w:color="auto" w:fill="auto"/>
            <w:tcW w:w="220"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一字工位取证工作台</w:t>
            </w:r>
            <w:r/>
          </w:p>
        </w:tc>
        <w:tc>
          <w:tcPr>
            <w:shd w:val="clear" w:color="auto" w:fill="auto"/>
            <w:tcW w:w="978" w:type="pct"/>
            <w:vAlign w:val="center"/>
            <w:vMerge w:val="restart"/>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lang w:val="en-US" w:eastAsia="zh-CN" w:bidi="ar-SA"/>
              </w:rPr>
              <w:suppressLineNumbers w:val="0"/>
            </w:pPr>
            <w:r>
              <w:rPr>
                <w:rFonts w:hint="eastAsia" w:ascii="Times New Roman" w:hAnsi="Times New Roman" w:eastAsia="宋体" w:cs="宋体"/>
                <w:sz w:val="24"/>
                <w:szCs w:val="24"/>
                <w:highlight w:val="none"/>
              </w:rPr>
              <mc:AlternateContent>
                <mc:Choice Requires="wpg">
                  <w:drawing>
                    <wp:inline xmlns:wp="http://schemas.openxmlformats.org/drawingml/2006/wordprocessingDrawing" distT="0" distB="0" distL="0" distR="0">
                      <wp:extent cx="1080770" cy="792480"/>
                      <wp:effectExtent l="0" t="0" r="5080" b="7620"/>
                      <wp:docPr id="96" name="图片 30"/>
                      <wp:cNvGraphicFramePr/>
                      <a:graphic xmlns:a="http://schemas.openxmlformats.org/drawingml/2006/main">
                        <a:graphicData uri="http://schemas.openxmlformats.org/drawingml/2006/picture">
                          <pic:pic xmlns:pic="http://schemas.openxmlformats.org/drawingml/2006/picture">
                            <pic:nvPicPr>
                              <pic:cNvPr id="1119" name="图片 30"/>
                              <pic:cNvPicPr/>
                              <pic:nvPr/>
                            </pic:nvPicPr>
                            <pic:blipFill>
                              <a:blip r:embed="rId106"/>
                              <a:stretch/>
                            </pic:blipFill>
                            <pic:spPr bwMode="auto">
                              <a:xfrm>
                                <a:off x="0" y="0"/>
                                <a:ext cx="1080770" cy="79248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85.1pt;height:62.4pt;mso-wrap-distance-left:0.0pt;mso-wrap-distance-top:0.0pt;mso-wrap-distance-right:0.0pt;mso-wrap-distance-bottom:0.0pt;" stroked="f">
                      <v:path textboxrect="0,0,0,0"/>
                      <v:imagedata r:id="rId106" o:title=""/>
                    </v:shape>
                  </w:pict>
                </mc:Fallback>
              </mc:AlternateContent>
            </w:r>
            <w:r/>
          </w:p>
        </w:tc>
        <w:tc>
          <w:tcPr>
            <w:shd w:val="clear" w:color="auto" w:fill="auto"/>
            <w:tcW w:w="505"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主体哑光象牙白，台面哑光纯黑色，检察蓝装饰漆面</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1800mm*800mm*750mm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vMerge w:val="restart"/>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控制台台面：台面板材料：控制台台板要求采用抗倍特板制作，其甲醛释放量应低于0.008mg/m³，须符合GB/T39600-2021《人造板及其制品甲醛释放量分级》标准甲醛释放量ENF级。台板厚度不低于15mm，耐酸碱、防刮、阻水凹槽设计。</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2.框架结构：控制台主体拉铝框架应通过GB/T10125-2021（最新标准）测试达到盐雾腐蚀100小时，抗腐蚀能力不低于10级。多边包角，稳固防滑，高度可微调（±30mm）。</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屏风：应设计成免专用工具可快速拆装维护结构，方便布线维护以及安装信息面板等各类设备辅件；至少屏风前板盖要求为合金铝型材制作，可承装显示器支架，实际显示器支架可横向任意调整布局，其余可为钣金制作；</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4.侧板：控制台系统两端造型，应采用现代美学设计，融入简洁元素，前卫科技，与现代控制中心相得益彰。</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5.底柜前、后门板：采用厚度不低于1.0mm冷轧镀锌钢板制作。散气区域的通风率（开孔率）不小于25%，以使气流顺畅散热。不接受全木质板材制作，以免影响设备散热及木板变形。</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6.三防要求：控制台应满足以下规定（提供带CMA标识由第三方检测机构出具的检测报告）：防盐雾防霉菌防潮（防湿热）。</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7.布线系统要求：结合控制系统对线缆的要求，操作台底柜内部应设置各方走向的专业理线系统，与整体系统环境相适应。全隐藏式内部布线，强电/弱电分离，配理线架、集线盒、电源滤波器，无外露线缆。</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8.力学性能要求：控制台满足GB/T3325-2024《金属家具通用技术条件》稳定性测试要求：垂直和水平加载稳定性，垂直和水平分别加力800N，不应倾翻，检测合格；</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9.接口面板（前置/侧置，易操作）：</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USB3.0/3.2：只读≥2个、读写≥4个（总≥6个）。</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视频：HDMI2.0≥2个、DP≥1个；</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音频：3.5mm输入/输出各1组。</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电源：国标五孔强电口≥4个，带独立开关与过载保护。</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10.人机工程：键盘抽屉≥1个、鼠标托、可调节显示器支架、线缆收纳槽、物证临时放置区。</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11.尺寸：适配人体工学。</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2</w:t>
            </w:r>
            <w:r/>
          </w:p>
        </w:tc>
        <w:tc>
          <w:tcPr>
            <w:shd w:val="clear" w:color="auto" w:fill="auto"/>
            <w:tcW w:w="220" w:type="pct"/>
            <w:vAlign w:val="center"/>
            <w:vMerge w:val="continue"/>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sz w:val="24"/>
                <w:szCs w:val="24"/>
                <w:highlight w:val="none"/>
              </w:rPr>
              <w:suppressLineNumbers w:val="0"/>
            </w:pPr>
            <w:r>
              <w:rPr>
                <w:rFonts w:hint="eastAsia" w:ascii="Times New Roman" w:hAnsi="Times New Roman" w:eastAsia="宋体" w:cs="宋体"/>
                <w:sz w:val="24"/>
                <w:szCs w:val="24"/>
                <w:highlight w:val="none"/>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3000mm*850mm*750mm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cs="宋体"/>
                <w:i w:val="0"/>
                <w:iCs w:val="0"/>
                <w:color w:val="000000"/>
                <w:sz w:val="24"/>
                <w:szCs w:val="24"/>
                <w:highlight w:val="none"/>
                <w:u w:val="none"/>
                <w:lang w:val="en-US" w:eastAsia="zh-CN"/>
              </w:rPr>
              <w:t xml:space="preserve">套</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3</w:t>
            </w:r>
            <w:r/>
          </w:p>
        </w:tc>
        <w:tc>
          <w:tcPr>
            <w:shd w:val="clear" w:color="auto" w:fill="auto"/>
            <w:tcW w:w="220"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sz w:val="24"/>
                <w:szCs w:val="24"/>
                <w:highlight w:val="none"/>
                <w:lang w:val="en-US" w:eastAsia="zh-CN" w:bidi="ar-SA"/>
              </w:rPr>
              <w:suppressLineNumbers w:val="0"/>
            </w:pPr>
            <w:r>
              <w:rPr>
                <w:rFonts w:hint="eastAsia" w:ascii="Times New Roman" w:hAnsi="Times New Roman" w:eastAsia="宋体" w:cs="宋体"/>
                <w:sz w:val="24"/>
                <w:szCs w:val="24"/>
                <w:highlight w:val="none"/>
                <w:lang w:val="en-US" w:eastAsia="zh-CN" w:bidi="ar-SA"/>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1894mm*800mm*750mm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t xml:space="preserve">4</w:t>
            </w:r>
            <w:r/>
          </w:p>
        </w:tc>
        <w:tc>
          <w:tcPr>
            <w:shd w:val="clear" w:color="auto" w:fill="auto"/>
            <w:tcW w:w="220" w:type="pct"/>
            <w:vAlign w:val="center"/>
            <w:vMerge w:val="continue"/>
            <w:textDirection w:val="lrTb"/>
            <w:noWrap w:val="false"/>
          </w:tcPr>
          <w:p>
            <w:pPr>
              <w:jc w:val="center"/>
              <w:keepLines w:val="0"/>
              <w:keepNext w:val="0"/>
              <w:widowControl/>
              <w:rPr>
                <w:rFonts w:hint="eastAsia" w:ascii="Times New Roman" w:hAnsi="Times New Roman" w:eastAsia="宋体" w:cs="宋体"/>
                <w:b w:val="0"/>
                <w:bCs w:val="0"/>
                <w:i w:val="0"/>
                <w:iCs w:val="0"/>
                <w:color w:val="000000"/>
                <w:sz w:val="24"/>
                <w:szCs w:val="24"/>
                <w:highlight w:val="none"/>
                <w:u w:val="none"/>
                <w:lang w:val="en-US" w:eastAsia="zh-CN"/>
              </w:rPr>
              <w:suppressLineNumbers w:val="0"/>
            </w:pPr>
            <w:r>
              <w:rPr>
                <w:rFonts w:hint="eastAsia" w:ascii="Times New Roman" w:hAnsi="Times New Roman" w:eastAsia="宋体" w:cs="宋体"/>
                <w:b w:val="0"/>
                <w:bCs w:val="0"/>
                <w:i w:val="0"/>
                <w:iCs w:val="0"/>
                <w:color w:val="000000"/>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sz w:val="24"/>
                <w:szCs w:val="24"/>
                <w:highlight w:val="none"/>
                <w:lang w:val="en-US" w:eastAsia="zh-CN" w:bidi="ar-SA"/>
              </w:rPr>
              <w:suppressLineNumbers w:val="0"/>
            </w:pPr>
            <w:r>
              <w:rPr>
                <w:rFonts w:hint="eastAsia" w:ascii="Times New Roman" w:hAnsi="Times New Roman" w:eastAsia="宋体" w:cs="宋体"/>
                <w:sz w:val="24"/>
                <w:szCs w:val="24"/>
                <w:highlight w:val="none"/>
                <w:lang w:val="en-US" w:eastAsia="zh-CN" w:bidi="ar-SA"/>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1500mm*700mm*750</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w:t>
            </w:r>
            <w:r/>
          </w:p>
        </w:tc>
        <w:tc>
          <w:tcPr>
            <w:shd w:val="clear" w:color="auto" w:fill="auto"/>
            <w:tcW w:w="220"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办公桌</w:t>
            </w:r>
            <w:r/>
          </w:p>
        </w:tc>
        <w:tc>
          <w:tcPr>
            <w:shd w:val="clear" w:color="auto" w:fill="auto"/>
            <w:tcW w:w="978"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63625" cy="668020"/>
                      <wp:effectExtent l="0" t="0" r="3175" b="17780"/>
                      <wp:docPr id="97" name="图片 29"/>
                      <wp:cNvGraphicFramePr/>
                      <a:graphic xmlns:a="http://schemas.openxmlformats.org/drawingml/2006/main">
                        <a:graphicData uri="http://schemas.openxmlformats.org/drawingml/2006/picture">
                          <pic:pic xmlns:pic="http://schemas.openxmlformats.org/drawingml/2006/picture">
                            <pic:nvPicPr>
                              <pic:cNvPr id="1120" name="图片 29"/>
                              <pic:cNvPicPr/>
                              <pic:nvPr/>
                            </pic:nvPicPr>
                            <pic:blipFill>
                              <a:blip r:embed="rId107"/>
                              <a:srcRect l="0" t="17454" r="15635" b="0"/>
                              <a:stretch/>
                            </pic:blipFill>
                            <pic:spPr bwMode="auto">
                              <a:xfrm>
                                <a:off x="0" y="0"/>
                                <a:ext cx="1063625" cy="66802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83.8pt;height:52.6pt;mso-wrap-distance-left:0.0pt;mso-wrap-distance-top:0.0pt;mso-wrap-distance-right:0.0pt;mso-wrap-distance-bottom:0.0pt;" stroked="f">
                      <v:path textboxrect="0,0,0,0"/>
                      <v:imagedata r:id="rId107" o:title=""/>
                    </v:shape>
                  </w:pict>
                </mc:Fallback>
              </mc:AlternateContent>
            </w:r>
            <w:r/>
          </w:p>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05"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主体哑光象牙白，台面哑光纯黑色，检察蓝装饰漆面</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1894mm*800mm*750mm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6</w:t>
            </w:r>
            <w:r/>
          </w:p>
        </w:tc>
        <w:tc>
          <w:tcPr>
            <w:shd w:val="clear" w:color="auto" w:fill="auto"/>
            <w:tcW w:w="220"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1800mm*700mm*750mm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7</w:t>
            </w:r>
            <w:r/>
          </w:p>
        </w:tc>
        <w:tc>
          <w:tcPr>
            <w:shd w:val="clear" w:color="auto" w:fill="auto"/>
            <w:tcW w:w="220"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一字型办公桌</w:t>
            </w:r>
            <w:r/>
          </w:p>
        </w:tc>
        <w:tc>
          <w:tcPr>
            <w:shd w:val="clear" w:color="auto" w:fill="auto"/>
            <w:tcW w:w="978"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31240" cy="594995"/>
                      <wp:effectExtent l="0" t="0" r="16510" b="14604"/>
                      <wp:docPr id="98" name="图片 23"/>
                      <wp:cNvGraphicFramePr/>
                      <a:graphic xmlns:a="http://schemas.openxmlformats.org/drawingml/2006/main">
                        <a:graphicData uri="http://schemas.openxmlformats.org/drawingml/2006/picture">
                          <pic:pic xmlns:pic="http://schemas.openxmlformats.org/drawingml/2006/picture">
                            <pic:nvPicPr>
                              <pic:cNvPr id="1121" name="图片 23"/>
                              <pic:cNvPicPr/>
                              <pic:nvPr/>
                            </pic:nvPicPr>
                            <pic:blipFill>
                              <a:blip r:embed="rId108"/>
                              <a:stretch/>
                            </pic:blipFill>
                            <pic:spPr bwMode="auto">
                              <a:xfrm>
                                <a:off x="0" y="0"/>
                                <a:ext cx="1031240" cy="59499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81.2pt;height:46.8pt;mso-wrap-distance-left:0.0pt;mso-wrap-distance-top:0.0pt;mso-wrap-distance-right:0.0pt;mso-wrap-distance-bottom:0.0pt;" stroked="f">
                      <v:path textboxrect="0,0,0,0"/>
                      <v:imagedata r:id="rId108" o:title=""/>
                    </v:shape>
                  </w:pict>
                </mc:Fallback>
              </mc:AlternateContent>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1592mm*800mm*750mm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8</w:t>
            </w:r>
            <w:r/>
          </w:p>
        </w:tc>
        <w:tc>
          <w:tcPr>
            <w:shd w:val="clear" w:color="auto" w:fill="auto"/>
            <w:tcW w:w="220"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1639mm*850mm*750mm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组</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配置要求同上，同时可较为宽松地同时摆放多道心理测试仪和计算机；边角应弧形、无明显锐角。</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9</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一字型控制台</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26160" cy="646430"/>
                      <wp:effectExtent l="0" t="0" r="2540" b="1270"/>
                      <wp:docPr id="99" name="图片 20"/>
                      <wp:cNvGraphicFramePr/>
                      <a:graphic xmlns:a="http://schemas.openxmlformats.org/drawingml/2006/main">
                        <a:graphicData uri="http://schemas.openxmlformats.org/drawingml/2006/picture">
                          <pic:pic xmlns:pic="http://schemas.openxmlformats.org/drawingml/2006/picture">
                            <pic:nvPicPr>
                              <pic:cNvPr id="1122" name="图片 20"/>
                              <pic:cNvPicPr/>
                              <pic:nvPr/>
                            </pic:nvPicPr>
                            <pic:blipFill>
                              <a:blip r:embed="rId109"/>
                              <a:stretch/>
                            </pic:blipFill>
                            <pic:spPr bwMode="auto">
                              <a:xfrm>
                                <a:off x="0" y="0"/>
                                <a:ext cx="1026160" cy="64643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80.8pt;height:50.9pt;mso-wrap-distance-left:0.0pt;mso-wrap-distance-top:0.0pt;mso-wrap-distance-right:0.0pt;mso-wrap-distance-bottom:0.0pt;" stroked="f">
                      <v:path textboxrect="0,0,0,0"/>
                      <v:imagedata r:id="rId109" o:title=""/>
                    </v:shape>
                  </w:pict>
                </mc:Fallback>
              </mc:AlternateContent>
            </w:r>
            <w:r/>
          </w:p>
        </w:tc>
        <w:tc>
          <w:tcPr>
            <w:shd w:val="clear" w:color="auto" w:fill="auto"/>
            <w:tcW w:w="505"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主体哑光象牙白，台面哑光纯黑色，检察蓝装饰漆面</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4640mm*850mm*750mm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组</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配置要求同上</w:t>
            </w:r>
            <w:r/>
          </w:p>
        </w:tc>
      </w:tr>
      <w:tr>
        <w:trPr>
          <w:jc w:val="center"/>
          <w:trHeight w:val="597"/>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10</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弧形控制台</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985520" cy="633095"/>
                      <wp:effectExtent l="0" t="0" r="5080" b="14604"/>
                      <wp:docPr id="100" name="图片 192" descr="66e804b5ee8e80b211511025238df386"/>
                      <wp:cNvGraphicFramePr/>
                      <a:graphic xmlns:a="http://schemas.openxmlformats.org/drawingml/2006/main">
                        <a:graphicData uri="http://schemas.openxmlformats.org/drawingml/2006/picture">
                          <pic:pic xmlns:pic="http://schemas.openxmlformats.org/drawingml/2006/picture">
                            <pic:nvPicPr>
                              <pic:cNvPr id="1123" name="图片 192" descr="66e804b5ee8e80b211511025238df386"/>
                              <pic:cNvPicPr/>
                              <pic:nvPr/>
                            </pic:nvPicPr>
                            <pic:blipFill>
                              <a:blip r:embed="rId110"/>
                              <a:stretch/>
                            </pic:blipFill>
                            <pic:spPr bwMode="auto">
                              <a:xfrm>
                                <a:off x="0" y="0"/>
                                <a:ext cx="985519" cy="633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7.6pt;height:49.8pt;mso-wrap-distance-left:0.0pt;mso-wrap-distance-top:0.0pt;mso-wrap-distance-right:0.0pt;mso-wrap-distance-bottom:0.0pt;" stroked="false">
                      <v:path textboxrect="0,0,0,0"/>
                      <v:imagedata r:id="rId110" o:title=""/>
                    </v:shape>
                  </w:pict>
                </mc:Fallback>
              </mc:AlternateContent>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5100mm*850mm*750mm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组</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11</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六边办公桌</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47750" cy="802005"/>
                      <wp:effectExtent l="0" t="0" r="0" b="17145"/>
                      <wp:docPr id="101" name="图片 13"/>
                      <wp:cNvGraphicFramePr/>
                      <a:graphic xmlns:a="http://schemas.openxmlformats.org/drawingml/2006/main">
                        <a:graphicData uri="http://schemas.openxmlformats.org/drawingml/2006/picture">
                          <pic:pic xmlns:pic="http://schemas.openxmlformats.org/drawingml/2006/picture">
                            <pic:nvPicPr>
                              <pic:cNvPr id="1124" name="图片 13"/>
                              <pic:cNvPicPr/>
                              <pic:nvPr/>
                            </pic:nvPicPr>
                            <pic:blipFill>
                              <a:blip r:embed="rId111"/>
                              <a:stretch/>
                            </pic:blipFill>
                            <pic:spPr bwMode="auto">
                              <a:xfrm>
                                <a:off x="0" y="0"/>
                                <a:ext cx="1047750" cy="802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82.5pt;height:63.1pt;mso-wrap-distance-left:0.0pt;mso-wrap-distance-top:0.0pt;mso-wrap-distance-right:0.0pt;mso-wrap-distance-bottom:0.0pt;" stroked="false">
                      <v:path textboxrect="0,0,0,0"/>
                      <v:imagedata r:id="rId111" o:title=""/>
                    </v:shape>
                  </w:pict>
                </mc:Fallback>
              </mc:AlternateContent>
            </w:r>
            <w:r/>
          </w:p>
        </w:tc>
        <w:tc>
          <w:tcPr>
            <w:shd w:val="clear" w:color="auto" w:fill="auto"/>
            <w:tcW w:w="505" w:type="pct"/>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长边 1200，短边 600，腰 600，三块拼成拼接后形成六边形</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每套工位配置要求同上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12</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蝶形办公桌</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09015" cy="839470"/>
                      <wp:effectExtent l="0" t="0" r="635" b="17780"/>
                      <wp:docPr id="102" name="图片 16"/>
                      <wp:cNvGraphicFramePr/>
                      <a:graphic xmlns:a="http://schemas.openxmlformats.org/drawingml/2006/main">
                        <a:graphicData uri="http://schemas.openxmlformats.org/drawingml/2006/picture">
                          <pic:pic xmlns:pic="http://schemas.openxmlformats.org/drawingml/2006/picture">
                            <pic:nvPicPr>
                              <pic:cNvPr id="1125" name="图片 16"/>
                              <pic:cNvPicPr/>
                              <pic:nvPr/>
                            </pic:nvPicPr>
                            <pic:blipFill>
                              <a:blip r:embed="rId112"/>
                              <a:stretch/>
                            </pic:blipFill>
                            <pic:spPr bwMode="auto">
                              <a:xfrm>
                                <a:off x="0" y="0"/>
                                <a:ext cx="1009015" cy="839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9.5pt;height:66.1pt;mso-wrap-distance-left:0.0pt;mso-wrap-distance-top:0.0pt;mso-wrap-distance-right:0.0pt;mso-wrap-distance-bottom:0.0pt;" stroked="false">
                      <v:path textboxrect="0,0,0,0"/>
                      <v:imagedata r:id="rId112"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主体哑光象牙白，台面哑光纯黑色，检察蓝装饰漆面</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单块：1200*600*750mm，三块拼成 120° 夹角整套最大外接尺寸：2400mm*2400mm*750mm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组</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每套工位配置要求同上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13</w:t>
            </w:r>
            <w:r/>
          </w:p>
        </w:tc>
        <w:tc>
          <w:tcPr>
            <w:shd w:val="clear" w:color="auto" w:fill="auto"/>
            <w:tcW w:w="220"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文件柜</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112520" cy="2114550"/>
                      <wp:effectExtent l="0" t="0" r="11430" b="0"/>
                      <wp:docPr id="103" name="图片 10"/>
                      <wp:cNvGraphicFramePr/>
                      <a:graphic xmlns:a="http://schemas.openxmlformats.org/drawingml/2006/main">
                        <a:graphicData uri="http://schemas.openxmlformats.org/drawingml/2006/picture">
                          <pic:pic xmlns:pic="http://schemas.openxmlformats.org/drawingml/2006/picture">
                            <pic:nvPicPr>
                              <pic:cNvPr id="1126" name="图片 10"/>
                              <pic:cNvPicPr/>
                              <pic:nvPr/>
                            </pic:nvPicPr>
                            <pic:blipFill>
                              <a:blip r:embed="rId113"/>
                              <a:stretch/>
                            </pic:blipFill>
                            <pic:spPr bwMode="auto">
                              <a:xfrm>
                                <a:off x="0" y="0"/>
                                <a:ext cx="1112520" cy="21145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87.6pt;height:166.5pt;mso-wrap-distance-left:0.0pt;mso-wrap-distance-top:0.0pt;mso-wrap-distance-right:0.0pt;mso-wrap-distance-bottom:0.0pt;" stroked="f">
                      <v:path textboxrect="0,0,0,0"/>
                      <v:imagedata r:id="rId113"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800mm*450mm*1850mm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14</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1.基材：柜体采用一级冷轧钢板制成，所有钢板厚度≥0.6mm，主支撑结构件采用厚度≥1.2mm一级冷轧钢板。</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2.面材：冷轧钢板表面白色喷涂，暗拉手。</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3.制作工艺：冷轧钢板厚度0.8mm，柜体边框12mm。</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4.配置：上、下对开不通光钢门，内含两块可活动钢制层板。</w:t>
            </w:r>
            <w:r/>
          </w:p>
        </w:tc>
      </w:tr>
      <w:tr>
        <w:trPr>
          <w:jc w:val="center"/>
          <w:trHeight w:val="3534"/>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14</w:t>
            </w:r>
            <w:r/>
          </w:p>
        </w:tc>
        <w:tc>
          <w:tcPr>
            <w:shd w:val="clear" w:color="auto" w:fill="auto"/>
            <w:tcW w:w="220"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63625" cy="2049145"/>
                      <wp:effectExtent l="0" t="0" r="3175" b="8255"/>
                      <wp:docPr id="104" name="图片 3"/>
                      <wp:cNvGraphicFramePr/>
                      <a:graphic xmlns:a="http://schemas.openxmlformats.org/drawingml/2006/main">
                        <a:graphicData uri="http://schemas.openxmlformats.org/drawingml/2006/picture">
                          <pic:pic xmlns:pic="http://schemas.openxmlformats.org/drawingml/2006/picture">
                            <pic:nvPicPr>
                              <pic:cNvPr id="1127" name="图片 3"/>
                              <pic:cNvPicPr/>
                              <pic:nvPr/>
                            </pic:nvPicPr>
                            <pic:blipFill>
                              <a:blip r:embed="rId114"/>
                              <a:stretch/>
                            </pic:blipFill>
                            <pic:spPr bwMode="auto">
                              <a:xfrm>
                                <a:off x="0" y="0"/>
                                <a:ext cx="1063625" cy="20491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83.8pt;height:161.3pt;mso-wrap-distance-left:0.0pt;mso-wrap-distance-top:0.0pt;mso-wrap-distance-right:0.0pt;mso-wrap-distance-bottom:0.0pt;" stroked="f">
                      <v:path textboxrect="0,0,0,0"/>
                      <v:imagedata r:id="rId114"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800mm*450mm*1850mm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19</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1.基材：柜体采用一级冷轧钢板制成，所有钢板厚度≥0.6mm，主支撑结构件采用厚度≥1.2mm一级冷轧钢板。</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2.面材：冷轧钢板表面白色喷涂，暗拉手。</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3.制作工艺：冷轧钢板厚度0.8mm，柜体边框12mm。</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4.配置：上对开玻璃门、下对开钢门，内含两块可活动钢制层板。</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15</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操作台</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932180" cy="695960"/>
                      <wp:effectExtent l="0" t="0" r="1270" b="8890"/>
                      <wp:docPr id="105" name="图片 28"/>
                      <wp:cNvGraphicFramePr/>
                      <a:graphic xmlns:a="http://schemas.openxmlformats.org/drawingml/2006/main">
                        <a:graphicData uri="http://schemas.openxmlformats.org/drawingml/2006/picture">
                          <pic:pic xmlns:pic="http://schemas.openxmlformats.org/drawingml/2006/picture">
                            <pic:nvPicPr>
                              <pic:cNvPr id="1128" name="图片 28"/>
                              <pic:cNvPicPr/>
                              <pic:nvPr/>
                            </pic:nvPicPr>
                            <pic:blipFill>
                              <a:blip r:embed="rId115"/>
                              <a:stretch/>
                            </pic:blipFill>
                            <pic:spPr bwMode="auto">
                              <a:xfrm>
                                <a:off x="0" y="0"/>
                                <a:ext cx="932180" cy="6959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3.4pt;height:54.8pt;mso-wrap-distance-left:0.0pt;mso-wrap-distance-top:0.0pt;mso-wrap-distance-right:0.0pt;mso-wrap-distance-bottom:0.0pt;" stroked="f">
                      <v:path textboxrect="0,0,0,0"/>
                      <v:imagedata r:id="rId115"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台面：哑光黑色防静电板材；</w:t>
            </w:r>
            <w:r/>
          </w:p>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台体钢架、侧板：哑光象牙白静电喷涂；</w:t>
            </w:r>
            <w:r/>
          </w:p>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柜门抽屉：哑光浅天蓝，与实验室防磁柜、干燥柜、实验边台整套色系保持统一，符合检察技术实验室视觉标准化要求。</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2000mm*1500mm*750mm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台</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 防静电指标：台面表面电阻10⁶～10⁹Ω，符合SJ/T10694标准，配备专用接地端子与接地铜排，接地电阻≤4Ω，提供第三方ESD检测报告。</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 材质厚度：采用19mm通体防静电实芯理化板，一体成型，非贴面结构；耐乙醇、洗板水、助焊剂等有机溶剂腐蚀，UL94-V0阻燃等级，哑光黑色低反光。</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 物理性能：平面度≤0.5mm/m，均布承重≥300kg/㎡，集中载荷120kg，加载无永久变形；台面全周R3mm圆弧倒角，耐磨抗冲击，致密防渗，易擦拭清洁。</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 配套要求：预留接地接口、带防雷保护多功能电源插座、带防尘护圈走线孔，台体配色为象牙白钢架+浅蓝柜门，与实验室存储柜体、实验边台色彩一体化。</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 执行标准：GA/T1569-2019《法庭科学电子物证检验实验室建设规范》、GB/T24820-2024《实验室家具通用技术条件》。</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16</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防磁柜</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90930" cy="1290955"/>
                      <wp:effectExtent l="0" t="0" r="13970" b="4445"/>
                      <wp:docPr id="106" name="图片 26"/>
                      <wp:cNvGraphicFramePr/>
                      <a:graphic xmlns:a="http://schemas.openxmlformats.org/drawingml/2006/main">
                        <a:graphicData uri="http://schemas.openxmlformats.org/drawingml/2006/picture">
                          <pic:pic xmlns:pic="http://schemas.openxmlformats.org/drawingml/2006/picture">
                            <pic:nvPicPr>
                              <pic:cNvPr id="1129" name="图片 26"/>
                              <pic:cNvPicPr/>
                              <pic:nvPr/>
                            </pic:nvPicPr>
                            <pic:blipFill>
                              <a:blip r:embed="rId116"/>
                              <a:stretch/>
                            </pic:blipFill>
                            <pic:spPr bwMode="auto">
                              <a:xfrm>
                                <a:off x="0" y="0"/>
                                <a:ext cx="1090930" cy="129095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5.9pt;height:101.6pt;mso-wrap-distance-left:0.0pt;mso-wrap-distance-top:0.0pt;mso-wrap-distance-right:0.0pt;mso-wrap-distance-bottom:0.0pt;" stroked="f">
                      <v:path textboxrect="0,0,0,0"/>
                      <v:imagedata r:id="rId116"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哑光象牙白</w:t>
            </w:r>
            <w:r/>
          </w:p>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525mm*480mm*1500mm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10</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1.防磁性能：柜体采用三层复合磁屏蔽结构，外层冷轧钢板，中层DT4电工纯铁，内层坡莫合金屏蔽层；柜外施加 6000高斯（600mT） 强磁场，柜内磁场强度仅为 3~6高斯，工频磁场屏蔽效能≥40dB，提供CNAS/CMA第三方权威检测报告。适用行业通用标准（柜外200高斯时柜内≤5高斯）</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2.材质结构： SPCC冷轧钢板，厚度1.0mm</w:t>
            </w:r>
            <w:r>
              <w:rPr>
                <w:rFonts w:hint="eastAsia" w:cs="宋体"/>
                <w:i w:val="0"/>
                <w:iCs w:val="0"/>
                <w:color w:val="000000"/>
                <w:sz w:val="24"/>
                <w:szCs w:val="24"/>
                <w:highlight w:val="none"/>
                <w:u w:val="none"/>
                <w:lang w:val="en-US" w:eastAsia="zh-CN"/>
              </w:rPr>
              <w:t xml:space="preserve">，</w:t>
            </w:r>
            <w:r>
              <w:rPr>
                <w:rFonts w:hint="eastAsia" w:ascii="Times New Roman" w:hAnsi="Times New Roman" w:eastAsia="宋体" w:cs="宋体"/>
                <w:i w:val="0"/>
                <w:iCs w:val="0"/>
                <w:color w:val="000000"/>
                <w:sz w:val="24"/>
                <w:szCs w:val="24"/>
                <w:highlight w:val="none"/>
                <w:u w:val="none"/>
                <w:lang w:val="en-US" w:eastAsia="zh-CN"/>
              </w:rPr>
              <w:t xml:space="preserve">底座加强板≥2.0mm，整体承重≥120kg，表面酸洗、磷化、哑光象牙白静电喷涂，双层磁性密封胶条，暗藏重型防撬铰链。</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3.温湿度与防静电：内置智能除湿系统，恒湿40%-60%RH，带湿度数显与超标报警；整体防静电处理，表面电阻率达标，杜绝静电损坏电子物证。</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4.存储结构：多层可拆卸抽屉+活动分隔板，分区存放硬盘、磁带、影像胶片、磁性物证；双控保密电子密码锁，开门记录可追溯。</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5.安全：高安全机械密码锁+应急钥匙，暗藏式柜门铰链。</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6.配套资质：提供防磁检测报告、体系认证证书，原厂质保3年，上门安装调试，现场磁场实测验收。</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17</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干燥柜</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2059940" cy="2009775"/>
                      <wp:effectExtent l="0" t="0" r="10160" b="8890"/>
                      <wp:docPr id="107" name="图片 27"/>
                      <wp:cNvGraphicFramePr/>
                      <a:graphic xmlns:a="http://schemas.openxmlformats.org/drawingml/2006/main">
                        <a:graphicData uri="http://schemas.openxmlformats.org/drawingml/2006/picture">
                          <pic:pic xmlns:pic="http://schemas.openxmlformats.org/drawingml/2006/picture">
                            <pic:nvPicPr>
                              <pic:cNvPr id="1130" name="图片 27"/>
                              <pic:cNvPicPr/>
                              <pic:nvPr/>
                            </pic:nvPicPr>
                            <pic:blipFill>
                              <a:blip r:embed="rId117"/>
                              <a:stretch/>
                            </pic:blipFill>
                            <pic:spPr bwMode="auto">
                              <a:xfrm>
                                <a:off x="0" y="0"/>
                                <a:ext cx="2059940" cy="201040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62.2pt;height:158.2pt;mso-wrap-distance-left:0.0pt;mso-wrap-distance-top:0.0pt;mso-wrap-distance-right:0.0pt;mso-wrap-distance-bottom:0.0pt;" stroked="f">
                      <v:path textboxrect="0,0,0,0"/>
                      <v:imagedata r:id="rId117"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哑光象牙白</w:t>
            </w:r>
            <w:r/>
          </w:p>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525mm*480mm*1500mm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1.防静电性能：表面阻值应在 10⁶ - 10⁹ 欧姆 之间。</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2.湿度控制：超低湿度 (1%~10%RH)，建议1%~5%RH。</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3.温湿度精度：温度精度 ±1℃，湿度精度 ±3%RH。</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4.容积与承重：根据物品数量选择，建议≥300L；层板承重 ≥70KG-1-6</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5.断电保护：断电后24小时内湿度上升不超过10%。</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6.材质与工艺：柜体：1.0-1.2mm优质冷轧钢板；门体：4mm以上高强度钢化玻璃。</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7.传感器与控制：质量和Honeywell或Sensirion（非指定）同档次的带LED数码显示产品。</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18</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茶水柜</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989330" cy="791210"/>
                      <wp:effectExtent l="0" t="0" r="1270" b="8890"/>
                      <wp:docPr id="108" name="图片 5"/>
                      <wp:cNvGraphicFramePr/>
                      <a:graphic xmlns:a="http://schemas.openxmlformats.org/drawingml/2006/main">
                        <a:graphicData uri="http://schemas.openxmlformats.org/drawingml/2006/picture">
                          <pic:pic xmlns:pic="http://schemas.openxmlformats.org/drawingml/2006/picture">
                            <pic:nvPicPr>
                              <pic:cNvPr id="1131" name="图片 5"/>
                              <pic:cNvPicPr/>
                              <pic:nvPr/>
                            </pic:nvPicPr>
                            <pic:blipFill>
                              <a:blip r:embed="rId118"/>
                              <a:stretch/>
                            </pic:blipFill>
                            <pic:spPr bwMode="auto">
                              <a:xfrm>
                                <a:off x="0" y="0"/>
                                <a:ext cx="989330" cy="79121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7.9pt;height:62.3pt;mso-wrap-distance-left:0.0pt;mso-wrap-distance-top:0.0pt;mso-wrap-distance-right:0.0pt;mso-wrap-distance-bottom:0.0pt;" stroked="f">
                      <v:path textboxrect="0,0,0,0"/>
                      <v:imagedata r:id="rId118"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1000mm*700mm*750mm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1.基材：采用E0级刨花板（参考“大亚”、“亚创”、“露水河”），经过防虫、防腐的化学处理，强度高、刚性好且其表面握钉力及静曲强度达到国标标准；甲醛释放量≤0.050mg/m³。</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2.面材：选用双面贴深灰色防火板（参考“富美家”、“威盛亚”、“LG”），经防潮、防腐化学处理，阻燃、耐磨、防污；甲醛释放量≤0.050mg/m³。</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3.封边：采用优质PVC,防水防油污不脱落。</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19</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会议桌</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29335" cy="447040"/>
                      <wp:effectExtent l="0" t="0" r="18415" b="10160"/>
                      <wp:docPr id="109" name="图片 7"/>
                      <wp:cNvGraphicFramePr/>
                      <a:graphic xmlns:a="http://schemas.openxmlformats.org/drawingml/2006/main">
                        <a:graphicData uri="http://schemas.openxmlformats.org/drawingml/2006/picture">
                          <pic:pic xmlns:pic="http://schemas.openxmlformats.org/drawingml/2006/picture">
                            <pic:nvPicPr>
                              <pic:cNvPr id="1132" name="图片 7"/>
                              <pic:cNvPicPr/>
                              <pic:nvPr/>
                            </pic:nvPicPr>
                            <pic:blipFill>
                              <a:blip r:embed="rId119"/>
                              <a:stretch/>
                            </pic:blipFill>
                            <pic:spPr bwMode="auto">
                              <a:xfrm>
                                <a:off x="0" y="0"/>
                                <a:ext cx="1029335" cy="4470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81.0pt;height:35.2pt;mso-wrap-distance-left:0.0pt;mso-wrap-distance-top:0.0pt;mso-wrap-distance-right:0.0pt;mso-wrap-distance-bottom:0.0pt;" stroked="f">
                      <v:path textboxrect="0,0,0,0"/>
                      <v:imagedata r:id="rId119"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5500mm*1800mm*750mm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1.基材：采用E0级刨花板（参考“大亚”、“亚创”、“露水河”），经过防虫、防腐的化学处理，强度高、刚性好且其表面握钉力及静曲强度达到国标标准；甲醛释放量≤0.050mg/m³。</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2.面材：选用双面贴深灰色防火板（参考“富美家”、“威盛亚”、“LG”），经防潮、防腐化学处理，阻燃、耐磨、防污；甲醛释放量≤0.050mg/m³。</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3.封边：采用油漆封边，使用优质品牌水性漆（参考：“嘉宝莉”、大宝”、“易涂宝”），“汉高”或同档次品牌乳胶。</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4.桌架：采用“鞍钢”或同等档次品牌一级冷轧钢板制成，钢板壁厚≥2.0mm。经流水线酸洗、磷化处理，表面静电喷涂，喷粉涂层厚度80um，厚度均匀，内外一致，耐磨、抗腐蚀力强。</w:t>
            </w:r>
            <w:r/>
          </w:p>
        </w:tc>
      </w:tr>
      <w:tr>
        <w:trPr>
          <w:jc w:val="center"/>
          <w:trHeight w:val="2115"/>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20</w:t>
            </w:r>
            <w:r/>
          </w:p>
        </w:tc>
        <w:tc>
          <w:tcPr>
            <w:shd w:val="clear" w:color="auto" w:fill="auto"/>
            <w:tcW w:w="220"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沙发</w:t>
            </w:r>
            <w:r/>
          </w:p>
        </w:tc>
        <w:tc>
          <w:tcPr>
            <w:shd w:val="clear" w:color="auto" w:fill="auto"/>
            <w:tcW w:w="978"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195705" cy="916305"/>
                      <wp:effectExtent l="0" t="0" r="4445" b="17145"/>
                      <wp:docPr id="110" name="图片 202"/>
                      <wp:cNvGraphicFramePr/>
                      <a:graphic xmlns:a="http://schemas.openxmlformats.org/drawingml/2006/main">
                        <a:graphicData uri="http://schemas.openxmlformats.org/drawingml/2006/picture">
                          <pic:pic xmlns:pic="http://schemas.openxmlformats.org/drawingml/2006/picture">
                            <pic:nvPicPr>
                              <pic:cNvPr id="1133" name="图片 202"/>
                              <pic:cNvPicPr/>
                              <pic:nvPr/>
                            </pic:nvPicPr>
                            <pic:blipFill>
                              <a:blip r:embed="rId120"/>
                              <a:stretch/>
                            </pic:blipFill>
                            <pic:spPr bwMode="auto">
                              <a:xfrm>
                                <a:off x="0" y="0"/>
                                <a:ext cx="1195705" cy="9163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94.1pt;height:72.1pt;mso-wrap-distance-left:0.0pt;mso-wrap-distance-top:0.0pt;mso-wrap-distance-right:0.0pt;mso-wrap-distance-bottom:0.0pt;" stroked="f">
                      <v:path textboxrect="0,0,0,0"/>
                      <v:imagedata r:id="rId120" o:title=""/>
                    </v:shape>
                  </w:pict>
                </mc:Fallback>
              </mc:AlternateContent>
            </w:r>
            <w:r/>
          </w:p>
        </w:tc>
        <w:tc>
          <w:tcPr>
            <w:shd w:val="clear" w:color="auto" w:fill="auto"/>
            <w:tcW w:w="505"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2040mm*780mm*850mm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套</w:t>
            </w:r>
            <w:r/>
          </w:p>
        </w:tc>
        <w:tc>
          <w:tcPr>
            <w:shd w:val="clear" w:color="auto" w:fill="auto"/>
            <w:tcW w:w="1957" w:type="pct"/>
            <w:vAlign w:val="center"/>
            <w:vMerge w:val="restart"/>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1.面料：一级环保PU皮。</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2.海绵：公仔棉+乳胶填充包，密度好，回弹力强。</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3.内板：采用高密度成型实木板锯材，牢固，韧性强。</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4.底脚：黑色喷涂钢架。</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21</w:t>
            </w:r>
            <w:r/>
          </w:p>
        </w:tc>
        <w:tc>
          <w:tcPr>
            <w:shd w:val="clear" w:color="auto" w:fill="auto"/>
            <w:tcW w:w="220"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1600mm*780mm*850mm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组</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22</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心理测试椅</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116330" cy="1400175"/>
                      <wp:effectExtent l="0" t="0" r="7620" b="9525"/>
                      <wp:docPr id="111" name="图片 203" descr="图片美化"/>
                      <wp:cNvGraphicFramePr/>
                      <a:graphic xmlns:a="http://schemas.openxmlformats.org/drawingml/2006/main">
                        <a:graphicData uri="http://schemas.openxmlformats.org/drawingml/2006/picture">
                          <pic:pic xmlns:pic="http://schemas.openxmlformats.org/drawingml/2006/picture">
                            <pic:nvPicPr>
                              <pic:cNvPr id="1134" name="图片 203" descr="图片美化"/>
                              <pic:cNvPicPr/>
                              <pic:nvPr/>
                            </pic:nvPicPr>
                            <pic:blipFill>
                              <a:blip r:embed="rId121"/>
                              <a:stretch/>
                            </pic:blipFill>
                            <pic:spPr bwMode="auto">
                              <a:xfrm>
                                <a:off x="0" y="0"/>
                                <a:ext cx="1116330" cy="140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87.9pt;height:110.2pt;mso-wrap-distance-left:0.0pt;mso-wrap-distance-top:0.0pt;mso-wrap-distance-right:0.0pt;mso-wrap-distance-bottom:0.0pt;" stroked="false">
                      <v:path textboxrect="0,0,0,0"/>
                      <v:imagedata r:id="rId121"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黑色</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1.尺寸（扶手收回）：87cm×84cm×69cm（高×宽×深）；扶手抬起高102cm，侧展宽96cm，靠背后倾深度76cm</w:t>
            </w:r>
            <w:r/>
          </w:p>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·座面：53cm（宽）×50cm（深）</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把</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1.框架：加厚方管/槽钢焊接，表面静电喷塑（黑色），承重≥150kg。</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2.座面/靠背：高回弹海绵+PU皮/人造革包裹，耐磨防撕裂。</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3.扶手：可调节高度/角度（部分型号带锁止功能），表面防滑处理。</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4.功能：无滚轮、无倾斜功能，确保被询问者坐姿固定，便于采集生理信号。</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5.要求：稳固不易动摇，久坐舒适，带扶手；边角应弧形、无明显锐角，移动时无噪音。</w:t>
            </w:r>
            <w:r/>
          </w:p>
          <w:p>
            <w:pPr>
              <w:jc w:val="both"/>
              <w:keepLines w:val="0"/>
              <w:keepNext w:val="0"/>
              <w:widowControl/>
              <w:rPr>
                <w:rFonts w:hint="default" w:ascii="Times New Roman" w:hAnsi="Times New Roman" w:eastAsia="宋体" w:cs="宋体"/>
                <w:i w:val="0"/>
                <w:iCs w:val="0"/>
                <w:color w:val="000000"/>
                <w:sz w:val="24"/>
                <w:szCs w:val="24"/>
                <w:highlight w:val="none"/>
                <w:u w:val="none"/>
                <w:lang w:val="en-US" w:eastAsia="zh-CN"/>
              </w:rPr>
              <w:suppressLineNumbers w:val="0"/>
            </w:pPr>
            <w:r>
              <w:rPr>
                <w:rFonts w:hint="eastAsia" w:cs="宋体"/>
                <w:i w:val="0"/>
                <w:iCs w:val="0"/>
                <w:color w:val="000000"/>
                <w:sz w:val="24"/>
                <w:szCs w:val="24"/>
                <w:highlight w:val="none"/>
                <w:u w:val="none"/>
                <w:lang w:val="en-US" w:eastAsia="zh-CN"/>
              </w:rPr>
              <w:t xml:space="preserve">6.尺寸为预计尺寸，具体尺寸由采购人后期确认。</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23</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圆椅</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54100" cy="1054100"/>
                      <wp:effectExtent l="0" t="0" r="12700" b="12700"/>
                      <wp:docPr id="112" name="图片 204" descr="图片美化 (1)"/>
                      <wp:cNvGraphicFramePr/>
                      <a:graphic xmlns:a="http://schemas.openxmlformats.org/drawingml/2006/main">
                        <a:graphicData uri="http://schemas.openxmlformats.org/drawingml/2006/picture">
                          <pic:pic xmlns:pic="http://schemas.openxmlformats.org/drawingml/2006/picture">
                            <pic:nvPicPr>
                              <pic:cNvPr id="1135" name="图片 204" descr="图片美化 (1)"/>
                              <pic:cNvPicPr/>
                              <pic:nvPr/>
                            </pic:nvPicPr>
                            <pic:blipFill>
                              <a:blip r:embed="rId122"/>
                              <a:stretch/>
                            </pic:blipFill>
                            <pic:spPr bwMode="auto">
                              <a:xfrm>
                                <a:off x="0" y="0"/>
                                <a:ext cx="1054100" cy="1054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83.0pt;height:83.0pt;mso-wrap-distance-left:0.0pt;mso-wrap-distance-top:0.0pt;mso-wrap-distance-right:0.0pt;mso-wrap-distance-bottom:0.0pt;" stroked="false">
                      <v:path textboxrect="0,0,0,0"/>
                      <v:imagedata r:id="rId122"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黑色</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直径420mm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把</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防静电pvc座面，不锈钢五星抓带万向轮</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24</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办公椅</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42670" cy="1042670"/>
                      <wp:effectExtent l="0" t="0" r="5080" b="5080"/>
                      <wp:docPr id="113" name="图片 205" descr="20260729-161954"/>
                      <wp:cNvGraphicFramePr/>
                      <a:graphic xmlns:a="http://schemas.openxmlformats.org/drawingml/2006/main">
                        <a:graphicData uri="http://schemas.openxmlformats.org/drawingml/2006/picture">
                          <pic:pic xmlns:pic="http://schemas.openxmlformats.org/drawingml/2006/picture">
                            <pic:nvPicPr>
                              <pic:cNvPr id="1136" name="图片 205" descr="20260729-161954"/>
                              <pic:cNvPicPr/>
                              <pic:nvPr/>
                            </pic:nvPicPr>
                            <pic:blipFill>
                              <a:blip r:embed="rId123"/>
                              <a:stretch/>
                            </pic:blipFill>
                            <pic:spPr bwMode="auto">
                              <a:xfrm>
                                <a:off x="0" y="0"/>
                                <a:ext cx="1042670" cy="10426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82.1pt;height:82.1pt;mso-wrap-distance-left:0.0pt;mso-wrap-distance-top:0.0pt;mso-wrap-distance-right:0.0pt;mso-wrap-distance-bottom:0.0pt;" stroked="false">
                      <v:path textboxrect="0,0,0,0"/>
                      <v:imagedata r:id="rId123"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黑色</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640mm*690mm*960mm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44</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把</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1.座高：47–55cm</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2.后仰：90–135°</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3.扶手：4D调节</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4.腰托：自适应弹性支撑</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5.承重：150kg</w:t>
            </w:r>
            <w:r/>
          </w:p>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25</w:t>
            </w:r>
            <w:r/>
          </w:p>
        </w:tc>
        <w:tc>
          <w:tcPr>
            <w:shd w:val="clear" w:color="auto" w:fill="auto"/>
            <w:tcW w:w="220"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会议椅</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mc:AlternateContent>
                <mc:Choice Requires="wpg">
                  <w:drawing>
                    <wp:inline xmlns:wp="http://schemas.openxmlformats.org/drawingml/2006/wordprocessingDrawing" distT="0" distB="0" distL="0" distR="0">
                      <wp:extent cx="1076325" cy="1362075"/>
                      <wp:effectExtent l="0" t="0" r="3175" b="9525"/>
                      <wp:docPr id="114" name="图片 206" descr="IMG_256"/>
                      <wp:cNvGraphicFramePr/>
                      <a:graphic xmlns:a="http://schemas.openxmlformats.org/drawingml/2006/main">
                        <a:graphicData uri="http://schemas.openxmlformats.org/drawingml/2006/picture">
                          <pic:pic xmlns:pic="http://schemas.openxmlformats.org/drawingml/2006/picture">
                            <pic:nvPicPr>
                              <pic:cNvPr id="1137" name="图片 206" descr="IMG_256"/>
                              <pic:cNvPicPr/>
                              <pic:nvPr/>
                            </pic:nvPicPr>
                            <pic:blipFill>
                              <a:blip r:embed="rId124"/>
                              <a:stretch/>
                            </pic:blipFill>
                            <pic:spPr bwMode="auto">
                              <a:xfrm>
                                <a:off x="0" y="0"/>
                                <a:ext cx="1076325" cy="13620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84.8pt;height:107.2pt;mso-wrap-distance-left:0.0pt;mso-wrap-distance-top:0.0pt;mso-wrap-distance-right:0.0pt;mso-wrap-distance-bottom:0.0pt;" stroked="f">
                      <v:path textboxrect="0,0,0,0"/>
                      <v:imagedata r:id="rId124"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常规</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cs="宋体"/>
                <w:i w:val="0"/>
                <w:iCs w:val="0"/>
                <w:color w:val="000000"/>
                <w:sz w:val="24"/>
                <w:szCs w:val="24"/>
                <w:highlight w:val="none"/>
                <w:u w:val="none"/>
                <w:lang w:val="en-US" w:eastAsia="zh-CN"/>
              </w:rPr>
              <w:t xml:space="preserve">把</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1.实木框架采用ENF级环保实木方，符合 GB/T 3324-2024《木家具通用技术条件》、GB 18584-2024《家具中有害物质限量》甲醛释放量未检出，木材含水率≤12%，气干密度≥0.635g/cm³。无虫蚀、腐朽材。</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2.优质海绵：符合GB/T 10802-2023《通用软质聚氨酯泡沫塑料》</w:t>
            </w:r>
            <w:r>
              <w:rPr>
                <w:rFonts w:hint="eastAsia" w:ascii="Times New Roman" w:hAnsi="Times New Roman" w:eastAsia="宋体" w:cs="宋体"/>
                <w:i w:val="0"/>
                <w:iCs w:val="0"/>
                <w:color w:val="000000"/>
                <w:sz w:val="24"/>
                <w:szCs w:val="24"/>
                <w:highlight w:val="none"/>
                <w:u w:val="none"/>
                <w:lang w:val="en-US" w:eastAsia="zh-CN"/>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p>
          <w:p>
            <w:pPr>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3.</w:t>
            </w:r>
            <w:r>
              <w:rPr>
                <w:rFonts w:hint="eastAsia" w:cs="宋体"/>
                <w:i w:val="0"/>
                <w:iCs w:val="0"/>
                <w:color w:val="000000"/>
                <w:sz w:val="24"/>
                <w:szCs w:val="24"/>
                <w:highlight w:val="none"/>
                <w:u w:val="none"/>
                <w:lang w:val="en-US" w:eastAsia="zh-CN"/>
              </w:rPr>
              <w:t xml:space="preserve">优质超纤皮：符合GB/T 16799-2018《家具用皮革》标准。摩擦色牢度检测：干擦500次达到5级标准；湿擦250次达到5级；碱性汗液80次达5级标准，推荐品牌，科一，爱进，杰诚或同档次其他品牌</w:t>
            </w:r>
            <w:r>
              <w:rPr>
                <w:rFonts w:hint="eastAsia" w:ascii="Times New Roman" w:hAnsi="Times New Roman" w:eastAsia="宋体" w:cs="宋体"/>
                <w:i w:val="0"/>
                <w:iCs w:val="0"/>
                <w:color w:val="000000"/>
                <w:sz w:val="24"/>
                <w:szCs w:val="24"/>
                <w:highlight w:val="none"/>
                <w:u w:val="none"/>
                <w:lang w:val="en-US" w:eastAsia="zh-CN"/>
              </w:rPr>
              <w:t xml:space="preserve">。</w:t>
            </w:r>
            <w:r/>
          </w:p>
        </w:tc>
      </w:tr>
    </w:tbl>
    <w:p>
      <w:pPr>
        <w:jc w:val="center"/>
        <w:spacing w:line="431" w:lineRule="exact"/>
        <w:rPr>
          <w:rFonts w:hint="eastAsia" w:ascii="宋体" w:hAnsi="宋体"/>
          <w:b/>
          <w:bCs w:val="0"/>
          <w:sz w:val="28"/>
          <w:szCs w:val="28"/>
          <w:highlight w:val="none"/>
          <w:lang w:eastAsia="zh-CN"/>
        </w:rPr>
      </w:pPr>
      <w:r>
        <w:rPr>
          <w:rFonts w:hint="eastAsia" w:ascii="宋体" w:hAnsi="宋体"/>
          <w:b/>
          <w:bCs w:val="0"/>
          <w:sz w:val="28"/>
          <w:szCs w:val="28"/>
          <w:highlight w:val="none"/>
          <w:lang w:eastAsia="zh-CN"/>
        </w:rPr>
      </w:r>
      <w:r/>
    </w:p>
    <w:p>
      <w:pPr>
        <w:jc w:val="both"/>
        <w:spacing w:line="431" w:lineRule="exact"/>
        <w:rPr>
          <w:rFonts w:hint="eastAsia" w:ascii="宋体" w:hAnsi="宋体"/>
          <w:b/>
          <w:bCs w:val="0"/>
          <w:sz w:val="28"/>
          <w:szCs w:val="28"/>
          <w:highlight w:val="none"/>
          <w:lang w:eastAsia="zh-CN"/>
        </w:rPr>
        <w:sectPr>
          <w:footnotePr/>
          <w:endnotePr/>
          <w:type w:val="nextPage"/>
          <w:pgSz w:w="11906" w:h="16838" w:orient="portrait"/>
          <w:pgMar w:top="1242" w:right="1111" w:bottom="1440" w:left="1134" w:header="851" w:footer="992" w:gutter="0"/>
          <w:cols w:num="1" w:sep="0" w:space="720" w:equalWidth="1"/>
          <w:docGrid w:linePitch="360"/>
        </w:sectPr>
      </w:pPr>
      <w:r>
        <w:rPr>
          <w:rFonts w:hint="eastAsia" w:ascii="宋体" w:hAnsi="宋体"/>
          <w:b/>
          <w:bCs w:val="0"/>
          <w:sz w:val="28"/>
          <w:szCs w:val="28"/>
          <w:highlight w:val="none"/>
          <w:lang w:eastAsia="zh-CN"/>
        </w:rPr>
      </w:r>
      <w:r/>
    </w:p>
    <w:p>
      <w:pPr>
        <w:jc w:val="both"/>
        <w:spacing w:line="431" w:lineRule="exact"/>
        <w:rPr>
          <w:rFonts w:hint="eastAsia" w:ascii="宋体" w:hAnsi="宋体"/>
          <w:b/>
          <w:bCs w:val="0"/>
          <w:sz w:val="28"/>
          <w:szCs w:val="28"/>
          <w:highlight w:val="none"/>
          <w:lang w:eastAsia="zh-CN"/>
        </w:rPr>
      </w:pPr>
      <w:r>
        <w:rPr>
          <w:rFonts w:hint="eastAsia" w:ascii="宋体" w:hAnsi="宋体"/>
          <w:b/>
          <w:bCs w:val="0"/>
          <w:sz w:val="28"/>
          <w:szCs w:val="28"/>
          <w:highlight w:val="none"/>
          <w:lang w:eastAsia="zh-CN"/>
        </w:rPr>
      </w:r>
      <w:r/>
    </w:p>
    <w:p>
      <w:pPr>
        <w:ind w:firstLine="422"/>
        <w:jc w:val="center"/>
        <w:spacing w:line="360" w:lineRule="auto"/>
        <w:widowControl/>
        <w:rPr>
          <w:rFonts w:hint="eastAsia" w:ascii="宋体" w:hAnsi="宋体" w:cs="宋体"/>
          <w:b/>
          <w:bCs/>
          <w:color w:val="auto"/>
          <w:sz w:val="28"/>
          <w:szCs w:val="28"/>
          <w:highlight w:val="none"/>
          <w:lang w:val="en-US" w:eastAsia="zh-CN" w:bidi="ar-SA"/>
        </w:rPr>
        <w:outlineLvl w:val="0"/>
      </w:pPr>
      <w:r/>
      <w:bookmarkStart w:id="287" w:name="_Toc26155"/>
      <w:r/>
      <w:bookmarkStart w:id="288" w:name="_Toc944554985"/>
      <w:r>
        <w:rPr>
          <w:rFonts w:hint="eastAsia" w:ascii="宋体" w:hAnsi="宋体" w:cs="宋体"/>
          <w:b/>
          <w:bCs/>
          <w:color w:val="auto"/>
          <w:sz w:val="28"/>
          <w:szCs w:val="28"/>
          <w:highlight w:val="none"/>
          <w:lang w:val="en-US" w:eastAsia="zh-CN" w:bidi="ar-SA"/>
        </w:rPr>
        <w:t xml:space="preserve">第五章  评标方法与评标标准</w:t>
      </w:r>
      <w:bookmarkEnd w:id="285"/>
      <w:r/>
      <w:bookmarkEnd w:id="287"/>
      <w:r/>
      <w:bookmarkEnd w:id="288"/>
      <w:r/>
      <w:r/>
    </w:p>
    <w:p>
      <w:pPr>
        <w:ind w:firstLine="422"/>
        <w:jc w:val="left"/>
        <w:spacing w:line="300" w:lineRule="auto"/>
        <w:widowControl w:val="off"/>
        <w:rPr>
          <w:rFonts w:hint="eastAsia" w:ascii="方正仿宋_GBK" w:hAnsi="方正仿宋_GBK" w:eastAsia="方正仿宋_GBK" w:cs="方正仿宋_GBK"/>
          <w:sz w:val="28"/>
          <w:szCs w:val="28"/>
          <w:highlight w:val="none"/>
        </w:rPr>
      </w:pPr>
      <w:r>
        <w:rPr>
          <w:rFonts w:hint="eastAsia" w:ascii="宋体" w:hAnsi="宋体" w:eastAsia="宋体" w:cs="宋体"/>
          <w:b/>
          <w:bCs/>
          <w:color w:val="auto"/>
          <w:sz w:val="21"/>
          <w:szCs w:val="21"/>
          <w:highlight w:val="none"/>
          <w:lang w:val="en-US" w:eastAsia="zh-CN" w:bidi="ar-SA"/>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852"/>
        <w:tblW w:w="0" w:type="auto"/>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采购包号</w:t>
            </w:r>
            <w:r/>
          </w:p>
        </w:tc>
        <w:tc>
          <w:tcPr>
            <w:tcW w:w="2183" w:type="dxa"/>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选取中标候选人数量</w:t>
            </w:r>
            <w:r/>
          </w:p>
        </w:tc>
        <w:tc>
          <w:tcPr>
            <w:tcW w:w="5063" w:type="dxa"/>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选取中标候选人的原则</w:t>
            </w:r>
            <w:r/>
          </w:p>
        </w:tc>
      </w:tr>
      <w:tr>
        <w:trPr/>
        <w:tc>
          <w:tcPr>
            <w:tcW w:w="1671" w:type="dxa"/>
            <w:vAlign w:val="center"/>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183" w:type="dxa"/>
            <w:vAlign w:val="center"/>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5063" w:type="dxa"/>
            <w:textDirection w:val="lrTb"/>
            <w:noWrap w:val="false"/>
          </w:tcPr>
          <w:p>
            <w:pPr>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满足招标文件全部实质性要求，且按照评审因素的量化指标评审得分最高的投标人为中标候选人。</w:t>
            </w:r>
            <w:r/>
          </w:p>
        </w:tc>
      </w:tr>
      <w:tr>
        <w:trPr/>
        <w:tc>
          <w:tcPr>
            <w:shd w:val="clear" w:color="auto" w:fill="auto"/>
            <w:tcW w:w="1671" w:type="dxa"/>
            <w:vAlign w:val="center"/>
            <w:textDirection w:val="lrTb"/>
            <w:noWrap w:val="false"/>
          </w:tcPr>
          <w:p>
            <w:pPr>
              <w:jc w:val="cente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shd w:val="clear" w:color="auto" w:fill="auto"/>
            <w:tcW w:w="2183" w:type="dxa"/>
            <w:vAlign w:val="center"/>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shd w:val="clear" w:color="auto" w:fill="auto"/>
            <w:tcW w:w="5063" w:type="dxa"/>
            <w:textDirection w:val="lrTb"/>
            <w:noWrap w:val="false"/>
          </w:tcPr>
          <w:p>
            <w:pPr>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满足招标文件全部实质性要求，且按照评审因素的量化指标评审得分最高的投标人为中标候选人。</w:t>
            </w:r>
            <w:r/>
          </w:p>
        </w:tc>
      </w:tr>
    </w:tbl>
    <w:p>
      <w:pPr>
        <w:ind w:firstLine="562"/>
        <w:jc w:val="left"/>
        <w:spacing w:before="120" w:after="120" w:line="4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r>
      <w:r/>
    </w:p>
    <w:p>
      <w:pPr>
        <w:ind w:firstLine="422"/>
        <w:jc w:val="both"/>
        <w:keepLines/>
        <w:keepNext/>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b/>
          <w:bCs w:val="0"/>
          <w:color w:val="auto"/>
          <w:sz w:val="21"/>
          <w:szCs w:val="21"/>
          <w:highlight w:val="none"/>
          <w:lang w:val="en-US" w:eastAsia="zh-CN" w:bidi="ar-SA"/>
        </w:rPr>
        <w:t xml:space="preserve">具体评审办法如下：</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spacing w:line="420" w:lineRule="exact"/>
        <w:rPr>
          <w:rFonts w:hint="eastAsia" w:ascii="方正仿宋_GBK" w:hAnsi="方正仿宋_GBK" w:eastAsia="方正仿宋_GBK" w:cs="方正仿宋_GBK"/>
          <w:b/>
          <w:sz w:val="28"/>
          <w:szCs w:val="28"/>
          <w:highlight w:val="none"/>
        </w:rPr>
      </w:pPr>
      <w:r>
        <w:rPr>
          <w:rFonts w:hint="eastAsia" w:ascii="宋体" w:hAnsi="宋体" w:cs="宋体"/>
          <w:b/>
          <w:bCs/>
          <w:color w:val="auto"/>
          <w:szCs w:val="21"/>
          <w:highlight w:val="none"/>
          <w:lang w:val="zh-CN" w:eastAsia="zh-CN" w:bidi="ar-SA"/>
        </w:rPr>
        <w:t xml:space="preserve">评标细则</w:t>
      </w:r>
      <w:r/>
    </w:p>
    <w:p>
      <w:pPr>
        <w:ind w:firstLine="422"/>
        <w:spacing w:line="360" w:lineRule="auto"/>
        <w:shd w:val="clear" w:color="auto" w:fill="ffffff"/>
        <w:widowControl/>
        <w:rPr>
          <w:rFonts w:hint="eastAsia" w:ascii="宋体" w:hAnsi="宋体" w:cs="宋体"/>
          <w:b/>
          <w:color w:val="auto"/>
          <w:sz w:val="28"/>
          <w:szCs w:val="28"/>
          <w:highlight w:val="none"/>
          <w:lang w:val="en-US" w:eastAsia="zh-CN" w:bidi="ar-SA"/>
        </w:rPr>
        <w:outlineLvl w:val="1"/>
      </w:pPr>
      <w:r/>
      <w:bookmarkStart w:id="289" w:name="_Toc29347"/>
      <w:r>
        <w:rPr>
          <w:rFonts w:hint="eastAsia" w:ascii="宋体" w:hAnsi="宋体" w:cs="宋体"/>
          <w:b/>
          <w:color w:val="auto"/>
          <w:sz w:val="21"/>
          <w:szCs w:val="21"/>
          <w:highlight w:val="none"/>
          <w:lang w:val="en-US" w:eastAsia="zh-CN" w:bidi="ar-SA"/>
        </w:rPr>
        <w:t xml:space="preserve">采购包1：评标方法与评标标准</w:t>
      </w:r>
      <w:bookmarkEnd w:id="289"/>
      <w:r/>
      <w:r/>
    </w:p>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（一）资格性审查</w:t>
      </w:r>
      <w:r>
        <w:rPr>
          <w:rFonts w:hint="eastAsia" w:ascii="宋体" w:hAnsi="宋体" w:cs="宋体"/>
          <w:b/>
          <w:color w:val="auto"/>
          <w:szCs w:val="21"/>
          <w:highlight w:val="none"/>
          <w:lang w:val="zh-CN" w:eastAsia="zh-CN" w:bidi="ar-SA"/>
        </w:rPr>
        <w:t xml:space="preserve">（通过/未通过）</w:t>
      </w:r>
      <w:r>
        <w:rPr>
          <w:rFonts w:hint="eastAsia" w:ascii="宋体" w:hAnsi="宋体" w:cs="宋体"/>
          <w:b/>
          <w:color w:val="auto"/>
          <w:szCs w:val="21"/>
          <w:highlight w:val="none"/>
          <w:lang w:val="en-US" w:eastAsia="zh-CN" w:bidi="ar-SA"/>
        </w:rPr>
        <w:t xml:space="preserve">：</w:t>
      </w:r>
      <w:r/>
    </w:p>
    <w:tbl>
      <w:tblPr>
        <w:tblStyle w:val="852"/>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885"/>
        <w:gridCol w:w="6693"/>
        <w:gridCol w:w="1018"/>
        <w:gridCol w:w="1059"/>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8" w:type="pct"/>
            <w:vAlign w:val="center"/>
            <w:textDirection w:val="lrTb"/>
            <w:noWrap w:val="false"/>
          </w:tcPr>
          <w:p>
            <w:pPr>
              <w:ind w:left="0" w:firstLine="0"/>
              <w:jc w:val="both"/>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7"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未通过X</w:t>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8"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供应商资格条件</w:t>
            </w:r>
            <w:r/>
          </w:p>
        </w:tc>
        <w:tc>
          <w:tcPr>
            <w:shd w:val="clear" w:color="000000" w:fill="ffffff"/>
            <w:tcBorders>
              <w:top w:val="single" w:color="000000" w:sz="2" w:space="0"/>
              <w:left w:val="single" w:color="000000" w:sz="2" w:space="0"/>
              <w:bottom w:val="single" w:color="000000" w:sz="2" w:space="0"/>
              <w:right w:val="single" w:color="000000" w:sz="2" w:space="0"/>
            </w:tcBorders>
            <w:tcW w:w="527"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bl>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（二）符合性审查（通过/未通过）：</w:t>
      </w:r>
      <w:r/>
    </w:p>
    <w:tbl>
      <w:tblPr>
        <w:tblStyle w:val="852"/>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67"/>
        <w:gridCol w:w="6704"/>
        <w:gridCol w:w="1020"/>
        <w:gridCol w:w="106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left="0" w:firstLine="0"/>
              <w:jc w:val="both"/>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未通过X</w:t>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在苏采云系统规定的时间内未成功解密电子投标文件。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未按照招标文件要求上传电子投标文件的。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在报价时采用选择性报价的。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报价超过了采购预算或最高限价的。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不符合招标文件中规定的其他实质性要求和条件的（本招标文件中标注“★”符号部分为实质性要求和条件）。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不同供应商的投标文件由同一单位或者个人编制。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投标文件含有采购人不能接受的附加条件的。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投标文件未按照招标文件要求加盖电子签章。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不同供应商委托同一单位或者个人办理投标事宜。</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不同供应商的投标文件载明的项目管理成员或者联系人员为同一人。</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不同供应商的投标文件异常一致或者投标报价呈规律性差异。</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不同供应商的单位负责人为同一人或者供应商之间存在直接控股、管理关系的。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不同供应商的ip地址、MAC地址、标书制作工具客户端标识码一致的。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法律、法规和招标文件规定的其他无效情形。</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bl>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9"/>
      </w:pPr>
      <w:r>
        <w:rPr>
          <w:rFonts w:hint="eastAsia" w:ascii="宋体" w:hAnsi="宋体" w:cs="宋体"/>
          <w:b/>
          <w:color w:val="auto"/>
          <w:szCs w:val="21"/>
          <w:highlight w:val="none"/>
          <w:lang w:val="en-US" w:eastAsia="zh-CN" w:bidi="ar-SA"/>
        </w:rPr>
      </w:r>
      <w:r/>
    </w:p>
    <w:p>
      <w:pPr>
        <w:ind w:firstLine="422"/>
        <w:spacing w:line="360" w:lineRule="auto"/>
        <w:shd w:val="clear" w:color="auto" w:fill="ffffff"/>
        <w:widowControl/>
        <w:rPr>
          <w:rFonts w:hint="default"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（三）评分表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2"/>
        <w:gridCol w:w="990"/>
        <w:gridCol w:w="5874"/>
        <w:gridCol w:w="1005"/>
      </w:tblGrid>
      <w:tr>
        <w:trPr>
          <w:trHeight w:val="23"/>
        </w:trPr>
        <w:tc>
          <w:tcPr>
            <w:gridSpan w:val="2"/>
            <w:tcW w:w="2422" w:type="dxa"/>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5874" w:type="dxa"/>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打分办法</w:t>
            </w:r>
            <w:r/>
          </w:p>
        </w:tc>
        <w:tc>
          <w:tcPr>
            <w:tcW w:w="1005"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r>
      <w:tr>
        <w:trPr>
          <w:trHeight w:val="23"/>
        </w:trPr>
        <w:tc>
          <w:tcPr>
            <w:gridSpan w:val="2"/>
            <w:tcW w:w="242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（一）价格分（30分）</w:t>
            </w:r>
            <w:r/>
          </w:p>
        </w:tc>
        <w:tc>
          <w:tcPr>
            <w:tcW w:w="5874"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采用低价优先法计算，即满足招标文件要求且报价最低的供应商报价为评标基准价，其价格分为满分30分，其它投标供应商的价格分统一按照以下公式计算：投标报价得分=(评标基准价/该投标供应商的投标报价)×30分。（保留两位小数）</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r>
      <w:tr>
        <w:trPr>
          <w:trHeight w:val="23"/>
        </w:trPr>
        <w:tc>
          <w:tcPr>
            <w:tcW w:w="1432"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（二）技术响应及实施方案（39分）</w:t>
            </w:r>
            <w:r/>
          </w:p>
        </w:tc>
        <w:tc>
          <w:tcPr>
            <w:tcW w:w="9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p>
        </w:tc>
        <w:tc>
          <w:tcPr>
            <w:tcW w:w="5874"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技术指标响应（28分）</w:t>
            </w:r>
            <w:r/>
          </w:p>
          <w:p>
            <w:pPr>
              <w:pStyle w:val="855"/>
              <w:rPr>
                <w:rFonts w:hint="eastAsia" w:eastAsia="宋体"/>
                <w:highlight w:val="none"/>
                <w:lang w:val="en-US" w:eastAsia="zh-CN"/>
              </w:rPr>
            </w:pPr>
            <w:r>
              <w:rPr>
                <w:rFonts w:hint="eastAsia" w:ascii="宋体" w:hAnsi="宋体" w:eastAsia="宋体" w:cs="宋体"/>
                <w:sz w:val="21"/>
                <w:szCs w:val="21"/>
                <w:highlight w:val="none"/>
              </w:rPr>
              <w:t xml:space="preserve">由评标委员会根据《需求清单》</w:t>
            </w:r>
            <w:r>
              <w:rPr>
                <w:rFonts w:hint="default" w:ascii="宋体" w:hAnsi="宋体" w:cs="宋体"/>
                <w:sz w:val="21"/>
                <w:szCs w:val="21"/>
                <w:highlight w:val="none"/>
                <w:lang w:val="en-US"/>
              </w:rPr>
              <w:t xml:space="preserve">(</w:t>
            </w:r>
            <w:r>
              <w:rPr>
                <w:rFonts w:hint="eastAsia" w:ascii="宋体" w:hAnsi="宋体" w:cs="宋体"/>
                <w:sz w:val="21"/>
                <w:szCs w:val="21"/>
                <w:highlight w:val="none"/>
                <w:lang w:val="en-US" w:eastAsia="zh-CN"/>
              </w:rPr>
              <w:t xml:space="preserve">采购包1</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技术要求响应表</w:t>
            </w:r>
            <w:r>
              <w:rPr>
                <w:rFonts w:hint="eastAsia" w:ascii="宋体" w:hAnsi="宋体" w:eastAsia="宋体" w:cs="宋体"/>
                <w:sz w:val="21"/>
                <w:szCs w:val="21"/>
                <w:highlight w:val="none"/>
              </w:rPr>
              <w:t xml:space="preserve">》等响应情况进行打分，投标人对本项目的“关键原材料要求”的重要技术参数（需求清单中带“▲”条款</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共</w:t>
            </w:r>
            <w:r>
              <w:rPr>
                <w:rFonts w:hint="eastAsia" w:ascii="宋体" w:hAnsi="宋体" w:cs="宋体"/>
                <w:sz w:val="21"/>
                <w:szCs w:val="21"/>
                <w:highlight w:val="none"/>
                <w:lang w:val="en-US" w:eastAsia="zh-CN"/>
              </w:rPr>
              <w:t xml:space="preserve">20项，</w:t>
            </w:r>
            <w:r>
              <w:rPr>
                <w:rFonts w:hint="eastAsia" w:ascii="宋体" w:hAnsi="宋体" w:eastAsia="宋体" w:cs="宋体"/>
                <w:sz w:val="21"/>
                <w:szCs w:val="21"/>
                <w:highlight w:val="none"/>
              </w:rPr>
              <w:t xml:space="preserve">每提供一项得</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rPr>
              <w:t xml:space="preserve">分，本项满分</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8分，每缺少一份检测报告或提供的报告检测指标内容缺项或不满足指标要求的扣</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rPr>
              <w:t xml:space="preserve">分，扣完为止，供应商须逐条应答，未应答条目视为负偏离</w:t>
            </w:r>
            <w:r>
              <w:rPr>
                <w:rFonts w:hint="eastAsia" w:ascii="宋体" w:hAnsi="宋体" w:cs="宋体"/>
                <w:sz w:val="21"/>
                <w:szCs w:val="21"/>
                <w:highlight w:val="none"/>
                <w:lang w:eastAsia="zh-CN"/>
              </w:rPr>
              <w:t xml:space="preserve">。</w:t>
            </w:r>
            <w:r/>
          </w:p>
          <w:p>
            <w:pPr>
              <w:pStyle w:val="85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评分依据：提供符合上述要求的检验检测报告</w:t>
            </w:r>
            <w:r>
              <w:rPr>
                <w:rFonts w:hint="eastAsia" w:ascii="宋体" w:hAnsi="宋体" w:cs="宋体"/>
                <w:sz w:val="21"/>
                <w:szCs w:val="21"/>
                <w:highlight w:val="none"/>
                <w:lang w:val="en-US" w:eastAsia="zh-CN"/>
              </w:rPr>
              <w:t xml:space="preserve">扫描件</w:t>
            </w:r>
            <w:r>
              <w:rPr>
                <w:rFonts w:hint="eastAsia" w:ascii="宋体" w:hAnsi="宋体" w:eastAsia="宋体" w:cs="宋体"/>
                <w:sz w:val="21"/>
                <w:szCs w:val="21"/>
                <w:highlight w:val="none"/>
              </w:rPr>
              <w:t xml:space="preserve">，检测报告在全国认证认可信息公共服务平台网站（http://cx.cnca.cn/CertECloud/qts/qts/qtsPage）或检测报告二维码扫码查真伪查询截图作为得分依据，未按要求提供相关材料或提供的材料不清晰导致专家无法判断的不得分；且出具日期为2025年1月1日始至招标公告发布之日止，国家认可的质量检验机构出具的原材料检验合格报告（受检单位须为家具生产厂家，检验类别为抽样检测报告或委托抽样检测报告，其他报告不得分）。</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p>
        </w:tc>
      </w:tr>
      <w:tr>
        <w:trPr>
          <w:trHeight w:val="23"/>
        </w:trPr>
        <w:tc>
          <w:tcPr>
            <w:tcW w:w="143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tcW w:w="5874" w:type="dxa"/>
            <w:textDirection w:val="lrTb"/>
            <w:noWrap w:val="false"/>
          </w:tcPr>
          <w:p>
            <w:pPr>
              <w:rPr>
                <w:rFonts w:hint="eastAsia" w:ascii="宋体" w:hAnsi="宋体" w:cs="宋体"/>
                <w:sz w:val="21"/>
                <w:szCs w:val="21"/>
                <w:highlight w:val="none"/>
                <w:lang w:val="en-US" w:eastAsia="zh-CN"/>
              </w:rPr>
            </w:pPr>
            <w:r>
              <w:rPr>
                <w:rFonts w:hint="eastAsia" w:ascii="宋体" w:hAnsi="宋体" w:eastAsia="宋体" w:cs="宋体"/>
                <w:b/>
                <w:bCs/>
                <w:sz w:val="21"/>
                <w:szCs w:val="21"/>
                <w:highlight w:val="none"/>
              </w:rPr>
              <w:t xml:space="preserve">项目实施方案（3分）。</w:t>
            </w:r>
            <w:r>
              <w:rPr>
                <w:rFonts w:hint="eastAsia" w:ascii="宋体" w:hAnsi="宋体" w:eastAsia="宋体" w:cs="宋体"/>
                <w:sz w:val="21"/>
                <w:szCs w:val="21"/>
                <w:highlight w:val="none"/>
              </w:rPr>
              <w:t xml:space="preserve">根据投标人对本项目的</w:t>
            </w:r>
            <w:r>
              <w:rPr>
                <w:rFonts w:hint="eastAsia" w:ascii="宋体" w:hAnsi="宋体" w:eastAsia="宋体" w:cs="宋体"/>
                <w:sz w:val="21"/>
                <w:szCs w:val="21"/>
                <w:highlight w:val="none"/>
              </w:rPr>
              <w:t xml:space="preserve">总体认识</w:t>
            </w:r>
            <w:r>
              <w:rPr>
                <w:rFonts w:hint="default" w:ascii="宋体" w:hAnsi="宋体" w:cs="宋体"/>
                <w:sz w:val="21"/>
                <w:szCs w:val="21"/>
                <w:highlight w:val="none"/>
                <w:lang w:val="en-US"/>
              </w:rPr>
              <w:t xml:space="preserve">,</w:t>
            </w:r>
            <w:r>
              <w:rPr>
                <w:rFonts w:hint="eastAsia" w:ascii="宋体" w:hAnsi="宋体" w:cs="宋体"/>
                <w:sz w:val="21"/>
                <w:szCs w:val="21"/>
                <w:highlight w:val="none"/>
                <w:lang w:val="en-US" w:eastAsia="zh-CN"/>
              </w:rPr>
              <w:t xml:space="preserve">提供的项目实施方案（包括</w:t>
            </w:r>
            <w:r>
              <w:rPr>
                <w:rFonts w:hint="eastAsia" w:ascii="宋体" w:hAnsi="宋体" w:eastAsia="宋体" w:cs="宋体"/>
                <w:sz w:val="21"/>
                <w:szCs w:val="21"/>
                <w:highlight w:val="none"/>
              </w:rPr>
              <w:t xml:space="preserve">组织部署、技术方案、</w:t>
            </w:r>
            <w:r>
              <w:rPr>
                <w:rFonts w:hint="eastAsia" w:ascii="宋体" w:hAnsi="宋体" w:eastAsia="宋体" w:cs="宋体"/>
                <w:sz w:val="21"/>
                <w:szCs w:val="21"/>
                <w:highlight w:val="none"/>
              </w:rPr>
              <w:t xml:space="preserve">质量保证措施</w:t>
            </w:r>
            <w:r>
              <w:rPr>
                <w:rFonts w:hint="eastAsia" w:ascii="宋体" w:hAnsi="宋体" w:eastAsia="宋体" w:cs="宋体"/>
                <w:sz w:val="21"/>
                <w:szCs w:val="21"/>
                <w:highlight w:val="none"/>
              </w:rPr>
              <w:t xml:space="preserve">、时间进度安排、安装</w:t>
            </w:r>
            <w:r>
              <w:rPr>
                <w:rFonts w:hint="eastAsia" w:ascii="宋体" w:hAnsi="宋体" w:eastAsia="宋体" w:cs="宋体"/>
                <w:sz w:val="21"/>
                <w:szCs w:val="21"/>
                <w:highlight w:val="none"/>
              </w:rPr>
              <w:t xml:space="preserve">及验收方案</w:t>
            </w:r>
            <w:r>
              <w:rPr>
                <w:rFonts w:hint="eastAsia" w:ascii="宋体" w:hAnsi="宋体" w:cs="宋体"/>
                <w:sz w:val="21"/>
                <w:szCs w:val="21"/>
                <w:highlight w:val="none"/>
                <w:lang w:val="en-US" w:eastAsia="zh-CN"/>
              </w:rPr>
              <w:t xml:space="preserve">等）进行综合评分：</w:t>
            </w:r>
            <w:r/>
          </w:p>
          <w:p>
            <w:pP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（1）项目实施方案内容具体详实、科学规范，整体思路清晰、实施流程完整、进度规划合理、管控措施全面，完全贴合项目实际情况，完全满足本次采购全部需求，可操作性、可行性高，得3分；</w:t>
            </w:r>
            <w:r/>
          </w:p>
          <w:p>
            <w:pP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（2）项目实施方案内容较为完整、整体合理，项目实施流程、施工安排、进度管控等主要内容齐全，基本贴合项目实际，能够满足本次采购主要需求，可行性较高，得2分；</w:t>
            </w:r>
            <w:r/>
          </w:p>
          <w:p>
            <w:pP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（3）项目实施方案基本齐全，基本符合招标文件要求，具备完整的项目实施思路与基础管控措施，具备基本可行性，能够满足项目基础采购需求，得1分</w:t>
            </w:r>
            <w:r/>
          </w:p>
          <w:p>
            <w:pP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（4）未提供项目实施方案，或方案内容空洞、逻辑混乱、脱离项目实际，关键实施内容缺失，不符合招标文件要求，不具备实施可行性的，不得分。</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r>
      <w:tr>
        <w:trPr>
          <w:trHeight w:val="744"/>
        </w:trPr>
        <w:tc>
          <w:tcPr>
            <w:tcW w:w="143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p>
        </w:tc>
        <w:tc>
          <w:tcPr>
            <w:tcW w:w="5874" w:type="dxa"/>
            <w:textDirection w:val="lrTb"/>
            <w:noWrap w:val="false"/>
          </w:tcPr>
          <w:p>
            <w:pPr>
              <w:rPr>
                <w:rFonts w:hint="eastAsia" w:ascii="宋体" w:hAnsi="宋体" w:cs="宋体"/>
                <w:sz w:val="21"/>
                <w:szCs w:val="21"/>
                <w:highlight w:val="none"/>
                <w:lang w:eastAsia="zh-CN"/>
              </w:rPr>
            </w:pPr>
            <w:r>
              <w:rPr>
                <w:rFonts w:hint="eastAsia" w:ascii="宋体" w:hAnsi="宋体" w:eastAsia="宋体" w:cs="宋体"/>
                <w:b/>
                <w:sz w:val="21"/>
                <w:szCs w:val="21"/>
                <w:highlight w:val="none"/>
              </w:rPr>
              <w:t xml:space="preserve">深化设计方案（5分）。</w:t>
            </w:r>
            <w:r>
              <w:rPr>
                <w:rFonts w:hint="eastAsia" w:ascii="宋体" w:hAnsi="宋体" w:eastAsia="宋体" w:cs="宋体"/>
                <w:sz w:val="21"/>
                <w:szCs w:val="21"/>
                <w:highlight w:val="none"/>
              </w:rPr>
              <w:t xml:space="preserve">根据投标人须提供的效果图、结构图，其设计完整规范、布局合理、契合本项目要求的情况进行</w:t>
            </w:r>
            <w:r>
              <w:rPr>
                <w:rFonts w:hint="eastAsia" w:ascii="宋体" w:hAnsi="宋体" w:cs="宋体"/>
                <w:sz w:val="21"/>
                <w:szCs w:val="21"/>
                <w:highlight w:val="none"/>
                <w:lang w:val="en-US" w:eastAsia="zh-CN"/>
              </w:rPr>
              <w:t xml:space="preserve">综合</w:t>
            </w:r>
            <w:r>
              <w:rPr>
                <w:rFonts w:hint="eastAsia" w:ascii="宋体" w:hAnsi="宋体" w:eastAsia="宋体" w:cs="宋体"/>
                <w:sz w:val="21"/>
                <w:szCs w:val="21"/>
                <w:highlight w:val="none"/>
              </w:rPr>
              <w:t xml:space="preserve">评分</w:t>
            </w:r>
            <w:r>
              <w:rPr>
                <w:rFonts w:hint="eastAsia" w:ascii="宋体" w:hAnsi="宋体" w:cs="宋体"/>
                <w:sz w:val="21"/>
                <w:szCs w:val="21"/>
                <w:highlight w:val="none"/>
                <w:lang w:eastAsia="zh-CN"/>
              </w:rPr>
              <w:t xml:space="preserve">：</w:t>
            </w:r>
            <w:r/>
          </w:p>
          <w:p>
            <w:pPr>
              <w:numPr>
                <w:ilvl w:val="0"/>
                <w:numId w:val="16"/>
              </w:num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深化设计方案内容完整规范，编制要素齐全；整体框架清晰、布局合理，逻辑层次严谨；充分结合项目实际工况，技术思路与实施举措高度契合本项目要求，得5分；</w:t>
            </w:r>
            <w:r/>
          </w:p>
          <w:p>
            <w:pPr>
              <w:numPr>
                <w:ilvl w:val="0"/>
                <w:numId w:val="16"/>
              </w:numPr>
              <w:ind w:left="0"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深化设计方案内容较为完整规范，主要编制要素无缺失；方案框架基本清晰，布局较为合理；能够响应本项目主要需求，与项目要求基本契合，得3分；</w:t>
            </w:r>
            <w:r/>
          </w:p>
          <w:p>
            <w:pPr>
              <w:numPr>
                <w:ilvl w:val="0"/>
                <w:numId w:val="16"/>
              </w:numPr>
              <w:ind w:left="0"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深化设计方案基本完整，核心内容无重大缺漏；方案布局逻辑性一般；对项目需求有一定响应，部分内容与本项目要求存在偏差，得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）未提供深化设计方案，或方案内容存在缺项，编制规范性不足；框架混乱，布局不合理，逻辑条理不清；未能结合本项目实际情况，与项目要求契合度低，不得分</w:t>
            </w:r>
            <w:r>
              <w:rPr>
                <w:rFonts w:hint="eastAsia" w:ascii="宋体" w:hAnsi="宋体" w:cs="宋体"/>
                <w:sz w:val="21"/>
                <w:szCs w:val="21"/>
                <w:highlight w:val="none"/>
                <w:lang w:eastAsia="zh-CN"/>
              </w:rPr>
              <w:t xml:space="preserve">。</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r>
      <w:tr>
        <w:trPr>
          <w:trHeight w:val="1082"/>
        </w:trPr>
        <w:tc>
          <w:tcPr>
            <w:tcW w:w="143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p>
        </w:tc>
        <w:tc>
          <w:tcPr>
            <w:tcW w:w="5874" w:type="dxa"/>
            <w:textDirection w:val="lrTb"/>
            <w:noWrap w:val="false"/>
          </w:tcPr>
          <w:p>
            <w:pPr>
              <w:pStyle w:val="873"/>
              <w:jc w:val="both"/>
              <w:spacing w:before="0" w:beforeAutospacing="0" w:after="0" w:afterAutospacing="0"/>
              <w:rPr>
                <w:rFonts w:hint="eastAsia" w:cs="宋体"/>
                <w:sz w:val="21"/>
                <w:szCs w:val="21"/>
                <w:highlight w:val="none"/>
                <w:lang w:eastAsia="zh-CN"/>
              </w:rPr>
            </w:pPr>
            <w:r>
              <w:rPr>
                <w:rFonts w:hint="eastAsia" w:ascii="宋体" w:hAnsi="宋体" w:eastAsia="宋体" w:cs="宋体"/>
                <w:b/>
                <w:sz w:val="21"/>
                <w:szCs w:val="21"/>
                <w:highlight w:val="none"/>
              </w:rPr>
              <w:t xml:space="preserve">售后服务响应（3分）。</w:t>
            </w:r>
            <w:r>
              <w:rPr>
                <w:rFonts w:hint="eastAsia" w:ascii="宋体" w:hAnsi="宋体" w:eastAsia="宋体" w:cs="宋体"/>
                <w:sz w:val="21"/>
                <w:szCs w:val="21"/>
                <w:highlight w:val="none"/>
              </w:rPr>
              <w:t xml:space="preserve">根据投标文件中有关服务承诺说明进行评分</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包括投标人自身及所投品牌原厂响应标准、备件体系、质保维修方案、售后服务体系、服务范围、响应时间、故障解决方案、应急处理方案、专业技术人员保障等</w:t>
            </w:r>
            <w:r>
              <w:rPr>
                <w:rFonts w:hint="eastAsia" w:cs="宋体"/>
                <w:sz w:val="21"/>
                <w:szCs w:val="21"/>
                <w:highlight w:val="none"/>
                <w:lang w:eastAsia="zh-CN"/>
              </w:rPr>
              <w:t xml:space="preserve">）：</w:t>
            </w:r>
            <w:r/>
          </w:p>
          <w:p>
            <w:pPr>
              <w:pStyle w:val="873"/>
              <w:jc w:val="both"/>
              <w:spacing w:before="0" w:beforeAutospacing="0" w:after="0" w:afterAutospacing="0"/>
              <w:rPr>
                <w:rFonts w:hint="eastAsia" w:cs="宋体"/>
                <w:sz w:val="21"/>
                <w:szCs w:val="21"/>
                <w:highlight w:val="none"/>
                <w:lang w:eastAsia="zh-CN"/>
              </w:rPr>
            </w:pPr>
            <w:r>
              <w:rPr>
                <w:rFonts w:hint="eastAsia" w:cs="宋体"/>
                <w:sz w:val="21"/>
                <w:szCs w:val="21"/>
                <w:highlight w:val="none"/>
                <w:lang w:eastAsia="zh-CN"/>
              </w:rPr>
              <w:t xml:space="preserve">（</w:t>
            </w:r>
            <w:r>
              <w:rPr>
                <w:rFonts w:hint="eastAsia" w:cs="宋体"/>
                <w:sz w:val="21"/>
                <w:szCs w:val="21"/>
                <w:highlight w:val="none"/>
                <w:lang w:val="en-US" w:eastAsia="zh-CN"/>
              </w:rPr>
              <w:t xml:space="preserve">1</w:t>
            </w:r>
            <w:r>
              <w:rPr>
                <w:rFonts w:hint="eastAsia" w:cs="宋体"/>
                <w:sz w:val="21"/>
                <w:szCs w:val="21"/>
                <w:highlight w:val="none"/>
                <w:lang w:eastAsia="zh-CN"/>
              </w:rPr>
              <w:t xml:space="preserve">）方案内容具体详实、科学合理，完全满足本项目服务需求，贴合实际、落地性强、可行性极高，能够充分保障项目后期运维服务质量的，得</w:t>
            </w:r>
            <w:r>
              <w:rPr>
                <w:rFonts w:hint="eastAsia" w:cs="宋体"/>
                <w:sz w:val="21"/>
                <w:szCs w:val="21"/>
                <w:highlight w:val="none"/>
                <w:lang w:val="en-US" w:eastAsia="zh-CN"/>
              </w:rPr>
              <w:t xml:space="preserve">3</w:t>
            </w:r>
            <w:r>
              <w:rPr>
                <w:rFonts w:hint="eastAsia" w:cs="宋体"/>
                <w:sz w:val="21"/>
                <w:szCs w:val="21"/>
                <w:highlight w:val="none"/>
                <w:lang w:eastAsia="zh-CN"/>
              </w:rPr>
              <w:t xml:space="preserve">分；</w:t>
            </w:r>
            <w:r/>
          </w:p>
          <w:p>
            <w:pPr>
              <w:pStyle w:val="873"/>
              <w:jc w:val="both"/>
              <w:spacing w:before="0" w:beforeAutospacing="0" w:after="0" w:afterAutospacing="0"/>
              <w:rPr>
                <w:rFonts w:hint="eastAsia" w:cs="宋体"/>
                <w:sz w:val="21"/>
                <w:szCs w:val="21"/>
                <w:highlight w:val="none"/>
                <w:lang w:eastAsia="zh-CN"/>
              </w:rPr>
            </w:pPr>
            <w:r>
              <w:rPr>
                <w:rFonts w:hint="eastAsia" w:cs="宋体"/>
                <w:sz w:val="21"/>
                <w:szCs w:val="21"/>
                <w:highlight w:val="none"/>
                <w:lang w:eastAsia="zh-CN"/>
              </w:rPr>
              <w:t xml:space="preserve">（</w:t>
            </w:r>
            <w:r>
              <w:rPr>
                <w:rFonts w:hint="eastAsia" w:cs="宋体"/>
                <w:sz w:val="21"/>
                <w:szCs w:val="21"/>
                <w:highlight w:val="none"/>
                <w:lang w:val="en-US" w:eastAsia="zh-CN"/>
              </w:rPr>
              <w:t xml:space="preserve">2</w:t>
            </w:r>
            <w:r>
              <w:rPr>
                <w:rFonts w:hint="eastAsia" w:cs="宋体"/>
                <w:sz w:val="21"/>
                <w:szCs w:val="21"/>
                <w:highlight w:val="none"/>
                <w:lang w:eastAsia="zh-CN"/>
              </w:rPr>
              <w:t xml:space="preserve">）方案内容较为完整，基本贴合项目实际需求，可行性较高，可有效保障项目后续维保服务正常开展的，得</w:t>
            </w:r>
            <w:r>
              <w:rPr>
                <w:rFonts w:hint="eastAsia" w:cs="宋体"/>
                <w:sz w:val="21"/>
                <w:szCs w:val="21"/>
                <w:highlight w:val="none"/>
                <w:lang w:val="en-US" w:eastAsia="zh-CN"/>
              </w:rPr>
              <w:t xml:space="preserve">2</w:t>
            </w:r>
            <w:r>
              <w:rPr>
                <w:rFonts w:hint="eastAsia" w:cs="宋体"/>
                <w:sz w:val="21"/>
                <w:szCs w:val="21"/>
                <w:highlight w:val="none"/>
                <w:lang w:eastAsia="zh-CN"/>
              </w:rPr>
              <w:t xml:space="preserve">分；</w:t>
            </w:r>
            <w:r/>
          </w:p>
          <w:p>
            <w:pPr>
              <w:pStyle w:val="873"/>
              <w:jc w:val="both"/>
              <w:spacing w:before="0" w:beforeAutospacing="0" w:after="0" w:afterAutospacing="0"/>
              <w:rPr>
                <w:rFonts w:hint="eastAsia" w:cs="宋体"/>
                <w:sz w:val="21"/>
                <w:szCs w:val="21"/>
                <w:highlight w:val="none"/>
                <w:lang w:eastAsia="zh-CN"/>
              </w:rPr>
            </w:pPr>
            <w:r>
              <w:rPr>
                <w:rFonts w:hint="eastAsia" w:cs="宋体"/>
                <w:sz w:val="21"/>
                <w:szCs w:val="21"/>
                <w:highlight w:val="none"/>
                <w:lang w:eastAsia="zh-CN"/>
              </w:rPr>
              <w:t xml:space="preserve">（</w:t>
            </w:r>
            <w:r>
              <w:rPr>
                <w:rFonts w:hint="eastAsia" w:cs="宋体"/>
                <w:sz w:val="21"/>
                <w:szCs w:val="21"/>
                <w:highlight w:val="none"/>
                <w:lang w:val="en-US" w:eastAsia="zh-CN"/>
              </w:rPr>
              <w:t xml:space="preserve">3</w:t>
            </w:r>
            <w:r>
              <w:rPr>
                <w:rFonts w:hint="eastAsia" w:cs="宋体"/>
                <w:sz w:val="21"/>
                <w:szCs w:val="21"/>
                <w:highlight w:val="none"/>
                <w:lang w:eastAsia="zh-CN"/>
              </w:rPr>
              <w:t xml:space="preserve">）方案基本符合招标文件要求，可满足项目基础售后服务需求，但内容较为简略、细节不完善、针对性一般的，得</w:t>
            </w:r>
            <w:r>
              <w:rPr>
                <w:rFonts w:hint="eastAsia" w:cs="宋体"/>
                <w:sz w:val="21"/>
                <w:szCs w:val="21"/>
                <w:highlight w:val="none"/>
                <w:lang w:val="en-US" w:eastAsia="zh-CN"/>
              </w:rPr>
              <w:t xml:space="preserve">1</w:t>
            </w:r>
            <w:r>
              <w:rPr>
                <w:rFonts w:hint="eastAsia" w:cs="宋体"/>
                <w:sz w:val="21"/>
                <w:szCs w:val="21"/>
                <w:highlight w:val="none"/>
                <w:lang w:eastAsia="zh-CN"/>
              </w:rPr>
              <w:t xml:space="preserve">分；</w:t>
            </w:r>
            <w:r/>
          </w:p>
          <w:p>
            <w:pPr>
              <w:pStyle w:val="873"/>
              <w:jc w:val="both"/>
              <w:spacing w:before="0" w:beforeAutospacing="0" w:after="0" w:afterAutospacing="0"/>
              <w:rPr>
                <w:rFonts w:hint="eastAsia" w:ascii="宋体" w:hAnsi="宋体" w:eastAsia="宋体" w:cs="宋体"/>
                <w:sz w:val="21"/>
                <w:szCs w:val="21"/>
                <w:highlight w:val="none"/>
              </w:rPr>
            </w:pPr>
            <w:r>
              <w:rPr>
                <w:rFonts w:hint="eastAsia" w:cs="宋体"/>
                <w:sz w:val="21"/>
                <w:szCs w:val="21"/>
                <w:highlight w:val="none"/>
                <w:lang w:eastAsia="zh-CN"/>
              </w:rPr>
              <w:t xml:space="preserve">（</w:t>
            </w:r>
            <w:r>
              <w:rPr>
                <w:rFonts w:hint="eastAsia" w:cs="宋体"/>
                <w:sz w:val="21"/>
                <w:szCs w:val="21"/>
                <w:highlight w:val="none"/>
                <w:lang w:val="en-US" w:eastAsia="zh-CN"/>
              </w:rPr>
              <w:t xml:space="preserve">4</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未提供售后服务方案，或方案内容空洞、内容缺失，未响应招标文件质保维保服务要求，脱离项目实际、不具备落地可行性的，不得分。</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r>
      <w:tr>
        <w:trPr>
          <w:trHeight w:val="23"/>
        </w:trPr>
        <w:tc>
          <w:tcPr>
            <w:tcW w:w="1432" w:type="dxa"/>
            <w:vAlign w:val="center"/>
            <w:vMerge w:val="restart"/>
            <w:textDirection w:val="lrTb"/>
            <w:noWrap w:val="false"/>
          </w:tcPr>
          <w:p>
            <w:pPr>
              <w:pStyle w:val="1182"/>
              <w:ind w:firstLine="0"/>
              <w:jc w:val="center"/>
              <w:tabs>
                <w:tab w:val="left" w:pos="567"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（三）企业综合实力（20分）</w:t>
            </w:r>
            <w:r/>
          </w:p>
        </w:tc>
        <w:tc>
          <w:tcPr>
            <w:tcW w:w="9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p>
        </w:tc>
        <w:tc>
          <w:tcPr>
            <w:tcW w:w="5874"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企业资质证书（4分）。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（1）投标人提供所投家具产品“低VOCs家具产品认证证书”，得1分。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（2）投标人提供所投家具产品“家具中有害物质限量认证证书”，得1分。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（3）投标人提供所投家具产品“人类工效学产品认证证书”，得1分。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（以上认证单元至少包含桌台类、床类、柜架类、椅凳类、沙发类）（提供扫描件及国家认监委网站查询截图）</w:t>
            </w:r>
            <w:r/>
          </w:p>
          <w:p>
            <w:pPr>
              <w:pStyle w:val="85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（4）投标人提供所投家具产品“碳中和管理体系认证证书”，得1分。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（认证范围至少包含木制、钢木、板式、软体、板木家具）（提供扫描件及国家认监委网站查询截图）</w:t>
            </w:r>
            <w:r/>
          </w:p>
          <w:p>
            <w:pP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注：</w:t>
            </w:r>
            <w:r>
              <w:rPr>
                <w:rFonts w:hint="eastAsia" w:ascii="宋体" w:hAnsi="宋体" w:cs="宋体"/>
                <w:sz w:val="21"/>
                <w:szCs w:val="21"/>
                <w:highlight w:val="none"/>
                <w:lang w:eastAsia="zh-CN"/>
              </w:rPr>
              <w:t xml:space="preserve">上述认证证书均须处于有效状态，有效期以国家认监委网站查询截图显示为准。</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r>
      <w:tr>
        <w:trPr>
          <w:trHeight w:val="1520"/>
        </w:trPr>
        <w:tc>
          <w:tcPr>
            <w:tcW w:w="1432" w:type="dxa"/>
            <w:vAlign w:val="center"/>
            <w:vMerge w:val="continue"/>
            <w:textDirection w:val="lrTb"/>
            <w:noWrap w:val="false"/>
          </w:tcPr>
          <w:p>
            <w:pPr>
              <w:pStyle w:val="1182"/>
              <w:ind w:firstLine="0"/>
              <w:jc w:val="center"/>
              <w:tabs>
                <w:tab w:val="left" w:pos="567"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9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p>
        </w:tc>
        <w:tc>
          <w:tcPr>
            <w:tcW w:w="5874"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技术能力（4分）。</w:t>
            </w:r>
            <w:r>
              <w:rPr>
                <w:rFonts w:hint="eastAsia" w:ascii="宋体" w:hAnsi="宋体" w:eastAsia="宋体" w:cs="宋体"/>
                <w:sz w:val="21"/>
                <w:szCs w:val="21"/>
                <w:highlight w:val="none"/>
              </w:rPr>
              <w:t xml:space="preserve">投标人具有主要生产设备：数控加工中心、数控裁板锯、精密裁板锯、全自动封边机、数控钻孔中心、立式单轴木工铣床、中央除尘过滤系统、油漆涂装生产线每有一项得0.5分，本项最高得4分。（提供设备发票</w:t>
            </w:r>
            <w:r>
              <w:rPr>
                <w:rFonts w:hint="eastAsia" w:ascii="宋体" w:hAnsi="宋体" w:cs="宋体"/>
                <w:sz w:val="21"/>
                <w:szCs w:val="21"/>
                <w:highlight w:val="none"/>
                <w:lang w:val="en-US" w:eastAsia="zh-CN"/>
              </w:rPr>
              <w:t xml:space="preserve">扫描件</w:t>
            </w:r>
            <w:r>
              <w:rPr>
                <w:rFonts w:hint="eastAsia" w:ascii="宋体" w:hAnsi="宋体" w:eastAsia="宋体" w:cs="宋体"/>
                <w:sz w:val="21"/>
                <w:szCs w:val="21"/>
                <w:highlight w:val="none"/>
              </w:rPr>
              <w:t xml:space="preserve">及照片）</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r>
      <w:tr>
        <w:trPr>
          <w:trHeight w:val="23"/>
        </w:trPr>
        <w:tc>
          <w:tcPr>
            <w:tcW w:w="1432" w:type="dxa"/>
            <w:vAlign w:val="center"/>
            <w:vMerge w:val="continue"/>
            <w:textDirection w:val="lrTb"/>
            <w:noWrap w:val="false"/>
          </w:tcPr>
          <w:p>
            <w:pPr>
              <w:pStyle w:val="1182"/>
              <w:ind w:firstLine="0"/>
              <w:jc w:val="center"/>
              <w:tabs>
                <w:tab w:val="left" w:pos="567"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9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w:t>
            </w:r>
            <w:r/>
          </w:p>
        </w:tc>
        <w:tc>
          <w:tcPr>
            <w:tcW w:w="5874"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成品检测报告（12分）。</w:t>
            </w:r>
            <w:r/>
          </w:p>
          <w:p>
            <w:pPr>
              <w:pStyle w:val="855"/>
              <w:spacing w:befor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（1）沙发：符合GB/T 30398-2013《皮革和毛皮 化学试验 致敏性分散染料的测定》 GB/T 30399-2013《皮革和毛皮 化学试验 致癌染料的测定》 QB/T 195</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-202</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《家</w:t>
            </w:r>
            <w:r>
              <w:rPr>
                <w:rFonts w:hint="eastAsia" w:ascii="宋体" w:hAnsi="宋体" w:eastAsia="宋体" w:cs="宋体"/>
                <w:sz w:val="21"/>
                <w:szCs w:val="21"/>
                <w:highlight w:val="none"/>
              </w:rPr>
              <w:t xml:space="preserve">具 质量检验及质量评定 第2部分：金属家具》 GB/T 35607-2024《绿色产品评价 家具》标准。致敏性分散染料要求均未检出，致癌染料要求均未检出；表面涂层理化性能：木制件漆膜涂层：附着力0级；耐磨性；耐冷热温差；抗冲击符合要求；皮革可分解致癌芳香胺染料未检出；阻燃性：阻燃Ⅱ级符合要求；产品有害物质：甲醛释放量未检出、苯未检出、甲苯未检出、二甲苯未检出、总挥发性有机化合物（TVOC）未检出；家具涂层可迁移元素铅Pb、镉Cd、铬Cr、汞Hg、锑Sb、钡Ba、硒Se、砷As均未检出；皮革中五氯苯酚未检出。</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（2）办公桌：符合GB/T 42996.1-2023《家具产品中重点化学物质管控指南 第1部分：木家具》 GB/T 39223.3-2020《健康家居的人类工效学要求 第3部分：办公桌椅》 GB/T 35607-2024《绿色产品评价 家具》 GB/T 3325-2024《金属家具通用技术条件》 GB 18584-2024《家具中有害物质限量》 QB/T 3826-1999《轻工产品金属镀层和化学处理层的耐腐蚀试验方法中</w:t>
            </w:r>
            <w:r>
              <w:rPr>
                <w:rFonts w:hint="eastAsia" w:ascii="宋体" w:hAnsi="宋体" w:eastAsia="宋体" w:cs="宋体"/>
                <w:sz w:val="21"/>
                <w:szCs w:val="21"/>
                <w:highlight w:val="none"/>
              </w:rPr>
              <w:t xml:space="preserve">性盐雾试验(NSS)法》标准。三甲苯未检出；外观符合工效学要求；中性盐雾试验（NSS）连续喷雾360h，镀（涂）层对基体的保护等级:10级；镀（涂）层本身耐腐蚀等级:10级；产品有害物质：苯未检出、甲苯未检出、二甲苯未检出、总挥发性有机化合物（TVOC）未检出、甲醛释放量未检出；可迁移有害元素：铅Pb、镉Cd、铬Cr、汞Hg、锑Sb、钡Ba、硒Se、砷As均未检出；理化性能：金属喷漆(塑)涂层：耐盐浴100h检测符合要求；附着力达到0级；理化性能：软、硬质覆面：耐干热达1级、耐湿热达1级，耐污染性达到5级。</w:t>
            </w:r>
            <w:r/>
          </w:p>
          <w:p>
            <w:pPr>
              <w:pStyle w:val="855"/>
              <w:spacing w:befor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（3）床头柜：符合GB/T 42996.1-2023《家具产品中重点化学物质管控指南 第1部分</w:t>
            </w:r>
            <w:r>
              <w:rPr>
                <w:rFonts w:hint="eastAsia" w:ascii="宋体" w:hAnsi="宋体" w:eastAsia="宋体" w:cs="宋体"/>
                <w:sz w:val="21"/>
                <w:szCs w:val="21"/>
                <w:highlight w:val="none"/>
              </w:rPr>
              <w:t xml:space="preserve">：木家具》 GB/T 3324-2024《木家具通用技术条件》 GB/T 35607-2024《绿色产品评价 家具》标准。三甲苯未检出；家具涂层可迁移元素铅Pb、镉Cd、铬Cr、汞Hg、锑Sb、钡Ba、硒Se、砷As均未检出；产品有害物质：苯未检出、甲苯未检出、二甲苯未检出、总挥发性有机化合物（TVOC）未检出、甲醛释放量未检出。理化性能：漆膜耐液性1级、耐干热1级、耐湿热1级、附着力0级、耐黄变≥4级、耐磨性1级、抗冲击1级、耐冷热温差：应无鼓泡、裂缝和明显失光；柜类强度和耐久性、柜类稳定性检测符合要求。</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（4）床：符合GB/T 42996.1-2023《家具产品中重点化学物</w:t>
            </w:r>
            <w:r>
              <w:rPr>
                <w:rFonts w:hint="eastAsia" w:ascii="宋体" w:hAnsi="宋体" w:eastAsia="宋体" w:cs="宋体"/>
                <w:sz w:val="21"/>
                <w:szCs w:val="21"/>
                <w:highlight w:val="none"/>
              </w:rPr>
              <w:t xml:space="preserve">质管控指南 第1部分：木家具》 GB/T 3324-2024《木家具通用技术条件》 GB/T 35607-2024《绿色产品评价 家具》 JC/T 1074-2021《室内空气净化功能涂覆材料净化性能》标准。三甲苯未检出；理化性能：耐液性1级、耐干热1级、耐湿热1级、附着力0级、抗冲击1级、耐黄变≥4级，耐磨1级；家具涂层可迁移元素铅Pb、镉Cd、铬Cr、汞Hg、锑Sb、钡Ba、硒Se、砷As均未检出；产品有害物质：苯未检出、甲苯未检出、二甲苯未检出、总挥发性有机化合物（TVOC）未检出、甲醛释放量未检出。</w:t>
            </w:r>
            <w:r/>
          </w:p>
          <w:p>
            <w:pPr>
              <w:pStyle w:val="85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（5）会议桌：符合GB/T 4</w:t>
            </w:r>
            <w:r>
              <w:rPr>
                <w:rFonts w:hint="eastAsia" w:ascii="宋体" w:hAnsi="宋体" w:eastAsia="宋体" w:cs="宋体"/>
                <w:sz w:val="21"/>
                <w:szCs w:val="21"/>
                <w:highlight w:val="none"/>
              </w:rPr>
              <w:t xml:space="preserve">2996.1-2023《家具产品中重点化学物质管控指南 第1部分：木家具》 GB/T 3324-2024《木家具通用技术条件》 GB/T 35607-2024《绿色产品评价 家具》标准。三甲苯未检出；家具涂层可迁移元素铅Pb、镉Cd、铬Cr、汞Hg、锑Sb、钡Ba、硒Se、砷As均未检出；产品有害物质：苯未检出、甲苯未检出、二甲苯未检出、总挥发性有机化合物（TVOC）未检出、甲醛释放量未检出；理化性能：耐干热1级、耐湿热1级、耐划痕：试件表面无整圈划痕符合要求、耐污染性能5级、抗冲击1级、耐光色牢度≥4级；</w:t>
            </w:r>
            <w:r/>
          </w:p>
          <w:p>
            <w:pPr>
              <w:pStyle w:val="855"/>
              <w:spacing w:befor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桌类强度和耐久性、桌类稳定性检测符合要求。</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（6）办公椅：符合GB/T 19746-2018《金属和合金的腐蚀 盐溶液周浸试验》 GB/T 39223.3-2020《健康家居的人类工效学要求 第3部分：办公桌椅》 GB/T 35607-2024《绿色</w:t>
            </w:r>
            <w:r>
              <w:rPr>
                <w:rFonts w:hint="eastAsia" w:ascii="宋体" w:hAnsi="宋体" w:eastAsia="宋体" w:cs="宋体"/>
                <w:sz w:val="21"/>
                <w:szCs w:val="21"/>
                <w:highlight w:val="none"/>
              </w:rPr>
              <w:t xml:space="preserve">产品评价 家具》  QB/T 2280-2016《办公家具 办公椅》 GB 17927-2024《家具阻燃性能安全技术规范》标准。周浸试验(360h中性盐溶液)，经试验后，样品表面涂层未被腐蚀；外观符合工效学要求；产品有害物质：苯未检出、甲苯未检出、二甲苯未检出、总挥发性有机化合物（TVOC）未检出、甲醛释放量未检出；家具涂层可迁移元素铅Pb、镉Cd、铬Cr、汞Hg、锑Sb、钡Ba、硒Se、砷As均未检出；多环芳烃：苯并芘未检出；品质属性椅座往复冲击耐久性≥10万次；阻燃性能安全技术要求：阻燃Ⅱ级符合要求。</w:t>
            </w:r>
            <w:r/>
          </w:p>
          <w:p>
            <w:pPr>
              <w:pStyle w:val="85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（7）文件柜（木制）：符合GB/T 42996.1-2023《家具产品中重点化学物质管控指</w:t>
            </w:r>
            <w:r>
              <w:rPr>
                <w:rFonts w:hint="eastAsia" w:ascii="宋体" w:hAnsi="宋体" w:eastAsia="宋体" w:cs="宋体"/>
                <w:sz w:val="21"/>
                <w:szCs w:val="21"/>
                <w:highlight w:val="none"/>
              </w:rPr>
              <w:t xml:space="preserve">南 第1部分：木家具》、 GB/T 3324-2024《木家具通用技术条件》、 GB/T 35607-2024《绿色产品评价 家具》标准。三甲苯（1，2，3-三甲苯，1，2，4-三甲苯，1，2，5-三甲苯之和）未检出；理化性能-木制件表面理化性能-软、硬质覆面耐冷热循环符合要求、耐干热1级、耐湿热1级、耐划痕：试件表面无整圈划痕符合要求、耐污染性能达5级；耐磨性1级、抗冲击（冲击高度50mm）1级、耐光色牢度大于灰度样卡4级；力学性能：柜类强度和耐久性检测符合要求；环境属性-产品有害物质：甲醛释放量未检出。</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（8）茶几：</w:t>
            </w:r>
            <w:r>
              <w:rPr>
                <w:rFonts w:hint="eastAsia" w:ascii="宋体" w:hAnsi="宋体" w:eastAsia="宋体" w:cs="宋体"/>
                <w:sz w:val="21"/>
                <w:szCs w:val="21"/>
                <w:highlight w:val="none"/>
              </w:rPr>
              <w:t xml:space="preserve">符合GB/T 42996.1-2023《家具产品中重点化学物质管控指南 第1部分：木家具》 GB/T 3324-2024《木家具通用技术条件》 GB/T 35607-2024《绿色产品评价 家具》标准。三甲苯未检出；理化性能：耐干热1级、耐湿热1级、耐划痕符合要求、耐污染性能达5级、抗冲击达1级、耐光色牢度≥4级；家具涂层可迁移元素铅Pb、镉Cd、铬Cr、汞Hg、锑Sb、钡Ba、硒Se、砷As均未检出；产品有害物质：甲醛释放量未检出、苯未检出、甲苯未检出、二甲苯未检出、总挥发性有机化合物（TVOC）未检出。</w:t>
            </w:r>
            <w:r/>
          </w:p>
          <w:p>
            <w:pPr>
              <w:pStyle w:val="855"/>
              <w:spacing w:befor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注：上述均需提供202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年1月1日（含）以来由第三方检测机构出具的抽样检验合格报告（每份检测报告需有CMA认证标志）</w:t>
            </w:r>
            <w:r>
              <w:rPr>
                <w:rFonts w:hint="eastAsia" w:ascii="宋体" w:hAnsi="宋体" w:cs="宋体"/>
                <w:sz w:val="21"/>
                <w:szCs w:val="21"/>
                <w:highlight w:val="none"/>
                <w:lang w:val="en-US" w:eastAsia="zh-CN"/>
              </w:rPr>
              <w:t xml:space="preserve">扫描件</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扫描件</w:t>
            </w:r>
            <w:r>
              <w:rPr>
                <w:rFonts w:hint="eastAsia" w:ascii="宋体" w:hAnsi="宋体" w:eastAsia="宋体" w:cs="宋体"/>
                <w:sz w:val="21"/>
                <w:szCs w:val="21"/>
                <w:highlight w:val="none"/>
              </w:rPr>
              <w:t xml:space="preserve">需提供首页、内容页、结尾页等完整页面内容且提供二维码等查询方式检验真伪），完全满足要求的每项1.5分，检测项不全不得分。</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r>
      <w:tr>
        <w:trPr>
          <w:trHeight w:val="985"/>
        </w:trPr>
        <w:tc>
          <w:tcPr>
            <w:tcW w:w="1432" w:type="dxa"/>
            <w:vAlign w:val="center"/>
            <w:vMerge w:val="restart"/>
            <w:textDirection w:val="lrTb"/>
            <w:noWrap w:val="false"/>
          </w:tcPr>
          <w:p>
            <w:pPr>
              <w:pStyle w:val="1182"/>
              <w:ind w:firstLine="0"/>
              <w:tabs>
                <w:tab w:val="left" w:pos="567"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（四）商务部分（5分）</w:t>
            </w:r>
            <w:r/>
          </w:p>
        </w:tc>
        <w:tc>
          <w:tcPr>
            <w:tcW w:w="9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w:t>
            </w:r>
            <w:r/>
          </w:p>
        </w:tc>
        <w:tc>
          <w:tcPr>
            <w:tcW w:w="5874"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经营业绩（4分）。</w:t>
            </w:r>
            <w:r>
              <w:rPr>
                <w:rFonts w:hint="eastAsia" w:ascii="宋体" w:hAnsi="宋体" w:eastAsia="宋体" w:cs="宋体"/>
                <w:sz w:val="21"/>
                <w:szCs w:val="21"/>
                <w:highlight w:val="none"/>
              </w:rPr>
              <w:t xml:space="preserve">投标人提供2023年1月1日（含）</w:t>
            </w:r>
            <w:r>
              <w:rPr>
                <w:rFonts w:hint="eastAsia" w:ascii="宋体" w:hAnsi="宋体" w:cs="宋体"/>
                <w:sz w:val="21"/>
                <w:szCs w:val="21"/>
                <w:highlight w:val="none"/>
                <w:lang w:val="en-US" w:eastAsia="zh-CN" w:bidi="ar-SA"/>
              </w:rPr>
              <w:t xml:space="preserve">（以合同签订时间为准）</w:t>
            </w:r>
            <w:r>
              <w:rPr>
                <w:rFonts w:hint="eastAsia" w:ascii="宋体" w:hAnsi="宋体" w:eastAsia="宋体" w:cs="宋体"/>
                <w:sz w:val="21"/>
                <w:szCs w:val="21"/>
                <w:highlight w:val="none"/>
              </w:rPr>
              <w:t xml:space="preserve">以来的类似产品销售业绩，每提供一项300万以上业绩得1分，满分4分。（须提供合同和部分发票</w:t>
            </w:r>
            <w:r>
              <w:rPr>
                <w:rFonts w:hint="eastAsia" w:ascii="宋体" w:hAnsi="宋体" w:cs="宋体"/>
                <w:sz w:val="21"/>
                <w:szCs w:val="21"/>
                <w:highlight w:val="none"/>
                <w:lang w:eastAsia="zh-CN"/>
              </w:rPr>
              <w:t xml:space="preserve">扫描件</w:t>
            </w:r>
            <w:r>
              <w:rPr>
                <w:rFonts w:hint="eastAsia" w:ascii="宋体" w:hAnsi="宋体" w:eastAsia="宋体" w:cs="宋体"/>
                <w:sz w:val="21"/>
                <w:szCs w:val="21"/>
                <w:highlight w:val="none"/>
              </w:rPr>
              <w:t xml:space="preserve">，原件备查）</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r>
      <w:tr>
        <w:trPr>
          <w:trHeight w:val="1269"/>
        </w:trPr>
        <w:tc>
          <w:tcPr>
            <w:tcW w:w="1432"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w:t>
            </w:r>
            <w:r/>
          </w:p>
        </w:tc>
        <w:tc>
          <w:tcPr>
            <w:tcW w:w="5874" w:type="dxa"/>
            <w:vAlign w:val="center"/>
            <w:textDirection w:val="lrTb"/>
            <w:noWrap w:val="false"/>
          </w:tcPr>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国家政策导向（1分）。</w:t>
            </w:r>
            <w:r>
              <w:rPr>
                <w:rFonts w:hint="eastAsia" w:ascii="宋体" w:hAnsi="宋体" w:eastAsia="宋体" w:cs="宋体"/>
                <w:sz w:val="21"/>
                <w:szCs w:val="21"/>
                <w:highlight w:val="none"/>
              </w:rPr>
              <w:t xml:space="preserve">投标产品属于《环境标志产品政府采购品目清单》内产品的，有1个得0.5分，最多得1分。（须提交在有效期内、由有资格的认证机构所出具的认证证书扫描件）</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r>
      <w:tr>
        <w:trPr>
          <w:trHeight w:val="715"/>
        </w:trPr>
        <w:tc>
          <w:tcPr>
            <w:gridSpan w:val="2"/>
            <w:tcW w:w="2422" w:type="dxa"/>
            <w:vAlign w:val="center"/>
            <w:textDirection w:val="lrTb"/>
            <w:noWrap w:val="false"/>
          </w:tcPr>
          <w:p>
            <w:pPr>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（五）样品部分（6分）</w:t>
            </w:r>
            <w:r/>
          </w:p>
        </w:tc>
        <w:tc>
          <w:tcPr>
            <w:tcW w:w="5874" w:type="dxa"/>
            <w:vAlign w:val="center"/>
            <w:textDirection w:val="lrTb"/>
            <w:noWrap w:val="false"/>
          </w:tcPr>
          <w:p>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根据投标人提供的样品</w:t>
            </w:r>
            <w:r>
              <w:rPr>
                <w:rFonts w:hint="eastAsia" w:ascii="宋体" w:hAnsi="宋体" w:eastAsia="宋体" w:cs="宋体"/>
                <w:bCs/>
                <w:sz w:val="21"/>
                <w:szCs w:val="21"/>
                <w:highlight w:val="none"/>
                <w:lang w:val="en-US"/>
              </w:rPr>
              <w:t xml:space="preserve">（详见样品清单）</w:t>
            </w:r>
            <w:r>
              <w:rPr>
                <w:rFonts w:hint="eastAsia" w:ascii="宋体" w:hAnsi="宋体" w:eastAsia="宋体" w:cs="宋体"/>
                <w:bCs/>
                <w:sz w:val="21"/>
                <w:szCs w:val="21"/>
                <w:highlight w:val="none"/>
              </w:rPr>
              <w:t xml:space="preserve">，从样品的工艺水平、线条均匀程度、组合部件合理性、表面涂层是否平整光滑等方面进行综合评审。样品美观、材质优质、制作精良，得6分；样品较美观、材质一般、制作一般，得4分；样品美观性较低、材质和制作工艺较差，得2分。未提供样品或提供的样品与清单样式不一致，不得分。</w:t>
            </w:r>
            <w:r/>
          </w:p>
        </w:tc>
        <w:tc>
          <w:tcPr>
            <w:tcW w:w="10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bl>
    <w:p>
      <w:pPr>
        <w:ind w:firstLine="562"/>
        <w:jc w:val="left"/>
        <w:spacing w:before="120" w:after="120" w:line="400" w:lineRule="exact"/>
        <w:rPr>
          <w:rFonts w:hint="eastAsia" w:ascii="方正仿宋_GBK" w:hAnsi="方正仿宋_GBK" w:eastAsia="方正仿宋_GBK" w:cs="方正仿宋_GBK"/>
          <w:b/>
          <w:sz w:val="21"/>
          <w:szCs w:val="21"/>
          <w:highlight w:val="none"/>
          <w:lang w:val="en-US" w:eastAsia="zh-CN"/>
        </w:rPr>
      </w:pPr>
      <w:r/>
      <w:bookmarkStart w:id="290" w:name="_Toc233969290"/>
      <w:r/>
      <w:r/>
    </w:p>
    <w:p>
      <w:pPr>
        <w:ind w:firstLine="422"/>
        <w:spacing w:line="360" w:lineRule="auto"/>
        <w:shd w:val="clear" w:color="auto" w:fill="ffffff"/>
        <w:widowControl/>
        <w:rPr>
          <w:rFonts w:hint="eastAsia" w:ascii="宋体" w:hAnsi="宋体" w:cs="宋体"/>
          <w:b/>
          <w:color w:val="auto"/>
          <w:sz w:val="21"/>
          <w:szCs w:val="21"/>
          <w:highlight w:val="none"/>
          <w:lang w:val="en-US" w:eastAsia="zh-CN" w:bidi="ar-SA"/>
        </w:rPr>
        <w:outlineLvl w:val="1"/>
      </w:pPr>
      <w:r/>
      <w:bookmarkStart w:id="291" w:name="_Toc7703"/>
      <w:r>
        <w:rPr>
          <w:rFonts w:hint="eastAsia" w:ascii="宋体" w:hAnsi="宋体" w:cs="宋体"/>
          <w:b/>
          <w:color w:val="auto"/>
          <w:sz w:val="21"/>
          <w:szCs w:val="21"/>
          <w:highlight w:val="none"/>
          <w:lang w:val="en-US" w:eastAsia="zh-CN" w:bidi="ar-SA"/>
        </w:rPr>
        <w:t xml:space="preserve">采购包2：评标方法与评标标准</w:t>
      </w:r>
      <w:bookmarkEnd w:id="291"/>
      <w:r/>
      <w:r/>
    </w:p>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（一）资格性审查</w:t>
      </w:r>
      <w:r>
        <w:rPr>
          <w:rFonts w:hint="eastAsia" w:ascii="宋体" w:hAnsi="宋体" w:cs="宋体"/>
          <w:b/>
          <w:color w:val="auto"/>
          <w:szCs w:val="21"/>
          <w:highlight w:val="none"/>
          <w:lang w:val="zh-CN" w:eastAsia="zh-CN" w:bidi="ar-SA"/>
        </w:rPr>
        <w:t xml:space="preserve">（通过/未通过）</w:t>
      </w:r>
      <w:r>
        <w:rPr>
          <w:rFonts w:hint="eastAsia" w:ascii="宋体" w:hAnsi="宋体" w:cs="宋体"/>
          <w:b/>
          <w:color w:val="auto"/>
          <w:szCs w:val="21"/>
          <w:highlight w:val="none"/>
          <w:lang w:val="en-US" w:eastAsia="zh-CN" w:bidi="ar-SA"/>
        </w:rPr>
        <w:t xml:space="preserve">：</w:t>
      </w:r>
      <w:r/>
    </w:p>
    <w:tbl>
      <w:tblPr>
        <w:tblStyle w:val="852"/>
        <w:tblW w:w="4996" w:type="pct"/>
        <w:tblInd w:w="-116" w:type="dxa"/>
        <w:tblLayout w:type="autofit"/>
        <w:tblCellMar>
          <w:left w:w="108" w:type="dxa"/>
          <w:top w:w="0" w:type="dxa"/>
          <w:right w:w="108" w:type="dxa"/>
          <w:bottom w:w="0" w:type="dxa"/>
        </w:tblCellMar>
        <w:tblLook w:val="04A0" w:firstRow="1" w:lastRow="0" w:firstColumn="1" w:lastColumn="0" w:noHBand="0" w:noVBand="1"/>
      </w:tblPr>
      <w:tblGrid>
        <w:gridCol w:w="885"/>
        <w:gridCol w:w="6690"/>
        <w:gridCol w:w="1020"/>
        <w:gridCol w:w="105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8" w:type="pct"/>
            <w:vAlign w:val="center"/>
            <w:textDirection w:val="lrTb"/>
            <w:noWrap w:val="false"/>
          </w:tcPr>
          <w:p>
            <w:pPr>
              <w:ind w:left="0" w:firstLine="0"/>
              <w:jc w:val="both"/>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未通过X</w:t>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8"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供应商资格条件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bl>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（二）符合性审查（通过/未通过）：</w:t>
      </w:r>
      <w:r/>
    </w:p>
    <w:tbl>
      <w:tblPr>
        <w:tblStyle w:val="852"/>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67"/>
        <w:gridCol w:w="6704"/>
        <w:gridCol w:w="1020"/>
        <w:gridCol w:w="106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left="0" w:firstLine="0"/>
              <w:jc w:val="both"/>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未通过X</w:t>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在苏采云系统规定的时间内未成功解密电子投标文件。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未按照招标文件要求上传电子投标文件的。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在报价时采用选择性报价的。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报价超过了采购预算或最高限价的。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不符合招标文件中规定的其他实质性要求和条件的（本招标文件中标注“★”符号部分为实质性要求和条件）。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不同供应商的投标文件由同一单位或者个人编制。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投标文件含有采购人不能接受的附加条件的。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投标文件未按照招标文件要求加盖电子签章。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不同供应商委托同一单位或者个人办理投标事宜。</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不同供应商的投标文件载明的项目管理成员或者联系人员为同一人。</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不同供应商的投标文件异常一致或者投标报价呈规律性差异。</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不同供应商的单位负责人为同一人或者供应商之间存在直接控股、管理关系的。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不同供应商的ip地址、MAC地址、标书制作工具客户端标识码一致的。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法律、法规和招标文件规定的其他无效情形。</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bl>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9"/>
      </w:pPr>
      <w:r>
        <w:rPr>
          <w:rFonts w:hint="eastAsia" w:ascii="宋体" w:hAnsi="宋体" w:cs="宋体"/>
          <w:b/>
          <w:color w:val="auto"/>
          <w:szCs w:val="21"/>
          <w:highlight w:val="none"/>
          <w:lang w:val="en-US" w:eastAsia="zh-CN" w:bidi="ar-SA"/>
        </w:rPr>
      </w:r>
      <w:r/>
    </w:p>
    <w:p>
      <w:pPr>
        <w:ind w:firstLine="422"/>
        <w:spacing w:line="360" w:lineRule="auto"/>
        <w:shd w:val="clear" w:color="auto" w:fill="ffffff"/>
        <w:widowControl/>
        <w:rPr>
          <w:rFonts w:hint="eastAsia" w:ascii="方正仿宋_GBK" w:hAnsi="方正仿宋_GBK" w:eastAsia="方正仿宋_GBK" w:cs="方正仿宋_GBK"/>
          <w:b/>
          <w:sz w:val="28"/>
          <w:szCs w:val="28"/>
          <w:highlight w:val="none"/>
          <w:lang w:val="en-US" w:eastAsia="zh-CN"/>
        </w:rPr>
        <w:outlineLvl w:val="2"/>
      </w:pPr>
      <w:r>
        <w:rPr>
          <w:rFonts w:hint="eastAsia" w:ascii="宋体" w:hAnsi="宋体" w:cs="宋体"/>
          <w:b/>
          <w:color w:val="auto"/>
          <w:szCs w:val="21"/>
          <w:highlight w:val="none"/>
          <w:lang w:val="en-US" w:eastAsia="zh-CN" w:bidi="ar-SA"/>
        </w:rPr>
        <w:t xml:space="preserve">（三）评分表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2"/>
        <w:gridCol w:w="990"/>
        <w:gridCol w:w="5524"/>
        <w:gridCol w:w="1188"/>
      </w:tblGrid>
      <w:tr>
        <w:trPr>
          <w:trHeight w:val="23"/>
        </w:trPr>
        <w:tc>
          <w:tcPr>
            <w:gridSpan w:val="2"/>
            <w:tcW w:w="2422" w:type="dxa"/>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5524" w:type="dxa"/>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打分办法</w:t>
            </w:r>
            <w:r/>
          </w:p>
        </w:tc>
        <w:tc>
          <w:tcPr>
            <w:tcW w:w="1188" w:type="dxa"/>
            <w:vAlign w:val="center"/>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分值</w:t>
            </w:r>
            <w:r/>
          </w:p>
        </w:tc>
      </w:tr>
      <w:tr>
        <w:trPr>
          <w:trHeight w:val="23"/>
        </w:trPr>
        <w:tc>
          <w:tcPr>
            <w:gridSpan w:val="2"/>
            <w:tcW w:w="24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b/>
                <w:szCs w:val="21"/>
                <w:highlight w:val="none"/>
              </w:rPr>
              <w:t xml:space="preserve">（一）价格分（</w:t>
            </w:r>
            <w:r>
              <w:rPr>
                <w:rFonts w:hint="eastAsia" w:ascii="宋体" w:hAnsi="宋体" w:eastAsia="宋体" w:cs="宋体"/>
                <w:b/>
                <w:szCs w:val="21"/>
                <w:highlight w:val="none"/>
                <w:lang w:val="en-US" w:eastAsia="zh-CN"/>
              </w:rPr>
              <w:t xml:space="preserve">3</w:t>
            </w:r>
            <w:r>
              <w:rPr>
                <w:rFonts w:ascii="宋体" w:hAnsi="宋体" w:eastAsia="宋体" w:cs="宋体"/>
                <w:b/>
                <w:szCs w:val="21"/>
                <w:highlight w:val="none"/>
              </w:rPr>
              <w:t xml:space="preserve">0</w:t>
            </w:r>
            <w:r>
              <w:rPr>
                <w:rFonts w:hint="eastAsia" w:ascii="宋体" w:hAnsi="宋体" w:eastAsia="宋体" w:cs="宋体"/>
                <w:b/>
                <w:szCs w:val="21"/>
                <w:highlight w:val="none"/>
              </w:rPr>
              <w:t xml:space="preserve">分）</w:t>
            </w:r>
            <w:r/>
          </w:p>
        </w:tc>
        <w:tc>
          <w:tcPr>
            <w:tcW w:w="5524" w:type="dxa"/>
            <w:vAlign w:val="center"/>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价格分采用低价优先法计算，即满足招标文件要求且报价最低的供应商报价为评标基准价，其价格分为满分</w:t>
            </w:r>
            <w:r>
              <w:rPr>
                <w:rFonts w:hint="eastAsia" w:ascii="宋体" w:hAnsi="宋体" w:eastAsia="宋体" w:cs="宋体"/>
                <w:color w:val="auto"/>
                <w:szCs w:val="21"/>
                <w:highlight w:val="none"/>
                <w:lang w:val="en-US" w:eastAsia="zh-CN"/>
              </w:rPr>
              <w:t xml:space="preserve">3</w:t>
            </w:r>
            <w:r>
              <w:rPr>
                <w:rFonts w:ascii="宋体" w:hAnsi="宋体" w:eastAsia="宋体" w:cs="宋体"/>
                <w:color w:val="auto"/>
                <w:szCs w:val="21"/>
                <w:highlight w:val="none"/>
              </w:rPr>
              <w:t xml:space="preserve">0</w:t>
            </w:r>
            <w:r>
              <w:rPr>
                <w:rFonts w:hint="eastAsia" w:ascii="宋体" w:hAnsi="宋体" w:eastAsia="宋体" w:cs="宋体"/>
                <w:szCs w:val="21"/>
                <w:highlight w:val="none"/>
              </w:rPr>
              <w:t xml:space="preserve">分，其它投标供应商的价格分统一按照以下公式计算：投标报价得分=(评标基准价/该投标供应商的投标报价)×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w:t>
            </w:r>
            <w:r>
              <w:rPr>
                <w:rFonts w:hint="eastAsia" w:ascii="宋体" w:hAnsi="宋体" w:eastAsia="宋体" w:cs="宋体"/>
                <w:szCs w:val="21"/>
                <w:highlight w:val="none"/>
              </w:rPr>
              <w:t xml:space="preserve">分。（保留两位小数）</w:t>
            </w:r>
            <w:r/>
          </w:p>
        </w:tc>
        <w:tc>
          <w:tcPr>
            <w:tcW w:w="11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0</w:t>
            </w:r>
            <w:r/>
          </w:p>
        </w:tc>
      </w:tr>
      <w:tr>
        <w:trPr>
          <w:trHeight w:val="23"/>
        </w:trPr>
        <w:tc>
          <w:tcPr>
            <w:tcW w:w="1432" w:type="dxa"/>
            <w:vAlign w:val="center"/>
            <w:vMerge w:val="restart"/>
            <w:textDirection w:val="lrTb"/>
            <w:noWrap w:val="false"/>
          </w:tcPr>
          <w:p>
            <w:pPr>
              <w:jc w:val="center"/>
              <w:rPr>
                <w:rFonts w:hint="eastAsia" w:ascii="宋体" w:hAnsi="宋体" w:eastAsia="宋体" w:cs="宋体"/>
                <w:szCs w:val="21"/>
                <w:highlight w:val="none"/>
              </w:rPr>
            </w:pPr>
            <w:r>
              <w:rPr>
                <w:rFonts w:hint="eastAsia" w:ascii="宋体" w:hAnsi="宋体" w:eastAsia="宋体" w:cs="宋体"/>
                <w:b/>
                <w:szCs w:val="21"/>
                <w:highlight w:val="none"/>
              </w:rPr>
              <w:t xml:space="preserve">（二）技术响应及实施方案（3</w:t>
            </w: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分）</w:t>
            </w:r>
            <w:r/>
          </w:p>
        </w:tc>
        <w:tc>
          <w:tcPr>
            <w:tcW w:w="9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2.1</w:t>
            </w:r>
            <w:r/>
          </w:p>
        </w:tc>
        <w:tc>
          <w:tcPr>
            <w:tcW w:w="5524" w:type="dxa"/>
            <w:textDirection w:val="lrTb"/>
            <w:noWrap w:val="false"/>
          </w:tcPr>
          <w:p>
            <w:pPr>
              <w:rPr>
                <w:rFonts w:hint="eastAsia" w:ascii="宋体" w:hAnsi="宋体" w:eastAsia="宋体" w:cs="宋体"/>
                <w:szCs w:val="21"/>
                <w:highlight w:val="none"/>
              </w:rPr>
            </w:pPr>
            <w:r>
              <w:rPr>
                <w:rFonts w:hint="eastAsia" w:ascii="宋体" w:hAnsi="宋体" w:eastAsia="宋体" w:cs="宋体"/>
                <w:b/>
                <w:szCs w:val="21"/>
                <w:highlight w:val="none"/>
              </w:rPr>
              <w:t xml:space="preserve">技术指标响应（</w:t>
            </w:r>
            <w:r>
              <w:rPr>
                <w:rFonts w:hint="eastAsia" w:ascii="宋体" w:hAnsi="宋体" w:eastAsia="宋体" w:cs="宋体"/>
                <w:b/>
                <w:szCs w:val="21"/>
                <w:highlight w:val="none"/>
                <w:lang w:val="en-US" w:eastAsia="zh-CN"/>
              </w:rPr>
              <w:t xml:space="preserve">18</w:t>
            </w:r>
            <w:r>
              <w:rPr>
                <w:rFonts w:hint="eastAsia" w:ascii="宋体" w:hAnsi="宋体" w:eastAsia="宋体" w:cs="宋体"/>
                <w:b/>
                <w:szCs w:val="21"/>
                <w:highlight w:val="none"/>
              </w:rPr>
              <w:t xml:space="preserve">分）</w:t>
            </w:r>
            <w:r>
              <w:rPr>
                <w:rFonts w:hint="eastAsia" w:ascii="宋体" w:hAnsi="宋体" w:eastAsia="宋体" w:cs="宋体"/>
                <w:szCs w:val="21"/>
                <w:highlight w:val="none"/>
              </w:rPr>
              <w:t xml:space="preserve">。由评标委员会根据《报价明细表》《</w:t>
            </w:r>
            <w:r>
              <w:rPr>
                <w:rFonts w:hint="eastAsia" w:ascii="宋体" w:hAnsi="宋体" w:cs="宋体"/>
                <w:szCs w:val="21"/>
                <w:highlight w:val="none"/>
                <w:lang w:eastAsia="zh-CN"/>
              </w:rPr>
              <w:t xml:space="preserve">技术要求响应表</w:t>
            </w:r>
            <w:r>
              <w:rPr>
                <w:rFonts w:hint="eastAsia" w:ascii="宋体" w:hAnsi="宋体" w:eastAsia="宋体" w:cs="宋体"/>
                <w:szCs w:val="21"/>
                <w:highlight w:val="none"/>
              </w:rPr>
              <w:t xml:space="preserve">》等</w:t>
            </w:r>
            <w:r>
              <w:rPr>
                <w:rFonts w:hint="eastAsia" w:ascii="宋体" w:hAnsi="宋体" w:eastAsia="宋体" w:cs="宋体"/>
                <w:szCs w:val="21"/>
                <w:highlight w:val="none"/>
              </w:rPr>
              <w:t xml:space="preserve">响应情况</w:t>
            </w:r>
            <w:r>
              <w:rPr>
                <w:rFonts w:hint="eastAsia" w:ascii="宋体" w:hAnsi="宋体" w:eastAsia="宋体" w:cs="宋体"/>
                <w:szCs w:val="21"/>
                <w:highlight w:val="none"/>
              </w:rPr>
              <w:t xml:space="preserve">进行打分，</w:t>
            </w:r>
            <w:r>
              <w:rPr>
                <w:rFonts w:hint="eastAsia" w:ascii="宋体" w:hAnsi="宋体" w:eastAsia="宋体" w:cs="宋体"/>
                <w:szCs w:val="21"/>
                <w:highlight w:val="none"/>
              </w:rPr>
              <w:t xml:space="preserve">完全响应招标文件技术参数要求的得</w:t>
            </w:r>
            <w:r>
              <w:rPr>
                <w:rFonts w:hint="eastAsia" w:ascii="宋体" w:hAnsi="宋体" w:eastAsia="宋体" w:cs="宋体"/>
                <w:szCs w:val="21"/>
                <w:highlight w:val="none"/>
                <w:lang w:val="en-US" w:eastAsia="zh-CN"/>
              </w:rPr>
              <w:t xml:space="preserve">18</w:t>
            </w:r>
            <w:r>
              <w:rPr>
                <w:rFonts w:hint="eastAsia" w:ascii="宋体" w:hAnsi="宋体" w:eastAsia="宋体" w:cs="宋体"/>
                <w:szCs w:val="21"/>
                <w:highlight w:val="none"/>
              </w:rPr>
              <w:t xml:space="preserve">分，负偏离的每项扣1分，扣完为止。</w:t>
            </w:r>
            <w:r>
              <w:rPr>
                <w:rFonts w:hint="eastAsia" w:ascii="宋体" w:hAnsi="宋体" w:eastAsia="宋体" w:cs="宋体"/>
                <w:szCs w:val="21"/>
                <w:highlight w:val="none"/>
              </w:rPr>
              <w:t xml:space="preserve">供应商须逐条应答，未应答条目视为负偏离。</w:t>
            </w:r>
            <w:r/>
          </w:p>
        </w:tc>
        <w:tc>
          <w:tcPr>
            <w:tcW w:w="1188" w:type="dxa"/>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18</w:t>
            </w:r>
            <w:r/>
          </w:p>
        </w:tc>
      </w:tr>
      <w:tr>
        <w:trPr>
          <w:trHeight w:val="23"/>
        </w:trPr>
        <w:tc>
          <w:tcPr>
            <w:tcW w:w="1432"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9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2.2</w:t>
            </w:r>
            <w:r/>
          </w:p>
        </w:tc>
        <w:tc>
          <w:tcPr>
            <w:tcW w:w="5524" w:type="dxa"/>
            <w:textDirection w:val="lrTb"/>
            <w:noWrap w:val="false"/>
          </w:tcPr>
          <w:p>
            <w:pPr>
              <w:rPr>
                <w:rFonts w:hint="eastAsia" w:ascii="宋体" w:hAnsi="宋体" w:eastAsia="宋体" w:cs="宋体"/>
                <w:szCs w:val="21"/>
                <w:highlight w:val="none"/>
              </w:rPr>
            </w:pPr>
            <w:r>
              <w:rPr>
                <w:rFonts w:hint="eastAsia" w:ascii="宋体" w:hAnsi="宋体" w:eastAsia="宋体" w:cs="宋体"/>
                <w:b/>
                <w:bCs/>
                <w:szCs w:val="21"/>
                <w:highlight w:val="none"/>
              </w:rPr>
              <w:t xml:space="preserve">项目实施方案（</w:t>
            </w: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根据投标人对本项目的总体认识,提供的项目实施方案（包括组织部署、技术方案、质量保证措施、时间进度安排、安装及验收方案等）进行综合评分：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（1）项目实施方案内容具体详实、科学规范，整体思路清晰、实施流程完整、进度规划合理、管控措施全面，完全贴合项目实际情况，完全满足本次采购全部需求，可操作性、可行性高，得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（2）项目实施方案内容较为完整、整体合理，项目实施流程、施工安排、进度管控等主要内容齐全，基本贴合项目实际，能够满足本次采购主要需求，可行性较高，得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（3）项目实施方案基本齐全，基本符合招标文件要求，具备完整的项目实施思路与基础管控措施，具备基本可行性，能够满足项目基础采购需求，得1分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（4）未提供项目实施方案，或方案内容空洞、逻辑混乱、脱离项目实际，关键实施内容缺失，不符合招标文件要求，不具备实施可行性的，不得分。</w:t>
            </w:r>
            <w:r/>
          </w:p>
        </w:tc>
        <w:tc>
          <w:tcPr>
            <w:tcW w:w="1188"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p>
        </w:tc>
      </w:tr>
      <w:tr>
        <w:trPr>
          <w:trHeight w:val="744"/>
        </w:trPr>
        <w:tc>
          <w:tcPr>
            <w:tcW w:w="1432"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9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2.3</w:t>
            </w:r>
            <w:r/>
          </w:p>
        </w:tc>
        <w:tc>
          <w:tcPr>
            <w:tcW w:w="5524" w:type="dxa"/>
            <w:textDirection w:val="lrTb"/>
            <w:noWrap w:val="false"/>
          </w:tcPr>
          <w:p>
            <w:pPr>
              <w:rPr>
                <w:rFonts w:hint="eastAsia" w:ascii="宋体" w:hAnsi="宋体" w:eastAsia="宋体"/>
                <w:szCs w:val="21"/>
                <w:highlight w:val="none"/>
              </w:rPr>
            </w:pPr>
            <w:r>
              <w:rPr>
                <w:rFonts w:hint="eastAsia" w:ascii="宋体" w:hAnsi="宋体" w:eastAsia="宋体" w:cs="宋体"/>
                <w:b/>
                <w:szCs w:val="21"/>
                <w:highlight w:val="none"/>
              </w:rPr>
              <w:t xml:space="preserve">深化设计方案（</w:t>
            </w:r>
            <w:r>
              <w:rPr>
                <w:rFonts w:ascii="宋体" w:hAnsi="宋体" w:eastAsia="宋体" w:cs="宋体"/>
                <w:b/>
                <w:szCs w:val="21"/>
                <w:highlight w:val="none"/>
              </w:rPr>
              <w:t xml:space="preserve">5</w:t>
            </w:r>
            <w:r>
              <w:rPr>
                <w:rFonts w:hint="eastAsia" w:ascii="宋体" w:hAnsi="宋体" w:eastAsia="宋体" w:cs="宋体"/>
                <w:b/>
                <w:szCs w:val="21"/>
                <w:highlight w:val="none"/>
              </w:rPr>
              <w:t xml:space="preserve">分）。</w:t>
            </w:r>
            <w:r>
              <w:rPr>
                <w:rFonts w:hint="eastAsia" w:ascii="宋体" w:hAnsi="宋体" w:eastAsia="宋体"/>
                <w:szCs w:val="21"/>
                <w:highlight w:val="none"/>
              </w:rPr>
              <w:t xml:space="preserve">根据投标人须提供的效果图、结构图，其设计完整规范、布局合理、契合本项目要求的情况进行综合评分：</w:t>
            </w:r>
            <w:r/>
          </w:p>
          <w:p>
            <w:pPr>
              <w:rPr>
                <w:rFonts w:hint="eastAsia" w:ascii="宋体" w:hAnsi="宋体" w:eastAsia="宋体"/>
                <w:szCs w:val="21"/>
                <w:highlight w:val="none"/>
              </w:rPr>
            </w:pPr>
            <w:r>
              <w:rPr>
                <w:rFonts w:hint="eastAsia" w:ascii="宋体" w:hAnsi="宋体" w:eastAsia="宋体"/>
                <w:szCs w:val="21"/>
                <w:highlight w:val="none"/>
              </w:rPr>
              <w:t xml:space="preserve">（1）深化设计方案内容完整规范，编制要素齐全；整体框架清晰、布局合理，逻辑层次严谨；充分结合项目实际工况，技术思路与实施举措高度契合本项目要求，得5分；</w:t>
            </w:r>
            <w:r/>
          </w:p>
          <w:p>
            <w:pPr>
              <w:rPr>
                <w:rFonts w:hint="eastAsia" w:ascii="宋体" w:hAnsi="宋体" w:eastAsia="宋体"/>
                <w:szCs w:val="21"/>
                <w:highlight w:val="none"/>
              </w:rPr>
            </w:pPr>
            <w:r>
              <w:rPr>
                <w:rFonts w:hint="eastAsia" w:ascii="宋体" w:hAnsi="宋体" w:eastAsia="宋体"/>
                <w:szCs w:val="21"/>
                <w:highlight w:val="none"/>
              </w:rPr>
              <w:t xml:space="preserve">（2）深化设计方案内容较为完整规范，主要编制要素无缺失；方案框架基本清晰，布局较为合理；能够响应本项目主要需求，与项目要求基本契合，得3分；</w:t>
            </w:r>
            <w:r/>
          </w:p>
          <w:p>
            <w:pPr>
              <w:rPr>
                <w:rFonts w:hint="eastAsia" w:ascii="宋体" w:hAnsi="宋体" w:eastAsia="宋体"/>
                <w:szCs w:val="21"/>
                <w:highlight w:val="none"/>
              </w:rPr>
            </w:pPr>
            <w:r>
              <w:rPr>
                <w:rFonts w:hint="eastAsia" w:ascii="宋体" w:hAnsi="宋体" w:eastAsia="宋体"/>
                <w:szCs w:val="21"/>
                <w:highlight w:val="none"/>
              </w:rPr>
              <w:t xml:space="preserve">（3）深化设计方案基本完整，核心内容无重大缺漏；方案布局逻辑性一般；对项目需求有一定响应，部分内容与本项目要求存在偏差，得1分；</w:t>
            </w:r>
            <w:r/>
          </w:p>
          <w:p>
            <w:pPr>
              <w:rPr>
                <w:rFonts w:hint="eastAsia" w:ascii="宋体" w:hAnsi="宋体" w:eastAsia="宋体" w:cs="宋体"/>
                <w:szCs w:val="21"/>
                <w:highlight w:val="none"/>
              </w:rPr>
            </w:pPr>
            <w:r>
              <w:rPr>
                <w:rFonts w:hint="eastAsia" w:ascii="宋体" w:hAnsi="宋体" w:eastAsia="宋体"/>
                <w:szCs w:val="21"/>
                <w:highlight w:val="none"/>
              </w:rPr>
              <w:t xml:space="preserve">（4）未提供深化设计方案，或方案内容存在缺项，编制规范性不足；框架混乱，布局不合理，逻辑条理不清；未能结合本项目实际情况，与项目要求契合度低，不得分。</w:t>
            </w:r>
            <w:r/>
          </w:p>
        </w:tc>
        <w:tc>
          <w:tcPr>
            <w:tcW w:w="1188" w:type="dxa"/>
            <w:vAlign w:val="center"/>
            <w:textDirection w:val="lrTb"/>
            <w:noWrap w:val="false"/>
          </w:tcPr>
          <w:p>
            <w:pPr>
              <w:jc w:val="center"/>
              <w:rPr>
                <w:rFonts w:hint="eastAsia" w:ascii="宋体" w:hAnsi="宋体" w:eastAsia="宋体" w:cs="宋体"/>
                <w:szCs w:val="21"/>
                <w:highlight w:val="none"/>
              </w:rPr>
            </w:pPr>
            <w:r>
              <w:rPr>
                <w:rFonts w:ascii="宋体" w:hAnsi="宋体" w:eastAsia="宋体" w:cs="宋体"/>
                <w:szCs w:val="21"/>
                <w:highlight w:val="none"/>
              </w:rPr>
              <w:t xml:space="preserve">5</w:t>
            </w:r>
            <w:r/>
          </w:p>
        </w:tc>
      </w:tr>
      <w:tr>
        <w:trPr>
          <w:trHeight w:val="1082"/>
        </w:trPr>
        <w:tc>
          <w:tcPr>
            <w:tcW w:w="1432"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9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2.4</w:t>
            </w:r>
            <w:r/>
          </w:p>
        </w:tc>
        <w:tc>
          <w:tcPr>
            <w:tcW w:w="5524" w:type="dxa"/>
            <w:textDirection w:val="lrTb"/>
            <w:noWrap w:val="false"/>
          </w:tcPr>
          <w:p>
            <w:pPr>
              <w:pStyle w:val="873"/>
              <w:jc w:val="both"/>
              <w:spacing w:before="0" w:beforeAutospacing="0" w:after="0" w:afterAutospacing="0"/>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售后服务响应（</w:t>
            </w:r>
            <w:r>
              <w:rPr>
                <w:rFonts w:hint="eastAsia" w:ascii="宋体" w:hAnsi="宋体" w:eastAsia="宋体" w:cs="宋体"/>
                <w:b/>
                <w:sz w:val="21"/>
                <w:szCs w:val="21"/>
                <w:highlight w:val="none"/>
                <w:lang w:val="en-US" w:eastAsia="zh-CN"/>
              </w:rPr>
              <w:t xml:space="preserve">5</w:t>
            </w:r>
            <w:r>
              <w:rPr>
                <w:rFonts w:hint="eastAsia" w:ascii="宋体" w:hAnsi="宋体" w:eastAsia="宋体" w:cs="宋体"/>
                <w:b/>
                <w:sz w:val="21"/>
                <w:szCs w:val="21"/>
                <w:highlight w:val="none"/>
              </w:rPr>
              <w:t xml:space="preserve">分）。</w:t>
            </w:r>
            <w:r>
              <w:rPr>
                <w:rFonts w:hint="eastAsia" w:ascii="宋体" w:hAnsi="宋体" w:eastAsia="宋体" w:cs="宋体"/>
                <w:sz w:val="21"/>
                <w:szCs w:val="21"/>
                <w:highlight w:val="none"/>
              </w:rPr>
              <w:t xml:space="preserve">根据投标文件中有关服务承诺说明进行评分（包括投标人自身及所投品牌原厂响应标准、备件体系、质保维修方案、售后服务体系、服务范围、响应时间、故障解决方案、应急处理方案、专业技术人员保障等）：</w:t>
            </w:r>
            <w:r/>
          </w:p>
          <w:p>
            <w:pPr>
              <w:pStyle w:val="873"/>
              <w:jc w:val="both"/>
              <w:spacing w:before="0" w:beforeAutospacing="0" w:after="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（1）方案内容具体详实、科学合理，完全满足本项目服务需求，贴合实际、落地性强、可行性极高，能够充分保障项目后期运维服务质量的，得</w:t>
            </w:r>
            <w:r>
              <w:rPr>
                <w:rFonts w:hint="eastAsia"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pStyle w:val="873"/>
              <w:jc w:val="both"/>
              <w:spacing w:before="0" w:beforeAutospacing="0" w:after="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（2）方案内容较为完整，基本贴合项目实际需求，可行性较高，可有效保障项目后续维保服务正常开展的，得</w:t>
            </w:r>
            <w:r>
              <w:rPr>
                <w:rFonts w:hint="eastAsia"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pStyle w:val="873"/>
              <w:jc w:val="both"/>
              <w:spacing w:before="0" w:beforeAutospacing="0" w:after="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（3）方案基本符合招标文件要求，可满足项目基础售后服务需求，但内容较为简略、细节不完善、针对性一般的，得1分；</w:t>
            </w:r>
            <w:r/>
          </w:p>
          <w:p>
            <w:pPr>
              <w:pStyle w:val="873"/>
              <w:jc w:val="both"/>
              <w:spacing w:before="0" w:beforeAutospacing="0" w:after="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（4）未提供售后服务方案，或方案内容空洞、内容缺失，未响应招标文件质保维保服务要求，脱离项目实际、不具备落地可行性的，不得分。</w:t>
            </w:r>
            <w:r/>
          </w:p>
        </w:tc>
        <w:tc>
          <w:tcPr>
            <w:tcW w:w="1188"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p>
        </w:tc>
      </w:tr>
      <w:tr>
        <w:trPr>
          <w:trHeight w:val="23"/>
        </w:trPr>
        <w:tc>
          <w:tcPr>
            <w:tcW w:w="1432" w:type="dxa"/>
            <w:vAlign w:val="center"/>
            <w:vMerge w:val="restart"/>
            <w:textDirection w:val="lrTb"/>
            <w:noWrap w:val="false"/>
          </w:tcPr>
          <w:p>
            <w:pPr>
              <w:pStyle w:val="1182"/>
              <w:ind w:firstLine="0"/>
              <w:jc w:val="center"/>
              <w:tabs>
                <w:tab w:val="left" w:pos="567"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（三）企业综合实力（</w:t>
            </w:r>
            <w:r>
              <w:rPr>
                <w:rFonts w:hint="eastAsia" w:ascii="宋体" w:hAnsi="宋体" w:eastAsia="宋体" w:cs="宋体"/>
                <w:b/>
                <w:szCs w:val="21"/>
                <w:highlight w:val="none"/>
                <w:lang w:val="en-US" w:eastAsia="zh-CN"/>
              </w:rPr>
              <w:t xml:space="preserve">22</w:t>
            </w:r>
            <w:r>
              <w:rPr>
                <w:rFonts w:hint="eastAsia" w:ascii="宋体" w:hAnsi="宋体" w:eastAsia="宋体" w:cs="宋体"/>
                <w:b/>
                <w:szCs w:val="21"/>
                <w:highlight w:val="none"/>
              </w:rPr>
              <w:t xml:space="preserve">分）</w:t>
            </w:r>
            <w:r/>
          </w:p>
        </w:tc>
        <w:tc>
          <w:tcPr>
            <w:tcW w:w="9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3.1</w:t>
            </w:r>
            <w:r/>
          </w:p>
        </w:tc>
        <w:tc>
          <w:tcPr>
            <w:tcW w:w="5524" w:type="dxa"/>
            <w:textDirection w:val="lrTb"/>
            <w:noWrap w:val="false"/>
          </w:tcPr>
          <w:p>
            <w:pPr>
              <w:rPr>
                <w:rFonts w:hint="eastAsia" w:ascii="宋体" w:hAnsi="宋体" w:eastAsia="宋体" w:cs="宋体"/>
                <w:szCs w:val="21"/>
                <w:highlight w:val="none"/>
              </w:rPr>
            </w:pPr>
            <w:r>
              <w:rPr>
                <w:rFonts w:hint="eastAsia" w:ascii="宋体" w:hAnsi="宋体" w:eastAsia="宋体" w:cs="宋体"/>
                <w:b/>
                <w:szCs w:val="21"/>
                <w:highlight w:val="none"/>
              </w:rPr>
              <w:t xml:space="preserve">企业资质证书（</w:t>
            </w:r>
            <w:r>
              <w:rPr>
                <w:rFonts w:hint="eastAsia" w:ascii="宋体" w:hAnsi="宋体" w:eastAsia="宋体" w:cs="宋体"/>
                <w:b/>
                <w:szCs w:val="21"/>
                <w:highlight w:val="none"/>
                <w:lang w:val="en-US" w:eastAsia="zh-CN"/>
              </w:rPr>
              <w:t xml:space="preserve">8</w:t>
            </w:r>
            <w:r>
              <w:rPr>
                <w:rFonts w:hint="eastAsia" w:ascii="宋体" w:hAnsi="宋体" w:eastAsia="宋体" w:cs="宋体"/>
                <w:b/>
                <w:szCs w:val="21"/>
                <w:highlight w:val="none"/>
              </w:rPr>
              <w:t xml:space="preserve">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1</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投标人提供所投家具产品“低</w:t>
            </w:r>
            <w:r>
              <w:rPr>
                <w:rFonts w:hint="eastAsia" w:ascii="宋体" w:hAnsi="宋体" w:eastAsia="宋体" w:cs="宋体"/>
                <w:szCs w:val="21"/>
                <w:highlight w:val="none"/>
                <w:lang w:val="en-US" w:eastAsia="zh-CN"/>
              </w:rPr>
              <w:t xml:space="preserve">VOCs家具产品认证证书</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，得2分。</w:t>
            </w:r>
            <w:r/>
          </w:p>
          <w:p>
            <w:pP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zh-CN"/>
              </w:rPr>
              <w:t xml:space="preserve">投标人提供所投家具产品“家具中有害物质限量认证证书”</w:t>
            </w:r>
            <w:r>
              <w:rPr>
                <w:rFonts w:hint="eastAsia" w:ascii="宋体" w:hAnsi="宋体" w:eastAsia="宋体" w:cs="宋体"/>
                <w:szCs w:val="21"/>
                <w:highlight w:val="none"/>
              </w:rPr>
              <w:t xml:space="preserve">，得2分。</w:t>
            </w:r>
            <w:r/>
          </w:p>
          <w:p>
            <w:pP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eastAsia="zh-CN"/>
              </w:rPr>
              <w:t xml:space="preserve">投标人提供所投家具产品“人类工效学产品认证证书”</w:t>
            </w:r>
            <w:r>
              <w:rPr>
                <w:rFonts w:hint="eastAsia" w:ascii="宋体" w:hAnsi="宋体" w:eastAsia="宋体" w:cs="宋体"/>
                <w:szCs w:val="21"/>
                <w:highlight w:val="none"/>
              </w:rPr>
              <w:t xml:space="preserve">，得2分。</w:t>
            </w:r>
            <w:r/>
          </w:p>
          <w:p>
            <w:pPr>
              <w:pStyle w:val="855"/>
              <w:keepLines w:val="0"/>
              <w:keepNext w:val="0"/>
              <w:pageBreakBefore w:val="0"/>
              <w:spacing w:before="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（4）投标人提供所投家具产品“产品安全认证证书”，得2分。</w:t>
            </w:r>
            <w:r/>
          </w:p>
          <w:p>
            <w:pP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（认证单元至少包含桌台类、柜架类、椅凳类、沙发类）（提供扫描件及国家认监委网站查询截图）</w:t>
            </w:r>
            <w:r/>
          </w:p>
          <w:p>
            <w:pP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注：上述认证证书均须处于有效状态，有效期以国家认监委网站查询截图显示为准。</w:t>
            </w:r>
            <w:r/>
          </w:p>
        </w:tc>
        <w:tc>
          <w:tcPr>
            <w:tcW w:w="1188"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w:t>
            </w:r>
            <w:r/>
          </w:p>
        </w:tc>
      </w:tr>
      <w:tr>
        <w:trPr>
          <w:trHeight w:val="23"/>
        </w:trPr>
        <w:tc>
          <w:tcPr>
            <w:tcW w:w="1432" w:type="dxa"/>
            <w:vAlign w:val="center"/>
            <w:vMerge w:val="continue"/>
            <w:textDirection w:val="lrTb"/>
            <w:noWrap w:val="false"/>
          </w:tcPr>
          <w:p>
            <w:pPr>
              <w:pStyle w:val="1182"/>
              <w:ind w:firstLine="0"/>
              <w:jc w:val="center"/>
              <w:tabs>
                <w:tab w:val="left" w:pos="567"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3.2</w:t>
            </w:r>
            <w:r/>
          </w:p>
        </w:tc>
        <w:tc>
          <w:tcPr>
            <w:tcW w:w="5524" w:type="dxa"/>
            <w:textDirection w:val="lrTb"/>
            <w:noWrap w:val="false"/>
          </w:tcPr>
          <w:p>
            <w:pPr>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技术能力（</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投标人具有主要生产设备：</w:t>
            </w:r>
            <w:r>
              <w:rPr>
                <w:rFonts w:hint="eastAsia" w:ascii="宋体" w:hAnsi="宋体" w:eastAsia="宋体" w:cs="宋体"/>
                <w:szCs w:val="21"/>
                <w:highlight w:val="none"/>
                <w:lang w:eastAsia="zh-CN"/>
              </w:rPr>
              <w:t xml:space="preserve">全自动数控加工中心、六轴铣床、全自动侧压平刨床、数控曲线锯、实木复合加工中心、榫头榫槽加工中心</w:t>
            </w:r>
            <w:r>
              <w:rPr>
                <w:rFonts w:hint="eastAsia" w:ascii="宋体" w:hAnsi="宋体" w:eastAsia="宋体" w:cs="宋体"/>
                <w:szCs w:val="21"/>
                <w:highlight w:val="none"/>
              </w:rPr>
              <w:t xml:space="preserve">，每有一项得1分，本项最高得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分。（提供设备发票</w:t>
            </w:r>
            <w:r>
              <w:rPr>
                <w:rFonts w:hint="eastAsia" w:ascii="宋体" w:hAnsi="宋体" w:cs="宋体"/>
                <w:szCs w:val="21"/>
                <w:highlight w:val="none"/>
                <w:lang w:eastAsia="zh-CN"/>
              </w:rPr>
              <w:t xml:space="preserve">扫描件</w:t>
            </w:r>
            <w:r>
              <w:rPr>
                <w:rFonts w:hint="eastAsia" w:ascii="宋体" w:hAnsi="宋体" w:eastAsia="宋体" w:cs="宋体"/>
                <w:szCs w:val="21"/>
                <w:highlight w:val="none"/>
              </w:rPr>
              <w:t xml:space="preserve">及照片）</w:t>
            </w:r>
            <w:r/>
          </w:p>
        </w:tc>
        <w:tc>
          <w:tcPr>
            <w:tcW w:w="1188" w:type="dxa"/>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p>
        </w:tc>
      </w:tr>
      <w:tr>
        <w:trPr>
          <w:trHeight w:val="23"/>
        </w:trPr>
        <w:tc>
          <w:tcPr>
            <w:tcW w:w="1432" w:type="dxa"/>
            <w:vAlign w:val="center"/>
            <w:vMerge w:val="continue"/>
            <w:textDirection w:val="lrTb"/>
            <w:noWrap w:val="false"/>
          </w:tcPr>
          <w:p>
            <w:pPr>
              <w:pStyle w:val="1182"/>
              <w:ind w:firstLine="0"/>
              <w:jc w:val="center"/>
              <w:tabs>
                <w:tab w:val="left" w:pos="567"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90" w:type="dxa"/>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3.3</w:t>
            </w:r>
            <w:r/>
          </w:p>
        </w:tc>
        <w:tc>
          <w:tcPr>
            <w:tcW w:w="5524" w:type="dxa"/>
            <w:textDirection w:val="lrTb"/>
            <w:noWrap w:val="false"/>
          </w:tcPr>
          <w:p>
            <w:pPr>
              <w:widowControl/>
              <w:rPr>
                <w:rFonts w:hint="eastAsia"/>
                <w:highlight w:val="none"/>
                <w:lang w:eastAsia="zh-CN"/>
              </w:rPr>
            </w:pPr>
            <w:r>
              <w:rPr>
                <w:rFonts w:hint="eastAsia"/>
                <w:b/>
                <w:bCs/>
                <w:highlight w:val="none"/>
                <w:lang w:eastAsia="zh-CN"/>
              </w:rPr>
              <w:t xml:space="preserve">检测报告（</w:t>
            </w:r>
            <w:r>
              <w:rPr>
                <w:rFonts w:hint="eastAsia"/>
                <w:b/>
                <w:bCs/>
                <w:highlight w:val="none"/>
                <w:lang w:val="en-US" w:eastAsia="zh-CN"/>
              </w:rPr>
              <w:t xml:space="preserve">8分</w:t>
            </w:r>
            <w:r>
              <w:rPr>
                <w:rFonts w:hint="eastAsia"/>
                <w:b/>
                <w:bCs/>
                <w:highlight w:val="none"/>
                <w:lang w:eastAsia="zh-CN"/>
              </w:rPr>
              <w:t xml:space="preserve">）。</w:t>
            </w:r>
            <w:r/>
          </w:p>
          <w:p>
            <w:pPr>
              <w:pStyle w:val="855"/>
              <w:numPr>
                <w:ilvl w:val="0"/>
                <w:numId w:val="0"/>
              </w:numPr>
              <w:keepLines w:val="0"/>
              <w:keepNext w:val="0"/>
              <w:pageBreakBefore w:val="0"/>
              <w:spacing w:before="0"/>
              <w:widowControl w:val="off"/>
              <w:rPr>
                <w:rFonts w:hint="eastAsia" w:ascii="宋体" w:hAnsi="宋体" w:eastAsia="宋体" w:cs="宋体"/>
                <w:sz w:val="21"/>
                <w:szCs w:val="21"/>
                <w:highlight w:val="none"/>
                <w:lang w:eastAsia="zh-CN" w:bidi="ar-SA"/>
              </w:rPr>
            </w:pPr>
            <w:r>
              <w:rPr>
                <w:rFonts w:hint="eastAsia" w:ascii="宋体" w:hAnsi="宋体" w:eastAsia="宋体" w:cs="宋体"/>
                <w:sz w:val="21"/>
                <w:szCs w:val="21"/>
                <w:highlight w:val="none"/>
                <w:lang w:val="en-US" w:eastAsia="zh-CN" w:bidi="ar-SA"/>
              </w:rPr>
              <w:t xml:space="preserve">（1）实木多层（18</w:t>
            </w:r>
            <w:r>
              <w:rPr>
                <w:rFonts w:hint="default" w:ascii="宋体" w:hAnsi="宋体" w:eastAsia="宋体" w:cs="宋体"/>
                <w:sz w:val="21"/>
                <w:szCs w:val="21"/>
                <w:highlight w:val="none"/>
                <w:lang w:eastAsia="zh-CN" w:bidi="ar-SA"/>
              </w:rPr>
              <w:t xml:space="preserve">mm</w:t>
            </w:r>
            <w:r>
              <w:rPr>
                <w:rFonts w:hint="eastAsia" w:ascii="宋体" w:hAnsi="宋体" w:eastAsia="宋体" w:cs="宋体"/>
                <w:sz w:val="21"/>
                <w:szCs w:val="21"/>
                <w:highlight w:val="none"/>
                <w:lang w:val="en-US" w:eastAsia="zh-CN" w:bidi="ar-SA"/>
              </w:rPr>
              <w:t xml:space="preserve">）：符合国家检测依据GB/T39600-2021《人造板及其制品甲醛释放量分级》、GB/T35601-2024《绿色产品评价人造板和木质地板》；甲醛释放量≤0.025</w:t>
            </w:r>
            <w:r>
              <w:rPr>
                <w:rFonts w:hint="default" w:ascii="宋体" w:hAnsi="宋体" w:eastAsia="宋体" w:cs="宋体"/>
                <w:sz w:val="21"/>
                <w:szCs w:val="21"/>
                <w:highlight w:val="none"/>
                <w:lang w:eastAsia="zh-CN" w:bidi="ar-SA"/>
              </w:rPr>
              <w:t xml:space="preserve">mg/m</w:t>
            </w:r>
            <w:r>
              <w:rPr>
                <w:rFonts w:hint="default" w:ascii="宋体" w:hAnsi="宋体" w:eastAsia="宋体" w:cs="宋体"/>
                <w:sz w:val="21"/>
                <w:szCs w:val="21"/>
                <w:highlight w:val="none"/>
                <w:vertAlign w:val="superscript"/>
                <w:lang w:eastAsia="zh-CN" w:bidi="ar-SA"/>
              </w:rPr>
              <w:t xml:space="preserve">3</w:t>
            </w:r>
            <w:r>
              <w:rPr>
                <w:rFonts w:hint="eastAsia" w:ascii="宋体" w:hAnsi="宋体" w:eastAsia="宋体" w:cs="宋体"/>
                <w:sz w:val="21"/>
                <w:szCs w:val="21"/>
                <w:highlight w:val="none"/>
                <w:lang w:eastAsia="zh-CN" w:bidi="ar-SA"/>
              </w:rPr>
              <w:t xml:space="preserve">；</w:t>
            </w:r>
            <w:r/>
          </w:p>
          <w:p>
            <w:pPr>
              <w:numPr>
                <w:ilvl w:val="0"/>
                <w:numId w:val="0"/>
              </w:numPr>
              <w:rPr>
                <w:rFonts w:hint="eastAsia" w:ascii="宋体" w:hAnsi="宋体" w:eastAsia="宋体" w:cs="宋体"/>
                <w:sz w:val="21"/>
                <w:szCs w:val="21"/>
                <w:highlight w:val="none"/>
                <w:lang w:eastAsia="zh-CN" w:bidi="ar-SA"/>
              </w:rPr>
            </w:pPr>
            <w:r>
              <w:rPr>
                <w:rFonts w:hint="eastAsia" w:ascii="宋体" w:hAnsi="宋体" w:eastAsia="宋体" w:cs="宋体"/>
                <w:sz w:val="21"/>
                <w:szCs w:val="21"/>
                <w:highlight w:val="none"/>
                <w:lang w:eastAsia="zh-CN" w:bidi="ar-SA"/>
              </w:rPr>
              <w:t xml:space="preserve">（</w:t>
            </w: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eastAsia="zh-CN" w:bidi="ar-SA"/>
              </w:rPr>
              <w:t xml:space="preserve">）油漆：符合国家检测依据：</w:t>
            </w:r>
            <w:r>
              <w:rPr>
                <w:rFonts w:hint="eastAsia" w:ascii="Arial" w:hAnsi="Arial" w:eastAsia="宋体" w:cs="Arial"/>
                <w:i w:val="0"/>
                <w:iCs w:val="0"/>
                <w:caps w:val="0"/>
                <w:color w:val="333333"/>
                <w:spacing w:val="0"/>
                <w:sz w:val="21"/>
                <w:szCs w:val="21"/>
                <w:highlight w:val="none"/>
                <w:shd w:val="clear" w:color="auto" w:fill="ffffff"/>
              </w:rPr>
              <w:t xml:space="preserve">GB 30981.2-2025</w:t>
            </w:r>
            <w:r>
              <w:rPr>
                <w:rFonts w:hint="default" w:ascii="Arial" w:hAnsi="Arial" w:eastAsia="宋体" w:cs="Arial"/>
                <w:i w:val="0"/>
                <w:iCs w:val="0"/>
                <w:caps w:val="0"/>
                <w:color w:val="333333"/>
                <w:spacing w:val="0"/>
                <w:sz w:val="21"/>
                <w:szCs w:val="21"/>
                <w:highlight w:val="none"/>
                <w:shd w:val="clear" w:color="auto" w:fill="ffffff"/>
              </w:rPr>
              <w:t xml:space="preserve"> </w:t>
            </w:r>
            <w:r>
              <w:rPr>
                <w:rFonts w:hint="eastAsia" w:ascii="宋体" w:hAnsi="宋体" w:eastAsia="宋体" w:cs="宋体"/>
                <w:sz w:val="21"/>
                <w:szCs w:val="21"/>
                <w:highlight w:val="none"/>
                <w:lang w:val="en-US" w:eastAsia="zh-CN" w:bidi="ar-SA"/>
              </w:rPr>
              <w:t xml:space="preserve">《涂料中有害物质限量 第2部分：工业涂料》；</w:t>
            </w:r>
            <w:r/>
          </w:p>
          <w:p>
            <w:pPr>
              <w:pStyle w:val="855"/>
              <w:keepLines w:val="0"/>
              <w:keepNext w:val="0"/>
              <w:pageBreakBefore w:val="0"/>
              <w:spacing w:before="0"/>
              <w:widowControl w:val="off"/>
              <w:rPr>
                <w:rFonts w:hint="eastAsia" w:ascii="宋体" w:hAnsi="宋体" w:eastAsia="宋体" w:cs="宋体"/>
                <w:sz w:val="21"/>
                <w:szCs w:val="21"/>
                <w:highlight w:val="none"/>
                <w:lang w:eastAsia="zh-CN" w:bidi="ar-SA"/>
              </w:rPr>
            </w:pPr>
            <w:r>
              <w:rPr>
                <w:rFonts w:hint="eastAsia" w:ascii="宋体" w:hAnsi="宋体" w:eastAsia="宋体" w:cs="宋体"/>
                <w:sz w:val="21"/>
                <w:szCs w:val="21"/>
                <w:highlight w:val="none"/>
                <w:lang w:eastAsia="zh-CN" w:bidi="ar-SA"/>
              </w:rPr>
              <w:t xml:space="preserve">（</w:t>
            </w: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eastAsia="zh-CN" w:bidi="ar-SA"/>
              </w:rPr>
              <w:t xml:space="preserve">）沙发：符合</w:t>
            </w:r>
            <w:r>
              <w:rPr>
                <w:rFonts w:hint="eastAsia" w:ascii="宋体" w:hAnsi="宋体" w:eastAsia="宋体" w:cs="宋体"/>
                <w:sz w:val="21"/>
                <w:szCs w:val="21"/>
                <w:highlight w:val="none"/>
                <w:lang w:val="en-US" w:eastAsia="zh-CN" w:bidi="ar-SA"/>
              </w:rPr>
              <w:t xml:space="preserve">QB/T1952.1-2023《软体家具沙发》、GB/T35607-2024《绿色产品评价家具》；覆面材料理化性能均合格；甲醛释放量≤0.05</w:t>
            </w:r>
            <w:r>
              <w:rPr>
                <w:rFonts w:hint="default" w:ascii="宋体" w:hAnsi="宋体" w:eastAsia="宋体" w:cs="宋体"/>
                <w:sz w:val="21"/>
                <w:szCs w:val="21"/>
                <w:highlight w:val="none"/>
                <w:lang w:eastAsia="zh-CN" w:bidi="ar-SA"/>
              </w:rPr>
              <w:t xml:space="preserve">mg/m</w:t>
            </w:r>
            <w:r>
              <w:rPr>
                <w:rFonts w:hint="default" w:ascii="宋体" w:hAnsi="宋体" w:eastAsia="宋体" w:cs="宋体"/>
                <w:sz w:val="21"/>
                <w:szCs w:val="21"/>
                <w:highlight w:val="none"/>
                <w:vertAlign w:val="superscript"/>
                <w:lang w:eastAsia="zh-CN" w:bidi="ar-SA"/>
              </w:rPr>
              <w:t xml:space="preserve">3</w:t>
            </w:r>
            <w:r>
              <w:rPr>
                <w:rFonts w:hint="eastAsia" w:ascii="宋体" w:hAnsi="宋体" w:eastAsia="宋体" w:cs="宋体"/>
                <w:sz w:val="21"/>
                <w:szCs w:val="21"/>
                <w:highlight w:val="none"/>
                <w:lang w:eastAsia="zh-CN" w:bidi="ar-SA"/>
              </w:rPr>
              <w:t xml:space="preserve">；总挥发性有机化合物≤</w:t>
            </w:r>
            <w:r>
              <w:rPr>
                <w:rFonts w:hint="eastAsia" w:ascii="宋体" w:hAnsi="宋体" w:eastAsia="宋体" w:cs="宋体"/>
                <w:sz w:val="21"/>
                <w:szCs w:val="21"/>
                <w:highlight w:val="none"/>
                <w:lang w:val="en-US" w:eastAsia="zh-CN" w:bidi="ar-SA"/>
              </w:rPr>
              <w:t xml:space="preserve">0.3</w:t>
            </w:r>
            <w:r>
              <w:rPr>
                <w:rFonts w:hint="default" w:ascii="宋体" w:hAnsi="宋体" w:eastAsia="宋体" w:cs="宋体"/>
                <w:sz w:val="21"/>
                <w:szCs w:val="21"/>
                <w:highlight w:val="none"/>
                <w:lang w:eastAsia="zh-CN" w:bidi="ar-SA"/>
              </w:rPr>
              <w:t xml:space="preserve">mg/m</w:t>
            </w:r>
            <w:r>
              <w:rPr>
                <w:rFonts w:hint="default" w:ascii="宋体" w:hAnsi="宋体" w:eastAsia="宋体" w:cs="宋体"/>
                <w:sz w:val="21"/>
                <w:szCs w:val="21"/>
                <w:highlight w:val="none"/>
                <w:vertAlign w:val="superscript"/>
                <w:lang w:eastAsia="zh-CN" w:bidi="ar-SA"/>
              </w:rPr>
              <w:t xml:space="preserve">3</w:t>
            </w:r>
            <w:r>
              <w:rPr>
                <w:rFonts w:hint="eastAsia" w:ascii="宋体" w:hAnsi="宋体" w:eastAsia="宋体" w:cs="宋体"/>
                <w:sz w:val="21"/>
                <w:szCs w:val="21"/>
                <w:highlight w:val="none"/>
                <w:lang w:eastAsia="zh-CN" w:bidi="ar-SA"/>
              </w:rPr>
              <w:t xml:space="preserve">；可分解芳香胺染料均合格。</w:t>
            </w:r>
            <w:r/>
          </w:p>
          <w:p>
            <w:pPr>
              <w:rPr>
                <w:rFonts w:hint="eastAsia" w:ascii="宋体" w:hAnsi="宋体" w:eastAsia="宋体" w:cs="宋体"/>
                <w:sz w:val="21"/>
                <w:szCs w:val="21"/>
                <w:highlight w:val="none"/>
                <w:lang w:eastAsia="zh-CN" w:bidi="ar-SA"/>
              </w:rPr>
            </w:pPr>
            <w:r>
              <w:rPr>
                <w:rFonts w:hint="eastAsia" w:ascii="宋体" w:hAnsi="宋体" w:eastAsia="宋体" w:cs="宋体"/>
                <w:sz w:val="21"/>
                <w:szCs w:val="21"/>
                <w:highlight w:val="none"/>
                <w:lang w:eastAsia="zh-CN" w:bidi="ar-SA"/>
              </w:rPr>
              <w:t xml:space="preserve">（</w:t>
            </w: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eastAsia="zh-CN" w:bidi="ar-SA"/>
              </w:rPr>
              <w:t xml:space="preserve">）办公桌：符合国家检测依据：</w:t>
            </w:r>
            <w:r>
              <w:rPr>
                <w:rFonts w:hint="eastAsia" w:ascii="宋体" w:hAnsi="宋体" w:eastAsia="宋体" w:cs="宋体"/>
                <w:sz w:val="21"/>
                <w:szCs w:val="21"/>
                <w:highlight w:val="none"/>
                <w:lang w:val="en-US" w:eastAsia="zh-CN" w:bidi="ar-SA"/>
              </w:rPr>
              <w:t xml:space="preserve">GB/T 3325-2024</w:t>
            </w:r>
            <w:r>
              <w:rPr>
                <w:rFonts w:hint="eastAsia" w:ascii="宋体" w:hAnsi="宋体" w:eastAsia="宋体" w:cs="宋体"/>
                <w:sz w:val="21"/>
                <w:szCs w:val="21"/>
                <w:highlight w:val="none"/>
                <w:lang w:eastAsia="zh-CN" w:bidi="ar-SA"/>
              </w:rPr>
              <w:t xml:space="preserve">《</w:t>
            </w:r>
            <w:r>
              <w:rPr>
                <w:rFonts w:hint="eastAsia" w:ascii="宋体" w:hAnsi="宋体" w:eastAsia="宋体" w:cs="宋体"/>
                <w:sz w:val="21"/>
                <w:szCs w:val="21"/>
                <w:highlight w:val="none"/>
                <w:lang w:val="en-US" w:eastAsia="zh-CN" w:bidi="ar-SA"/>
              </w:rPr>
              <w:t xml:space="preserve">金属家具通用技术条件</w:t>
            </w:r>
            <w:r>
              <w:rPr>
                <w:rFonts w:hint="eastAsia" w:ascii="宋体" w:hAnsi="宋体" w:eastAsia="宋体" w:cs="宋体"/>
                <w:sz w:val="21"/>
                <w:szCs w:val="21"/>
                <w:highlight w:val="none"/>
                <w:lang w:eastAsia="zh-CN" w:bidi="ar-SA"/>
              </w:rPr>
              <w:t xml:space="preserve">》、</w:t>
            </w:r>
            <w:r>
              <w:rPr>
                <w:rFonts w:hint="eastAsia" w:ascii="宋体" w:hAnsi="宋体" w:eastAsia="宋体" w:cs="宋体"/>
                <w:sz w:val="21"/>
                <w:szCs w:val="21"/>
                <w:highlight w:val="none"/>
                <w:lang w:val="en-US" w:eastAsia="zh-CN" w:bidi="ar-SA"/>
              </w:rPr>
              <w:t xml:space="preserve">GB/T3324-2024《木家具通用技术条件》和GB/T35607-2024《绿色产品评价家具》，检测内容包含表面理化性能、力学、结构安全性能合格、甲醛释放量≤0.05</w:t>
            </w:r>
            <w:r>
              <w:rPr>
                <w:rFonts w:hint="default" w:ascii="宋体" w:hAnsi="宋体" w:eastAsia="宋体" w:cs="宋体"/>
                <w:sz w:val="21"/>
                <w:szCs w:val="21"/>
                <w:highlight w:val="none"/>
                <w:lang w:eastAsia="zh-CN" w:bidi="ar-SA"/>
              </w:rPr>
              <w:t xml:space="preserve">mg/m</w:t>
            </w:r>
            <w:r>
              <w:rPr>
                <w:rFonts w:hint="default" w:ascii="宋体" w:hAnsi="宋体" w:eastAsia="宋体" w:cs="宋体"/>
                <w:sz w:val="21"/>
                <w:szCs w:val="21"/>
                <w:highlight w:val="none"/>
                <w:vertAlign w:val="superscript"/>
                <w:lang w:eastAsia="zh-CN" w:bidi="ar-SA"/>
              </w:rPr>
              <w:t xml:space="preserve">3</w:t>
            </w:r>
            <w:r>
              <w:rPr>
                <w:rFonts w:hint="eastAsia" w:ascii="宋体" w:hAnsi="宋体" w:eastAsia="宋体" w:cs="宋体"/>
                <w:sz w:val="21"/>
                <w:szCs w:val="21"/>
                <w:highlight w:val="none"/>
                <w:lang w:eastAsia="zh-CN" w:bidi="ar-SA"/>
              </w:rPr>
              <w:t xml:space="preserve">；</w:t>
            </w:r>
            <w:r/>
          </w:p>
          <w:p>
            <w:pPr>
              <w:pStyle w:val="855"/>
              <w:keepLines w:val="0"/>
              <w:keepNext w:val="0"/>
              <w:pageBreakBefore w:val="0"/>
              <w:spacing w:before="0"/>
              <w:widowControl w:val="off"/>
              <w:rPr>
                <w:rFonts w:hint="default"/>
                <w:highlight w:val="none"/>
                <w:lang w:val="en-US" w:eastAsia="zh-CN"/>
              </w:rPr>
            </w:pPr>
            <w:r>
              <w:rPr>
                <w:rFonts w:hint="eastAsia" w:ascii="宋体" w:hAnsi="宋体" w:eastAsia="宋体" w:cs="宋体"/>
                <w:sz w:val="21"/>
                <w:szCs w:val="21"/>
                <w:highlight w:val="none"/>
                <w:lang w:eastAsia="zh-CN" w:bidi="ar-SA"/>
              </w:rPr>
              <w:t xml:space="preserve">注：上述均需提供</w:t>
            </w:r>
            <w:r>
              <w:rPr>
                <w:rFonts w:hint="eastAsia" w:ascii="宋体" w:hAnsi="宋体" w:eastAsia="宋体" w:cs="宋体"/>
                <w:sz w:val="21"/>
                <w:szCs w:val="21"/>
                <w:highlight w:val="none"/>
                <w:lang w:val="en-US" w:eastAsia="zh-CN" w:bidi="ar-SA"/>
              </w:rPr>
              <w:t xml:space="preserve">202</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年1月1日（含）以来由第三方检测机构出具的抽样检验合格报告（每份检测报告需有CMA认证标志）</w:t>
            </w:r>
            <w:r>
              <w:rPr>
                <w:rFonts w:hint="eastAsia" w:ascii="宋体" w:hAnsi="宋体" w:cs="宋体"/>
                <w:sz w:val="21"/>
                <w:szCs w:val="21"/>
                <w:highlight w:val="none"/>
                <w:lang w:val="en-US" w:eastAsia="zh-CN" w:bidi="ar-SA"/>
              </w:rPr>
              <w:t xml:space="preserve">扫描件</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扫描件</w:t>
            </w:r>
            <w:r>
              <w:rPr>
                <w:rFonts w:hint="eastAsia" w:ascii="宋体" w:hAnsi="宋体" w:eastAsia="宋体" w:cs="宋体"/>
                <w:sz w:val="21"/>
                <w:szCs w:val="21"/>
                <w:highlight w:val="none"/>
                <w:lang w:val="en-US" w:eastAsia="zh-CN" w:bidi="ar-SA"/>
              </w:rPr>
              <w:t xml:space="preserve">需提供首页、内容页、结尾页等完整页面内容且提供查询方式检验真伪），完全满足要求的</w:t>
            </w:r>
            <w:r>
              <w:rPr>
                <w:rFonts w:hint="eastAsia" w:ascii="宋体" w:hAnsi="宋体" w:cs="宋体"/>
                <w:sz w:val="21"/>
                <w:szCs w:val="21"/>
                <w:highlight w:val="none"/>
                <w:lang w:val="en-US" w:eastAsia="zh-CN" w:bidi="ar-SA"/>
              </w:rPr>
              <w:t xml:space="preserve">每项</w:t>
            </w:r>
            <w:r>
              <w:rPr>
                <w:rFonts w:hint="eastAsia" w:ascii="宋体" w:hAnsi="宋体" w:eastAsia="宋体" w:cs="宋体"/>
                <w:sz w:val="21"/>
                <w:szCs w:val="21"/>
                <w:highlight w:val="none"/>
                <w:lang w:val="en-US" w:eastAsia="zh-CN" w:bidi="ar-SA"/>
              </w:rPr>
              <w:t xml:space="preserve">得2分，检测项不全不得分。</w:t>
            </w:r>
            <w:r/>
          </w:p>
        </w:tc>
        <w:tc>
          <w:tcPr>
            <w:tcW w:w="1188" w:type="dxa"/>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w:t>
            </w:r>
            <w:r/>
          </w:p>
        </w:tc>
      </w:tr>
      <w:tr>
        <w:trPr>
          <w:trHeight w:val="23"/>
        </w:trPr>
        <w:tc>
          <w:tcPr>
            <w:tcW w:w="1432" w:type="dxa"/>
            <w:vAlign w:val="center"/>
            <w:vMerge w:val="restart"/>
            <w:textDirection w:val="lrTb"/>
            <w:noWrap w:val="false"/>
          </w:tcPr>
          <w:p>
            <w:pPr>
              <w:pStyle w:val="1182"/>
              <w:ind w:firstLine="0"/>
              <w:tabs>
                <w:tab w:val="left" w:pos="567"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（四）商务部分（</w:t>
            </w:r>
            <w:r>
              <w:rPr>
                <w:rFonts w:hint="eastAsia" w:ascii="宋体" w:hAnsi="宋体" w:eastAsia="宋体" w:cs="宋体"/>
                <w:b/>
                <w:szCs w:val="21"/>
                <w:highlight w:val="none"/>
                <w:lang w:val="en-US" w:eastAsia="zh-CN"/>
              </w:rPr>
              <w:t xml:space="preserve">6</w:t>
            </w:r>
            <w:r>
              <w:rPr>
                <w:rFonts w:hint="eastAsia" w:ascii="宋体" w:hAnsi="宋体" w:eastAsia="宋体" w:cs="宋体"/>
                <w:b/>
                <w:szCs w:val="21"/>
                <w:highlight w:val="none"/>
              </w:rPr>
              <w:t xml:space="preserve">分）</w:t>
            </w:r>
            <w:r/>
          </w:p>
        </w:tc>
        <w:tc>
          <w:tcPr>
            <w:tcW w:w="9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4.1</w:t>
            </w:r>
            <w:r/>
          </w:p>
        </w:tc>
        <w:tc>
          <w:tcPr>
            <w:tcW w:w="5524" w:type="dxa"/>
            <w:textDirection w:val="lrTb"/>
            <w:noWrap w:val="false"/>
          </w:tcPr>
          <w:p>
            <w:pPr>
              <w:rPr>
                <w:rFonts w:hint="eastAsia" w:ascii="宋体" w:hAnsi="宋体" w:eastAsia="宋体" w:cs="宋体"/>
                <w:szCs w:val="21"/>
                <w:highlight w:val="none"/>
              </w:rPr>
            </w:pPr>
            <w:r>
              <w:rPr>
                <w:rFonts w:hint="eastAsia" w:ascii="宋体" w:hAnsi="宋体" w:eastAsia="宋体" w:cs="宋体"/>
                <w:b/>
                <w:szCs w:val="21"/>
                <w:highlight w:val="none"/>
              </w:rPr>
              <w:t xml:space="preserve">经营业绩（</w:t>
            </w:r>
            <w:r>
              <w:rPr>
                <w:rFonts w:hint="eastAsia" w:ascii="宋体" w:hAnsi="宋体" w:eastAsia="宋体" w:cs="宋体"/>
                <w:b/>
                <w:szCs w:val="21"/>
                <w:highlight w:val="none"/>
                <w:lang w:val="en-US" w:eastAsia="zh-CN"/>
              </w:rPr>
              <w:t xml:space="preserve">4</w:t>
            </w:r>
            <w:r>
              <w:rPr>
                <w:rFonts w:hint="eastAsia" w:ascii="宋体" w:hAnsi="宋体" w:eastAsia="宋体" w:cs="宋体"/>
                <w:b/>
                <w:szCs w:val="21"/>
                <w:highlight w:val="none"/>
              </w:rPr>
              <w:t xml:space="preserve">分）。</w:t>
            </w:r>
            <w:r>
              <w:rPr>
                <w:rFonts w:hint="eastAsia" w:ascii="宋体" w:hAnsi="宋体" w:eastAsia="宋体" w:cs="宋体"/>
                <w:sz w:val="21"/>
                <w:szCs w:val="21"/>
                <w:highlight w:val="none"/>
                <w:lang w:eastAsia="zh-CN" w:bidi="ar-SA"/>
              </w:rPr>
              <w:t xml:space="preserve">投标人提供</w:t>
            </w:r>
            <w:r>
              <w:rPr>
                <w:rFonts w:hint="eastAsia" w:ascii="宋体" w:hAnsi="宋体" w:eastAsia="宋体" w:cs="宋体"/>
                <w:sz w:val="21"/>
                <w:szCs w:val="21"/>
                <w:highlight w:val="none"/>
                <w:lang w:val="en-US" w:eastAsia="zh-CN" w:bidi="ar-SA"/>
              </w:rPr>
              <w:t xml:space="preserve">2021年1月1日（含）</w:t>
            </w:r>
            <w:r>
              <w:rPr>
                <w:rFonts w:hint="eastAsia" w:ascii="宋体" w:hAnsi="宋体" w:cs="宋体"/>
                <w:sz w:val="21"/>
                <w:szCs w:val="21"/>
                <w:highlight w:val="none"/>
                <w:lang w:val="en-US" w:eastAsia="zh-CN" w:bidi="ar-SA"/>
              </w:rPr>
              <w:t xml:space="preserve">（以合同签订时间为准）</w:t>
            </w:r>
            <w:r>
              <w:rPr>
                <w:rFonts w:hint="eastAsia" w:ascii="宋体" w:hAnsi="宋体" w:eastAsia="宋体" w:cs="宋体"/>
                <w:sz w:val="21"/>
                <w:szCs w:val="21"/>
                <w:highlight w:val="none"/>
                <w:lang w:val="en-US" w:eastAsia="zh-CN" w:bidi="ar-SA"/>
              </w:rPr>
              <w:t xml:space="preserve">以来的类似销售业绩，每提供1个合同得2分，满分4分。</w:t>
            </w:r>
            <w:r>
              <w:rPr>
                <w:rFonts w:hint="eastAsia" w:ascii="宋体" w:hAnsi="宋体" w:eastAsia="宋体" w:cs="宋体"/>
                <w:sz w:val="21"/>
                <w:szCs w:val="21"/>
                <w:highlight w:val="none"/>
                <w:lang w:eastAsia="zh-CN" w:bidi="ar-SA"/>
              </w:rPr>
              <w:t xml:space="preserve">（须提供合同和发票</w:t>
            </w:r>
            <w:r>
              <w:rPr>
                <w:rFonts w:hint="eastAsia" w:ascii="宋体" w:hAnsi="宋体" w:cs="宋体"/>
                <w:sz w:val="21"/>
                <w:szCs w:val="21"/>
                <w:highlight w:val="none"/>
                <w:lang w:eastAsia="zh-CN" w:bidi="ar-SA"/>
              </w:rPr>
              <w:t xml:space="preserve">扫描件</w:t>
            </w:r>
            <w:r>
              <w:rPr>
                <w:rFonts w:hint="eastAsia" w:ascii="宋体" w:hAnsi="宋体" w:eastAsia="宋体" w:cs="宋体"/>
                <w:sz w:val="21"/>
                <w:szCs w:val="21"/>
                <w:highlight w:val="none"/>
                <w:lang w:eastAsia="zh-CN" w:bidi="ar-SA"/>
              </w:rPr>
              <w:t xml:space="preserve">，原件备查）</w:t>
            </w:r>
            <w:r/>
          </w:p>
        </w:tc>
        <w:tc>
          <w:tcPr>
            <w:tcW w:w="1188" w:type="dxa"/>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w:t>
            </w:r>
            <w:r/>
          </w:p>
        </w:tc>
      </w:tr>
      <w:tr>
        <w:trPr>
          <w:trHeight w:val="23"/>
        </w:trPr>
        <w:tc>
          <w:tcPr>
            <w:tcW w:w="1432" w:type="dxa"/>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9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4.2</w:t>
            </w:r>
            <w:r/>
          </w:p>
        </w:tc>
        <w:tc>
          <w:tcPr>
            <w:tcW w:w="5524" w:type="dxa"/>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t xml:space="preserve">及时性服务（1分）。</w:t>
            </w:r>
            <w:r>
              <w:rPr>
                <w:rFonts w:hint="eastAsia" w:ascii="宋体" w:hAnsi="宋体" w:eastAsia="宋体" w:cs="宋体"/>
                <w:szCs w:val="21"/>
                <w:highlight w:val="none"/>
              </w:rPr>
              <w:t xml:space="preserve">能够提供及时性售后服务的证明材料的，得1分。（须提供相关证明材料</w:t>
            </w:r>
            <w:r>
              <w:rPr>
                <w:rFonts w:hint="eastAsia" w:ascii="宋体" w:hAnsi="宋体" w:cs="宋体"/>
                <w:szCs w:val="21"/>
                <w:highlight w:val="none"/>
                <w:lang w:eastAsia="zh-CN"/>
              </w:rPr>
              <w:t xml:space="preserve">扫描件</w:t>
            </w:r>
            <w:r>
              <w:rPr>
                <w:rFonts w:hint="eastAsia" w:ascii="宋体" w:hAnsi="宋体" w:eastAsia="宋体" w:cs="宋体"/>
                <w:szCs w:val="21"/>
                <w:highlight w:val="none"/>
              </w:rPr>
              <w:t xml:space="preserve">加盖公章，原件备查）</w:t>
            </w:r>
            <w:r/>
          </w:p>
        </w:tc>
        <w:tc>
          <w:tcPr>
            <w:tcW w:w="11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r>
      <w:tr>
        <w:trPr>
          <w:trHeight w:val="23"/>
        </w:trPr>
        <w:tc>
          <w:tcPr>
            <w:tcW w:w="1432" w:type="dxa"/>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9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4.3</w:t>
            </w:r>
            <w:r/>
          </w:p>
        </w:tc>
        <w:tc>
          <w:tcPr>
            <w:tcW w:w="5524" w:type="dxa"/>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t xml:space="preserve">国家政策导向（1分）</w:t>
            </w:r>
            <w:r>
              <w:rPr>
                <w:rFonts w:hint="eastAsia" w:ascii="宋体" w:hAnsi="宋体" w:eastAsia="宋体" w:cs="宋体"/>
                <w:b/>
                <w:szCs w:val="21"/>
                <w:highlight w:val="none"/>
                <w:lang w:eastAsia="zh-CN"/>
              </w:rPr>
              <w:t xml:space="preserve">。</w:t>
            </w:r>
            <w:r>
              <w:rPr>
                <w:rFonts w:hint="eastAsia" w:ascii="宋体" w:hAnsi="宋体" w:eastAsia="宋体" w:cs="宋体"/>
                <w:szCs w:val="21"/>
                <w:highlight w:val="none"/>
              </w:rPr>
              <w:t xml:space="preserve">投标产品属于《环境标志产品政府采购品目清单》内产品的，</w:t>
            </w:r>
            <w:r>
              <w:rPr>
                <w:rFonts w:hint="eastAsia" w:ascii="宋体" w:hAnsi="宋体" w:eastAsia="宋体" w:cs="宋体"/>
                <w:szCs w:val="21"/>
                <w:highlight w:val="none"/>
                <w:lang w:eastAsia="zh-CN"/>
              </w:rPr>
              <w:t xml:space="preserve">有</w:t>
            </w:r>
            <w:r>
              <w:rPr>
                <w:rFonts w:hint="eastAsia" w:ascii="宋体" w:hAnsi="宋体" w:eastAsia="宋体" w:cs="宋体"/>
                <w:szCs w:val="21"/>
                <w:highlight w:val="none"/>
                <w:lang w:val="en-US" w:eastAsia="zh-CN"/>
              </w:rPr>
              <w:t xml:space="preserve">1个</w:t>
            </w:r>
            <w:r>
              <w:rPr>
                <w:rFonts w:hint="eastAsia" w:ascii="宋体" w:hAnsi="宋体" w:eastAsia="宋体" w:cs="宋体"/>
                <w:szCs w:val="21"/>
                <w:highlight w:val="none"/>
              </w:rPr>
              <w:t xml:space="preserve">得0.5分</w:t>
            </w:r>
            <w:r>
              <w:rPr>
                <w:rFonts w:hint="eastAsia" w:ascii="宋体" w:hAnsi="宋体" w:eastAsia="宋体" w:cs="宋体"/>
                <w:szCs w:val="21"/>
                <w:highlight w:val="none"/>
                <w:lang w:eastAsia="zh-CN"/>
              </w:rPr>
              <w:t xml:space="preserve">，最多得</w:t>
            </w:r>
            <w:r>
              <w:rPr>
                <w:rFonts w:hint="eastAsia" w:ascii="宋体" w:hAnsi="宋体" w:eastAsia="宋体" w:cs="宋体"/>
                <w:szCs w:val="21"/>
                <w:highlight w:val="none"/>
                <w:lang w:val="en-US" w:eastAsia="zh-CN"/>
              </w:rPr>
              <w:t xml:space="preserve">1分</w:t>
            </w:r>
            <w:r>
              <w:rPr>
                <w:rFonts w:hint="eastAsia" w:ascii="宋体" w:hAnsi="宋体" w:eastAsia="宋体" w:cs="宋体"/>
                <w:szCs w:val="21"/>
                <w:highlight w:val="none"/>
              </w:rPr>
              <w:t xml:space="preserve">。（须提交在有效期内、由有资格的认证机构所出具的认证证书扫描件）</w:t>
            </w:r>
            <w:r/>
          </w:p>
        </w:tc>
        <w:tc>
          <w:tcPr>
            <w:tcW w:w="11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r>
      <w:tr>
        <w:trPr>
          <w:trHeight w:val="23"/>
        </w:trPr>
        <w:tc>
          <w:tcPr>
            <w:gridSpan w:val="2"/>
            <w:tcW w:w="2422" w:type="dxa"/>
            <w:textDirection w:val="lrTb"/>
            <w:noWrap w:val="false"/>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（五）样品</w:t>
            </w:r>
            <w:r>
              <w:rPr>
                <w:rFonts w:hint="eastAsia" w:ascii="宋体" w:hAnsi="宋体" w:eastAsia="宋体" w:cs="宋体"/>
                <w:b/>
                <w:bCs/>
                <w:szCs w:val="21"/>
                <w:highlight w:val="none"/>
                <w:lang w:eastAsia="zh-CN"/>
              </w:rPr>
              <w:t xml:space="preserve">部分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分）</w:t>
            </w:r>
            <w:r/>
          </w:p>
        </w:tc>
        <w:tc>
          <w:tcPr>
            <w:tcW w:w="5524" w:type="dxa"/>
            <w:textDirection w:val="lrTb"/>
            <w:noWrap w:val="false"/>
          </w:tcPr>
          <w:p>
            <w:pPr>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根据投标人提供</w:t>
            </w:r>
            <w:r>
              <w:rPr>
                <w:rFonts w:hint="eastAsia" w:ascii="宋体" w:hAnsi="宋体" w:eastAsia="宋体" w:cs="宋体"/>
                <w:bCs/>
                <w:szCs w:val="21"/>
                <w:highlight w:val="none"/>
                <w:lang w:val="en-US" w:eastAsia="zh-CN"/>
              </w:rPr>
              <w:t xml:space="preserve">的样品</w:t>
            </w:r>
            <w:r>
              <w:rPr>
                <w:rFonts w:hint="default" w:ascii="宋体" w:hAnsi="宋体" w:eastAsia="宋体" w:cs="宋体"/>
                <w:bCs/>
                <w:szCs w:val="21"/>
                <w:highlight w:val="none"/>
                <w:lang w:val="en-US" w:eastAsia="zh-CN"/>
              </w:rPr>
              <w:t xml:space="preserve">蝶形办公桌</w:t>
            </w:r>
            <w:r>
              <w:rPr>
                <w:rFonts w:hint="eastAsia" w:ascii="宋体" w:hAnsi="宋体" w:eastAsia="宋体" w:cs="宋体"/>
                <w:bCs/>
                <w:szCs w:val="21"/>
                <w:highlight w:val="none"/>
                <w:lang w:val="en-US" w:eastAsia="zh-CN"/>
              </w:rPr>
              <w:t xml:space="preserve">（清单序</w:t>
            </w:r>
            <w:r>
              <w:rPr>
                <w:rFonts w:hint="eastAsia" w:ascii="宋体" w:hAnsi="宋体" w:eastAsia="宋体" w:cs="宋体"/>
                <w:bCs/>
                <w:szCs w:val="21"/>
                <w:highlight w:val="none"/>
                <w:lang w:eastAsia="zh-CN"/>
              </w:rPr>
              <w:t xml:space="preserve">号</w:t>
            </w:r>
            <w:r>
              <w:rPr>
                <w:rFonts w:hint="default" w:ascii="宋体" w:hAnsi="宋体" w:eastAsia="宋体" w:cs="宋体"/>
                <w:bCs/>
                <w:szCs w:val="21"/>
                <w:highlight w:val="none"/>
                <w:lang w:val="en-US" w:eastAsia="zh-CN"/>
              </w:rPr>
              <w:t xml:space="preserve">12</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1张，从样品的工艺水平、线条均匀程度、组合部件合理性、表面涂层是否平整光滑等方面进行综合评审。样品美观、材质优质、制作精良，得9分；样品较美观、材质</w:t>
            </w:r>
            <w:r>
              <w:rPr>
                <w:rFonts w:hint="eastAsia" w:ascii="宋体" w:hAnsi="宋体" w:cs="宋体"/>
                <w:bCs/>
                <w:szCs w:val="21"/>
                <w:highlight w:val="none"/>
                <w:lang w:val="en-US" w:eastAsia="zh-CN"/>
              </w:rPr>
              <w:t xml:space="preserve">合格</w:t>
            </w:r>
            <w:r>
              <w:rPr>
                <w:rFonts w:hint="eastAsia" w:ascii="宋体" w:hAnsi="宋体" w:eastAsia="宋体" w:cs="宋体"/>
                <w:bCs/>
                <w:szCs w:val="21"/>
                <w:highlight w:val="none"/>
                <w:lang w:val="en-US" w:eastAsia="zh-CN"/>
              </w:rPr>
              <w:t xml:space="preserve">、制作</w:t>
            </w:r>
            <w:r>
              <w:rPr>
                <w:rFonts w:hint="eastAsia" w:ascii="宋体" w:hAnsi="宋体" w:cs="宋体"/>
                <w:bCs/>
                <w:szCs w:val="21"/>
                <w:highlight w:val="none"/>
                <w:lang w:val="en-US" w:eastAsia="zh-CN"/>
              </w:rPr>
              <w:t xml:space="preserve">规整</w:t>
            </w:r>
            <w:r>
              <w:rPr>
                <w:rFonts w:hint="eastAsia" w:ascii="宋体" w:hAnsi="宋体" w:eastAsia="宋体" w:cs="宋体"/>
                <w:bCs/>
                <w:szCs w:val="21"/>
                <w:highlight w:val="none"/>
                <w:lang w:val="en-US" w:eastAsia="zh-CN"/>
              </w:rPr>
              <w:t xml:space="preserve">，得</w:t>
            </w:r>
            <w:r>
              <w:rPr>
                <w:rFonts w:hint="eastAsia" w:ascii="宋体" w:hAnsi="宋体" w:cs="宋体"/>
                <w:bCs/>
                <w:szCs w:val="21"/>
                <w:highlight w:val="none"/>
                <w:lang w:val="en-US" w:eastAsia="zh-CN"/>
              </w:rPr>
              <w:t xml:space="preserve">7</w:t>
            </w:r>
            <w:r>
              <w:rPr>
                <w:rFonts w:hint="eastAsia" w:ascii="宋体" w:hAnsi="宋体" w:eastAsia="宋体" w:cs="宋体"/>
                <w:bCs/>
                <w:szCs w:val="21"/>
                <w:highlight w:val="none"/>
                <w:lang w:val="en-US" w:eastAsia="zh-CN"/>
              </w:rPr>
              <w:t xml:space="preserve">分；样品外观基本达标、材质</w:t>
            </w:r>
            <w:r>
              <w:rPr>
                <w:rFonts w:hint="eastAsia" w:ascii="宋体" w:hAnsi="宋体" w:cs="宋体"/>
                <w:bCs/>
                <w:szCs w:val="21"/>
                <w:highlight w:val="none"/>
                <w:lang w:val="en-US" w:eastAsia="zh-CN"/>
              </w:rPr>
              <w:t xml:space="preserve">普通</w:t>
            </w:r>
            <w:r>
              <w:rPr>
                <w:rFonts w:hint="eastAsia" w:ascii="宋体" w:hAnsi="宋体" w:eastAsia="宋体" w:cs="宋体"/>
                <w:bCs/>
                <w:szCs w:val="21"/>
                <w:highlight w:val="none"/>
                <w:lang w:val="en-US" w:eastAsia="zh-CN"/>
              </w:rPr>
              <w:t xml:space="preserve">、制作</w:t>
            </w:r>
            <w:r>
              <w:rPr>
                <w:rFonts w:hint="eastAsia" w:ascii="宋体" w:hAnsi="宋体" w:cs="宋体"/>
                <w:bCs/>
                <w:szCs w:val="21"/>
                <w:highlight w:val="none"/>
                <w:lang w:val="en-US" w:eastAsia="zh-CN"/>
              </w:rPr>
              <w:t xml:space="preserve">尚可</w:t>
            </w:r>
            <w:r>
              <w:rPr>
                <w:rFonts w:hint="eastAsia" w:ascii="宋体" w:hAnsi="宋体" w:eastAsia="宋体" w:cs="宋体"/>
                <w:bCs/>
                <w:szCs w:val="21"/>
                <w:highlight w:val="none"/>
                <w:lang w:val="en-US" w:eastAsia="zh-CN"/>
              </w:rPr>
              <w:t xml:space="preserve">，得</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lang w:val="en-US" w:eastAsia="zh-CN"/>
              </w:rPr>
              <w:t xml:space="preserve">分</w:t>
            </w:r>
            <w:r>
              <w:rPr>
                <w:rFonts w:hint="eastAsia" w:ascii="宋体" w:hAnsi="宋体" w:cs="宋体"/>
                <w:bCs/>
                <w:szCs w:val="21"/>
                <w:highlight w:val="none"/>
                <w:lang w:val="en-US" w:eastAsia="zh-CN"/>
              </w:rPr>
              <w:t xml:space="preserve">；</w:t>
            </w:r>
            <w:r>
              <w:rPr>
                <w:rFonts w:hint="eastAsia" w:ascii="宋体" w:hAnsi="宋体" w:eastAsia="宋体" w:cs="宋体"/>
                <w:bCs/>
                <w:szCs w:val="21"/>
                <w:highlight w:val="none"/>
                <w:lang w:val="en-US" w:eastAsia="zh-CN"/>
              </w:rPr>
              <w:t xml:space="preserve">样品美观性较低、材质和制作工艺较差，得</w:t>
            </w:r>
            <w:r>
              <w:rPr>
                <w:rFonts w:hint="eastAsia" w:ascii="宋体" w:hAnsi="宋体" w:cs="宋体"/>
                <w:bCs/>
                <w:szCs w:val="21"/>
                <w:highlight w:val="none"/>
                <w:lang w:val="en-US" w:eastAsia="zh-CN"/>
              </w:rPr>
              <w:t xml:space="preserve">3</w:t>
            </w:r>
            <w:r>
              <w:rPr>
                <w:rFonts w:hint="eastAsia" w:ascii="宋体" w:hAnsi="宋体" w:eastAsia="宋体" w:cs="宋体"/>
                <w:bCs/>
                <w:szCs w:val="21"/>
                <w:highlight w:val="none"/>
                <w:lang w:val="en-US" w:eastAsia="zh-CN"/>
              </w:rPr>
              <w:t xml:space="preserve">分。未提供样品或提供的样品与清单样式不一致，不得分。</w:t>
            </w:r>
            <w:r/>
          </w:p>
        </w:tc>
        <w:tc>
          <w:tcPr>
            <w:tcW w:w="1188"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w:t>
            </w:r>
            <w:r/>
          </w:p>
        </w:tc>
      </w:tr>
    </w:tbl>
    <w:p>
      <w:pPr>
        <w:ind w:firstLine="562"/>
        <w:jc w:val="left"/>
        <w:spacing w:before="120" w:after="120" w:line="400" w:lineRule="exact"/>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注：</w:t>
      </w:r>
      <w:r/>
    </w:p>
    <w:p>
      <w:pPr>
        <w:ind w:firstLine="562"/>
        <w:jc w:val="left"/>
        <w:spacing w:before="120" w:after="120" w:line="400" w:lineRule="exact"/>
        <w:rPr>
          <w:rFonts w:hint="eastAsia" w:ascii="宋体" w:hAnsi="宋体" w:eastAsia="宋体" w:cs="宋体"/>
          <w:sz w:val="21"/>
          <w:szCs w:val="21"/>
          <w:highlight w:val="none"/>
        </w:rPr>
      </w:pPr>
      <w:r>
        <w:rPr>
          <w:rFonts w:hint="eastAsia" w:ascii="宋体" w:hAnsi="宋体" w:cs="宋体"/>
          <w:b/>
          <w:sz w:val="21"/>
          <w:szCs w:val="21"/>
          <w:highlight w:val="none"/>
          <w:lang w:val="en-US" w:eastAsia="zh-CN"/>
        </w:rPr>
        <w:t xml:space="preserve">一</w:t>
      </w:r>
      <w:r>
        <w:rPr>
          <w:rFonts w:hint="eastAsia" w:ascii="宋体" w:hAnsi="宋体" w:cs="宋体"/>
          <w:b w:val="0"/>
          <w:bCs/>
          <w:sz w:val="21"/>
          <w:szCs w:val="21"/>
          <w:highlight w:val="none"/>
          <w:lang w:val="en-US" w:eastAsia="zh-CN"/>
        </w:rPr>
        <w:t xml:space="preserve">、</w:t>
      </w:r>
      <w:r>
        <w:rPr>
          <w:rFonts w:hint="eastAsia" w:ascii="宋体" w:hAnsi="宋体" w:eastAsia="宋体" w:cs="宋体"/>
          <w:b w:val="0"/>
          <w:bCs/>
          <w:sz w:val="21"/>
          <w:szCs w:val="21"/>
          <w:highlight w:val="none"/>
        </w:rPr>
        <w:t xml:space="preserve">政府采购政策功能落实</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1.小微型企业价格扣除</w:t>
      </w:r>
      <w:r/>
    </w:p>
    <w:p>
      <w:pPr>
        <w:ind w:firstLine="420"/>
        <w:jc w:val="left"/>
        <w:spacing w:before="120" w:after="12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（1）本项目对小型和微型企业产品给予10%的扣除价格，用扣除后的价格参与评审。</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（2）供应商需按照采购文件的要求提供相应的《中小微企业声明函》。</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2.残疾人福利单位价格扣除</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（1）本项目对残疾人福利性单位视同小型、微型企业，给予10%的价格扣除，用扣除后的价格参与评审。</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（3）残疾人福利单位标准请参照《关于促进残疾人就业政府采购政策的通知》（财库〔2017〕141号）。</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3.监狱和戒毒企业价格扣除</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（1）本项目对监狱和戒毒企业（简称监狱企业）视同小型、微型企业，给予10%的价格扣除，用扣除后的价格参与评审。</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（3）监狱企业标准请参照《关于政府采购支持监狱企业发展有关问题的通知》（财库〔2014〕68号）。</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4.残疾人福利单位、监狱企业属于小型、微型企业的，不重复享受政策。</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6.联合体各方均为小型、微型企业（残疾人福利单位、监狱企业）的，联合体享受10%价格扣除，用扣除后的价格参与评审。</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7.采购本国产品的支持政策</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5-1）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二、计算得分四舍五入，精确到小数点后两位。</w:t>
      </w:r>
      <w:r/>
    </w:p>
    <w:p>
      <w:pPr>
        <w:ind w:firstLine="5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在评审过程中，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br w:type="page" w:clear="all"/>
      </w:r>
      <w:bookmarkEnd w:id="277"/>
      <w:r/>
      <w:bookmarkEnd w:id="278"/>
      <w:r/>
      <w:bookmarkEnd w:id="286"/>
      <w:r/>
      <w:bookmarkEnd w:id="290"/>
      <w:r/>
      <w:r/>
    </w:p>
    <w:p>
      <w:pPr>
        <w:ind w:left="74" w:firstLine="482"/>
        <w:jc w:val="center"/>
        <w:spacing w:before="240" w:after="60" w:line="360" w:lineRule="auto"/>
        <w:widowControl w:val="off"/>
        <w:rPr>
          <w:rFonts w:hint="default" w:ascii="Cambria" w:hAnsi="Cambria" w:eastAsia="宋体" w:cs="Times New Roman"/>
          <w:b/>
          <w:bCs/>
          <w:color w:val="auto"/>
          <w:sz w:val="32"/>
          <w:szCs w:val="32"/>
          <w:highlight w:val="none"/>
          <w:lang w:val="en-US" w:eastAsia="zh-CN" w:bidi="ar-SA"/>
        </w:rPr>
        <w:outlineLvl w:val="0"/>
      </w:pPr>
      <w:r/>
      <w:bookmarkStart w:id="292" w:name="_Toc31187"/>
      <w:r/>
      <w:bookmarkStart w:id="293" w:name="_Toc107246273"/>
      <w:r/>
      <w:bookmarkStart w:id="294" w:name="_Toc26554094"/>
      <w:r/>
      <w:bookmarkStart w:id="295" w:name="_Toc120614282"/>
      <w:r/>
      <w:bookmarkStart w:id="296" w:name="_Toc49090576"/>
      <w:r>
        <w:rPr>
          <w:rFonts w:hint="eastAsia" w:ascii="Cambria" w:hAnsi="Cambria" w:eastAsia="宋体" w:cs="宋体"/>
          <w:b/>
          <w:bCs/>
          <w:color w:val="auto"/>
          <w:sz w:val="32"/>
          <w:szCs w:val="32"/>
          <w:highlight w:val="none"/>
          <w:lang w:val="en-US" w:eastAsia="zh-CN" w:bidi="ar-SA"/>
        </w:rPr>
        <w:t xml:space="preserve">第六章投标文件格式</w:t>
      </w:r>
      <w:bookmarkEnd w:id="292"/>
      <w:r/>
      <w:bookmarkEnd w:id="293"/>
      <w:r/>
      <w:r/>
    </w:p>
    <w:p>
      <w:pPr>
        <w:ind w:firstLine="42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注：请供应商按照以下文件的要求格式、内容，顺序制作投标文件，并请编制目录及页码，否则可能将影响对投标文件的评价。</w:t>
      </w:r>
      <w:r/>
    </w:p>
    <w:p>
      <w:pPr>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br w:type="page" w:clear="all"/>
      </w:r>
      <w:r/>
    </w:p>
    <w:p>
      <w:pPr>
        <w:ind w:firstLine="315"/>
        <w:jc w:val="left"/>
        <w:spacing w:before="100" w:after="100" w:line="360" w:lineRule="auto"/>
        <w:rPr>
          <w:rFonts w:ascii="Microsoft New Tai Lue" w:hAnsi="Microsoft New Tai Lue" w:cs="Microsoft New Tai Lue"/>
          <w:color w:val="auto"/>
          <w:sz w:val="24"/>
          <w:szCs w:val="24"/>
          <w:highlight w:val="none"/>
          <w:lang w:val="en-US" w:eastAsia="zh-CN" w:bidi="ar-SA"/>
        </w:rPr>
      </w:pPr>
      <w:r>
        <w:rPr>
          <w:rFonts w:hint="eastAsia" w:ascii="Microsoft New Tai Lue" w:hAnsi="Microsoft New Tai Lue" w:cs="宋体"/>
          <w:b/>
          <w:bCs/>
          <w:color w:val="auto"/>
          <w:sz w:val="40"/>
          <w:szCs w:val="40"/>
          <w:highlight w:val="none"/>
          <w:lang w:val="en-US" w:eastAsia="zh-CN" w:bidi="ar-SA"/>
        </w:rPr>
        <w:t xml:space="preserve">附件</w:t>
      </w:r>
      <w:r/>
    </w:p>
    <w:p>
      <w:pPr>
        <w:ind w:left="263" w:firstLine="904"/>
        <w:jc w:val="center"/>
        <w:spacing w:before="100" w:after="100" w:line="360" w:lineRule="auto"/>
        <w:rPr>
          <w:rFonts w:ascii="Microsoft New Tai Lue" w:hAnsi="Microsoft New Tai Lue" w:cs="Microsoft New Tai Lue"/>
          <w:b/>
          <w:bCs/>
          <w:color w:val="auto"/>
          <w:sz w:val="60"/>
          <w:szCs w:val="60"/>
          <w:highlight w:val="none"/>
          <w:lang w:val="en-US" w:eastAsia="zh-CN" w:bidi="ar-SA"/>
        </w:rPr>
      </w:pPr>
      <w:r>
        <w:rPr>
          <w:rFonts w:ascii="Microsoft New Tai Lue" w:hAnsi="Microsoft New Tai Lue" w:cs="Microsoft New Tai Lue"/>
          <w:b/>
          <w:bCs/>
          <w:color w:val="auto"/>
          <w:sz w:val="60"/>
          <w:szCs w:val="60"/>
          <w:highlight w:val="none"/>
          <w:lang w:val="en-US" w:eastAsia="zh-CN" w:bidi="ar-SA"/>
        </w:rPr>
        <w:t xml:space="preserve">xxx</w:t>
      </w:r>
      <w:r>
        <w:rPr>
          <w:rFonts w:hint="eastAsia" w:ascii="Microsoft New Tai Lue" w:hAnsi="Microsoft New Tai Lue" w:cs="宋体"/>
          <w:b/>
          <w:bCs/>
          <w:color w:val="auto"/>
          <w:sz w:val="60"/>
          <w:szCs w:val="60"/>
          <w:highlight w:val="none"/>
          <w:lang w:val="en-US" w:eastAsia="zh-CN" w:bidi="ar-SA"/>
        </w:rPr>
        <w:t xml:space="preserve">项目</w:t>
      </w:r>
      <w:r/>
    </w:p>
    <w:p>
      <w:pPr>
        <w:ind w:left="343" w:firstLine="1084"/>
        <w:jc w:val="center"/>
        <w:spacing w:line="400" w:lineRule="atLeast"/>
        <w:rPr>
          <w:rFonts w:ascii="Microsoft New Tai Lue" w:hAnsi="Microsoft New Tai Lue" w:cs="Microsoft New Tai Lue"/>
          <w:b/>
          <w:bCs/>
          <w:color w:val="auto"/>
          <w:sz w:val="72"/>
          <w:szCs w:val="72"/>
          <w:highlight w:val="none"/>
          <w:lang w:val="en-US" w:eastAsia="zh-CN" w:bidi="ar-SA"/>
        </w:rPr>
      </w:pPr>
      <w:r>
        <w:rPr>
          <w:rFonts w:ascii="Microsoft New Tai Lue" w:hAnsi="Microsoft New Tai Lue" w:cs="Microsoft New Tai Lue"/>
          <w:b/>
          <w:bCs/>
          <w:color w:val="auto"/>
          <w:sz w:val="72"/>
          <w:szCs w:val="72"/>
          <w:highlight w:val="none"/>
          <w:lang w:val="en-US" w:eastAsia="zh-CN" w:bidi="ar-SA"/>
        </w:rPr>
      </w:r>
      <w:r/>
    </w:p>
    <w:p>
      <w:pPr>
        <w:ind w:left="424" w:firstLine="1265"/>
        <w:jc w:val="center"/>
        <w:spacing w:line="360" w:lineRule="auto"/>
        <w:widowControl w:val="off"/>
        <w:rPr>
          <w:rFonts w:hint="default" w:ascii="Microsoft New Tai Lue" w:hAnsi="Microsoft New Tai Lue" w:eastAsia="宋体" w:cs="Microsoft New Tai Lue"/>
          <w:b w:val="0"/>
          <w:bCs w:val="0"/>
          <w:color w:val="auto"/>
          <w:sz w:val="84"/>
          <w:szCs w:val="84"/>
          <w:highlight w:val="none"/>
          <w:lang w:val="en-US" w:eastAsia="zh-CN" w:bidi="ar-SA"/>
        </w:rPr>
      </w:pPr>
      <w:r/>
      <w:bookmarkStart w:id="297" w:name="_Toc100905255"/>
      <w:r>
        <w:rPr>
          <w:rFonts w:hint="eastAsia" w:ascii="Microsoft New Tai Lue" w:hAnsi="Microsoft New Tai Lue" w:eastAsia="宋体" w:cs="宋体"/>
          <w:b/>
          <w:bCs/>
          <w:color w:val="auto"/>
          <w:sz w:val="84"/>
          <w:szCs w:val="84"/>
          <w:highlight w:val="none"/>
          <w:lang w:val="en-US" w:eastAsia="zh-CN" w:bidi="ar-SA"/>
        </w:rPr>
        <w:t xml:space="preserve">投标文件</w:t>
      </w:r>
      <w:bookmarkEnd w:id="297"/>
      <w:r/>
      <w:r/>
    </w:p>
    <w:p>
      <w:pPr>
        <w:ind w:left="155" w:firstLine="663"/>
        <w:jc w:val="center"/>
        <w:spacing w:line="360" w:lineRule="auto"/>
        <w:rPr>
          <w:rFonts w:ascii="Microsoft New Tai Lue" w:hAnsi="Microsoft New Tai Lue" w:cs="Microsoft New Tai Lue"/>
          <w:b/>
          <w:bCs/>
          <w:color w:val="auto"/>
          <w:sz w:val="44"/>
          <w:szCs w:val="44"/>
          <w:highlight w:val="none"/>
          <w:lang w:val="en-US" w:eastAsia="zh-CN" w:bidi="ar-SA"/>
        </w:rPr>
      </w:pPr>
      <w:r>
        <w:rPr>
          <w:rFonts w:ascii="Microsoft New Tai Lue" w:hAnsi="Microsoft New Tai Lue" w:cs="Microsoft New Tai Lue"/>
          <w:b/>
          <w:bCs/>
          <w:color w:val="auto"/>
          <w:sz w:val="44"/>
          <w:szCs w:val="44"/>
          <w:highlight w:val="none"/>
          <w:lang w:val="en-US" w:eastAsia="zh-CN" w:bidi="ar-SA"/>
        </w:rPr>
      </w:r>
      <w:r/>
    </w:p>
    <w:p>
      <w:pPr>
        <w:ind w:left="155" w:firstLine="663"/>
        <w:jc w:val="center"/>
        <w:spacing w:line="360" w:lineRule="auto"/>
        <w:rPr>
          <w:rFonts w:ascii="Microsoft New Tai Lue" w:hAnsi="Microsoft New Tai Lue" w:cs="Microsoft New Tai Lue"/>
          <w:b/>
          <w:bCs/>
          <w:color w:val="auto"/>
          <w:sz w:val="44"/>
          <w:szCs w:val="44"/>
          <w:highlight w:val="none"/>
          <w:lang w:val="en-US" w:eastAsia="zh-CN" w:bidi="ar-SA"/>
        </w:rPr>
      </w:pPr>
      <w:r>
        <w:rPr>
          <w:rFonts w:hint="eastAsia" w:ascii="Microsoft New Tai Lue" w:hAnsi="Microsoft New Tai Lue" w:cs="宋体"/>
          <w:b/>
          <w:bCs/>
          <w:color w:val="auto"/>
          <w:sz w:val="44"/>
          <w:szCs w:val="44"/>
          <w:highlight w:val="none"/>
          <w:lang w:val="en-US" w:eastAsia="zh-CN" w:bidi="ar-SA"/>
        </w:rPr>
        <w:t xml:space="preserve">项目编号：</w:t>
      </w:r>
      <w:r>
        <w:rPr>
          <w:rFonts w:ascii="Microsoft New Tai Lue" w:hAnsi="Microsoft New Tai Lue" w:cs="Microsoft New Tai Lue"/>
          <w:b/>
          <w:bCs/>
          <w:color w:val="auto"/>
          <w:sz w:val="44"/>
          <w:szCs w:val="44"/>
          <w:highlight w:val="none"/>
          <w:lang w:val="en-US" w:eastAsia="zh-CN" w:bidi="ar-SA"/>
        </w:rPr>
        <w:t xml:space="preserve">XXXXXXXX</w:t>
      </w:r>
      <w:r/>
    </w:p>
    <w:p>
      <w:pPr>
        <w:ind w:left="155" w:firstLine="663"/>
        <w:jc w:val="center"/>
        <w:spacing w:line="360" w:lineRule="auto"/>
        <w:rPr>
          <w:rFonts w:hint="default" w:ascii="Microsoft New Tai Lue" w:hAnsi="Microsoft New Tai Lue" w:cs="Microsoft New Tai Lue"/>
          <w:b/>
          <w:bCs/>
          <w:color w:val="auto"/>
          <w:sz w:val="44"/>
          <w:szCs w:val="44"/>
          <w:highlight w:val="none"/>
          <w:lang w:val="en-US" w:eastAsia="zh-CN" w:bidi="ar-SA"/>
        </w:rPr>
      </w:pPr>
      <w:r>
        <w:rPr>
          <w:rFonts w:hint="eastAsia" w:ascii="Microsoft New Tai Lue" w:hAnsi="Microsoft New Tai Lue" w:cs="Microsoft New Tai Lue"/>
          <w:b/>
          <w:bCs/>
          <w:color w:val="auto"/>
          <w:sz w:val="44"/>
          <w:szCs w:val="44"/>
          <w:highlight w:val="none"/>
          <w:lang w:val="en-US" w:eastAsia="zh-CN" w:bidi="ar-SA"/>
        </w:rPr>
        <w:t xml:space="preserve">采购包XX</w:t>
      </w:r>
      <w:r/>
    </w:p>
    <w:p>
      <w:pPr>
        <w:ind w:left="47" w:firstLine="422"/>
        <w:jc w:val="both"/>
        <w:spacing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pPr>
      <w:r>
        <w:rPr>
          <w:rFonts w:hint="default" w:ascii="Microsoft New Tai Lue" w:hAnsi="Microsoft New Tai Lue" w:eastAsia="宋体" w:cs="Microsoft New Tai Lue"/>
          <w:b/>
          <w:bCs/>
          <w:color w:val="auto"/>
          <w:sz w:val="28"/>
          <w:szCs w:val="28"/>
          <w:highlight w:val="none"/>
          <w:lang w:val="en-US" w:eastAsia="zh-CN" w:bidi="ar-SA"/>
        </w:rPr>
      </w:r>
      <w:r/>
    </w:p>
    <w:p>
      <w:pPr>
        <w:ind w:left="47" w:firstLine="422"/>
        <w:jc w:val="both"/>
        <w:spacing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pPr>
      <w:r>
        <w:rPr>
          <w:rFonts w:hint="default" w:ascii="Microsoft New Tai Lue" w:hAnsi="Microsoft New Tai Lue" w:eastAsia="宋体" w:cs="Microsoft New Tai Lue"/>
          <w:b/>
          <w:bCs/>
          <w:color w:val="auto"/>
          <w:sz w:val="28"/>
          <w:szCs w:val="28"/>
          <w:highlight w:val="none"/>
          <w:lang w:val="en-US" w:eastAsia="zh-CN" w:bidi="ar-SA"/>
        </w:rPr>
      </w:r>
      <w:r/>
    </w:p>
    <w:p>
      <w:pPr>
        <w:ind w:left="47" w:firstLine="422"/>
        <w:jc w:val="both"/>
        <w:spacing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pPr>
      <w:r>
        <w:rPr>
          <w:rFonts w:hint="default" w:ascii="Microsoft New Tai Lue" w:hAnsi="Microsoft New Tai Lue" w:eastAsia="宋体" w:cs="Microsoft New Tai Lue"/>
          <w:b/>
          <w:bCs/>
          <w:color w:val="auto"/>
          <w:sz w:val="28"/>
          <w:szCs w:val="28"/>
          <w:highlight w:val="none"/>
          <w:lang w:val="en-US" w:eastAsia="zh-CN" w:bidi="ar-SA"/>
        </w:rPr>
      </w:r>
      <w:r/>
    </w:p>
    <w:p>
      <w:pPr>
        <w:jc w:val="both"/>
        <w:spacing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pPr>
      <w:r>
        <w:rPr>
          <w:rFonts w:hint="default" w:ascii="Microsoft New Tai Lue" w:hAnsi="Microsoft New Tai Lue" w:eastAsia="宋体" w:cs="Microsoft New Tai Lue"/>
          <w:b/>
          <w:bCs/>
          <w:color w:val="auto"/>
          <w:sz w:val="28"/>
          <w:szCs w:val="28"/>
          <w:highlight w:val="none"/>
          <w:lang w:val="en-US" w:eastAsia="zh-CN" w:bidi="ar-SA"/>
        </w:rPr>
      </w:r>
      <w:r/>
    </w:p>
    <w:p>
      <w:pPr>
        <w:ind w:left="74" w:firstLine="482"/>
        <w:jc w:val="center"/>
        <w:spacing w:line="360" w:lineRule="auto"/>
        <w:widowControl w:val="off"/>
        <w:rPr>
          <w:rFonts w:hint="default" w:ascii="Microsoft New Tai Lue" w:hAnsi="Microsoft New Tai Lue" w:eastAsia="宋体" w:cs="Microsoft New Tai Lue"/>
          <w:b w:val="0"/>
          <w:bCs w:val="0"/>
          <w:color w:val="auto"/>
          <w:sz w:val="32"/>
          <w:szCs w:val="32"/>
          <w:highlight w:val="none"/>
          <w:lang w:val="en-US" w:eastAsia="zh-CN" w:bidi="ar-SA"/>
        </w:rPr>
      </w:pPr>
      <w:r>
        <w:rPr>
          <w:rFonts w:hint="eastAsia" w:ascii="Microsoft New Tai Lue" w:hAnsi="Microsoft New Tai Lue" w:eastAsia="宋体" w:cs="宋体"/>
          <w:b/>
          <w:bCs/>
          <w:color w:val="auto"/>
          <w:sz w:val="32"/>
          <w:szCs w:val="32"/>
          <w:highlight w:val="none"/>
          <w:lang w:val="en-US" w:eastAsia="zh-CN" w:bidi="ar-SA"/>
        </w:rPr>
        <w:t xml:space="preserve">供应商名称：</w:t>
      </w:r>
      <w:r>
        <w:rPr>
          <w:rFonts w:hint="default" w:ascii="Microsoft New Tai Lue" w:hAnsi="Microsoft New Tai Lue" w:eastAsia="宋体" w:cs="Microsoft New Tai Lue"/>
          <w:b/>
          <w:bCs/>
          <w:color w:val="auto"/>
          <w:sz w:val="32"/>
          <w:szCs w:val="32"/>
          <w:highlight w:val="none"/>
          <w:lang w:val="en-US" w:eastAsia="zh-CN" w:bidi="ar-SA"/>
        </w:rPr>
        <w:t xml:space="preserve">_____________________</w:t>
      </w:r>
      <w:r/>
    </w:p>
    <w:p>
      <w:pPr>
        <w:ind w:left="74" w:firstLine="482"/>
        <w:jc w:val="center"/>
        <w:spacing w:line="360" w:lineRule="auto"/>
        <w:widowControl w:val="off"/>
        <w:rPr>
          <w:rFonts w:hint="default" w:ascii="Microsoft New Tai Lue" w:hAnsi="Microsoft New Tai Lue" w:eastAsia="宋体" w:cs="Microsoft New Tai Lue"/>
          <w:b w:val="0"/>
          <w:bCs w:val="0"/>
          <w:color w:val="auto"/>
          <w:sz w:val="32"/>
          <w:szCs w:val="32"/>
          <w:highlight w:val="none"/>
          <w:lang w:val="en-US" w:eastAsia="zh-CN" w:bidi="ar-SA"/>
        </w:rPr>
      </w:pPr>
      <w:r>
        <w:rPr>
          <w:rFonts w:hint="eastAsia" w:ascii="Microsoft New Tai Lue" w:hAnsi="Microsoft New Tai Lue" w:eastAsia="宋体" w:cs="宋体"/>
          <w:b/>
          <w:bCs/>
          <w:color w:val="auto"/>
          <w:sz w:val="32"/>
          <w:szCs w:val="32"/>
          <w:highlight w:val="none"/>
          <w:lang w:val="en-US" w:eastAsia="zh-CN" w:bidi="ar-SA"/>
        </w:rPr>
        <w:t xml:space="preserve">地址：</w:t>
      </w:r>
      <w:r>
        <w:rPr>
          <w:rFonts w:hint="default" w:ascii="Microsoft New Tai Lue" w:hAnsi="Microsoft New Tai Lue" w:eastAsia="宋体" w:cs="Microsoft New Tai Lue"/>
          <w:b/>
          <w:bCs/>
          <w:color w:val="auto"/>
          <w:sz w:val="32"/>
          <w:szCs w:val="32"/>
          <w:highlight w:val="none"/>
          <w:lang w:val="en-US" w:eastAsia="zh-CN" w:bidi="ar-SA"/>
        </w:rPr>
        <w:t xml:space="preserve">_____________________</w:t>
      </w:r>
      <w:r/>
    </w:p>
    <w:p>
      <w:pPr>
        <w:ind w:left="74" w:firstLine="482"/>
        <w:jc w:val="center"/>
        <w:spacing w:before="100" w:after="100" w:line="360" w:lineRule="auto"/>
        <w:rPr>
          <w:rFonts w:hint="eastAsia" w:ascii="宋体" w:hAnsi="宋体" w:cs="Times New Roman"/>
          <w:color w:val="auto"/>
          <w:szCs w:val="21"/>
          <w:highlight w:val="none"/>
          <w:lang w:val="en-US" w:eastAsia="zh-CN" w:bidi="ar-SA"/>
        </w:rPr>
      </w:pPr>
      <w:r>
        <w:rPr>
          <w:rFonts w:hint="eastAsia" w:ascii="Microsoft New Tai Lue" w:hAnsi="Microsoft New Tai Lue" w:cs="宋体"/>
          <w:b/>
          <w:bCs/>
          <w:color w:val="auto"/>
          <w:sz w:val="32"/>
          <w:szCs w:val="32"/>
          <w:highlight w:val="none"/>
          <w:lang w:val="en-US" w:eastAsia="zh-CN" w:bidi="ar-SA"/>
        </w:rPr>
        <w:t xml:space="preserve">二</w:t>
      </w:r>
      <w:r>
        <w:rPr>
          <w:rFonts w:ascii="Microsoft New Tai Lue" w:hAnsi="Microsoft New Tai Lue" w:cs="Microsoft New Tai Lue"/>
          <w:b/>
          <w:bCs/>
          <w:color w:val="auto"/>
          <w:sz w:val="32"/>
          <w:szCs w:val="32"/>
          <w:highlight w:val="none"/>
          <w:lang w:val="en-US" w:eastAsia="zh-CN" w:bidi="ar-SA"/>
        </w:rPr>
        <w:t xml:space="preserve">O   </w:t>
      </w:r>
      <w:r>
        <w:rPr>
          <w:rFonts w:hint="eastAsia" w:ascii="Microsoft New Tai Lue" w:hAnsi="Microsoft New Tai Lue" w:cs="宋体"/>
          <w:b/>
          <w:bCs/>
          <w:color w:val="auto"/>
          <w:sz w:val="32"/>
          <w:szCs w:val="32"/>
          <w:highlight w:val="none"/>
          <w:lang w:val="en-US" w:eastAsia="zh-CN" w:bidi="ar-SA"/>
        </w:rPr>
        <w:t xml:space="preserve">年    月    日</w:t>
      </w:r>
      <w:r/>
    </w:p>
    <w:p>
      <w:pPr>
        <w:ind w:firstLine="316"/>
        <w:jc w:val="both"/>
        <w:spacing w:line="240" w:lineRule="auto"/>
        <w:widowControl w:val="off"/>
        <w:rPr>
          <w:rFonts w:hint="default" w:ascii="宋体" w:hAnsi="Courier New" w:eastAsia="宋体" w:cs="Times New Roman"/>
          <w:b/>
          <w:bCs/>
          <w:color w:val="auto"/>
          <w:sz w:val="28"/>
          <w:szCs w:val="28"/>
          <w:highlight w:val="none"/>
          <w:lang w:val="en-US" w:eastAsia="zh-CN" w:bidi="ar-SA"/>
        </w:rPr>
      </w:pPr>
      <w:r>
        <w:rPr>
          <w:rFonts w:hint="default" w:ascii="宋体" w:hAnsi="Courier New" w:eastAsia="宋体" w:cs="Times New Roman"/>
          <w:b/>
          <w:bCs/>
          <w:color w:val="auto"/>
          <w:sz w:val="21"/>
          <w:szCs w:val="21"/>
          <w:highlight w:val="none"/>
          <w:lang w:val="en-US" w:eastAsia="zh-CN" w:bidi="ar-SA"/>
        </w:rPr>
        <w:br w:type="page" w:clear="all"/>
      </w:r>
      <w:r>
        <w:rPr>
          <w:rFonts w:hint="eastAsia" w:ascii="宋体" w:hAnsi="Courier New" w:eastAsia="宋体" w:cs="宋体"/>
          <w:b/>
          <w:bCs/>
          <w:color w:val="auto"/>
          <w:sz w:val="21"/>
          <w:szCs w:val="21"/>
          <w:highlight w:val="none"/>
          <w:lang w:val="en-US" w:eastAsia="zh-CN" w:bidi="ar-SA"/>
        </w:rPr>
        <w:t xml:space="preserve">目录</w:t>
      </w:r>
      <w:r/>
    </w:p>
    <w:p>
      <w:pPr>
        <w:ind w:firstLine="316"/>
        <w:jc w:val="both"/>
        <w:spacing w:line="240" w:lineRule="auto"/>
        <w:widowControl w:val="off"/>
        <w:rPr>
          <w:rFonts w:hint="default" w:ascii="宋体" w:hAnsi="Courier New" w:eastAsia="宋体" w:cs="Times New Roman"/>
          <w:b/>
          <w:bCs/>
          <w:color w:val="auto"/>
          <w:sz w:val="21"/>
          <w:szCs w:val="21"/>
          <w:highlight w:val="none"/>
          <w:lang w:val="en-US" w:eastAsia="zh-CN" w:bidi="ar-SA"/>
        </w:rPr>
      </w:pPr>
      <w:r>
        <w:rPr>
          <w:rFonts w:hint="eastAsia" w:ascii="宋体" w:hAnsi="Courier New" w:eastAsia="宋体" w:cs="宋体"/>
          <w:b/>
          <w:bCs/>
          <w:color w:val="auto"/>
          <w:sz w:val="21"/>
          <w:szCs w:val="21"/>
          <w:highlight w:val="none"/>
          <w:lang w:val="en-US" w:eastAsia="zh-CN" w:bidi="ar-SA"/>
        </w:rPr>
        <w:t xml:space="preserve">一、价格及商务部分</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）投标函，格式见附件。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）法定代表人（单位负责人）身份证明，格式见附件。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3-1</w:t>
      </w:r>
      <w:r>
        <w:rPr>
          <w:rFonts w:hint="eastAsia" w:ascii="宋体" w:hAnsi="宋体" w:cs="宋体"/>
          <w:color w:val="auto"/>
          <w:szCs w:val="21"/>
          <w:highlight w:val="none"/>
          <w:lang w:val="en-US" w:eastAsia="zh-CN" w:bidi="ar-SA"/>
        </w:rPr>
        <w:t xml:space="preserve">）法定代表人（单位负责人）授权委托书（适用于法人</w:t>
      </w:r>
      <w:r>
        <w:rPr>
          <w:rFonts w:ascii="宋体" w:hAnsi="宋体" w:cs="宋体"/>
          <w:color w:val="auto"/>
          <w:szCs w:val="21"/>
          <w:highlight w:val="none"/>
          <w:lang w:val="en-US" w:eastAsia="zh-CN" w:bidi="ar-SA"/>
        </w:rPr>
        <w:t xml:space="preserve">/</w:t>
      </w:r>
      <w:r>
        <w:rPr>
          <w:rFonts w:hint="eastAsia" w:ascii="宋体" w:hAnsi="宋体" w:cs="宋体"/>
          <w:color w:val="auto"/>
          <w:szCs w:val="21"/>
          <w:highlight w:val="none"/>
          <w:lang w:val="en-US" w:eastAsia="zh-CN" w:bidi="ar-SA"/>
        </w:rPr>
        <w:t xml:space="preserve">非法人），格式见附件。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3-2</w:t>
      </w:r>
      <w:r>
        <w:rPr>
          <w:rFonts w:hint="eastAsia" w:ascii="宋体" w:hAnsi="宋体" w:cs="宋体"/>
          <w:color w:val="auto"/>
          <w:szCs w:val="21"/>
          <w:highlight w:val="none"/>
          <w:lang w:val="en-US" w:eastAsia="zh-CN" w:bidi="ar-SA"/>
        </w:rPr>
        <w:t xml:space="preserve">）授权委托书（适用于自然人），格式见附件。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）开标一览表，格式见附件。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-1）分项报价表，格式见附件。</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（5-2）主要关键部件清单一览表（如有），格式见附件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6</w:t>
      </w:r>
      <w:r>
        <w:rPr>
          <w:rFonts w:hint="eastAsia" w:ascii="宋体" w:hAnsi="宋体" w:cs="宋体"/>
          <w:color w:val="auto"/>
          <w:szCs w:val="21"/>
          <w:highlight w:val="none"/>
          <w:lang w:val="en-US" w:eastAsia="zh-CN" w:bidi="ar-SA"/>
        </w:rPr>
        <w:t xml:space="preserve">）商务条款偏离表，格式见附件。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w:t>
      </w:r>
      <w:r>
        <w:rPr>
          <w:rFonts w:hint="eastAsia" w:ascii="宋体" w:hAnsi="宋体" w:cs="宋体"/>
          <w:color w:val="auto"/>
          <w:szCs w:val="21"/>
          <w:highlight w:val="none"/>
          <w:lang w:val="en-US" w:eastAsia="zh-CN" w:bidi="ar-SA"/>
        </w:rPr>
        <w:t xml:space="preserve">）供应商具备投标资格的证明文件（如为南京市政府采购项目，按照公告要求提供）：</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7-1-1</w:t>
      </w:r>
      <w:r>
        <w:rPr>
          <w:rFonts w:hint="eastAsia" w:ascii="宋体" w:hAnsi="宋体" w:cs="宋体"/>
          <w:color w:val="auto"/>
          <w:szCs w:val="21"/>
          <w:highlight w:val="none"/>
          <w:lang w:val="en-US" w:eastAsia="zh-CN" w:bidi="ar-SA"/>
        </w:rPr>
        <w:t xml:space="preserve">）营业执照扫描件或自然人的身份证明扫描件（或具有同等法律效力的证照），格式见附件。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a</w:t>
      </w:r>
      <w:r>
        <w:rPr>
          <w:rFonts w:hint="eastAsia" w:ascii="宋体" w:hAnsi="宋体" w:cs="宋体"/>
          <w:color w:val="auto"/>
          <w:szCs w:val="21"/>
          <w:highlight w:val="none"/>
          <w:lang w:val="en-US" w:eastAsia="zh-CN" w:bidi="ar-SA"/>
        </w:rPr>
        <w:t xml:space="preserve">）供应商为企业（包括合伙企业）的，应提供有效的“营业执照”。</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b</w:t>
      </w:r>
      <w:r>
        <w:rPr>
          <w:rFonts w:hint="eastAsia" w:ascii="宋体" w:hAnsi="宋体" w:cs="宋体"/>
          <w:color w:val="auto"/>
          <w:szCs w:val="21"/>
          <w:highlight w:val="none"/>
          <w:lang w:val="en-US" w:eastAsia="zh-CN" w:bidi="ar-SA"/>
        </w:rPr>
        <w:t xml:space="preserve">）供应商为事业单位的，应提供有效的“事业单位法人证书”。</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c</w:t>
      </w:r>
      <w:r>
        <w:rPr>
          <w:rFonts w:hint="eastAsia" w:ascii="宋体" w:hAnsi="宋体" w:cs="宋体"/>
          <w:color w:val="auto"/>
          <w:szCs w:val="21"/>
          <w:highlight w:val="none"/>
          <w:lang w:val="en-US" w:eastAsia="zh-CN" w:bidi="ar-SA"/>
        </w:rPr>
        <w:t xml:space="preserve">）供应商是非企业机构的，应提供有效的“执业许可证”、“登记证书”等证明文件。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d</w:t>
      </w:r>
      <w:r>
        <w:rPr>
          <w:rFonts w:hint="eastAsia" w:ascii="宋体" w:hAnsi="宋体" w:cs="宋体"/>
          <w:color w:val="auto"/>
          <w:szCs w:val="21"/>
          <w:highlight w:val="none"/>
          <w:lang w:val="en-US" w:eastAsia="zh-CN" w:bidi="ar-SA"/>
        </w:rPr>
        <w:t xml:space="preserve">）供应商是个体工商户的，应提供有效的“个体工商户营业执照”。</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e</w:t>
      </w:r>
      <w:r>
        <w:rPr>
          <w:rFonts w:hint="eastAsia" w:ascii="宋体" w:hAnsi="宋体" w:cs="宋体"/>
          <w:color w:val="auto"/>
          <w:szCs w:val="21"/>
          <w:highlight w:val="none"/>
          <w:lang w:val="en-US" w:eastAsia="zh-CN" w:bidi="ar-SA"/>
        </w:rPr>
        <w:t xml:space="preserve">）供应商是自然人的，应提供有效的自然人身份证明。</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f</w:t>
      </w:r>
      <w:r>
        <w:rPr>
          <w:rFonts w:hint="eastAsia" w:ascii="宋体" w:hAnsi="宋体" w:cs="宋体"/>
          <w:color w:val="auto"/>
          <w:szCs w:val="21"/>
          <w:highlight w:val="none"/>
          <w:lang w:val="en-US" w:eastAsia="zh-CN" w:bidi="ar-SA"/>
        </w:rPr>
        <w:t xml:space="preserve">）若本项目允许分支机构参加投标，则分支机构参加投标的，此处可提供该分支机构或其所属法人或其他组织的相应证明文件。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7-1-2</w:t>
      </w:r>
      <w:r>
        <w:rPr>
          <w:rFonts w:hint="eastAsia" w:ascii="宋体" w:hAnsi="宋体" w:cs="宋体"/>
          <w:color w:val="auto"/>
          <w:szCs w:val="21"/>
          <w:highlight w:val="none"/>
          <w:lang w:val="en-US" w:eastAsia="zh-CN" w:bidi="ar-SA"/>
        </w:rPr>
        <w:t xml:space="preserve">）工商变更登记文件（如需），如发生了单位名称等变更的，需提供工商变更登记文件，格式见附件。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7-2</w:t>
      </w:r>
      <w:r>
        <w:rPr>
          <w:rFonts w:hint="eastAsia" w:ascii="宋体" w:hAnsi="宋体" w:cs="宋体"/>
          <w:color w:val="auto"/>
          <w:szCs w:val="21"/>
          <w:highlight w:val="none"/>
          <w:lang w:val="en-US" w:eastAsia="zh-CN" w:bidi="ar-SA"/>
        </w:rPr>
        <w:t xml:space="preserve">）财务报表，格式见附件。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7-3</w:t>
      </w:r>
      <w:r>
        <w:rPr>
          <w:rFonts w:hint="eastAsia" w:ascii="宋体" w:hAnsi="宋体" w:cs="宋体"/>
          <w:color w:val="auto"/>
          <w:szCs w:val="21"/>
          <w:highlight w:val="none"/>
          <w:lang w:val="en-US" w:eastAsia="zh-CN" w:bidi="ar-SA"/>
        </w:rPr>
        <w:t xml:space="preserve">）具有履行合同所必需的设备和专业技术能力的相关证明材料或承诺函，格式见附件。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7-4</w:t>
      </w:r>
      <w:r>
        <w:rPr>
          <w:rFonts w:hint="eastAsia" w:ascii="宋体" w:hAnsi="宋体" w:cs="宋体"/>
          <w:color w:val="auto"/>
          <w:szCs w:val="21"/>
          <w:highlight w:val="none"/>
          <w:lang w:val="en-US" w:eastAsia="zh-CN" w:bidi="ar-SA"/>
        </w:rPr>
        <w:t xml:space="preserve">）依法缴纳税收的相关材料，格式见附件。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7-5</w:t>
      </w:r>
      <w:r>
        <w:rPr>
          <w:rFonts w:hint="eastAsia" w:ascii="宋体" w:hAnsi="宋体" w:cs="宋体"/>
          <w:color w:val="auto"/>
          <w:szCs w:val="21"/>
          <w:highlight w:val="none"/>
          <w:lang w:val="en-US" w:eastAsia="zh-CN" w:bidi="ar-SA"/>
        </w:rPr>
        <w:t xml:space="preserve">）依法缴纳社会保障资金的相关材料，格式见附件。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7-6</w:t>
      </w:r>
      <w:r>
        <w:rPr>
          <w:rFonts w:hint="eastAsia" w:ascii="宋体" w:hAnsi="宋体" w:cs="宋体"/>
          <w:color w:val="auto"/>
          <w:szCs w:val="21"/>
          <w:highlight w:val="none"/>
          <w:lang w:val="en-US" w:eastAsia="zh-CN" w:bidi="ar-SA"/>
        </w:rPr>
        <w:t xml:space="preserve">）参加政府采购活动前三年内，在经营活动中没有重大违法记录，格式见附件。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7-7</w:t>
      </w:r>
      <w:r>
        <w:rPr>
          <w:rFonts w:hint="eastAsia" w:ascii="宋体" w:hAnsi="宋体" w:cs="宋体"/>
          <w:color w:val="auto"/>
          <w:szCs w:val="21"/>
          <w:highlight w:val="none"/>
          <w:lang w:val="en-US" w:eastAsia="zh-CN" w:bidi="ar-SA"/>
        </w:rPr>
        <w:t xml:space="preserve">）无不良信用记录承诺函（供应商自行查询适用），格式见附件。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7-8</w:t>
      </w:r>
      <w:r>
        <w:rPr>
          <w:rFonts w:hint="eastAsia" w:ascii="宋体" w:hAnsi="宋体" w:cs="宋体"/>
          <w:color w:val="auto"/>
          <w:szCs w:val="21"/>
          <w:highlight w:val="none"/>
          <w:lang w:val="en-US" w:eastAsia="zh-CN" w:bidi="ar-SA"/>
        </w:rPr>
        <w:t xml:space="preserve">）招标文件要求的其它实质性资格资信证明文件。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8</w:t>
      </w:r>
      <w:r>
        <w:rPr>
          <w:rFonts w:hint="eastAsia" w:ascii="宋体" w:hAnsi="宋体" w:cs="宋体"/>
          <w:color w:val="auto"/>
          <w:szCs w:val="21"/>
          <w:highlight w:val="none"/>
          <w:lang w:val="en-US" w:eastAsia="zh-CN" w:bidi="ar-SA"/>
        </w:rPr>
        <w:t xml:space="preserve">）分包意向协议（如需），格式见附件。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9</w:t>
      </w:r>
      <w:r>
        <w:rPr>
          <w:rFonts w:hint="eastAsia" w:ascii="宋体" w:hAnsi="宋体" w:cs="宋体"/>
          <w:color w:val="auto"/>
          <w:szCs w:val="21"/>
          <w:highlight w:val="none"/>
          <w:lang w:val="en-US" w:eastAsia="zh-CN" w:bidi="ar-SA"/>
        </w:rPr>
        <w:t xml:space="preserve">）公章授权书（如需），格式见附件。</w:t>
      </w:r>
      <w:r/>
    </w:p>
    <w:p>
      <w:pPr>
        <w:ind w:firstLine="316"/>
        <w:jc w:val="both"/>
        <w:spacing w:line="240" w:lineRule="auto"/>
        <w:widowControl w:val="off"/>
        <w:rPr>
          <w:rFonts w:hint="default" w:ascii="宋体" w:hAnsi="Courier New" w:eastAsia="宋体" w:cs="Times New Roman"/>
          <w:b/>
          <w:bCs/>
          <w:color w:val="auto"/>
          <w:sz w:val="21"/>
          <w:szCs w:val="21"/>
          <w:highlight w:val="none"/>
          <w:lang w:val="en-US" w:eastAsia="zh-CN" w:bidi="ar-SA"/>
        </w:rPr>
      </w:pPr>
      <w:r>
        <w:rPr>
          <w:rFonts w:hint="eastAsia" w:ascii="宋体" w:hAnsi="Courier New" w:eastAsia="宋体" w:cs="宋体"/>
          <w:b/>
          <w:bCs/>
          <w:color w:val="auto"/>
          <w:sz w:val="21"/>
          <w:szCs w:val="21"/>
          <w:highlight w:val="none"/>
          <w:lang w:val="en-US" w:eastAsia="zh-CN" w:bidi="ar-SA"/>
        </w:rPr>
        <w:t xml:space="preserve">二、技术部分</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）技术方案或服务方案</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）技术条款偏离表</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（3）技术要求响应表</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（3-1）采购包1▲条款技术要求响应表</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（3-2）采购包2技术要求响应表</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（4）供应商售后服务承诺（如需）</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（5）用于本项目人员表（如需）</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（6）投标标的物符合招标文件规定的证明文件（如需）</w:t>
      </w:r>
      <w:r/>
    </w:p>
    <w:p>
      <w:pPr>
        <w:ind w:firstLine="316"/>
        <w:jc w:val="both"/>
        <w:spacing w:line="240" w:lineRule="auto"/>
        <w:widowControl w:val="off"/>
        <w:rPr>
          <w:rFonts w:hint="default" w:ascii="宋体" w:hAnsi="Courier New" w:eastAsia="宋体" w:cs="Times New Roman"/>
          <w:b/>
          <w:bCs/>
          <w:color w:val="auto"/>
          <w:sz w:val="21"/>
          <w:szCs w:val="21"/>
          <w:highlight w:val="none"/>
          <w:lang w:val="en-US" w:eastAsia="zh-CN" w:bidi="ar-SA"/>
        </w:rPr>
      </w:pPr>
      <w:r>
        <w:rPr>
          <w:rFonts w:hint="eastAsia" w:ascii="宋体" w:hAnsi="Courier New" w:eastAsia="宋体" w:cs="宋体"/>
          <w:b/>
          <w:bCs/>
          <w:color w:val="auto"/>
          <w:sz w:val="21"/>
          <w:szCs w:val="21"/>
          <w:highlight w:val="none"/>
          <w:lang w:val="en-US" w:eastAsia="zh-CN" w:bidi="ar-SA"/>
        </w:rPr>
        <w:t xml:space="preserve">三、其他部分</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）提供符合政府采购政策的证明材料</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）供应商认为需提供的其他文件或证明材料</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）要求供应商提交的其他文件材料或证明材料</w:t>
      </w:r>
      <w:r/>
    </w:p>
    <w:p>
      <w:pPr>
        <w:ind w:left="-141" w:firstLine="0"/>
        <w:jc w:val="center"/>
        <w:spacing w:before="240" w:after="60" w:line="360" w:lineRule="auto"/>
        <w:widowControl w:val="off"/>
        <w:rPr>
          <w:rFonts w:hint="default" w:ascii="Cambria" w:hAnsi="Cambria" w:eastAsia="宋体" w:cs="Times New Roman"/>
          <w:b/>
          <w:bCs/>
          <w:color w:val="auto"/>
          <w:sz w:val="32"/>
          <w:szCs w:val="32"/>
          <w:highlight w:val="none"/>
          <w:lang w:val="en-US" w:eastAsia="zh-CN" w:bidi="ar-SA"/>
        </w:rPr>
        <w:outlineLvl w:val="1"/>
      </w:pPr>
      <w:r>
        <w:rPr>
          <w:rFonts w:hint="default" w:ascii="Cambria" w:hAnsi="Cambria" w:eastAsia="宋体" w:cs="Times New Roman"/>
          <w:b/>
          <w:bCs/>
          <w:color w:val="auto"/>
          <w:sz w:val="32"/>
          <w:szCs w:val="32"/>
          <w:highlight w:val="none"/>
          <w:lang w:val="en-US" w:eastAsia="zh-CN" w:bidi="ar-SA"/>
        </w:rPr>
        <w:br w:type="page" w:clear="all"/>
      </w:r>
      <w:bookmarkStart w:id="298" w:name="_Toc6719"/>
      <w:r>
        <w:rPr>
          <w:rFonts w:hint="default" w:ascii="Microsoft New Tai Lue" w:hAnsi="Microsoft New Tai Lue" w:eastAsia="宋体" w:cs="宋体"/>
          <w:b/>
          <w:bCs/>
          <w:color w:val="auto"/>
          <w:sz w:val="28"/>
          <w:szCs w:val="28"/>
          <w:highlight w:val="none"/>
          <w:lang w:val="en-US" w:eastAsia="zh-CN" w:bidi="ar-SA"/>
        </w:rPr>
        <w:t xml:space="preserve">一、价格及商务部分</w:t>
      </w:r>
      <w:bookmarkEnd w:id="298"/>
      <w:r/>
      <w:r/>
    </w:p>
    <w:p>
      <w:pPr>
        <w:ind w:left="-142" w:firstLine="0"/>
        <w:jc w:val="center"/>
        <w:keepLines w:val="0"/>
        <w:keepNext w:val="0"/>
        <w:pageBreakBefore w:val="0"/>
        <w:spacing w:before="0" w:after="60" w:line="240" w:lineRule="atLeast"/>
        <w:widowControl w:val="off"/>
        <w:rPr>
          <w:rFonts w:hint="default" w:ascii="Microsoft New Tai Lue" w:hAnsi="Microsoft New Tai Lue" w:eastAsia="宋体" w:cs="Microsoft New Tai Lue"/>
          <w:b/>
          <w:bCs/>
          <w:color w:val="auto"/>
          <w:sz w:val="28"/>
          <w:szCs w:val="28"/>
          <w:highlight w:val="none"/>
          <w:lang w:val="en-US" w:eastAsia="zh-CN" w:bidi="ar-SA"/>
        </w:rPr>
        <w:outlineLvl w:val="2"/>
      </w:pPr>
      <w:r>
        <w:rPr>
          <w:rFonts w:hint="eastAsia" w:ascii="Microsoft New Tai Lue" w:hAnsi="Microsoft New Tai Lue" w:eastAsia="宋体" w:cs="宋体"/>
          <w:b w:val="0"/>
          <w:bCs w:val="0"/>
          <w:color w:val="auto"/>
          <w:sz w:val="24"/>
          <w:szCs w:val="24"/>
          <w:highlight w:val="none"/>
          <w:lang w:val="en-US" w:eastAsia="zh-CN" w:bidi="ar-SA"/>
        </w:rPr>
        <w:t xml:space="preserve">（</w:t>
      </w:r>
      <w:r>
        <w:rPr>
          <w:rFonts w:hint="default" w:ascii="Microsoft New Tai Lue" w:hAnsi="Microsoft New Tai Lue" w:eastAsia="宋体" w:cs="Microsoft New Tai Lue"/>
          <w:b w:val="0"/>
          <w:bCs w:val="0"/>
          <w:color w:val="auto"/>
          <w:sz w:val="24"/>
          <w:szCs w:val="24"/>
          <w:highlight w:val="none"/>
          <w:lang w:val="en-US" w:eastAsia="zh-CN" w:bidi="ar-SA"/>
        </w:rPr>
        <w:t xml:space="preserve">1</w:t>
      </w:r>
      <w:r>
        <w:rPr>
          <w:rFonts w:hint="eastAsia" w:ascii="Microsoft New Tai Lue" w:hAnsi="Microsoft New Tai Lue" w:eastAsia="宋体" w:cs="宋体"/>
          <w:b w:val="0"/>
          <w:bCs w:val="0"/>
          <w:color w:val="auto"/>
          <w:sz w:val="24"/>
          <w:szCs w:val="24"/>
          <w:highlight w:val="none"/>
          <w:lang w:val="en-US" w:eastAsia="zh-CN" w:bidi="ar-SA"/>
        </w:rPr>
        <w:t xml:space="preserve">）</w:t>
      </w:r>
      <w:r>
        <w:rPr>
          <w:rFonts w:hint="eastAsia" w:ascii="Microsoft New Tai Lue" w:hAnsi="Microsoft New Tai Lue" w:eastAsia="宋体" w:cs="宋体"/>
          <w:b/>
          <w:bCs/>
          <w:color w:val="auto"/>
          <w:sz w:val="28"/>
          <w:szCs w:val="28"/>
          <w:highlight w:val="none"/>
          <w:lang w:val="en-US" w:eastAsia="zh-CN" w:bidi="ar-SA"/>
        </w:rPr>
        <w:t xml:space="preserve">投标函</w:t>
      </w:r>
      <w:r/>
    </w:p>
    <w:p>
      <w:pPr>
        <w:ind w:left="-141" w:firstLine="420"/>
        <w:spacing w:before="156" w:line="360" w:lineRule="exact"/>
        <w:rPr>
          <w:rFonts w:hint="eastAsia" w:ascii="宋体" w:hAnsi="宋体" w:cs="Times New Roman"/>
          <w:color w:val="auto"/>
          <w:szCs w:val="21"/>
          <w:highlight w:val="none"/>
          <w:lang w:val="en-US" w:eastAsia="zh-CN" w:bidi="ar-SA"/>
        </w:rPr>
      </w:pPr>
      <w:r/>
      <w:bookmarkStart w:id="299" w:name="_Toc103848580"/>
      <w:r/>
      <w:bookmarkStart w:id="300" w:name="_Toc96347902"/>
      <w:r>
        <w:rPr>
          <w:rFonts w:hint="eastAsia" w:ascii="宋体" w:hAnsi="宋体" w:cs="宋体"/>
          <w:color w:val="auto"/>
          <w:szCs w:val="21"/>
          <w:highlight w:val="none"/>
          <w:u w:val="single"/>
          <w:lang w:val="en-US" w:eastAsia="zh-CN" w:bidi="ar-SA"/>
        </w:rPr>
        <w:t xml:space="preserve">（采购人）</w:t>
      </w:r>
      <w:r>
        <w:rPr>
          <w:rFonts w:hint="eastAsia" w:ascii="宋体" w:hAnsi="宋体" w:cs="宋体"/>
          <w:color w:val="auto"/>
          <w:szCs w:val="21"/>
          <w:highlight w:val="none"/>
          <w:lang w:val="en-US" w:eastAsia="zh-CN" w:bidi="ar-SA"/>
        </w:rPr>
        <w:t xml:space="preserve">：</w:t>
      </w:r>
      <w:r/>
    </w:p>
    <w:p>
      <w:pPr>
        <w:ind w:left="-141" w:firstLine="420"/>
        <w:jc w:val="left"/>
        <w:spacing w:before="156" w:line="360" w:lineRule="exact"/>
        <w:rPr>
          <w:rFonts w:hint="eastAsia" w:ascii="宋体" w:hAnsi="宋体" w:cs="Times New Roman"/>
          <w:color w:val="auto"/>
          <w:szCs w:val="21"/>
          <w:highlight w:val="none"/>
          <w:lang w:val="en-US" w:eastAsia="zh-CN" w:bidi="ar-SA"/>
        </w:rPr>
      </w:pPr>
      <w:r>
        <w:rPr>
          <w:rFonts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u w:val="single"/>
          <w:lang w:val="en-US" w:eastAsia="zh-CN" w:bidi="ar-SA"/>
        </w:rPr>
        <w:t xml:space="preserve">供应商全称</w:t>
      </w:r>
      <w:r>
        <w:rPr>
          <w:rFonts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授权</w:t>
      </w:r>
      <w:r>
        <w:rPr>
          <w:rFonts w:hint="eastAsia" w:ascii="宋体" w:hAnsi="宋体" w:cs="宋体"/>
          <w:color w:val="auto"/>
          <w:szCs w:val="21"/>
          <w:highlight w:val="none"/>
          <w:u w:val="single"/>
          <w:lang w:val="en-US" w:eastAsia="zh-CN" w:bidi="ar-SA"/>
        </w:rPr>
        <w:t xml:space="preserve">（授权代表姓名）（职位）</w:t>
      </w:r>
      <w:r>
        <w:rPr>
          <w:rFonts w:hint="eastAsia" w:ascii="宋体" w:hAnsi="宋体" w:cs="宋体"/>
          <w:color w:val="auto"/>
          <w:szCs w:val="21"/>
          <w:highlight w:val="none"/>
          <w:lang w:val="en-US" w:eastAsia="zh-CN" w:bidi="ar-SA"/>
        </w:rPr>
        <w:t xml:space="preserve">为全权代表，参加贵方组织的</w:t>
      </w:r>
      <w:r>
        <w:rPr>
          <w:rFonts w:hint="eastAsia" w:ascii="宋体" w:hAnsi="宋体" w:cs="宋体"/>
          <w:color w:val="auto"/>
          <w:szCs w:val="21"/>
          <w:highlight w:val="none"/>
          <w:u w:val="single"/>
          <w:lang w:val="en-US" w:eastAsia="zh-CN" w:bidi="ar-SA"/>
        </w:rPr>
        <w:t xml:space="preserve">（项目名称、项目编号、采购包号）</w:t>
      </w:r>
      <w:r>
        <w:rPr>
          <w:rFonts w:hint="eastAsia" w:ascii="宋体" w:hAnsi="宋体" w:cs="宋体"/>
          <w:color w:val="auto"/>
          <w:szCs w:val="21"/>
          <w:highlight w:val="none"/>
          <w:lang w:val="en-US" w:eastAsia="zh-CN" w:bidi="ar-SA"/>
        </w:rPr>
        <w:t xml:space="preserve">投标的有关活动，并对此项目进行投标。</w:t>
      </w:r>
      <w:r/>
    </w:p>
    <w:p>
      <w:pPr>
        <w:ind w:left="-141" w:firstLine="420"/>
        <w:jc w:val="left"/>
        <w:spacing w:before="156" w:line="36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为此：</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eastAsia="宋体" w:cs="宋体"/>
          <w:color w:val="auto"/>
          <w:sz w:val="21"/>
          <w:szCs w:val="21"/>
          <w:highlight w:val="none"/>
          <w:lang w:val="en-US" w:eastAsia="zh-CN" w:bidi="ar-SA"/>
        </w:rPr>
        <w:t xml:space="preserve">、提供投标人须知规定的全部投标文件。</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w:t>
      </w:r>
      <w:r>
        <w:rPr>
          <w:rFonts w:hint="eastAsia" w:ascii="Times New Roman" w:hAnsi="Times New Roman" w:eastAsia="宋体" w:cs="宋体"/>
          <w:color w:val="auto"/>
          <w:sz w:val="21"/>
          <w:szCs w:val="21"/>
          <w:highlight w:val="none"/>
          <w:lang w:val="en-US" w:eastAsia="zh-CN" w:bidi="ar-SA"/>
        </w:rPr>
        <w:t xml:space="preserve">、我方将按采购文件的规定履行全部责任和义务。</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3</w:t>
      </w:r>
      <w:r>
        <w:rPr>
          <w:rFonts w:hint="eastAsia" w:ascii="Times New Roman" w:hAnsi="Times New Roman" w:eastAsia="宋体" w:cs="宋体"/>
          <w:color w:val="auto"/>
          <w:sz w:val="21"/>
          <w:szCs w:val="21"/>
          <w:highlight w:val="none"/>
          <w:lang w:val="en-US" w:eastAsia="zh-CN" w:bidi="ar-SA"/>
        </w:rPr>
        <w:t xml:space="preserve">、我方已详细审查全部采购文件，我们完全理解并同意放弃对采购文件提出质疑或争议的权利。</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4</w:t>
      </w:r>
      <w:r>
        <w:rPr>
          <w:rFonts w:hint="eastAsia" w:ascii="Times New Roman" w:hAnsi="Times New Roman" w:eastAsia="宋体" w:cs="宋体"/>
          <w:color w:val="auto"/>
          <w:sz w:val="21"/>
          <w:szCs w:val="21"/>
          <w:highlight w:val="none"/>
          <w:lang w:val="en-US" w:eastAsia="zh-CN" w:bidi="ar-SA"/>
        </w:rPr>
        <w:t xml:space="preserve">、本投标有效期为自投标日起</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90</w:t>
      </w:r>
      <w:r>
        <w:rPr>
          <w:rFonts w:hint="default" w:ascii="宋体" w:hAnsi="宋体" w:eastAsia="宋体" w:cs="Times New Roman"/>
          <w:color w:val="auto"/>
          <w:sz w:val="21"/>
          <w:szCs w:val="21"/>
          <w:highlight w:val="none"/>
          <w:u w:val="single"/>
          <w:lang w:val="en-US" w:eastAsia="zh-CN" w:bidi="ar-SA"/>
        </w:rPr>
        <w:t xml:space="preserve"> </w:t>
      </w:r>
      <w:r>
        <w:rPr>
          <w:rFonts w:hint="eastAsia" w:ascii="Times New Roman" w:hAnsi="Times New Roman" w:eastAsia="宋体" w:cs="宋体"/>
          <w:color w:val="auto"/>
          <w:sz w:val="21"/>
          <w:szCs w:val="21"/>
          <w:highlight w:val="none"/>
          <w:lang w:val="en-US" w:eastAsia="zh-CN" w:bidi="ar-SA"/>
        </w:rPr>
        <w:t xml:space="preserve">个日历日。</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5</w:t>
      </w:r>
      <w:r>
        <w:rPr>
          <w:rFonts w:hint="eastAsia" w:ascii="Times New Roman" w:hAnsi="Times New Roman" w:eastAsia="宋体" w:cs="宋体"/>
          <w:color w:val="auto"/>
          <w:sz w:val="21"/>
          <w:szCs w:val="21"/>
          <w:highlight w:val="none"/>
          <w:lang w:val="en-US" w:eastAsia="zh-CN" w:bidi="ar-SA"/>
        </w:rPr>
        <w:t xml:space="preserve">、我方同意贵方查询或调查我们提交的与本投标文件有关的声明、文件和资料，并同意在贵方的要求下提供相关文件或证书的原件及其他相关书面材料。</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6</w:t>
      </w:r>
      <w:r>
        <w:rPr>
          <w:rFonts w:hint="eastAsia" w:ascii="Times New Roman" w:hAnsi="Times New Roman" w:eastAsia="宋体" w:cs="宋体"/>
          <w:color w:val="auto"/>
          <w:sz w:val="21"/>
          <w:szCs w:val="21"/>
          <w:highlight w:val="none"/>
          <w:lang w:val="en-US" w:eastAsia="zh-CN" w:bidi="ar-SA"/>
        </w:rPr>
        <w:t xml:space="preserve">、我方在法律和财务上独立、合法运作并独立于采购方，与采购人为本项目所委托的咨询单位或其附属机构没有直接或间接的任何关联。</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7</w:t>
      </w:r>
      <w:r>
        <w:rPr>
          <w:rFonts w:hint="eastAsia" w:ascii="Times New Roman" w:hAnsi="Times New Roman" w:eastAsia="宋体" w:cs="宋体"/>
          <w:color w:val="auto"/>
          <w:sz w:val="21"/>
          <w:szCs w:val="21"/>
          <w:highlight w:val="none"/>
          <w:lang w:val="en-US" w:eastAsia="zh-CN" w:bidi="ar-SA"/>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8</w:t>
      </w:r>
      <w:r>
        <w:rPr>
          <w:rFonts w:hint="eastAsia" w:ascii="Times New Roman" w:hAnsi="Times New Roman" w:eastAsia="宋体" w:cs="宋体"/>
          <w:color w:val="auto"/>
          <w:sz w:val="21"/>
          <w:szCs w:val="21"/>
          <w:highlight w:val="none"/>
          <w:lang w:val="en-US" w:eastAsia="zh-CN" w:bidi="ar-SA"/>
        </w:rPr>
        <w:t xml:space="preserve">、我方保证投标文件所提供的全部资料真实可靠，同意提供贵方要求的与该项投标有关的数据或资料，完全理解贵方不一定接受最低价的投标或收到的任何投标。</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9</w:t>
      </w:r>
      <w:r>
        <w:rPr>
          <w:rFonts w:hint="eastAsia" w:ascii="Times New Roman" w:hAnsi="Times New Roman" w:eastAsia="宋体" w:cs="宋体"/>
          <w:color w:val="auto"/>
          <w:sz w:val="21"/>
          <w:szCs w:val="21"/>
          <w:highlight w:val="none"/>
          <w:lang w:val="en-US" w:eastAsia="zh-CN" w:bidi="ar-SA"/>
        </w:rPr>
        <w:t xml:space="preserve">、与本投标有关的一切往来通讯请寄：</w:t>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地址：</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邮编：</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联系人：</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手机：</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邮箱：</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供应商名称（公章）：</w:t>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法定代表人（单位负责人）</w:t>
      </w:r>
      <w:r/>
    </w:p>
    <w:p>
      <w:pPr>
        <w:ind w:left="-141" w:firstLine="367"/>
        <w:spacing w:line="40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或其授权代表（签字或盖章）：</w:t>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p>
    <w:p>
      <w:pPr>
        <w:ind w:left="-141" w:firstLine="367"/>
        <w:spacing w:line="400" w:lineRule="exact"/>
        <w:rPr>
          <w:rFonts w:hint="eastAsia" w:ascii="宋体" w:hAnsi="宋体" w:eastAsia="黑体" w:cs="Times New Roman"/>
          <w:b/>
          <w:bCs/>
          <w:color w:val="auto"/>
          <w:sz w:val="32"/>
          <w:szCs w:val="32"/>
          <w:highlight w:val="none"/>
          <w:lang w:val="en-US" w:eastAsia="zh-CN" w:bidi="ar-SA"/>
        </w:rPr>
      </w:pPr>
      <w:r>
        <w:rPr>
          <w:rFonts w:hint="eastAsia" w:ascii="宋体" w:hAnsi="宋体"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74" w:firstLine="482"/>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default" w:ascii="Cambria" w:hAnsi="Cambria" w:eastAsia="宋体" w:cs="Times New Roman"/>
          <w:b/>
          <w:bCs/>
          <w:color w:val="auto"/>
          <w:sz w:val="32"/>
          <w:szCs w:val="32"/>
          <w:highlight w:val="none"/>
          <w:lang w:val="en-US" w:eastAsia="zh-CN" w:bidi="ar-SA"/>
        </w:rPr>
        <w:br w:type="page" w:clear="all"/>
      </w:r>
      <w:bookmarkStart w:id="301" w:name="_Toc104560898"/>
      <w:r/>
      <w:bookmarkStart w:id="302" w:name="_Toc103848583"/>
      <w:r/>
      <w:bookmarkStart w:id="303" w:name="_Toc107246276"/>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2</w:t>
      </w:r>
      <w:r>
        <w:rPr>
          <w:rFonts w:hint="eastAsia" w:ascii="Microsoft New Tai Lue" w:hAnsi="Microsoft New Tai Lue" w:eastAsia="宋体" w:cs="宋体"/>
          <w:b/>
          <w:bCs/>
          <w:color w:val="auto"/>
          <w:sz w:val="24"/>
          <w:szCs w:val="24"/>
          <w:highlight w:val="none"/>
          <w:lang w:val="en-US" w:eastAsia="zh-CN" w:bidi="ar-SA"/>
        </w:rPr>
        <w:t xml:space="preserve">）</w:t>
      </w:r>
      <w:bookmarkEnd w:id="301"/>
      <w:r/>
      <w:bookmarkEnd w:id="302"/>
      <w:r>
        <w:rPr>
          <w:rFonts w:hint="eastAsia" w:ascii="Microsoft New Tai Lue" w:hAnsi="Microsoft New Tai Lue" w:eastAsia="宋体" w:cs="宋体"/>
          <w:b/>
          <w:bCs/>
          <w:color w:val="auto"/>
          <w:sz w:val="24"/>
          <w:szCs w:val="24"/>
          <w:highlight w:val="none"/>
          <w:lang w:val="en-US" w:eastAsia="zh-CN" w:bidi="ar-SA"/>
        </w:rPr>
        <w:t xml:space="preserve">法定代表人（单位负责人）身份证明</w:t>
      </w:r>
      <w:bookmarkEnd w:id="303"/>
      <w:r/>
      <w:r/>
    </w:p>
    <w:p>
      <w:pPr>
        <w:ind w:left="-2" w:firstLine="312"/>
        <w:jc w:val="both"/>
        <w:spacing w:after="120" w:line="360" w:lineRule="auto"/>
        <w:widowControl w:val="off"/>
        <w:tabs>
          <w:tab w:val="left" w:pos="4228" w:leader="none"/>
        </w:tabs>
        <w:rPr>
          <w:rFonts w:hint="default" w:ascii="Microsoft New Tai Lue" w:hAnsi="Microsoft New Tai Lue" w:eastAsia="宋体" w:cs="Microsoft New Tai Lue"/>
          <w:color w:val="auto"/>
          <w:spacing w:val="-1"/>
          <w:sz w:val="21"/>
          <w:szCs w:val="21"/>
          <w:highlight w:val="none"/>
          <w:lang w:val="en-US" w:eastAsia="zh-CN" w:bidi="ar-SA"/>
        </w:rPr>
      </w:pPr>
      <w:r>
        <w:rPr>
          <w:rFonts w:hint="default" w:ascii="Microsoft New Tai Lue" w:hAnsi="Microsoft New Tai Lue" w:eastAsia="宋体" w:cs="Microsoft New Tai Lue"/>
          <w:color w:val="auto"/>
          <w:spacing w:val="-1"/>
          <w:sz w:val="21"/>
          <w:szCs w:val="21"/>
          <w:highlight w:val="none"/>
          <w:lang w:val="en-US" w:eastAsia="zh-CN" w:bidi="ar-SA"/>
        </w:rPr>
      </w:r>
      <w:r/>
    </w:p>
    <w:p>
      <w:pPr>
        <w:ind w:left="-2" w:firstLine="312"/>
        <w:jc w:val="both"/>
        <w:spacing w:after="120" w:line="360" w:lineRule="auto"/>
        <w:widowControl w:val="off"/>
        <w:tabs>
          <w:tab w:val="left" w:pos="4228" w:leader="none"/>
        </w:tabs>
        <w:rPr>
          <w:rFonts w:hint="default" w:ascii="Microsoft New Tai Lue" w:hAnsi="Microsoft New Tai Lue" w:eastAsia="宋体" w:cs="Microsoft New Tai Lue"/>
          <w:color w:val="auto"/>
          <w:spacing w:val="-1"/>
          <w:sz w:val="21"/>
          <w:szCs w:val="21"/>
          <w:highlight w:val="none"/>
          <w:lang w:val="en-US" w:eastAsia="zh-CN" w:bidi="ar-SA"/>
        </w:rPr>
      </w:pPr>
      <w:r>
        <w:rPr>
          <w:rFonts w:hint="default" w:ascii="Microsoft New Tai Lue" w:hAnsi="Microsoft New Tai Lue" w:eastAsia="宋体" w:cs="Microsoft New Tai Lue"/>
          <w:color w:val="auto"/>
          <w:spacing w:val="-1"/>
          <w:sz w:val="21"/>
          <w:szCs w:val="21"/>
          <w:highlight w:val="none"/>
          <w:lang w:val="en-US" w:eastAsia="zh-CN" w:bidi="ar-SA"/>
        </w:rPr>
      </w:r>
      <w:r/>
    </w:p>
    <w:p>
      <w:pPr>
        <w:ind w:left="-141" w:firstLine="420"/>
        <w:jc w:val="both"/>
        <w:spacing w:after="120" w:line="360" w:lineRule="auto"/>
        <w:widowControl w:val="off"/>
        <w:tabs>
          <w:tab w:val="left" w:pos="4228" w:leader="none"/>
        </w:tabs>
        <w:rPr>
          <w:rFonts w:hint="default" w:ascii="Times New Roman" w:hAnsi="Times New Roman" w:eastAsia="Times New Roman"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供应商名</w:t>
      </w:r>
      <w:r>
        <w:rPr>
          <w:rFonts w:hint="eastAsia" w:ascii="Times New Roman" w:hAnsi="Times New Roman" w:eastAsia="宋体" w:cs="宋体"/>
          <w:color w:val="auto"/>
          <w:spacing w:val="-3"/>
          <w:sz w:val="21"/>
          <w:szCs w:val="21"/>
          <w:highlight w:val="none"/>
          <w:lang w:val="en-US" w:eastAsia="zh-CN" w:bidi="ar-SA"/>
        </w:rPr>
        <w:t xml:space="preserve">称</w:t>
      </w:r>
      <w:r>
        <w:rPr>
          <w:rFonts w:hint="eastAsia" w:ascii="Times New Roman" w:hAnsi="Times New Roman" w:eastAsia="宋体" w:cs="宋体"/>
          <w:color w:val="auto"/>
          <w:sz w:val="21"/>
          <w:szCs w:val="21"/>
          <w:highlight w:val="none"/>
          <w:lang w:val="en-US" w:eastAsia="zh-CN" w:bidi="ar-SA"/>
        </w:rPr>
        <w:t xml:space="preserve">：</w:t>
      </w:r>
      <w:r>
        <w:rPr>
          <w:rFonts w:hint="default" w:ascii="Times New Roman" w:hAnsi="Times New Roman" w:eastAsia="Times New Roman" w:cs="Times New Roman"/>
          <w:color w:val="auto"/>
          <w:sz w:val="21"/>
          <w:szCs w:val="21"/>
          <w:highlight w:val="none"/>
          <w:u w:val="single"/>
          <w:lang w:val="en-US" w:eastAsia="zh-CN" w:bidi="ar-SA"/>
        </w:rPr>
        <w:tab/>
      </w:r>
      <w:r/>
    </w:p>
    <w:p>
      <w:pPr>
        <w:ind w:left="-141" w:firstLine="420"/>
        <w:jc w:val="both"/>
        <w:spacing w:before="170" w:after="120" w:line="360" w:lineRule="auto"/>
        <w:widowControl w:val="off"/>
        <w:tabs>
          <w:tab w:val="left" w:pos="2712" w:leader="none"/>
          <w:tab w:val="left" w:pos="4183" w:leader="none"/>
          <w:tab w:val="left" w:pos="5652" w:leader="none"/>
          <w:tab w:val="left" w:pos="7169" w:leader="none"/>
        </w:tabs>
        <w:rPr>
          <w:rFonts w:hint="default" w:ascii="Times New Roman" w:hAnsi="Times New Roman" w:eastAsia="Times New Roman"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姓名</w:t>
      </w:r>
      <w:r>
        <w:rPr>
          <w:rFonts w:hint="eastAsia" w:ascii="Times New Roman" w:hAnsi="Times New Roman" w:eastAsia="宋体" w:cs="宋体"/>
          <w:color w:val="auto"/>
          <w:spacing w:val="-3"/>
          <w:sz w:val="21"/>
          <w:szCs w:val="21"/>
          <w:highlight w:val="none"/>
          <w:lang w:val="en-US" w:eastAsia="zh-CN" w:bidi="ar-SA"/>
        </w:rPr>
        <w:t xml:space="preserve">：</w:t>
      </w:r>
      <w:r>
        <w:rPr>
          <w:rFonts w:hint="default" w:ascii="Times New Roman" w:hAnsi="Times New Roman" w:eastAsia="宋体" w:cs="Times New Roman"/>
          <w:color w:val="auto"/>
          <w:spacing w:val="-3"/>
          <w:sz w:val="21"/>
          <w:szCs w:val="21"/>
          <w:highlight w:val="none"/>
          <w:u w:val="single"/>
          <w:lang w:val="en-US" w:eastAsia="zh-CN" w:bidi="ar-SA"/>
        </w:rPr>
        <w:tab/>
      </w:r>
      <w:r>
        <w:rPr>
          <w:rFonts w:hint="eastAsia" w:ascii="Times New Roman" w:hAnsi="Times New Roman" w:eastAsia="宋体" w:cs="宋体"/>
          <w:color w:val="auto"/>
          <w:sz w:val="21"/>
          <w:szCs w:val="21"/>
          <w:highlight w:val="none"/>
          <w:lang w:val="en-US" w:eastAsia="zh-CN" w:bidi="ar-SA"/>
        </w:rPr>
        <w:t xml:space="preserve">性别</w:t>
      </w:r>
      <w:r>
        <w:rPr>
          <w:rFonts w:hint="eastAsia" w:ascii="Times New Roman" w:hAnsi="Times New Roman" w:eastAsia="宋体" w:cs="宋体"/>
          <w:color w:val="auto"/>
          <w:spacing w:val="-3"/>
          <w:sz w:val="21"/>
          <w:szCs w:val="21"/>
          <w:highlight w:val="none"/>
          <w:lang w:val="en-US" w:eastAsia="zh-CN" w:bidi="ar-SA"/>
        </w:rPr>
        <w:t xml:space="preserve">：</w:t>
      </w:r>
      <w:r>
        <w:rPr>
          <w:rFonts w:hint="default" w:ascii="Times New Roman" w:hAnsi="Times New Roman" w:eastAsia="宋体" w:cs="Times New Roman"/>
          <w:color w:val="auto"/>
          <w:spacing w:val="-3"/>
          <w:sz w:val="21"/>
          <w:szCs w:val="21"/>
          <w:highlight w:val="none"/>
          <w:u w:val="single"/>
          <w:lang w:val="en-US" w:eastAsia="zh-CN" w:bidi="ar-SA"/>
        </w:rPr>
        <w:tab/>
      </w:r>
      <w:r>
        <w:rPr>
          <w:rFonts w:hint="eastAsia" w:ascii="Times New Roman" w:hAnsi="Times New Roman" w:eastAsia="宋体" w:cs="宋体"/>
          <w:color w:val="auto"/>
          <w:sz w:val="21"/>
          <w:szCs w:val="21"/>
          <w:highlight w:val="none"/>
          <w:lang w:val="en-US" w:eastAsia="zh-CN" w:bidi="ar-SA"/>
        </w:rPr>
        <w:t xml:space="preserve">年</w:t>
      </w:r>
      <w:r>
        <w:rPr>
          <w:rFonts w:hint="eastAsia" w:ascii="Times New Roman" w:hAnsi="Times New Roman" w:eastAsia="宋体" w:cs="宋体"/>
          <w:color w:val="auto"/>
          <w:spacing w:val="-3"/>
          <w:sz w:val="21"/>
          <w:szCs w:val="21"/>
          <w:highlight w:val="none"/>
          <w:lang w:val="en-US" w:eastAsia="zh-CN" w:bidi="ar-SA"/>
        </w:rPr>
        <w:t xml:space="preserve">龄</w:t>
      </w:r>
      <w:r>
        <w:rPr>
          <w:rFonts w:hint="eastAsia" w:ascii="Times New Roman" w:hAnsi="Times New Roman" w:eastAsia="宋体" w:cs="宋体"/>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u w:val="single"/>
          <w:lang w:val="en-US" w:eastAsia="zh-CN" w:bidi="ar-SA"/>
        </w:rPr>
        <w:tab/>
      </w:r>
      <w:r>
        <w:rPr>
          <w:rFonts w:hint="eastAsia" w:ascii="Times New Roman" w:hAnsi="Times New Roman" w:eastAsia="宋体" w:cs="宋体"/>
          <w:color w:val="auto"/>
          <w:spacing w:val="-1"/>
          <w:sz w:val="21"/>
          <w:szCs w:val="21"/>
          <w:highlight w:val="none"/>
          <w:lang w:val="en-US" w:eastAsia="zh-CN" w:bidi="ar-SA"/>
        </w:rPr>
        <w:t xml:space="preserve">职</w:t>
      </w:r>
      <w:r>
        <w:rPr>
          <w:rFonts w:hint="eastAsia" w:ascii="Times New Roman" w:hAnsi="Times New Roman" w:eastAsia="宋体" w:cs="宋体"/>
          <w:color w:val="auto"/>
          <w:spacing w:val="-3"/>
          <w:sz w:val="21"/>
          <w:szCs w:val="21"/>
          <w:highlight w:val="none"/>
          <w:lang w:val="en-US" w:eastAsia="zh-CN" w:bidi="ar-SA"/>
        </w:rPr>
        <w:t xml:space="preserve">务</w:t>
      </w:r>
      <w:r>
        <w:rPr>
          <w:rFonts w:hint="eastAsia" w:ascii="Times New Roman" w:hAnsi="Times New Roman" w:eastAsia="宋体" w:cs="宋体"/>
          <w:color w:val="auto"/>
          <w:sz w:val="21"/>
          <w:szCs w:val="21"/>
          <w:highlight w:val="none"/>
          <w:lang w:val="en-US" w:eastAsia="zh-CN" w:bidi="ar-SA"/>
        </w:rPr>
        <w:t xml:space="preserve">：</w:t>
      </w:r>
      <w:r>
        <w:rPr>
          <w:rFonts w:hint="default" w:ascii="Times New Roman" w:hAnsi="Times New Roman" w:eastAsia="Times New Roman" w:cs="Times New Roman"/>
          <w:color w:val="auto"/>
          <w:sz w:val="21"/>
          <w:szCs w:val="21"/>
          <w:highlight w:val="none"/>
          <w:u w:val="single"/>
          <w:lang w:val="en-US" w:eastAsia="zh-CN" w:bidi="ar-SA"/>
        </w:rPr>
        <w:tab/>
      </w:r>
      <w:r/>
    </w:p>
    <w:p>
      <w:pPr>
        <w:ind w:left="-141" w:firstLine="420"/>
        <w:jc w:val="both"/>
        <w:spacing w:before="173" w:after="120" w:line="360" w:lineRule="auto"/>
        <w:widowControl w:val="off"/>
        <w:tabs>
          <w:tab w:val="left" w:pos="3132" w:leader="none"/>
        </w:tabs>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系</w:t>
      </w:r>
      <w:r>
        <w:rPr>
          <w:rFonts w:hint="default" w:ascii="Times New Roman" w:hAnsi="Times New Roman" w:eastAsia="宋体" w:cs="Times New Roman"/>
          <w:color w:val="auto"/>
          <w:sz w:val="21"/>
          <w:szCs w:val="21"/>
          <w:highlight w:val="none"/>
          <w:u w:val="single"/>
          <w:lang w:val="en-US" w:eastAsia="zh-CN" w:bidi="ar-SA"/>
        </w:rPr>
        <w:tab/>
      </w:r>
      <w:r>
        <w:rPr>
          <w:rFonts w:hint="eastAsia" w:ascii="Times New Roman" w:hAnsi="Times New Roman" w:eastAsia="宋体" w:cs="宋体"/>
          <w:color w:val="auto"/>
          <w:spacing w:val="-3"/>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val="en-US" w:eastAsia="zh-CN" w:bidi="ar-SA"/>
        </w:rPr>
        <w:t xml:space="preserve">供应商</w:t>
      </w:r>
      <w:r>
        <w:rPr>
          <w:rFonts w:hint="eastAsia" w:ascii="Times New Roman" w:hAnsi="Times New Roman" w:eastAsia="宋体" w:cs="宋体"/>
          <w:color w:val="auto"/>
          <w:spacing w:val="-3"/>
          <w:sz w:val="21"/>
          <w:szCs w:val="21"/>
          <w:highlight w:val="none"/>
          <w:lang w:val="en-US" w:eastAsia="zh-CN" w:bidi="ar-SA"/>
        </w:rPr>
        <w:t xml:space="preserve">名</w:t>
      </w:r>
      <w:r>
        <w:rPr>
          <w:rFonts w:hint="eastAsia" w:ascii="Times New Roman" w:hAnsi="Times New Roman" w:eastAsia="宋体" w:cs="宋体"/>
          <w:color w:val="auto"/>
          <w:sz w:val="21"/>
          <w:szCs w:val="21"/>
          <w:highlight w:val="none"/>
          <w:lang w:val="en-US" w:eastAsia="zh-CN" w:bidi="ar-SA"/>
        </w:rPr>
        <w:t xml:space="preserve">称</w:t>
      </w:r>
      <w:r>
        <w:rPr>
          <w:rFonts w:hint="eastAsia" w:ascii="Times New Roman" w:hAnsi="Times New Roman" w:eastAsia="宋体" w:cs="宋体"/>
          <w:color w:val="auto"/>
          <w:spacing w:val="-3"/>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val="en-US" w:eastAsia="zh-CN" w:bidi="ar-SA"/>
        </w:rPr>
        <w:t xml:space="preserve">的</w:t>
      </w:r>
      <w:r>
        <w:rPr>
          <w:rFonts w:hint="eastAsia" w:ascii="Times New Roman" w:hAnsi="Times New Roman" w:eastAsia="宋体" w:cs="宋体"/>
          <w:color w:val="auto"/>
          <w:spacing w:val="-3"/>
          <w:sz w:val="21"/>
          <w:szCs w:val="21"/>
          <w:highlight w:val="none"/>
          <w:lang w:val="en-US" w:eastAsia="zh-CN" w:bidi="ar-SA"/>
        </w:rPr>
        <w:t xml:space="preserve">法定</w:t>
      </w:r>
      <w:r>
        <w:rPr>
          <w:rFonts w:hint="eastAsia" w:ascii="Times New Roman" w:hAnsi="Times New Roman" w:eastAsia="宋体" w:cs="宋体"/>
          <w:color w:val="auto"/>
          <w:sz w:val="21"/>
          <w:szCs w:val="21"/>
          <w:highlight w:val="none"/>
          <w:lang w:val="en-US" w:eastAsia="zh-CN" w:bidi="ar-SA"/>
        </w:rPr>
        <w:t xml:space="preserve">代表</w:t>
      </w:r>
      <w:r>
        <w:rPr>
          <w:rFonts w:hint="eastAsia" w:ascii="Times New Roman" w:hAnsi="Times New Roman" w:eastAsia="宋体" w:cs="宋体"/>
          <w:color w:val="auto"/>
          <w:spacing w:val="-3"/>
          <w:sz w:val="21"/>
          <w:szCs w:val="21"/>
          <w:highlight w:val="none"/>
          <w:lang w:val="en-US" w:eastAsia="zh-CN" w:bidi="ar-SA"/>
        </w:rPr>
        <w:t xml:space="preserve">人</w:t>
      </w:r>
      <w:r>
        <w:rPr>
          <w:rFonts w:hint="eastAsia" w:ascii="Times New Roman" w:hAnsi="Times New Roman" w:eastAsia="宋体" w:cs="宋体"/>
          <w:color w:val="auto"/>
          <w:sz w:val="21"/>
          <w:szCs w:val="21"/>
          <w:highlight w:val="none"/>
          <w:lang w:val="en-US" w:eastAsia="zh-CN" w:bidi="ar-SA"/>
        </w:rPr>
        <w:t xml:space="preserve">（</w:t>
      </w:r>
      <w:r>
        <w:rPr>
          <w:rFonts w:hint="eastAsia" w:ascii="Times New Roman" w:hAnsi="Times New Roman" w:eastAsia="宋体" w:cs="宋体"/>
          <w:color w:val="auto"/>
          <w:spacing w:val="-3"/>
          <w:sz w:val="21"/>
          <w:szCs w:val="21"/>
          <w:highlight w:val="none"/>
          <w:lang w:val="en-US" w:eastAsia="zh-CN" w:bidi="ar-SA"/>
        </w:rPr>
        <w:t xml:space="preserve">单</w:t>
      </w:r>
      <w:r>
        <w:rPr>
          <w:rFonts w:hint="eastAsia" w:ascii="Times New Roman" w:hAnsi="Times New Roman" w:eastAsia="宋体" w:cs="宋体"/>
          <w:color w:val="auto"/>
          <w:sz w:val="21"/>
          <w:szCs w:val="21"/>
          <w:highlight w:val="none"/>
          <w:lang w:val="en-US" w:eastAsia="zh-CN" w:bidi="ar-SA"/>
        </w:rPr>
        <w:t xml:space="preserve">位</w:t>
      </w:r>
      <w:r>
        <w:rPr>
          <w:rFonts w:hint="eastAsia" w:ascii="Times New Roman" w:hAnsi="Times New Roman" w:eastAsia="宋体" w:cs="宋体"/>
          <w:color w:val="auto"/>
          <w:spacing w:val="-3"/>
          <w:sz w:val="21"/>
          <w:szCs w:val="21"/>
          <w:highlight w:val="none"/>
          <w:lang w:val="en-US" w:eastAsia="zh-CN" w:bidi="ar-SA"/>
        </w:rPr>
        <w:t xml:space="preserve">负</w:t>
      </w:r>
      <w:r>
        <w:rPr>
          <w:rFonts w:hint="eastAsia" w:ascii="Times New Roman" w:hAnsi="Times New Roman" w:eastAsia="宋体" w:cs="宋体"/>
          <w:color w:val="auto"/>
          <w:sz w:val="21"/>
          <w:szCs w:val="21"/>
          <w:highlight w:val="none"/>
          <w:lang w:val="en-US" w:eastAsia="zh-CN" w:bidi="ar-SA"/>
        </w:rPr>
        <w:t xml:space="preserve">责</w:t>
      </w:r>
      <w:r>
        <w:rPr>
          <w:rFonts w:hint="eastAsia" w:ascii="Times New Roman" w:hAnsi="Times New Roman" w:eastAsia="宋体" w:cs="宋体"/>
          <w:color w:val="auto"/>
          <w:spacing w:val="-3"/>
          <w:sz w:val="21"/>
          <w:szCs w:val="21"/>
          <w:highlight w:val="none"/>
          <w:lang w:val="en-US" w:eastAsia="zh-CN" w:bidi="ar-SA"/>
        </w:rPr>
        <w:t xml:space="preserve">人）。</w:t>
      </w:r>
      <w:r/>
    </w:p>
    <w:p>
      <w:pPr>
        <w:ind w:left="-141" w:firstLine="420"/>
        <w:jc w:val="both"/>
        <w:spacing w:before="170" w:after="12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特此证明。</w:t>
      </w:r>
      <w:r/>
    </w:p>
    <w:p>
      <w:pPr>
        <w:ind w:left="-7" w:firstLine="300"/>
        <w:jc w:val="both"/>
        <w:spacing w:after="120" w:line="360" w:lineRule="auto"/>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left="40" w:firstLine="405"/>
        <w:jc w:val="both"/>
        <w:spacing w:before="10" w:after="120" w:line="360" w:lineRule="auto"/>
        <w:widowControl w:val="off"/>
        <w:rPr>
          <w:rFonts w:hint="default" w:ascii="Times New Roman" w:hAnsi="Times New Roman" w:eastAsia="宋体" w:cs="Times New Roman"/>
          <w:color w:val="auto"/>
          <w:sz w:val="27"/>
          <w:szCs w:val="27"/>
          <w:highlight w:val="none"/>
          <w:lang w:val="en-US" w:eastAsia="zh-CN" w:bidi="ar-SA"/>
        </w:rPr>
      </w:pPr>
      <w:r>
        <w:rPr>
          <w:rFonts w:hint="default" w:ascii="Times New Roman" w:hAnsi="Times New Roman" w:eastAsia="宋体" w:cs="Times New Roman"/>
          <w:color w:val="auto"/>
          <w:sz w:val="27"/>
          <w:szCs w:val="27"/>
          <w:highlight w:val="none"/>
          <w:lang w:val="en-US" w:eastAsia="zh-CN" w:bidi="ar-SA"/>
        </w:rPr>
      </w:r>
      <w:r/>
    </w:p>
    <w:p>
      <w:pPr>
        <w:ind w:firstLine="315"/>
        <w:spacing w:line="480" w:lineRule="auto"/>
        <w:rPr>
          <w:rFonts w:ascii="Microsoft New Tai Lue" w:hAnsi="Microsoft New Tai Lue" w:cs="Microsoft New Tai Lue"/>
          <w:color w:val="auto"/>
          <w:szCs w:val="21"/>
          <w:highlight w:val="none"/>
          <w:lang w:val="en-US" w:eastAsia="zh-CN" w:bidi="ar-SA"/>
        </w:rPr>
      </w:pPr>
      <w:r>
        <w:rPr>
          <w:rFonts w:hint="eastAsia" w:ascii="宋体" w:hAnsi="宋体" w:cs="宋体"/>
          <w:color w:val="auto"/>
          <w:szCs w:val="21"/>
          <w:highlight w:val="none"/>
          <w:lang w:val="en-US" w:eastAsia="zh-CN" w:bidi="ar-SA"/>
        </w:rPr>
        <w:t xml:space="preserve">附：法定代表人（单位负责人）有效期内的身份证扫描件</w:t>
      </w:r>
      <w:r>
        <w:rPr>
          <w:rFonts w:hint="eastAsia" w:ascii="Microsoft New Tai Lue" w:hAnsi="Microsoft New Tai Lue" w:cs="宋体"/>
          <w:color w:val="auto"/>
          <w:szCs w:val="21"/>
          <w:highlight w:val="none"/>
          <w:lang w:val="en-US" w:eastAsia="zh-CN" w:bidi="ar-SA"/>
        </w:rPr>
        <w:t xml:space="preserve">（正反面）</w:t>
      </w:r>
      <w:r/>
    </w:p>
    <w:tbl>
      <w:tblPr>
        <w:tblStyle w:val="852"/>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20" w:firstLine="360"/>
              <w:jc w:val="center"/>
              <w:spacing w:after="120" w:line="300" w:lineRule="exact"/>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77" w:type="dxa"/>
            <w:vAlign w:val="center"/>
            <w:textDirection w:val="lrTb"/>
            <w:noWrap w:val="false"/>
          </w:tcPr>
          <w:p>
            <w:pPr>
              <w:ind w:left="20" w:firstLine="360"/>
              <w:jc w:val="center"/>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left="-7" w:firstLine="300"/>
        <w:jc w:val="both"/>
        <w:spacing w:after="120" w:line="360" w:lineRule="auto"/>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left="-7" w:firstLine="300"/>
        <w:jc w:val="both"/>
        <w:spacing w:after="120" w:line="360" w:lineRule="auto"/>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left="-7" w:firstLine="300"/>
        <w:jc w:val="both"/>
        <w:spacing w:after="120" w:line="360" w:lineRule="auto"/>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left="6" w:firstLine="330"/>
        <w:jc w:val="both"/>
        <w:spacing w:before="1" w:after="120" w:line="360" w:lineRule="auto"/>
        <w:widowControl w:val="off"/>
        <w:rPr>
          <w:rFonts w:hint="default" w:ascii="Times New Roman" w:hAnsi="Times New Roman" w:eastAsia="宋体" w:cs="Times New Roman"/>
          <w:color w:val="auto"/>
          <w:sz w:val="22"/>
          <w:szCs w:val="22"/>
          <w:highlight w:val="none"/>
          <w:lang w:val="en-US" w:eastAsia="zh-CN" w:bidi="ar-SA"/>
        </w:rPr>
      </w:pPr>
      <w:r>
        <w:rPr>
          <w:rFonts w:hint="default" w:ascii="Times New Roman" w:hAnsi="Times New Roman" w:eastAsia="宋体" w:cs="Times New Roman"/>
          <w:color w:val="auto"/>
          <w:sz w:val="22"/>
          <w:szCs w:val="22"/>
          <w:highlight w:val="none"/>
          <w:lang w:val="en-US" w:eastAsia="zh-CN" w:bidi="ar-SA"/>
        </w:rPr>
      </w:r>
      <w:r/>
    </w:p>
    <w:p>
      <w:pPr>
        <w:ind w:left="-141" w:firstLine="3060"/>
        <w:jc w:val="both"/>
        <w:spacing w:after="120" w:line="360" w:lineRule="auto"/>
        <w:widowControl w:val="off"/>
        <w:tabs>
          <w:tab w:val="left" w:pos="7977" w:leader="none"/>
        </w:tabs>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pacing w:val="-3"/>
          <w:sz w:val="21"/>
          <w:szCs w:val="21"/>
          <w:highlight w:val="none"/>
          <w:lang w:val="en-US" w:eastAsia="zh-CN" w:bidi="ar-SA"/>
        </w:rPr>
        <w:t xml:space="preserve">供应商名称（公章）</w:t>
      </w:r>
      <w:r>
        <w:rPr>
          <w:rFonts w:hint="eastAsia" w:ascii="Times New Roman" w:hAnsi="Times New Roman" w:eastAsia="宋体" w:cs="宋体"/>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u w:val="single"/>
          <w:lang w:val="en-US" w:eastAsia="zh-CN" w:bidi="ar-SA"/>
        </w:rPr>
        <w:tab/>
      </w:r>
      <w:r/>
    </w:p>
    <w:p>
      <w:pPr>
        <w:ind w:left="-141" w:firstLine="3060"/>
        <w:jc w:val="both"/>
        <w:spacing w:after="120" w:line="360" w:lineRule="auto"/>
        <w:widowControl w:val="off"/>
        <w:tabs>
          <w:tab w:val="left" w:pos="7977" w:leader="none"/>
        </w:tabs>
        <w:rPr>
          <w:rFonts w:hint="default" w:ascii="Times New Roman" w:hAnsi="Times New Roman" w:eastAsia="黑体" w:cs="Times New Roman"/>
          <w:b/>
          <w:bCs/>
          <w:color w:val="auto"/>
          <w:sz w:val="32"/>
          <w:szCs w:val="32"/>
          <w:highlight w:val="none"/>
          <w:lang w:val="en-US" w:eastAsia="zh-CN" w:bidi="ar-SA"/>
        </w:rPr>
      </w:pPr>
      <w:r>
        <w:rPr>
          <w:rFonts w:hint="eastAsia" w:ascii="Times New Roman" w:hAnsi="Times New Roman" w:eastAsia="宋体" w:cs="宋体"/>
          <w:color w:val="auto"/>
          <w:spacing w:val="-3"/>
          <w:sz w:val="21"/>
          <w:szCs w:val="21"/>
          <w:highlight w:val="none"/>
          <w:lang w:val="en-US" w:eastAsia="zh-CN" w:bidi="ar-SA"/>
        </w:rPr>
        <w:t xml:space="preserve">日期</w:t>
      </w:r>
      <w:r>
        <w:rPr>
          <w:rFonts w:hint="eastAsia" w:ascii="Times New Roman" w:hAnsi="Times New Roman" w:eastAsia="宋体" w:cs="宋体"/>
          <w:color w:val="auto"/>
          <w:sz w:val="21"/>
          <w:szCs w:val="21"/>
          <w:highlight w:val="none"/>
          <w:lang w:val="en-US" w:eastAsia="zh-CN" w:bidi="ar-SA"/>
        </w:rPr>
        <w:t xml:space="preserve">：</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年</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月</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日</w:t>
      </w:r>
      <w:r/>
    </w:p>
    <w:p>
      <w:pPr>
        <w:ind w:left="20" w:firstLine="361"/>
        <w:jc w:val="center"/>
        <w:spacing w:before="0" w:after="60" w:line="360" w:lineRule="auto"/>
        <w:widowControl w:val="off"/>
        <w:rPr>
          <w:rFonts w:hint="default" w:ascii="Times New Roman" w:hAnsi="Times New Roman" w:eastAsia="宋体" w:cs="Times New Roman"/>
          <w:b/>
          <w:bCs/>
          <w:color w:val="auto"/>
          <w:sz w:val="21"/>
          <w:szCs w:val="21"/>
          <w:highlight w:val="none"/>
          <w:lang w:val="en-US" w:eastAsia="zh-CN" w:bidi="ar-SA"/>
        </w:rPr>
        <w:outlineLvl w:val="2"/>
      </w:pPr>
      <w:r>
        <w:rPr>
          <w:rFonts w:hint="default" w:ascii="Times New Roman" w:hAnsi="Times New Roman" w:eastAsia="宋体" w:cs="Times New Roman"/>
          <w:b/>
          <w:bCs/>
          <w:color w:val="auto"/>
          <w:sz w:val="24"/>
          <w:szCs w:val="24"/>
          <w:highlight w:val="none"/>
          <w:lang w:val="en-US" w:eastAsia="zh-CN" w:bidi="ar-SA"/>
        </w:rPr>
        <w:br w:type="page" w:clear="all"/>
      </w:r>
      <w:bookmarkStart w:id="304" w:name="_Toc103848584"/>
      <w:r/>
      <w:bookmarkStart w:id="305" w:name="_Toc104560899"/>
      <w:r/>
      <w:bookmarkStart w:id="306" w:name="_Toc107246277"/>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3-1</w:t>
      </w:r>
      <w:r>
        <w:rPr>
          <w:rFonts w:hint="eastAsia" w:ascii="Microsoft New Tai Lue" w:hAnsi="Microsoft New Tai Lue" w:eastAsia="宋体" w:cs="宋体"/>
          <w:b/>
          <w:bCs/>
          <w:color w:val="auto"/>
          <w:sz w:val="24"/>
          <w:szCs w:val="24"/>
          <w:highlight w:val="none"/>
          <w:lang w:val="en-US" w:eastAsia="zh-CN" w:bidi="ar-SA"/>
        </w:rPr>
        <w:t xml:space="preserve">）法定代表人（单位负责人）授权委托书</w:t>
      </w:r>
      <w:bookmarkEnd w:id="304"/>
      <w:r/>
      <w:bookmarkEnd w:id="305"/>
      <w:r/>
      <w:bookmarkEnd w:id="306"/>
      <w:r>
        <w:rPr>
          <w:rFonts w:hint="eastAsia" w:ascii="Microsoft New Tai Lue" w:hAnsi="Microsoft New Tai Lue" w:eastAsia="宋体" w:cs="宋体"/>
          <w:b/>
          <w:bCs/>
          <w:color w:val="auto"/>
          <w:sz w:val="24"/>
          <w:szCs w:val="24"/>
          <w:highlight w:val="none"/>
          <w:lang w:val="en-US" w:eastAsia="zh-CN" w:bidi="ar-SA"/>
        </w:rPr>
        <w:t xml:space="preserve">（适用于法人</w:t>
      </w:r>
      <w:r>
        <w:rPr>
          <w:rFonts w:hint="default" w:ascii="Microsoft New Tai Lue" w:hAnsi="Microsoft New Tai Lue" w:eastAsia="宋体" w:cs="Microsoft New Tai Lue"/>
          <w:b/>
          <w:bCs/>
          <w:color w:val="auto"/>
          <w:sz w:val="24"/>
          <w:szCs w:val="24"/>
          <w:highlight w:val="none"/>
          <w:lang w:val="en-US" w:eastAsia="zh-CN" w:bidi="ar-SA"/>
        </w:rPr>
        <w:t xml:space="preserve">/</w:t>
      </w:r>
      <w:r>
        <w:rPr>
          <w:rFonts w:hint="eastAsia" w:ascii="Microsoft New Tai Lue" w:hAnsi="Microsoft New Tai Lue" w:eastAsia="宋体" w:cs="宋体"/>
          <w:b/>
          <w:bCs/>
          <w:color w:val="auto"/>
          <w:sz w:val="24"/>
          <w:szCs w:val="24"/>
          <w:highlight w:val="none"/>
          <w:lang w:val="en-US" w:eastAsia="zh-CN" w:bidi="ar-SA"/>
        </w:rPr>
        <w:t xml:space="preserve">非法人）</w:t>
      </w:r>
      <w:r/>
    </w:p>
    <w:p>
      <w:pPr>
        <w:ind w:left="20" w:firstLine="361"/>
        <w:jc w:val="center"/>
        <w:spacing w:line="360" w:lineRule="auto"/>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r>
      <w:r/>
    </w:p>
    <w:p>
      <w:pPr>
        <w:ind w:left="-141" w:firstLine="420"/>
        <w:spacing w:line="3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本授权书声明：注册于</w:t>
      </w:r>
      <w:r>
        <w:rPr>
          <w:rFonts w:hint="eastAsia" w:ascii="宋体" w:hAnsi="宋体" w:cs="宋体"/>
          <w:color w:val="auto"/>
          <w:szCs w:val="21"/>
          <w:highlight w:val="none"/>
          <w:u w:val="single"/>
          <w:lang w:val="en-US" w:eastAsia="zh-CN" w:bidi="ar-SA"/>
        </w:rPr>
        <w:t xml:space="preserve">（国家或地区的名称）</w:t>
      </w:r>
      <w:r>
        <w:rPr>
          <w:rFonts w:hint="eastAsia" w:ascii="宋体" w:hAnsi="宋体" w:cs="宋体"/>
          <w:color w:val="auto"/>
          <w:szCs w:val="21"/>
          <w:highlight w:val="none"/>
          <w:lang w:val="en-US" w:eastAsia="zh-CN" w:bidi="ar-SA"/>
        </w:rPr>
        <w:t xml:space="preserve">的</w:t>
      </w:r>
      <w:r>
        <w:rPr>
          <w:rFonts w:hint="eastAsia" w:ascii="宋体" w:hAnsi="宋体" w:cs="宋体"/>
          <w:color w:val="auto"/>
          <w:szCs w:val="21"/>
          <w:highlight w:val="none"/>
          <w:u w:val="single"/>
          <w:lang w:val="en-US" w:eastAsia="zh-CN" w:bidi="ar-SA"/>
        </w:rPr>
        <w:t xml:space="preserve">（单位名称）</w:t>
      </w:r>
      <w:r>
        <w:rPr>
          <w:rFonts w:hint="eastAsia" w:ascii="宋体" w:hAnsi="宋体" w:cs="宋体"/>
          <w:color w:val="auto"/>
          <w:szCs w:val="21"/>
          <w:highlight w:val="none"/>
          <w:lang w:val="en-US" w:eastAsia="zh-CN" w:bidi="ar-SA"/>
        </w:rPr>
        <w:t xml:space="preserve">的在法定代表人（签字或盖章）处签字的</w:t>
      </w:r>
      <w:r>
        <w:rPr>
          <w:rFonts w:hint="eastAsia" w:ascii="宋体" w:hAnsi="宋体" w:cs="宋体"/>
          <w:color w:val="auto"/>
          <w:szCs w:val="21"/>
          <w:highlight w:val="none"/>
          <w:u w:val="single"/>
          <w:lang w:val="en-US" w:eastAsia="zh-CN" w:bidi="ar-SA"/>
        </w:rPr>
        <w:t xml:space="preserve">（法定代表人姓名、职务）</w:t>
      </w:r>
      <w:r>
        <w:rPr>
          <w:rFonts w:hint="eastAsia" w:ascii="宋体" w:hAnsi="宋体" w:cs="宋体"/>
          <w:color w:val="auto"/>
          <w:szCs w:val="21"/>
          <w:highlight w:val="none"/>
          <w:lang w:val="en-US" w:eastAsia="zh-CN" w:bidi="ar-SA"/>
        </w:rPr>
        <w:t xml:space="preserve">代表本单位授权</w:t>
      </w:r>
      <w:r>
        <w:rPr>
          <w:rFonts w:hint="eastAsia" w:ascii="宋体" w:hAnsi="宋体" w:cs="宋体"/>
          <w:color w:val="auto"/>
          <w:szCs w:val="21"/>
          <w:highlight w:val="none"/>
          <w:u w:val="single"/>
          <w:lang w:val="en-US" w:eastAsia="zh-CN" w:bidi="ar-SA"/>
        </w:rPr>
        <w:t xml:space="preserve">（单位名称）</w:t>
      </w:r>
      <w:r>
        <w:rPr>
          <w:rFonts w:hint="eastAsia" w:ascii="宋体" w:hAnsi="宋体" w:cs="宋体"/>
          <w:color w:val="auto"/>
          <w:szCs w:val="21"/>
          <w:highlight w:val="none"/>
          <w:lang w:val="en-US" w:eastAsia="zh-CN" w:bidi="ar-SA"/>
        </w:rPr>
        <w:t xml:space="preserve">的在授权代表（签字）处签字的</w:t>
      </w:r>
      <w:r>
        <w:rPr>
          <w:rFonts w:hint="eastAsia" w:ascii="宋体" w:hAnsi="宋体" w:cs="宋体"/>
          <w:color w:val="auto"/>
          <w:szCs w:val="21"/>
          <w:highlight w:val="none"/>
          <w:u w:val="single"/>
          <w:lang w:val="en-US" w:eastAsia="zh-CN" w:bidi="ar-SA"/>
        </w:rPr>
        <w:t xml:space="preserve">（授权代表的姓名、职务）（身份证号码：）</w:t>
      </w:r>
      <w:r>
        <w:rPr>
          <w:rFonts w:hint="eastAsia" w:ascii="宋体" w:hAnsi="宋体" w:cs="宋体"/>
          <w:color w:val="auto"/>
          <w:szCs w:val="21"/>
          <w:highlight w:val="none"/>
          <w:lang w:val="en-US" w:eastAsia="zh-CN" w:bidi="ar-SA"/>
        </w:rPr>
        <w:t xml:space="preserve">为本单位的合法代理人，就</w:t>
      </w:r>
      <w:r>
        <w:rPr>
          <w:rFonts w:hint="eastAsia" w:ascii="宋体" w:hAnsi="宋体" w:cs="宋体"/>
          <w:color w:val="auto"/>
          <w:szCs w:val="21"/>
          <w:highlight w:val="none"/>
          <w:u w:val="single"/>
          <w:lang w:val="en-US" w:eastAsia="zh-CN" w:bidi="ar-SA"/>
        </w:rPr>
        <w:t xml:space="preserve">（项目名称、项目编号、采购包号）</w:t>
      </w:r>
      <w:r>
        <w:rPr>
          <w:rFonts w:hint="eastAsia" w:ascii="宋体" w:hAnsi="宋体" w:cs="宋体"/>
          <w:color w:val="auto"/>
          <w:szCs w:val="21"/>
          <w:highlight w:val="none"/>
          <w:lang w:val="en-US" w:eastAsia="zh-CN" w:bidi="ar-SA"/>
        </w:rPr>
        <w:t xml:space="preserve">，以本单位名义处理一切与之相关的事务，其后果由我单位承担。</w:t>
      </w:r>
      <w:r/>
    </w:p>
    <w:p>
      <w:pPr>
        <w:ind w:left="-141" w:firstLine="420"/>
        <w:spacing w:line="300" w:lineRule="exact"/>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代理人无转委托权，特此委托。</w:t>
      </w:r>
      <w:r/>
    </w:p>
    <w:p>
      <w:pPr>
        <w:ind w:left="-141" w:firstLine="420"/>
        <w:spacing w:line="3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委托期限：自本授权委托书签署之日起至投标有效期届满之日止。</w:t>
      </w:r>
      <w:r/>
    </w:p>
    <w:p>
      <w:pPr>
        <w:ind w:left="-141" w:firstLine="420"/>
        <w:spacing w:line="3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供应商名称（公章）：</w:t>
      </w:r>
      <w:r/>
    </w:p>
    <w:p>
      <w:pPr>
        <w:ind w:left="-141" w:firstLine="420"/>
        <w:spacing w:line="30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法定代表人（签字或盖章）：</w:t>
      </w:r>
      <w:r/>
    </w:p>
    <w:p>
      <w:pPr>
        <w:ind w:left="-141" w:firstLine="420"/>
        <w:jc w:val="both"/>
        <w:spacing w:after="0" w:line="30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身份证号码：</w:t>
      </w:r>
      <w:r/>
    </w:p>
    <w:p>
      <w:pPr>
        <w:ind w:left="-141" w:firstLine="420"/>
        <w:spacing w:line="30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授权代表（签字）：</w:t>
      </w:r>
      <w:r/>
    </w:p>
    <w:p>
      <w:pPr>
        <w:ind w:left="-141" w:firstLine="420"/>
        <w:jc w:val="both"/>
        <w:spacing w:after="0" w:line="30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身份证号码：</w:t>
      </w:r>
      <w:r/>
    </w:p>
    <w:p>
      <w:pPr>
        <w:ind w:left="-141" w:firstLine="420"/>
        <w:jc w:val="both"/>
        <w:spacing w:after="0" w:line="30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ind w:firstLine="315"/>
        <w:spacing w:line="480" w:lineRule="auto"/>
        <w:rPr>
          <w:rFonts w:ascii="Microsoft New Tai Lue" w:hAnsi="Microsoft New Tai Lue" w:cs="Microsoft New Tai Lue"/>
          <w:color w:val="auto"/>
          <w:szCs w:val="21"/>
          <w:highlight w:val="none"/>
          <w:lang w:val="en-US" w:eastAsia="zh-CN" w:bidi="ar-SA"/>
        </w:rPr>
      </w:pPr>
      <w:r>
        <w:rPr>
          <w:rFonts w:hint="eastAsia" w:ascii="宋体" w:hAnsi="宋体" w:cs="宋体"/>
          <w:color w:val="auto"/>
          <w:szCs w:val="21"/>
          <w:highlight w:val="none"/>
          <w:lang w:val="en-US" w:eastAsia="zh-CN" w:bidi="ar-SA"/>
        </w:rPr>
        <w:t xml:space="preserve">附：法定代表人（单位负责人）</w:t>
      </w:r>
      <w:r>
        <w:rPr>
          <w:rFonts w:hint="eastAsia" w:ascii="宋体" w:hAnsi="宋体" w:cs="宋体"/>
          <w:b/>
          <w:bCs/>
          <w:color w:val="auto"/>
          <w:szCs w:val="21"/>
          <w:highlight w:val="none"/>
          <w:lang w:val="en-US" w:eastAsia="zh-CN" w:bidi="ar-SA"/>
        </w:rPr>
        <w:t xml:space="preserve">有效期内</w:t>
      </w:r>
      <w:r>
        <w:rPr>
          <w:rFonts w:hint="eastAsia" w:ascii="宋体" w:hAnsi="宋体" w:cs="宋体"/>
          <w:color w:val="auto"/>
          <w:szCs w:val="21"/>
          <w:highlight w:val="none"/>
          <w:lang w:val="en-US" w:eastAsia="zh-CN" w:bidi="ar-SA"/>
        </w:rPr>
        <w:t xml:space="preserve">的</w:t>
      </w:r>
      <w:r>
        <w:rPr>
          <w:rFonts w:hint="eastAsia" w:ascii="Microsoft New Tai Lue" w:hAnsi="Microsoft New Tai Lue" w:cs="宋体"/>
          <w:color w:val="auto"/>
          <w:szCs w:val="21"/>
          <w:highlight w:val="none"/>
          <w:lang w:val="en-US" w:eastAsia="zh-CN" w:bidi="ar-SA"/>
        </w:rPr>
        <w:t xml:space="preserve">身份证扫描件（正反面）</w:t>
      </w:r>
      <w:r/>
    </w:p>
    <w:tbl>
      <w:tblPr>
        <w:tblStyle w:val="852"/>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20" w:firstLine="360"/>
              <w:jc w:val="center"/>
              <w:spacing w:after="120" w:line="300" w:lineRule="exact"/>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77" w:type="dxa"/>
            <w:vAlign w:val="center"/>
            <w:textDirection w:val="lrTb"/>
            <w:noWrap w:val="false"/>
          </w:tcPr>
          <w:p>
            <w:pPr>
              <w:ind w:left="20" w:firstLine="360"/>
              <w:jc w:val="center"/>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firstLine="315"/>
        <w:spacing w:line="480" w:lineRule="auto"/>
        <w:rPr>
          <w:rFonts w:ascii="Microsoft New Tai Lue" w:hAnsi="Microsoft New Tai Lue" w:cs="Microsoft New Tai Lue"/>
          <w:color w:val="auto"/>
          <w:szCs w:val="21"/>
          <w:highlight w:val="none"/>
          <w:lang w:val="en-US" w:eastAsia="zh-CN" w:bidi="ar-SA"/>
        </w:rPr>
      </w:pPr>
      <w:r>
        <w:rPr>
          <w:rFonts w:hint="eastAsia" w:ascii="宋体" w:hAnsi="宋体" w:cs="宋体"/>
          <w:color w:val="auto"/>
          <w:szCs w:val="21"/>
          <w:highlight w:val="none"/>
          <w:lang w:val="en-US" w:eastAsia="zh-CN" w:bidi="ar-SA"/>
        </w:rPr>
        <w:t xml:space="preserve">授权代表</w:t>
      </w:r>
      <w:r>
        <w:rPr>
          <w:rFonts w:hint="eastAsia" w:ascii="宋体" w:hAnsi="宋体" w:cs="宋体"/>
          <w:b/>
          <w:bCs/>
          <w:color w:val="auto"/>
          <w:szCs w:val="21"/>
          <w:highlight w:val="none"/>
          <w:lang w:val="en-US" w:eastAsia="zh-CN" w:bidi="ar-SA"/>
        </w:rPr>
        <w:t xml:space="preserve">有效期内</w:t>
      </w:r>
      <w:r>
        <w:rPr>
          <w:rFonts w:hint="eastAsia" w:ascii="宋体" w:hAnsi="宋体" w:cs="宋体"/>
          <w:color w:val="auto"/>
          <w:szCs w:val="21"/>
          <w:highlight w:val="none"/>
          <w:lang w:val="en-US" w:eastAsia="zh-CN" w:bidi="ar-SA"/>
        </w:rPr>
        <w:t xml:space="preserve">的身份证扫描件</w:t>
      </w:r>
      <w:r>
        <w:rPr>
          <w:rFonts w:hint="eastAsia" w:ascii="Microsoft New Tai Lue" w:hAnsi="Microsoft New Tai Lue" w:cs="宋体"/>
          <w:color w:val="auto"/>
          <w:szCs w:val="21"/>
          <w:highlight w:val="none"/>
          <w:lang w:val="en-US" w:eastAsia="zh-CN" w:bidi="ar-SA"/>
        </w:rPr>
        <w:t xml:space="preserve">（正反面）</w:t>
      </w:r>
      <w:r/>
    </w:p>
    <w:tbl>
      <w:tblPr>
        <w:tblStyle w:val="852"/>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ind w:left="20" w:firstLine="360"/>
              <w:jc w:val="center"/>
              <w:spacing w:after="120" w:line="300" w:lineRule="exact"/>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95" w:type="dxa"/>
            <w:vAlign w:val="center"/>
            <w:textDirection w:val="lrTb"/>
            <w:noWrap w:val="false"/>
          </w:tcPr>
          <w:p>
            <w:pPr>
              <w:ind w:left="20" w:firstLine="360"/>
              <w:jc w:val="center"/>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firstLine="316"/>
        <w:jc w:val="both"/>
        <w:spacing w:after="120" w:line="300" w:lineRule="exact"/>
        <w:widowControl w:val="off"/>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注：</w:t>
      </w:r>
      <w:r/>
    </w:p>
    <w:p>
      <w:pPr>
        <w:ind w:firstLine="316"/>
        <w:jc w:val="both"/>
        <w:spacing w:after="120" w:line="300" w:lineRule="exact"/>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1.</w:t>
      </w:r>
      <w:r>
        <w:rPr>
          <w:rFonts w:hint="eastAsia" w:ascii="Times New Roman" w:hAnsi="Times New Roman" w:eastAsia="宋体" w:cs="宋体"/>
          <w:b/>
          <w:bCs/>
          <w:color w:val="auto"/>
          <w:sz w:val="21"/>
          <w:szCs w:val="21"/>
          <w:highlight w:val="none"/>
          <w:lang w:val="en-US" w:eastAsia="zh-CN" w:bidi="ar-SA"/>
        </w:rPr>
        <w:t xml:space="preserve">若供应商为分公司、分支机构等依法无需设置法定代表人职务的单位（仅当招标文件注明允许上述单位投标时），法定代表人签字处可由单位负责人签署。</w:t>
      </w:r>
      <w:r/>
    </w:p>
    <w:p>
      <w:pPr>
        <w:ind w:firstLine="316"/>
        <w:jc w:val="both"/>
        <w:spacing w:after="120" w:line="300" w:lineRule="exact"/>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2.</w:t>
      </w:r>
      <w:r>
        <w:rPr>
          <w:rFonts w:hint="eastAsia" w:ascii="Times New Roman" w:hAnsi="Times New Roman" w:eastAsia="宋体" w:cs="宋体"/>
          <w:b/>
          <w:bCs/>
          <w:color w:val="auto"/>
          <w:sz w:val="21"/>
          <w:szCs w:val="21"/>
          <w:highlight w:val="none"/>
          <w:lang w:val="en-US" w:eastAsia="zh-CN" w:bidi="ar-SA"/>
        </w:rPr>
        <w:t xml:space="preserve">若投标文件中签字之处均为法定代表人（单位负责人）本人签署，则可不提供本《授权委托书》，但须提供《法定代表人（单位负责人）身份证明》。</w:t>
      </w:r>
      <w:bookmarkStart w:id="307" w:name="_Toc104560895"/>
      <w:r/>
      <w:bookmarkStart w:id="308" w:name="_Toc107246279"/>
      <w:r/>
      <w:r/>
    </w:p>
    <w:p>
      <w:pPr>
        <w:ind w:left="-141" w:firstLine="0"/>
        <w:jc w:val="left"/>
        <w:spacing w:line="360" w:lineRule="auto"/>
        <w:widowControl w:val="off"/>
        <w:rPr>
          <w:rFonts w:hint="default" w:ascii="Times New Roman" w:hAnsi="Times New Roman" w:eastAsia="宋体" w:cs="Times New Roman"/>
          <w:i/>
          <w:iCs/>
          <w:color w:val="auto"/>
          <w:position w:val="-10"/>
          <w:sz w:val="21"/>
          <w:szCs w:val="21"/>
          <w:highlight w:val="none"/>
          <w:u w:val="single"/>
          <w:lang w:val="en-US" w:eastAsia="zh-CN" w:bidi="ar-SA"/>
        </w:rPr>
      </w:pPr>
      <w:r>
        <w:rPr>
          <w:rFonts w:hint="default" w:ascii="Times New Roman" w:hAnsi="Times New Roman" w:eastAsia="宋体" w:cs="Times New Roman"/>
          <w:i/>
          <w:iCs/>
          <w:color w:val="auto"/>
          <w:position w:val="-10"/>
          <w:sz w:val="21"/>
          <w:szCs w:val="21"/>
          <w:highlight w:val="none"/>
          <w:u w:val="single"/>
          <w:lang w:val="en-US" w:eastAsia="zh-CN" w:bidi="ar-SA"/>
        </w:rPr>
      </w:r>
      <w:r/>
    </w:p>
    <w:p>
      <w:pPr>
        <w:ind w:hanging="10"/>
        <w:jc w:val="center"/>
        <w:spacing w:before="0" w:after="60" w:line="360" w:lineRule="auto"/>
        <w:widowControl w:val="off"/>
        <w:rPr>
          <w:rFonts w:ascii="Microsoft New Tai Lue" w:hAnsi="Microsoft New Tai Lue" w:cs="Microsoft New Tai Lue"/>
          <w:color w:val="auto"/>
          <w:szCs w:val="21"/>
          <w:highlight w:val="none"/>
          <w:lang w:val="en-US" w:eastAsia="zh-CN" w:bidi="ar-SA"/>
        </w:rPr>
        <w:outlineLvl w:val="2"/>
      </w:pPr>
      <w:r/>
      <w:bookmarkStart w:id="309" w:name="_Toc107246278"/>
      <w:r/>
      <w:bookmarkStart w:id="310" w:name="_Toc103848585"/>
      <w:r/>
      <w:bookmarkStart w:id="311" w:name="_Toc104560900"/>
      <w:r>
        <w:rPr>
          <w:rFonts w:hint="eastAsia" w:ascii="Microsoft New Tai Lue" w:hAnsi="Microsoft New Tai Lue" w:eastAsia="宋体" w:cs="宋体"/>
          <w:b/>
          <w:bCs/>
          <w:color w:val="auto"/>
          <w:sz w:val="24"/>
          <w:szCs w:val="24"/>
          <w:highlight w:val="none"/>
          <w:lang w:val="en-US" w:eastAsia="zh-CN" w:bidi="ar-SA"/>
        </w:rPr>
        <w:br w:type="page" w:clear="all"/>
      </w:r>
      <w:r>
        <w:rPr>
          <w:rFonts w:hint="eastAsia" w:ascii="Microsoft New Tai Lue" w:hAnsi="Microsoft New Tai Lue" w:eastAsia="宋体" w:cs="宋体"/>
          <w:b/>
          <w:bCs/>
          <w:color w:val="auto"/>
          <w:sz w:val="24"/>
          <w:szCs w:val="24"/>
          <w:highlight w:val="none"/>
          <w:lang w:val="en-US" w:eastAsia="zh-CN" w:bidi="ar-SA"/>
        </w:rPr>
        <w:t xml:space="preserve">（3-2）授权委托书（适用于自然人）</w:t>
      </w:r>
      <w:bookmarkEnd w:id="309"/>
      <w:r/>
      <w:bookmarkEnd w:id="310"/>
      <w:r/>
      <w:bookmarkEnd w:id="311"/>
      <w:r/>
      <w:r/>
    </w:p>
    <w:p>
      <w:pPr>
        <w:ind w:left="-141" w:firstLine="420"/>
        <w:spacing w:line="46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本授权书声明：我</w:t>
      </w:r>
      <w:r>
        <w:rPr>
          <w:rFonts w:hint="eastAsia" w:ascii="宋体" w:hAnsi="宋体" w:cs="宋体"/>
          <w:color w:val="auto"/>
          <w:szCs w:val="21"/>
          <w:highlight w:val="none"/>
          <w:u w:val="single"/>
          <w:lang w:val="en-US" w:eastAsia="zh-CN" w:bidi="ar-SA"/>
        </w:rPr>
        <w:t xml:space="preserve">（姓名）</w:t>
      </w:r>
      <w:r>
        <w:rPr>
          <w:rFonts w:hint="eastAsia" w:ascii="宋体" w:hAnsi="宋体" w:cs="宋体"/>
          <w:color w:val="auto"/>
          <w:szCs w:val="21"/>
          <w:highlight w:val="none"/>
          <w:lang w:val="en-US" w:eastAsia="zh-CN" w:bidi="ar-SA"/>
        </w:rPr>
        <w:t xml:space="preserve">系自然人，现授权在授权代表（签字）处签字的</w:t>
      </w:r>
      <w:r>
        <w:rPr>
          <w:rFonts w:hint="eastAsia" w:ascii="宋体" w:hAnsi="宋体" w:cs="宋体"/>
          <w:color w:val="auto"/>
          <w:szCs w:val="21"/>
          <w:highlight w:val="none"/>
          <w:u w:val="single"/>
          <w:lang w:val="en-US" w:eastAsia="zh-CN" w:bidi="ar-SA"/>
        </w:rPr>
        <w:t xml:space="preserve">（授权代表的姓名）（身份证号码：）</w:t>
      </w:r>
      <w:r>
        <w:rPr>
          <w:rFonts w:hint="eastAsia" w:ascii="宋体" w:hAnsi="宋体" w:cs="宋体"/>
          <w:color w:val="auto"/>
          <w:szCs w:val="21"/>
          <w:highlight w:val="none"/>
          <w:lang w:val="en-US" w:eastAsia="zh-CN" w:bidi="ar-SA"/>
        </w:rPr>
        <w:t xml:space="preserve">为本人的合法代理人，就</w:t>
      </w:r>
      <w:r>
        <w:rPr>
          <w:rFonts w:hint="eastAsia" w:ascii="宋体" w:hAnsi="宋体" w:cs="宋体"/>
          <w:color w:val="auto"/>
          <w:szCs w:val="21"/>
          <w:highlight w:val="none"/>
          <w:u w:val="single"/>
          <w:lang w:val="en-US" w:eastAsia="zh-CN" w:bidi="ar-SA"/>
        </w:rPr>
        <w:t xml:space="preserve">（项目名称、项目编号、采购包号）</w:t>
      </w:r>
      <w:r>
        <w:rPr>
          <w:rFonts w:hint="eastAsia" w:ascii="宋体" w:hAnsi="宋体" w:cs="宋体"/>
          <w:color w:val="auto"/>
          <w:szCs w:val="21"/>
          <w:highlight w:val="none"/>
          <w:lang w:val="en-US" w:eastAsia="zh-CN" w:bidi="ar-SA"/>
        </w:rPr>
        <w:t xml:space="preserve">，以本人名义处理一切与之相关的事务，其后果由我本人承担。</w:t>
      </w:r>
      <w:r/>
    </w:p>
    <w:p>
      <w:pPr>
        <w:ind w:left="-141" w:firstLine="420"/>
        <w:spacing w:line="460" w:lineRule="exact"/>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代理人无转委托权，特此委托。</w:t>
      </w:r>
      <w:r/>
    </w:p>
    <w:p>
      <w:pPr>
        <w:ind w:left="-141" w:firstLine="420"/>
        <w:spacing w:line="46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委托期限：自本授权委托书签署之日起至投标有效期届满之日止。</w:t>
      </w:r>
      <w:r/>
    </w:p>
    <w:p>
      <w:pPr>
        <w:ind w:left="-141" w:firstLine="420"/>
        <w:spacing w:line="46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自然人姓名（签字）：</w:t>
      </w:r>
      <w:r/>
    </w:p>
    <w:p>
      <w:pPr>
        <w:ind w:left="-141" w:firstLine="420"/>
        <w:jc w:val="both"/>
        <w:spacing w:after="0" w:line="4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身份证号码：</w:t>
      </w:r>
      <w:r/>
    </w:p>
    <w:p>
      <w:pPr>
        <w:ind w:left="-141" w:firstLine="420"/>
        <w:spacing w:line="46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授权代表（签字）：</w:t>
      </w:r>
      <w:r/>
    </w:p>
    <w:p>
      <w:pPr>
        <w:ind w:left="-141" w:firstLine="420"/>
        <w:jc w:val="both"/>
        <w:spacing w:after="0" w:line="4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身份证号码：</w:t>
      </w:r>
      <w:r/>
    </w:p>
    <w:p>
      <w:pPr>
        <w:ind w:firstLine="315"/>
        <w:spacing w:line="36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firstLine="315"/>
        <w:spacing w:line="480" w:lineRule="auto"/>
        <w:rPr>
          <w:rFonts w:ascii="Microsoft New Tai Lue" w:hAnsi="Microsoft New Tai Lue" w:cs="Microsoft New Tai Lue"/>
          <w:color w:val="auto"/>
          <w:szCs w:val="21"/>
          <w:highlight w:val="none"/>
          <w:lang w:val="en-US" w:eastAsia="zh-CN" w:bidi="ar-SA"/>
        </w:rPr>
      </w:pPr>
      <w:r>
        <w:rPr>
          <w:rFonts w:hint="eastAsia" w:ascii="宋体" w:hAnsi="宋体" w:cs="宋体"/>
          <w:color w:val="auto"/>
          <w:szCs w:val="21"/>
          <w:highlight w:val="none"/>
          <w:lang w:val="en-US" w:eastAsia="zh-CN" w:bidi="ar-SA"/>
        </w:rPr>
        <w:t xml:space="preserve">附：</w:t>
      </w:r>
      <w:r>
        <w:rPr>
          <w:rFonts w:hint="eastAsia" w:ascii="Microsoft New Tai Lue" w:hAnsi="Microsoft New Tai Lue" w:cs="宋体"/>
          <w:color w:val="auto"/>
          <w:szCs w:val="21"/>
          <w:highlight w:val="none"/>
          <w:lang w:val="en-US" w:eastAsia="zh-CN" w:bidi="ar-SA"/>
        </w:rPr>
        <w:t xml:space="preserve">自然人</w:t>
      </w:r>
      <w:r>
        <w:rPr>
          <w:rFonts w:hint="eastAsia" w:ascii="宋体" w:hAnsi="宋体" w:cs="宋体"/>
          <w:color w:val="auto"/>
          <w:szCs w:val="21"/>
          <w:highlight w:val="none"/>
          <w:lang w:val="en-US" w:eastAsia="zh-CN" w:bidi="ar-SA"/>
        </w:rPr>
        <w:t xml:space="preserve">有效期内的</w:t>
      </w:r>
      <w:r>
        <w:rPr>
          <w:rFonts w:hint="eastAsia" w:ascii="Microsoft New Tai Lue" w:hAnsi="Microsoft New Tai Lue" w:cs="宋体"/>
          <w:color w:val="auto"/>
          <w:szCs w:val="21"/>
          <w:highlight w:val="none"/>
          <w:lang w:val="en-US" w:eastAsia="zh-CN" w:bidi="ar-SA"/>
        </w:rPr>
        <w:t xml:space="preserve">身份证扫描件（正反面）</w:t>
      </w:r>
      <w:r/>
    </w:p>
    <w:tbl>
      <w:tblPr>
        <w:tblStyle w:val="852"/>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20" w:firstLine="360"/>
              <w:jc w:val="center"/>
              <w:spacing w:after="120" w:line="360" w:lineRule="auto"/>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60" w:lineRule="auto"/>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77" w:type="dxa"/>
            <w:vAlign w:val="center"/>
            <w:textDirection w:val="lrTb"/>
            <w:noWrap w:val="false"/>
          </w:tcPr>
          <w:p>
            <w:pPr>
              <w:ind w:left="20" w:firstLine="360"/>
              <w:jc w:val="center"/>
              <w:spacing w:line="360" w:lineRule="auto"/>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firstLine="315"/>
        <w:jc w:val="both"/>
        <w:spacing w:after="12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授权代表有效期内的身份证</w:t>
      </w:r>
      <w:r>
        <w:rPr>
          <w:rFonts w:hint="eastAsia" w:cs="宋体"/>
          <w:color w:val="auto"/>
          <w:sz w:val="21"/>
          <w:szCs w:val="21"/>
          <w:highlight w:val="none"/>
          <w:lang w:val="en-US" w:eastAsia="zh-CN" w:bidi="ar-SA"/>
        </w:rPr>
        <w:t xml:space="preserve">扫描件</w:t>
      </w:r>
      <w:r>
        <w:rPr>
          <w:rFonts w:hint="eastAsia" w:ascii="Times New Roman" w:hAnsi="Times New Roman" w:eastAsia="宋体" w:cs="宋体"/>
          <w:color w:val="auto"/>
          <w:sz w:val="21"/>
          <w:szCs w:val="21"/>
          <w:highlight w:val="none"/>
          <w:lang w:val="en-US" w:eastAsia="zh-CN" w:bidi="ar-SA"/>
        </w:rPr>
        <w:t xml:space="preserve">（正反面）</w:t>
      </w:r>
      <w:r/>
    </w:p>
    <w:tbl>
      <w:tblPr>
        <w:tblStyle w:val="852"/>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ind w:left="20" w:firstLine="360"/>
              <w:jc w:val="center"/>
              <w:spacing w:after="120" w:line="360" w:lineRule="auto"/>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spacing w:line="360" w:lineRule="auto"/>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95" w:type="dxa"/>
            <w:vAlign w:val="center"/>
            <w:textDirection w:val="lrTb"/>
            <w:noWrap w:val="false"/>
          </w:tcPr>
          <w:p>
            <w:pPr>
              <w:ind w:left="20" w:firstLine="360"/>
              <w:jc w:val="center"/>
              <w:spacing w:line="360" w:lineRule="auto"/>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firstLine="316"/>
        <w:jc w:val="both"/>
        <w:spacing w:after="120" w:line="240" w:lineRule="atLeast"/>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r>
      <w:r/>
    </w:p>
    <w:p>
      <w:pPr>
        <w:ind w:firstLine="316"/>
        <w:jc w:val="both"/>
        <w:spacing w:after="120" w:line="240" w:lineRule="atLeast"/>
        <w:widowControl w:val="off"/>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注：若投标文件中签字之处均为自然人本人签署，则可不提供本《授权委托书》，但须提供《法定代表人（单位负责人）身份证明》。</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hanging="10"/>
        <w:jc w:val="center"/>
        <w:spacing w:before="0" w:after="60"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br w:type="page" w:clear="all"/>
      </w: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4</w:t>
      </w:r>
      <w:r>
        <w:rPr>
          <w:rFonts w:hint="eastAsia" w:ascii="Microsoft New Tai Lue" w:hAnsi="Microsoft New Tai Lue" w:eastAsia="宋体" w:cs="宋体"/>
          <w:b/>
          <w:bCs/>
          <w:color w:val="auto"/>
          <w:sz w:val="24"/>
          <w:szCs w:val="24"/>
          <w:highlight w:val="none"/>
          <w:lang w:val="en-US" w:eastAsia="zh-CN" w:bidi="ar-SA"/>
        </w:rPr>
        <w:t xml:space="preserve">）开标一览表</w:t>
      </w:r>
      <w:bookmarkEnd w:id="299"/>
      <w:r/>
      <w:bookmarkEnd w:id="307"/>
      <w:r/>
      <w:bookmarkEnd w:id="308"/>
      <w:r/>
      <w:r/>
    </w:p>
    <w:p>
      <w:pPr>
        <w:ind w:left="-141" w:firstLine="105"/>
        <w:spacing w:line="360" w:lineRule="auto"/>
        <w:rPr>
          <w:rFonts w:hint="eastAsia" w:ascii="宋体" w:hAnsi="宋体" w:eastAsia="宋体" w:cs="Times New Roman"/>
          <w:b/>
          <w:bCs/>
          <w:color w:val="auto"/>
          <w:szCs w:val="21"/>
          <w:highlight w:val="none"/>
          <w:lang w:val="en-US" w:eastAsia="zh-CN" w:bidi="ar-SA"/>
        </w:rPr>
      </w:pPr>
      <w:r/>
      <w:bookmarkStart w:id="312" w:name="_Toc103848581"/>
      <w:r>
        <w:rPr>
          <w:rFonts w:hint="eastAsia" w:ascii="宋体" w:hAnsi="宋体" w:cs="宋体"/>
          <w:color w:val="auto"/>
          <w:szCs w:val="21"/>
          <w:highlight w:val="none"/>
          <w:lang w:val="en-US" w:eastAsia="zh-CN" w:bidi="ar-SA"/>
        </w:rPr>
        <w:t xml:space="preserve">项目名称：</w:t>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 xml:space="preserve">    项目编号：                          采购包号：</w:t>
      </w:r>
      <w:r/>
    </w:p>
    <w:tbl>
      <w:tblPr>
        <w:tblStyle w:val="852"/>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1175"/>
        </w:trPr>
        <w:tc>
          <w:tcPr>
            <w:tcW w:w="2628" w:type="dxa"/>
            <w:vAlign w:val="center"/>
            <w:textDirection w:val="lrTb"/>
            <w:noWrap w:val="false"/>
          </w:tcPr>
          <w:p>
            <w:pPr>
              <w:ind w:firstLine="0"/>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投标总价</w:t>
            </w:r>
            <w:r/>
          </w:p>
        </w:tc>
        <w:tc>
          <w:tcPr>
            <w:tcW w:w="6948" w:type="dxa"/>
            <w:vAlign w:val="center"/>
            <w:textDirection w:val="lrTb"/>
            <w:noWrap w:val="false"/>
          </w:tcPr>
          <w:p>
            <w:pPr>
              <w:ind w:firstLine="0"/>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人民币：</w:t>
            </w:r>
            <w:r/>
          </w:p>
        </w:tc>
      </w:tr>
      <w:tr>
        <w:trPr>
          <w:trHeight w:val="1175"/>
        </w:trPr>
        <w:tc>
          <w:tcPr>
            <w:tcW w:w="2628" w:type="dxa"/>
            <w:vAlign w:val="center"/>
            <w:textDirection w:val="lrTb"/>
            <w:noWrap w:val="false"/>
          </w:tcPr>
          <w:p>
            <w:pPr>
              <w:ind w:firstLine="0"/>
              <w:spacing w:line="240" w:lineRule="auto"/>
              <w:rPr>
                <w:rFonts w:hint="default" w:ascii="宋体" w:hAnsi="宋体" w:eastAsia="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核心产品制造商</w:t>
            </w:r>
            <w:r/>
          </w:p>
        </w:tc>
        <w:tc>
          <w:tcPr>
            <w:tcW w:w="6948" w:type="dxa"/>
            <w:vAlign w:val="center"/>
            <w:textDirection w:val="lrTb"/>
            <w:noWrap w:val="false"/>
          </w:tcPr>
          <w:p>
            <w:pPr>
              <w:ind w:firstLine="0"/>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bl>
    <w:p>
      <w:pPr>
        <w:ind w:left="-141" w:firstLine="105"/>
        <w:spacing w:line="360" w:lineRule="auto"/>
        <w:rPr>
          <w:rFonts w:hint="eastAsia" w:ascii="宋体" w:hAnsi="宋体" w:cs="Times New Roman"/>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注：</w:t>
      </w:r>
      <w:r>
        <w:rPr>
          <w:rFonts w:ascii="宋体" w:hAnsi="宋体" w:cs="宋体"/>
          <w:b/>
          <w:bCs/>
          <w:color w:val="auto"/>
          <w:szCs w:val="21"/>
          <w:highlight w:val="none"/>
          <w:lang w:val="en-US" w:eastAsia="zh-CN" w:bidi="ar-SA"/>
        </w:rPr>
        <w:t xml:space="preserve">1</w:t>
      </w:r>
      <w:r>
        <w:rPr>
          <w:rFonts w:hint="eastAsia" w:ascii="宋体" w:hAnsi="宋体" w:cs="宋体"/>
          <w:b/>
          <w:bCs/>
          <w:color w:val="auto"/>
          <w:szCs w:val="21"/>
          <w:highlight w:val="none"/>
          <w:lang w:val="en-US" w:eastAsia="zh-CN" w:bidi="ar-SA"/>
        </w:rPr>
        <w:t xml:space="preserve">、供应商在报价时应充分考虑不确定性因素所引起的费用。</w:t>
      </w:r>
      <w:r/>
    </w:p>
    <w:p>
      <w:pPr>
        <w:ind w:firstLine="315"/>
        <w:spacing w:line="360" w:lineRule="auto"/>
        <w:rPr>
          <w:rFonts w:hint="eastAsia" w:ascii="宋体" w:hAnsi="宋体" w:cs="Times New Roman"/>
          <w:b/>
          <w:bCs/>
          <w:color w:val="auto"/>
          <w:szCs w:val="21"/>
          <w:highlight w:val="none"/>
          <w:lang w:val="en-US" w:eastAsia="zh-CN" w:bidi="ar-SA"/>
        </w:rPr>
      </w:pPr>
      <w:r>
        <w:rPr>
          <w:rFonts w:hint="eastAsia" w:ascii="宋体" w:hAnsi="宋体" w:cs="Times New Roman"/>
          <w:b/>
          <w:bCs/>
          <w:color w:val="auto"/>
          <w:szCs w:val="21"/>
          <w:highlight w:val="none"/>
          <w:lang w:val="en-US" w:eastAsia="zh-CN" w:bidi="ar-SA"/>
        </w:rPr>
      </w:r>
      <w:r/>
    </w:p>
    <w:p>
      <w:pPr>
        <w:ind w:left="-141" w:firstLine="4515"/>
        <w:spacing w:line="36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供应商名称（公章）：</w:t>
      </w:r>
      <w:r>
        <w:rPr>
          <w:rFonts w:ascii="Microsoft New Tai Lue" w:hAnsi="Microsoft New Tai Lue" w:cs="Microsoft New Tai Lue"/>
          <w:color w:val="auto"/>
          <w:szCs w:val="21"/>
          <w:highlight w:val="none"/>
          <w:lang w:val="en-US" w:eastAsia="zh-CN" w:bidi="ar-SA"/>
        </w:rPr>
        <w:t xml:space="preserve">______</w:t>
      </w:r>
      <w:r/>
    </w:p>
    <w:p>
      <w:pPr>
        <w:ind w:left="-141" w:firstLine="45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法定代表人（单位负责人）</w:t>
      </w:r>
      <w:r/>
    </w:p>
    <w:p>
      <w:pPr>
        <w:ind w:left="-141" w:firstLine="4515"/>
        <w:spacing w:line="36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或其授权代表（签字或盖章）：</w:t>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p>
    <w:p>
      <w:pPr>
        <w:ind w:left="-141" w:firstLine="4515"/>
        <w:spacing w:line="360" w:lineRule="auto"/>
        <w:rPr>
          <w:rFonts w:hint="eastAsia" w:ascii="宋体" w:hAnsi="宋体" w:eastAsia="黑体" w:cs="Times New Roman"/>
          <w:b/>
          <w:bCs/>
          <w:color w:val="auto"/>
          <w:sz w:val="32"/>
          <w:szCs w:val="32"/>
          <w:highlight w:val="none"/>
          <w:lang w:val="en-US" w:eastAsia="zh-CN" w:bidi="ar-SA"/>
        </w:rPr>
      </w:pPr>
      <w:r>
        <w:rPr>
          <w:rFonts w:hint="eastAsia" w:ascii="宋体" w:hAnsi="宋体"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firstLine="0"/>
        <w:jc w:val="center"/>
        <w:spacing w:before="240" w:after="60" w:line="240" w:lineRule="atLeast"/>
        <w:widowControl w:val="off"/>
        <w:rPr>
          <w:rFonts w:hint="default" w:ascii="Microsoft New Tai Lue" w:hAnsi="Microsoft New Tai Lue" w:eastAsia="宋体" w:cs="宋体"/>
          <w:b/>
          <w:bCs/>
          <w:color w:val="auto"/>
          <w:sz w:val="24"/>
          <w:szCs w:val="24"/>
          <w:highlight w:val="none"/>
          <w:lang w:val="en-US" w:eastAsia="zh-CN" w:bidi="ar-SA"/>
        </w:rPr>
        <w:outlineLvl w:val="2"/>
      </w:pPr>
      <w:r/>
      <w:bookmarkStart w:id="313" w:name="_Toc104560896"/>
      <w:r>
        <w:rPr>
          <w:rFonts w:hint="default" w:ascii="Microsoft New Tai Lue" w:hAnsi="Microsoft New Tai Lue" w:eastAsia="宋体" w:cs="Microsoft New Tai Lue"/>
          <w:b/>
          <w:bCs/>
          <w:color w:val="auto"/>
          <w:sz w:val="24"/>
          <w:szCs w:val="24"/>
          <w:highlight w:val="none"/>
          <w:lang w:val="en-US" w:eastAsia="zh-CN" w:bidi="ar-SA"/>
        </w:rPr>
        <w:br w:type="page" w:clear="all"/>
      </w:r>
      <w:bookmarkStart w:id="314" w:name="_Toc107246280"/>
      <w:r>
        <w:rPr>
          <w:rFonts w:hint="eastAsia" w:ascii="Microsoft New Tai Lue" w:hAnsi="Microsoft New Tai Lue" w:eastAsia="宋体" w:cs="宋体"/>
          <w:b/>
          <w:bCs/>
          <w:color w:val="auto"/>
          <w:sz w:val="24"/>
          <w:szCs w:val="24"/>
          <w:highlight w:val="none"/>
          <w:lang w:val="en-US" w:eastAsia="zh-CN" w:bidi="ar-SA"/>
        </w:rPr>
        <w:t xml:space="preserve">（5-1）分项报价表</w:t>
      </w:r>
      <w:bookmarkEnd w:id="312"/>
      <w:r/>
      <w:bookmarkEnd w:id="313"/>
      <w:r/>
      <w:bookmarkEnd w:id="314"/>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项目名称：</w:t>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 xml:space="preserve">    项目编号：                          采购包号：</w:t>
      </w:r>
      <w:r/>
    </w:p>
    <w:tbl>
      <w:tblPr>
        <w:tblStyle w:val="852"/>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738"/>
        <w:gridCol w:w="869"/>
        <w:gridCol w:w="1310"/>
        <w:gridCol w:w="1511"/>
        <w:gridCol w:w="856"/>
        <w:gridCol w:w="1458"/>
        <w:gridCol w:w="1448"/>
        <w:gridCol w:w="910"/>
      </w:tblGrid>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名 称</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品牌</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规格或型号</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原产地和</w:t>
            </w:r>
            <w:r/>
          </w:p>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制造商名称</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单项金额（元）</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总价金额（元）</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备注</w:t>
            </w:r>
            <w:r/>
          </w:p>
        </w:tc>
      </w:tr>
      <w:tr>
        <w:trPr>
          <w:jc w:val="center"/>
          <w:trHeight w:val="65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default" w:ascii="Arial" w:hAnsi="Arial" w:eastAsia="Arial" w:cs="Arial"/>
                <w:color w:val="auto"/>
                <w:szCs w:val="21"/>
                <w:highlight w:val="none"/>
                <w:lang w:val="en-US" w:eastAsia="zh-CN" w:bidi="ar-SA"/>
              </w:rPr>
            </w:pPr>
            <w:r>
              <w:rPr>
                <w:rFonts w:hint="default" w:ascii="Arial" w:hAnsi="Arial" w:eastAsia="Arial" w:cs="Arial"/>
                <w:color w:val="auto"/>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r>
        <w:trPr>
          <w:jc w:val="center"/>
          <w:trHeight w:val="65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default" w:ascii="Arial" w:hAnsi="Arial" w:eastAsia="Arial" w:cs="Arial"/>
                <w:color w:val="auto"/>
                <w:szCs w:val="21"/>
                <w:highlight w:val="none"/>
                <w:lang w:val="en-US" w:eastAsia="zh-CN" w:bidi="ar-SA"/>
              </w:rPr>
            </w:pPr>
            <w:r>
              <w:rPr>
                <w:rFonts w:hint="default" w:ascii="Arial" w:hAnsi="Arial" w:eastAsia="Arial" w:cs="Arial"/>
                <w:color w:val="auto"/>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r>
        <w:trPr>
          <w:jc w:val="center"/>
          <w:trHeight w:val="65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default" w:ascii="Arial" w:hAnsi="Arial" w:eastAsia="Arial" w:cs="Arial"/>
                <w:color w:val="auto"/>
                <w:szCs w:val="21"/>
                <w:highlight w:val="none"/>
                <w:lang w:val="en-US" w:eastAsia="zh-CN" w:bidi="ar-SA"/>
              </w:rPr>
            </w:pPr>
            <w:r>
              <w:rPr>
                <w:rFonts w:hint="default" w:ascii="Arial" w:hAnsi="Arial" w:eastAsia="Arial" w:cs="Arial"/>
                <w:color w:val="auto"/>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r>
        <w:trPr>
          <w:jc w:val="center"/>
          <w:trHeight w:val="65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default" w:ascii="Arial" w:hAnsi="Arial" w:eastAsia="Arial" w:cs="Arial"/>
                <w:color w:val="auto"/>
                <w:szCs w:val="21"/>
                <w:highlight w:val="none"/>
                <w:lang w:val="en-US" w:eastAsia="zh-CN" w:bidi="ar-SA"/>
              </w:rPr>
            </w:pPr>
            <w:r>
              <w:rPr>
                <w:rFonts w:hint="default" w:ascii="Arial" w:hAnsi="Arial" w:eastAsia="Arial" w:cs="Arial"/>
                <w:color w:val="auto"/>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r>
        <w:trPr>
          <w:jc w:val="center"/>
          <w:trHeight w:val="854"/>
        </w:trPr>
        <w:tc>
          <w:tcPr>
            <w:gridSpan w:val="4"/>
            <w:tcBorders>
              <w:top w:val="single" w:color="auto" w:sz="4" w:space="0"/>
              <w:left w:val="single" w:color="auto" w:sz="4" w:space="0"/>
              <w:bottom w:val="single" w:color="auto" w:sz="4" w:space="0"/>
              <w:right w:val="single" w:color="auto" w:sz="4" w:space="0"/>
            </w:tcBorders>
            <w:tcW w:w="4555"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投标合计总价（元）：</w:t>
            </w:r>
            <w:r/>
          </w:p>
        </w:tc>
        <w:tc>
          <w:tcPr>
            <w:gridSpan w:val="5"/>
            <w:tcBorders>
              <w:top w:val="single" w:color="auto" w:sz="4" w:space="0"/>
              <w:left w:val="single" w:color="auto" w:sz="4" w:space="0"/>
              <w:right w:val="single" w:color="auto" w:sz="4" w:space="0"/>
            </w:tcBorders>
            <w:tcW w:w="6183"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bl>
    <w:p>
      <w:pPr>
        <w:ind w:left="7" w:firstLine="331"/>
        <w:spacing w:line="360" w:lineRule="auto"/>
        <w:tabs>
          <w:tab w:val="left" w:pos="6045" w:leader="none"/>
        </w:tabs>
        <w:rPr>
          <w:rFonts w:ascii="Microsoft New Tai Lue" w:hAnsi="Microsoft New Tai Lue" w:cs="Microsoft New Tai Lue"/>
          <w:b/>
          <w:bCs/>
          <w:color w:val="auto"/>
          <w:sz w:val="22"/>
          <w:szCs w:val="22"/>
          <w:highlight w:val="none"/>
          <w:lang w:val="en-US" w:eastAsia="zh-CN" w:bidi="ar-SA"/>
        </w:rPr>
      </w:pPr>
      <w:r>
        <w:rPr>
          <w:rFonts w:hint="eastAsia" w:ascii="Microsoft New Tai Lue" w:hAnsi="Microsoft New Tai Lue" w:cs="宋体"/>
          <w:b/>
          <w:bCs/>
          <w:color w:val="auto"/>
          <w:sz w:val="22"/>
          <w:szCs w:val="22"/>
          <w:highlight w:val="none"/>
          <w:lang w:val="en-US" w:eastAsia="zh-CN" w:bidi="ar-SA"/>
        </w:rPr>
        <w:t xml:space="preserve">注：</w:t>
      </w:r>
      <w:r/>
    </w:p>
    <w:p>
      <w:pPr>
        <w:ind w:left="7" w:firstLine="331"/>
        <w:spacing w:line="360" w:lineRule="auto"/>
        <w:tabs>
          <w:tab w:val="left" w:pos="6045" w:leader="none"/>
        </w:tabs>
        <w:rPr>
          <w:rFonts w:ascii="Microsoft New Tai Lue" w:hAnsi="Microsoft New Tai Lue" w:cs="Microsoft New Tai Lue"/>
          <w:b/>
          <w:bCs/>
          <w:color w:val="auto"/>
          <w:sz w:val="22"/>
          <w:szCs w:val="22"/>
          <w:highlight w:val="none"/>
          <w:lang w:val="en-US" w:eastAsia="zh-CN" w:bidi="ar-SA"/>
        </w:rPr>
      </w:pPr>
      <w:r>
        <w:rPr>
          <w:rFonts w:ascii="Microsoft New Tai Lue" w:hAnsi="Microsoft New Tai Lue" w:cs="Microsoft New Tai Lue"/>
          <w:b/>
          <w:bCs/>
          <w:color w:val="auto"/>
          <w:sz w:val="22"/>
          <w:szCs w:val="22"/>
          <w:highlight w:val="none"/>
          <w:lang w:val="en-US" w:eastAsia="zh-CN" w:bidi="ar-SA"/>
        </w:rPr>
        <w:t xml:space="preserve">1</w:t>
      </w:r>
      <w:r>
        <w:rPr>
          <w:rFonts w:hint="eastAsia" w:ascii="Microsoft New Tai Lue" w:hAnsi="Microsoft New Tai Lue" w:cs="宋体"/>
          <w:b/>
          <w:bCs/>
          <w:color w:val="auto"/>
          <w:sz w:val="22"/>
          <w:szCs w:val="22"/>
          <w:highlight w:val="none"/>
          <w:lang w:val="en-US" w:eastAsia="zh-CN" w:bidi="ar-SA"/>
        </w:rPr>
        <w:t xml:space="preserve">、如果行数不够，请自行增加。</w:t>
      </w:r>
      <w:r/>
    </w:p>
    <w:p>
      <w:pPr>
        <w:ind w:left="7" w:firstLine="331"/>
        <w:spacing w:line="360" w:lineRule="auto"/>
        <w:tabs>
          <w:tab w:val="left" w:pos="6045" w:leader="none"/>
        </w:tabs>
        <w:rPr>
          <w:rFonts w:ascii="Microsoft New Tai Lue" w:hAnsi="Microsoft New Tai Lue" w:cs="宋体"/>
          <w:b/>
          <w:bCs/>
          <w:color w:val="auto"/>
          <w:sz w:val="22"/>
          <w:szCs w:val="22"/>
          <w:highlight w:val="none"/>
          <w:lang w:val="en-US" w:eastAsia="zh-CN" w:bidi="ar-SA"/>
        </w:rPr>
      </w:pPr>
      <w:r>
        <w:rPr>
          <w:rFonts w:ascii="Microsoft New Tai Lue" w:hAnsi="Microsoft New Tai Lue" w:cs="Microsoft New Tai Lue"/>
          <w:b/>
          <w:bCs/>
          <w:color w:val="auto"/>
          <w:sz w:val="22"/>
          <w:szCs w:val="22"/>
          <w:highlight w:val="none"/>
          <w:lang w:val="en-US" w:eastAsia="zh-CN" w:bidi="ar-SA"/>
        </w:rPr>
        <w:t xml:space="preserve">2</w:t>
      </w:r>
      <w:r>
        <w:rPr>
          <w:rFonts w:hint="eastAsia" w:ascii="Microsoft New Tai Lue" w:hAnsi="Microsoft New Tai Lue" w:cs="宋体"/>
          <w:b/>
          <w:bCs/>
          <w:color w:val="auto"/>
          <w:sz w:val="22"/>
          <w:szCs w:val="22"/>
          <w:highlight w:val="none"/>
          <w:lang w:val="en-US" w:eastAsia="zh-CN" w:bidi="ar-SA"/>
        </w:rPr>
        <w:t xml:space="preserve">、供应商根据自身方案进行补充完善，以保证项目的完整性及最佳性。</w:t>
      </w:r>
      <w:r/>
    </w:p>
    <w:p>
      <w:pPr>
        <w:ind w:left="7" w:firstLine="331"/>
        <w:spacing w:line="360" w:lineRule="auto"/>
        <w:tabs>
          <w:tab w:val="left" w:pos="6045" w:leader="none"/>
        </w:tabs>
        <w:rPr>
          <w:rFonts w:ascii="Microsoft New Tai Lue" w:hAnsi="Microsoft New Tai Lue" w:cs="宋体"/>
          <w:b/>
          <w:bCs/>
          <w:color w:val="auto"/>
          <w:sz w:val="22"/>
          <w:szCs w:val="22"/>
          <w:highlight w:val="none"/>
          <w:lang w:val="en-US" w:eastAsia="zh-CN" w:bidi="ar-SA"/>
        </w:rPr>
      </w:pPr>
      <w:r>
        <w:rPr>
          <w:rFonts w:hint="eastAsia" w:ascii="Microsoft New Tai Lue" w:hAnsi="Microsoft New Tai Lue" w:cs="宋体"/>
          <w:b/>
          <w:bCs/>
          <w:color w:val="auto"/>
          <w:sz w:val="22"/>
          <w:szCs w:val="22"/>
          <w:highlight w:val="none"/>
          <w:lang w:val="en-US" w:eastAsia="zh-CN" w:bidi="ar-SA"/>
        </w:rPr>
        <w:t xml:space="preserve">3.本表“合计总价”须与《开标一览表》中“投标总价”保持一致。</w:t>
      </w:r>
      <w:r/>
    </w:p>
    <w:p>
      <w:pPr>
        <w:ind w:left="-141" w:firstLine="440"/>
        <w:jc w:val="right"/>
        <w:spacing w:line="360" w:lineRule="auto"/>
        <w:rPr>
          <w:rFonts w:ascii="Microsoft New Tai Lue" w:hAnsi="Microsoft New Tai Lue" w:cs="Microsoft New Tai Lue"/>
          <w:color w:val="auto"/>
          <w:sz w:val="22"/>
          <w:szCs w:val="22"/>
          <w:highlight w:val="none"/>
          <w:lang w:val="en-US" w:eastAsia="zh-CN" w:bidi="ar-SA"/>
        </w:rPr>
      </w:pPr>
      <w:r>
        <w:rPr>
          <w:rFonts w:ascii="Microsoft New Tai Lue" w:hAnsi="Microsoft New Tai Lue" w:cs="Microsoft New Tai Lue"/>
          <w:color w:val="auto"/>
          <w:sz w:val="22"/>
          <w:szCs w:val="22"/>
          <w:highlight w:val="none"/>
          <w:lang w:val="en-US" w:eastAsia="zh-CN" w:bidi="ar-SA"/>
        </w:rPr>
      </w:r>
      <w:r/>
    </w:p>
    <w:p>
      <w:pPr>
        <w:ind w:left="-141" w:firstLine="440"/>
        <w:jc w:val="right"/>
        <w:spacing w:line="360" w:lineRule="auto"/>
        <w:rPr>
          <w:rFonts w:ascii="Microsoft New Tai Lue" w:hAnsi="Microsoft New Tai Lue" w:cs="Microsoft New Tai Lue"/>
          <w:color w:val="auto"/>
          <w:sz w:val="22"/>
          <w:szCs w:val="22"/>
          <w:highlight w:val="none"/>
          <w:lang w:val="en-US" w:eastAsia="zh-CN" w:bidi="ar-SA"/>
        </w:rPr>
      </w:pPr>
      <w:r>
        <w:rPr>
          <w:rFonts w:ascii="Microsoft New Tai Lue" w:hAnsi="Microsoft New Tai Lue" w:cs="Microsoft New Tai Lue"/>
          <w:color w:val="auto"/>
          <w:sz w:val="22"/>
          <w:szCs w:val="22"/>
          <w:highlight w:val="none"/>
          <w:lang w:val="en-US" w:eastAsia="zh-CN" w:bidi="ar-SA"/>
        </w:rPr>
      </w:r>
      <w:r/>
    </w:p>
    <w:p>
      <w:pPr>
        <w:ind w:left="-141" w:firstLine="440"/>
        <w:jc w:val="right"/>
        <w:spacing w:line="360" w:lineRule="auto"/>
        <w:rPr>
          <w:rFonts w:ascii="Microsoft New Tai Lue" w:hAnsi="Microsoft New Tai Lue" w:cs="Microsoft New Tai Lue"/>
          <w:color w:val="auto"/>
          <w:sz w:val="22"/>
          <w:szCs w:val="22"/>
          <w:highlight w:val="none"/>
          <w:lang w:val="en-US" w:eastAsia="zh-CN" w:bidi="ar-SA"/>
        </w:rPr>
      </w:pPr>
      <w:r>
        <w:rPr>
          <w:rFonts w:ascii="Microsoft New Tai Lue" w:hAnsi="Microsoft New Tai Lue" w:cs="Microsoft New Tai Lue"/>
          <w:color w:val="auto"/>
          <w:sz w:val="22"/>
          <w:szCs w:val="22"/>
          <w:highlight w:val="none"/>
          <w:lang w:val="en-US" w:eastAsia="zh-CN" w:bidi="ar-SA"/>
        </w:rPr>
      </w:r>
      <w:r/>
    </w:p>
    <w:p>
      <w:pPr>
        <w:ind w:left="-141" w:firstLine="5600"/>
        <w:spacing w:line="36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供应商名称（公章）：</w:t>
      </w:r>
      <w:r/>
    </w:p>
    <w:p>
      <w:pPr>
        <w:ind w:left="-141" w:firstLine="5600"/>
        <w:jc w:val="left"/>
        <w:spacing w:line="36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left="-141" w:firstLine="5600"/>
        <w:spacing w:line="36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szCs w:val="21"/>
          <w:highlight w:val="none"/>
          <w:lang w:val="en-US" w:eastAsia="zh-CN" w:bidi="ar-SA"/>
        </w:rPr>
        <w:t xml:space="preserve">或其授权代表（签字或盖章）：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5600"/>
        <w:spacing w:line="360" w:lineRule="auto"/>
        <w:rPr>
          <w:rFonts w:ascii="Microsoft New Tai Lue" w:hAnsi="Microsoft New Tai Lue" w:cs="宋体"/>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default" w:ascii="Microsoft New Tai Lue" w:hAnsi="Microsoft New Tai Lue" w:eastAsia="宋体" w:cs="Microsoft New Tai Lue"/>
          <w:b w:val="0"/>
          <w:bCs w:val="0"/>
          <w:color w:val="auto"/>
          <w:sz w:val="32"/>
          <w:szCs w:val="32"/>
          <w:highlight w:val="none"/>
          <w:lang w:val="en-US" w:eastAsia="zh-CN" w:bidi="ar-SA"/>
        </w:rPr>
        <w:br w:type="page" w:clear="all"/>
      </w:r>
      <w:bookmarkStart w:id="315" w:name="_Toc104560901"/>
      <w:r/>
      <w:bookmarkStart w:id="316" w:name="_Toc107246281"/>
      <w:r/>
      <w:bookmarkStart w:id="317" w:name="_Toc103848586"/>
      <w:r/>
      <w:bookmarkStart w:id="318" w:name="_Toc102117319"/>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6</w:t>
      </w:r>
      <w:r>
        <w:rPr>
          <w:rFonts w:hint="eastAsia" w:ascii="Microsoft New Tai Lue" w:hAnsi="Microsoft New Tai Lue" w:eastAsia="宋体" w:cs="宋体"/>
          <w:b/>
          <w:bCs/>
          <w:color w:val="auto"/>
          <w:sz w:val="24"/>
          <w:szCs w:val="24"/>
          <w:highlight w:val="none"/>
          <w:lang w:val="en-US" w:eastAsia="zh-CN" w:bidi="ar-SA"/>
        </w:rPr>
        <w:t xml:space="preserve">）商务条款偏离表</w:t>
      </w:r>
      <w:bookmarkEnd w:id="315"/>
      <w:r/>
      <w:bookmarkEnd w:id="316"/>
      <w:r/>
      <w:bookmarkEnd w:id="317"/>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u w:val="single"/>
          <w:lang w:val="en-US" w:eastAsia="zh-CN" w:bidi="ar-SA"/>
        </w:rPr>
      </w:pPr>
      <w:r>
        <w:rPr>
          <w:rFonts w:hint="eastAsia" w:ascii="宋体" w:hAnsi="Courier New" w:eastAsia="宋体" w:cs="宋体"/>
          <w:color w:val="auto"/>
          <w:sz w:val="21"/>
          <w:szCs w:val="21"/>
          <w:highlight w:val="none"/>
          <w:lang w:val="en-US" w:eastAsia="zh-CN" w:bidi="ar-SA"/>
        </w:rPr>
        <w:t xml:space="preserve">项目名称：</w:t>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 xml:space="preserve">    项目编号：                          采购包号：</w:t>
      </w:r>
      <w:r/>
    </w:p>
    <w:tbl>
      <w:tblPr>
        <w:tblStyle w:val="852"/>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序号</w:t>
            </w:r>
            <w:r/>
          </w:p>
        </w:tc>
        <w:tc>
          <w:tcPr>
            <w:tcW w:w="1844"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招标文件条目号</w:t>
            </w:r>
            <w:r/>
          </w:p>
        </w:tc>
        <w:tc>
          <w:tcPr>
            <w:tcW w:w="2268"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招标文件的商务条款</w:t>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投标响应商务条款</w:t>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是否偏离</w:t>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偏离</w:t>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说明</w:t>
            </w:r>
            <w:r/>
          </w:p>
        </w:tc>
      </w:tr>
      <w:tr>
        <w:trPr>
          <w:trHeight w:val="570"/>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81"/>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90"/>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714"/>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82"/>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707"/>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bl>
    <w:p>
      <w:pPr>
        <w:ind w:firstLine="316"/>
        <w:jc w:val="both"/>
        <w:spacing w:after="120" w:line="360" w:lineRule="exact"/>
        <w:widowControl w:val="off"/>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注：</w:t>
      </w:r>
      <w:r/>
    </w:p>
    <w:p>
      <w:pPr>
        <w:ind w:firstLine="316"/>
        <w:jc w:val="both"/>
        <w:spacing w:after="120" w:line="360" w:lineRule="exact"/>
        <w:widowControl w:val="off"/>
        <w:rPr>
          <w:rFonts w:hint="default" w:ascii="宋体" w:hAnsi="Times New Roman" w:eastAsia="宋体" w:cs="Times New Roman"/>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1. </w:t>
      </w:r>
      <w:r>
        <w:rPr>
          <w:rFonts w:hint="eastAsia" w:ascii="宋体" w:hAnsi="宋体" w:eastAsia="宋体" w:cs="宋体"/>
          <w:b/>
          <w:bCs/>
          <w:color w:val="auto"/>
          <w:sz w:val="21"/>
          <w:szCs w:val="21"/>
          <w:highlight w:val="none"/>
          <w:lang w:val="en-US" w:eastAsia="zh-CN" w:bidi="ar-SA"/>
        </w:rPr>
        <w:t xml:space="preserve">供应商须根据招标文件要求填写此表，作为响应文件的组成部分。</w:t>
      </w:r>
      <w:r/>
    </w:p>
    <w:p>
      <w:pPr>
        <w:ind w:firstLine="316"/>
        <w:jc w:val="both"/>
        <w:spacing w:after="120" w:line="360" w:lineRule="exact"/>
        <w:widowControl w:val="off"/>
        <w:rPr>
          <w:rFonts w:hint="default" w:ascii="宋体" w:hAnsi="Times New Roman" w:eastAsia="宋体" w:cs="Times New Roman"/>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2. </w:t>
      </w:r>
      <w:r>
        <w:rPr>
          <w:rFonts w:hint="eastAsia" w:ascii="宋体" w:hAnsi="宋体" w:eastAsia="宋体" w:cs="宋体"/>
          <w:b/>
          <w:bCs/>
          <w:color w:val="auto"/>
          <w:sz w:val="21"/>
          <w:szCs w:val="21"/>
          <w:highlight w:val="none"/>
          <w:lang w:val="en-US" w:eastAsia="zh-CN" w:bidi="ar-SA"/>
        </w:rPr>
        <w:t xml:space="preserve">所有偏离必须在本表中列出，未在本偏离表中列出偏离，将视为供应商已完全接受</w:t>
      </w:r>
      <w:r>
        <w:rPr>
          <w:rFonts w:hint="eastAsia" w:ascii="宋体" w:hAnsi="宋体" w:cs="宋体"/>
          <w:b/>
          <w:bCs/>
          <w:color w:val="auto"/>
          <w:sz w:val="21"/>
          <w:szCs w:val="21"/>
          <w:highlight w:val="none"/>
          <w:lang w:val="en-US" w:eastAsia="zh-CN" w:bidi="ar-SA"/>
        </w:rPr>
        <w:t xml:space="preserve">招标文件</w:t>
      </w:r>
      <w:r>
        <w:rPr>
          <w:rFonts w:hint="eastAsia" w:ascii="宋体" w:hAnsi="宋体" w:eastAsia="宋体" w:cs="宋体"/>
          <w:b/>
          <w:bCs/>
          <w:color w:val="auto"/>
          <w:sz w:val="21"/>
          <w:szCs w:val="21"/>
          <w:highlight w:val="none"/>
          <w:lang w:val="en-US" w:eastAsia="zh-CN" w:bidi="ar-SA"/>
        </w:rPr>
        <w:t xml:space="preserve">要求。如完全无偏离，也无其他说明，可在本表第一行填写“全部无偏离”。</w:t>
      </w:r>
      <w:r/>
    </w:p>
    <w:p>
      <w:pPr>
        <w:ind w:firstLine="316"/>
        <w:jc w:val="both"/>
        <w:spacing w:after="120" w:line="360" w:lineRule="exact"/>
        <w:widowControl w:val="off"/>
        <w:rPr>
          <w:rFonts w:hint="default" w:ascii="宋体" w:hAnsi="Times New Roman" w:eastAsia="宋体" w:cs="Times New Roman"/>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3. </w:t>
      </w:r>
      <w:r>
        <w:rPr>
          <w:rFonts w:hint="eastAsia" w:ascii="宋体" w:hAnsi="宋体" w:eastAsia="宋体" w:cs="宋体"/>
          <w:b/>
          <w:bCs/>
          <w:color w:val="auto"/>
          <w:sz w:val="21"/>
          <w:szCs w:val="21"/>
          <w:highlight w:val="none"/>
          <w:lang w:val="en-US" w:eastAsia="zh-CN" w:bidi="ar-SA"/>
        </w:rPr>
        <w:t xml:space="preserve">偏离包括正、负偏离，正偏离指供应商的响应高于</w:t>
      </w:r>
      <w:r>
        <w:rPr>
          <w:rFonts w:hint="eastAsia" w:ascii="宋体" w:hAnsi="宋体" w:cs="宋体"/>
          <w:b/>
          <w:bCs/>
          <w:color w:val="auto"/>
          <w:sz w:val="21"/>
          <w:szCs w:val="21"/>
          <w:highlight w:val="none"/>
          <w:lang w:val="en-US" w:eastAsia="zh-CN" w:bidi="ar-SA"/>
        </w:rPr>
        <w:t xml:space="preserve">招标文件</w:t>
      </w:r>
      <w:r>
        <w:rPr>
          <w:rFonts w:hint="eastAsia" w:ascii="宋体" w:hAnsi="宋体" w:eastAsia="宋体" w:cs="宋体"/>
          <w:b/>
          <w:bCs/>
          <w:color w:val="auto"/>
          <w:sz w:val="21"/>
          <w:szCs w:val="21"/>
          <w:highlight w:val="none"/>
          <w:lang w:val="en-US" w:eastAsia="zh-CN" w:bidi="ar-SA"/>
        </w:rPr>
        <w:t xml:space="preserve">要求，负偏离指供应商的响应低于</w:t>
      </w:r>
      <w:r>
        <w:rPr>
          <w:rFonts w:hint="eastAsia" w:ascii="宋体" w:hAnsi="宋体" w:cs="宋体"/>
          <w:b/>
          <w:bCs/>
          <w:color w:val="auto"/>
          <w:sz w:val="21"/>
          <w:szCs w:val="21"/>
          <w:highlight w:val="none"/>
          <w:lang w:val="en-US" w:eastAsia="zh-CN" w:bidi="ar-SA"/>
        </w:rPr>
        <w:t xml:space="preserve">招标</w:t>
      </w:r>
      <w:r>
        <w:rPr>
          <w:rFonts w:hint="eastAsia" w:ascii="宋体" w:hAnsi="宋体" w:eastAsia="宋体" w:cs="宋体"/>
          <w:b/>
          <w:bCs/>
          <w:color w:val="auto"/>
          <w:sz w:val="21"/>
          <w:szCs w:val="21"/>
          <w:highlight w:val="none"/>
          <w:lang w:val="en-US" w:eastAsia="zh-CN" w:bidi="ar-SA"/>
        </w:rPr>
        <w:t xml:space="preserve">文件要求。</w:t>
      </w:r>
      <w:r/>
    </w:p>
    <w:p>
      <w:pPr>
        <w:ind w:firstLine="316"/>
        <w:jc w:val="both"/>
        <w:spacing w:after="12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4. </w:t>
      </w:r>
      <w:r>
        <w:rPr>
          <w:rFonts w:hint="eastAsia" w:ascii="宋体" w:hAnsi="宋体" w:eastAsia="宋体" w:cs="宋体"/>
          <w:b/>
          <w:bCs/>
          <w:color w:val="auto"/>
          <w:sz w:val="21"/>
          <w:szCs w:val="21"/>
          <w:highlight w:val="none"/>
          <w:lang w:val="en-US" w:eastAsia="zh-CN" w:bidi="ar-SA"/>
        </w:rPr>
        <w:t xml:space="preserve">如供应商将此表空白，视为供应商无任何偏离。</w:t>
      </w:r>
      <w:r/>
    </w:p>
    <w:p>
      <w:pPr>
        <w:ind w:left="20" w:firstLine="360"/>
        <w:jc w:val="left"/>
        <w:spacing w:line="360" w:lineRule="auto"/>
        <w:widowControl/>
        <w:rPr>
          <w:rFonts w:ascii="Microsoft New Tai Lue" w:hAnsi="Microsoft New Tai Lue" w:cs="Microsoft New Tai Lue"/>
          <w:b/>
          <w:bCs/>
          <w:color w:val="auto"/>
          <w:sz w:val="24"/>
          <w:szCs w:val="24"/>
          <w:highlight w:val="none"/>
          <w:lang w:val="en-US" w:eastAsia="zh-CN" w:bidi="ar-SA"/>
        </w:rPr>
      </w:pPr>
      <w:r/>
      <w:bookmarkStart w:id="319" w:name="_Toc104560902"/>
      <w:r/>
      <w:bookmarkStart w:id="320" w:name="_Toc103848587"/>
      <w:r/>
      <w:bookmarkStart w:id="321" w:name="_Toc107246282"/>
      <w:r>
        <w:rPr>
          <w:rFonts w:ascii="Microsoft New Tai Lue" w:hAnsi="Microsoft New Tai Lue" w:cs="Microsoft New Tai Lue"/>
          <w:color w:val="auto"/>
          <w:sz w:val="24"/>
          <w:szCs w:val="24"/>
          <w:highlight w:val="none"/>
          <w:lang w:val="en-US" w:eastAsia="zh-CN" w:bidi="ar-SA"/>
        </w:rPr>
        <w:br w:type="page" w:clear="all"/>
      </w:r>
      <w:r/>
    </w:p>
    <w:p>
      <w:pPr>
        <w:ind w:hanging="10"/>
        <w:jc w:val="center"/>
        <w:spacing w:before="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w:t>
      </w:r>
      <w:r>
        <w:rPr>
          <w:rFonts w:hint="eastAsia" w:ascii="Microsoft New Tai Lue" w:hAnsi="Microsoft New Tai Lue" w:eastAsia="宋体" w:cs="宋体"/>
          <w:b/>
          <w:bCs/>
          <w:color w:val="auto"/>
          <w:sz w:val="24"/>
          <w:szCs w:val="24"/>
          <w:highlight w:val="none"/>
          <w:lang w:val="en-US" w:eastAsia="zh-CN" w:bidi="ar-SA"/>
        </w:rPr>
        <w:t xml:space="preserve">）供应商具备投标资格的证明文件</w:t>
      </w:r>
      <w:bookmarkEnd w:id="319"/>
      <w:r/>
      <w:bookmarkEnd w:id="320"/>
      <w:r/>
      <w:bookmarkEnd w:id="321"/>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bookmarkStart w:id="322" w:name="_Toc107246283"/>
      <w:r/>
      <w:bookmarkStart w:id="323" w:name="_Toc104560903"/>
      <w:r/>
      <w:bookmarkStart w:id="324" w:name="_Toc103848588"/>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7-1-1</w:t>
      </w:r>
      <w:r>
        <w:rPr>
          <w:rFonts w:hint="eastAsia" w:ascii="Microsoft New Tai Lue" w:hAnsi="Microsoft New Tai Lue" w:eastAsia="宋体" w:cs="宋体"/>
          <w:b/>
          <w:bCs/>
          <w:color w:val="auto"/>
          <w:sz w:val="24"/>
          <w:szCs w:val="24"/>
          <w:highlight w:val="none"/>
          <w:lang w:val="en-US" w:eastAsia="zh-CN" w:bidi="ar-SA"/>
        </w:rPr>
        <w:t xml:space="preserve">）营业执照</w:t>
      </w:r>
      <w:bookmarkEnd w:id="318"/>
      <w:r>
        <w:rPr>
          <w:rFonts w:hint="eastAsia" w:ascii="Microsoft New Tai Lue" w:hAnsi="Microsoft New Tai Lue" w:cs="宋体"/>
          <w:b/>
          <w:bCs/>
          <w:color w:val="auto"/>
          <w:sz w:val="24"/>
          <w:szCs w:val="24"/>
          <w:highlight w:val="none"/>
          <w:lang w:val="en-US" w:eastAsia="zh-CN" w:bidi="ar-SA"/>
        </w:rPr>
        <w:t xml:space="preserve">扫描件</w:t>
      </w:r>
      <w:r>
        <w:rPr>
          <w:rFonts w:hint="eastAsia" w:ascii="Microsoft New Tai Lue" w:hAnsi="Microsoft New Tai Lue" w:eastAsia="宋体" w:cs="宋体"/>
          <w:b/>
          <w:bCs/>
          <w:color w:val="auto"/>
          <w:sz w:val="24"/>
          <w:szCs w:val="24"/>
          <w:highlight w:val="none"/>
          <w:lang w:val="en-US" w:eastAsia="zh-CN" w:bidi="ar-SA"/>
        </w:rPr>
        <w:t xml:space="preserve">或自然人的身份证明</w:t>
      </w:r>
      <w:bookmarkEnd w:id="322"/>
      <w:r/>
      <w:bookmarkEnd w:id="323"/>
      <w:r/>
      <w:bookmarkEnd w:id="324"/>
      <w:r>
        <w:rPr>
          <w:rFonts w:hint="eastAsia" w:ascii="Microsoft New Tai Lue" w:hAnsi="Microsoft New Tai Lue" w:cs="宋体"/>
          <w:b/>
          <w:bCs/>
          <w:color w:val="auto"/>
          <w:sz w:val="24"/>
          <w:szCs w:val="24"/>
          <w:highlight w:val="none"/>
          <w:lang w:val="en-US" w:eastAsia="zh-CN" w:bidi="ar-SA"/>
        </w:rPr>
        <w:t xml:space="preserve">扫描件</w:t>
      </w:r>
      <w:r/>
    </w:p>
    <w:p>
      <w:pPr>
        <w:ind w:firstLine="316"/>
        <w:spacing w:line="300" w:lineRule="auto"/>
        <w:rPr>
          <w:rFonts w:ascii="Microsoft New Tai Lue" w:hAnsi="Microsoft New Tai Lue" w:cs="Microsoft New Tai Lue"/>
          <w:b/>
          <w:bCs/>
          <w:color w:val="auto"/>
          <w:szCs w:val="21"/>
          <w:highlight w:val="none"/>
          <w:lang w:val="en-US" w:eastAsia="zh-CN" w:bidi="ar-SA"/>
        </w:rPr>
      </w:pPr>
      <w:r/>
      <w:bookmarkStart w:id="325" w:name="_Hlk33717720"/>
      <w:r>
        <w:rPr>
          <w:rFonts w:hint="eastAsia" w:ascii="Microsoft New Tai Lue" w:hAnsi="Microsoft New Tai Lue" w:cs="宋体"/>
          <w:b/>
          <w:bCs/>
          <w:color w:val="auto"/>
          <w:szCs w:val="21"/>
          <w:highlight w:val="none"/>
          <w:lang w:val="en-US" w:eastAsia="zh-CN" w:bidi="ar-SA"/>
        </w:rPr>
        <w:t xml:space="preserve">注：供应商提供营业执照副本（或具有同等法律效力的证照）扫描件。扫描件应能清晰显示供应商名称。</w:t>
      </w:r>
      <w:bookmarkEnd w:id="325"/>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26" w:name="_Toc102117320"/>
      <w:r/>
      <w:bookmarkStart w:id="327" w:name="_Toc107246284"/>
      <w:r/>
      <w:bookmarkStart w:id="328" w:name="_Toc103848589"/>
      <w:r/>
      <w:bookmarkStart w:id="329" w:name="_Toc104560904"/>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黑体" w:cs="Times New Roman"/>
          <w:b w:val="0"/>
          <w:bCs w:val="0"/>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7-1-2</w:t>
      </w:r>
      <w:r>
        <w:rPr>
          <w:rFonts w:hint="eastAsia" w:ascii="Microsoft New Tai Lue" w:hAnsi="Microsoft New Tai Lue" w:eastAsia="宋体" w:cs="宋体"/>
          <w:b/>
          <w:bCs/>
          <w:color w:val="auto"/>
          <w:sz w:val="24"/>
          <w:szCs w:val="24"/>
          <w:highlight w:val="none"/>
          <w:lang w:val="en-US" w:eastAsia="zh-CN" w:bidi="ar-SA"/>
        </w:rPr>
        <w:t xml:space="preserve">）工商变更登记文件（如需）</w:t>
      </w:r>
      <w:bookmarkEnd w:id="326"/>
      <w:r/>
      <w:bookmarkEnd w:id="327"/>
      <w:r/>
      <w:bookmarkEnd w:id="328"/>
      <w:r/>
      <w:bookmarkEnd w:id="329"/>
      <w:r/>
      <w:r/>
    </w:p>
    <w:p>
      <w:pPr>
        <w:ind w:firstLine="316"/>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注：如</w:t>
      </w:r>
      <w:r>
        <w:rPr>
          <w:rFonts w:hint="eastAsia" w:ascii="Microsoft New Tai Lue" w:hAnsi="Microsoft New Tai Lue" w:cs="宋体"/>
          <w:b/>
          <w:bCs/>
          <w:color w:val="auto"/>
          <w:sz w:val="22"/>
          <w:szCs w:val="22"/>
          <w:highlight w:val="none"/>
          <w:lang w:val="en-US" w:eastAsia="zh-CN" w:bidi="ar-SA"/>
        </w:rPr>
        <w:t xml:space="preserve">供应商</w:t>
      </w:r>
      <w:r>
        <w:rPr>
          <w:rFonts w:hint="eastAsia" w:ascii="Microsoft New Tai Lue" w:hAnsi="Microsoft New Tai Lue" w:cs="宋体"/>
          <w:b/>
          <w:bCs/>
          <w:color w:val="auto"/>
          <w:szCs w:val="21"/>
          <w:highlight w:val="none"/>
          <w:lang w:val="en-US" w:eastAsia="zh-CN" w:bidi="ar-SA"/>
        </w:rPr>
        <w:t xml:space="preserve">在招标文件资质、业绩等要求的时间期限内发生了单位名称等变更的，提供相关工商变更登记文件的扫描件。如无，则可不提供。</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30" w:name="_Toc102117321"/>
      <w:r/>
      <w:bookmarkStart w:id="331" w:name="_Toc103848590"/>
      <w:r/>
      <w:bookmarkStart w:id="332" w:name="_Toc107246285"/>
      <w:r/>
      <w:bookmarkStart w:id="333" w:name="_Toc104560905"/>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7-2</w:t>
      </w:r>
      <w:r>
        <w:rPr>
          <w:rFonts w:hint="eastAsia" w:ascii="Microsoft New Tai Lue" w:hAnsi="Microsoft New Tai Lue" w:eastAsia="宋体" w:cs="宋体"/>
          <w:b/>
          <w:bCs/>
          <w:color w:val="auto"/>
          <w:sz w:val="24"/>
          <w:szCs w:val="24"/>
          <w:highlight w:val="none"/>
          <w:lang w:val="en-US" w:eastAsia="zh-CN" w:bidi="ar-SA"/>
        </w:rPr>
        <w:t xml:space="preserve">）财务报表</w:t>
      </w:r>
      <w:bookmarkEnd w:id="330"/>
      <w:r/>
      <w:bookmarkEnd w:id="331"/>
      <w:r/>
      <w:bookmarkEnd w:id="332"/>
      <w:r/>
      <w:bookmarkEnd w:id="333"/>
      <w:r/>
      <w:r/>
    </w:p>
    <w:p>
      <w:pPr>
        <w:ind w:firstLine="316"/>
        <w:jc w:val="center"/>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注：根据招标公告的要求提供。</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34" w:name="_Toc107246286"/>
      <w:r/>
      <w:bookmarkStart w:id="335" w:name="_Toc102117322"/>
      <w:r/>
      <w:bookmarkStart w:id="336" w:name="_Toc104560908"/>
      <w:r/>
      <w:bookmarkStart w:id="337" w:name="_Toc103848593"/>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7-3</w:t>
      </w:r>
      <w:r>
        <w:rPr>
          <w:rFonts w:hint="eastAsia" w:ascii="Microsoft New Tai Lue" w:hAnsi="Microsoft New Tai Lue" w:eastAsia="宋体" w:cs="宋体"/>
          <w:b/>
          <w:bCs/>
          <w:color w:val="auto"/>
          <w:sz w:val="24"/>
          <w:szCs w:val="24"/>
          <w:highlight w:val="none"/>
          <w:lang w:val="en-US" w:eastAsia="zh-CN" w:bidi="ar-SA"/>
        </w:rPr>
        <w:t xml:space="preserve">）具有履行合同所必需的设备和专业技术能力的相关证明材料或承诺函（提供承诺函原件）</w:t>
      </w:r>
      <w:bookmarkEnd w:id="334"/>
      <w:r/>
      <w:bookmarkEnd w:id="335"/>
      <w:r/>
      <w:bookmarkEnd w:id="336"/>
      <w:r/>
      <w:bookmarkEnd w:id="337"/>
      <w:r/>
      <w:r/>
    </w:p>
    <w:p>
      <w:pPr>
        <w:ind w:left="154" w:firstLine="660"/>
        <w:jc w:val="center"/>
        <w:spacing w:before="120" w:after="120"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 w:val="44"/>
          <w:szCs w:val="44"/>
          <w:highlight w:val="none"/>
          <w:lang w:val="en-US" w:eastAsia="zh-CN" w:bidi="ar-SA"/>
        </w:rPr>
        <w:t xml:space="preserve">承诺函</w:t>
      </w:r>
      <w:r/>
    </w:p>
    <w:p>
      <w:pPr>
        <w:ind w:firstLine="315"/>
        <w:jc w:val="left"/>
        <w:spacing w:before="120" w:after="120"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我单位郑重承诺：我单位具备履行本项采购合同所必需的设备和专业技术能力。</w:t>
      </w:r>
      <w:r/>
    </w:p>
    <w:p>
      <w:pPr>
        <w:ind w:firstLine="315"/>
        <w:spacing w:line="30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315"/>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hint="eastAsia" w:ascii="Microsoft New Tai Lue" w:hAnsi="Microsoft New Tai Lue" w:cs="宋体"/>
          <w:color w:val="auto"/>
          <w:szCs w:val="21"/>
          <w:highlight w:val="none"/>
          <w:lang w:val="en-US" w:eastAsia="zh-CN" w:bidi="ar-SA"/>
        </w:rPr>
        <w:t xml:space="preserve">供应商名称（公章）：</w:t>
      </w:r>
      <w:r>
        <w:rPr>
          <w:rFonts w:ascii="Microsoft New Tai Lue" w:hAnsi="Microsoft New Tai Lue" w:cs="Microsoft New Tai Lue"/>
          <w:color w:val="auto"/>
          <w:szCs w:val="21"/>
          <w:highlight w:val="none"/>
          <w:lang w:val="en-US" w:eastAsia="zh-CN" w:bidi="ar-SA"/>
        </w:rPr>
        <w:t xml:space="preserve">______________________</w:t>
      </w:r>
      <w:r/>
    </w:p>
    <w:p>
      <w:pPr>
        <w:ind w:left="2205" w:firstLine="1575"/>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left="-141" w:firstLine="3780"/>
        <w:spacing w:line="30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szCs w:val="21"/>
          <w:highlight w:val="none"/>
          <w:lang w:val="en-US" w:eastAsia="zh-CN" w:bidi="ar-SA"/>
        </w:rPr>
        <w:t xml:space="preserve">或其授权代表（签字或盖章）：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3826"/>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38" w:name="_Toc102117323"/>
      <w:r/>
      <w:bookmarkStart w:id="339" w:name="_Toc104560906"/>
      <w:r/>
      <w:bookmarkStart w:id="340" w:name="_Toc103848591"/>
      <w:r/>
      <w:bookmarkStart w:id="341" w:name="_Toc107246287"/>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黑体" w:cs="Times New Roman"/>
          <w:b w:val="0"/>
          <w:bCs w:val="0"/>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7-4</w:t>
      </w:r>
      <w:r>
        <w:rPr>
          <w:rFonts w:hint="eastAsia" w:ascii="Microsoft New Tai Lue" w:hAnsi="Microsoft New Tai Lue" w:eastAsia="宋体" w:cs="宋体"/>
          <w:b/>
          <w:bCs/>
          <w:color w:val="auto"/>
          <w:sz w:val="24"/>
          <w:szCs w:val="24"/>
          <w:highlight w:val="none"/>
          <w:lang w:val="en-US" w:eastAsia="zh-CN" w:bidi="ar-SA"/>
        </w:rPr>
        <w:t xml:space="preserve">）依法缴纳税收的相关材料</w:t>
      </w:r>
      <w:bookmarkEnd w:id="338"/>
      <w:r/>
      <w:bookmarkEnd w:id="339"/>
      <w:r/>
      <w:bookmarkEnd w:id="340"/>
      <w:r/>
      <w:bookmarkEnd w:id="341"/>
      <w:r/>
      <w:r/>
    </w:p>
    <w:p>
      <w:pPr>
        <w:ind w:firstLine="316"/>
        <w:jc w:val="center"/>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注：根据招标公告的要求提供。</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42" w:name="_Toc102117324"/>
      <w:r/>
      <w:bookmarkStart w:id="343" w:name="_Toc103848592"/>
      <w:r/>
      <w:bookmarkStart w:id="344" w:name="_Toc104560907"/>
      <w:r/>
      <w:bookmarkStart w:id="345" w:name="_Toc107246288"/>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7-5</w:t>
      </w:r>
      <w:r>
        <w:rPr>
          <w:rFonts w:hint="eastAsia" w:ascii="Microsoft New Tai Lue" w:hAnsi="Microsoft New Tai Lue" w:eastAsia="宋体" w:cs="宋体"/>
          <w:b/>
          <w:bCs/>
          <w:color w:val="auto"/>
          <w:sz w:val="24"/>
          <w:szCs w:val="24"/>
          <w:highlight w:val="none"/>
          <w:lang w:val="en-US" w:eastAsia="zh-CN" w:bidi="ar-SA"/>
        </w:rPr>
        <w:t xml:space="preserve">）依法缴纳社会保障资金的相关材料</w:t>
      </w:r>
      <w:bookmarkEnd w:id="342"/>
      <w:r/>
      <w:bookmarkEnd w:id="343"/>
      <w:r/>
      <w:bookmarkEnd w:id="344"/>
      <w:r/>
      <w:bookmarkEnd w:id="345"/>
      <w:r/>
      <w:r/>
    </w:p>
    <w:p>
      <w:pPr>
        <w:ind w:firstLine="316"/>
        <w:jc w:val="center"/>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注：根据招标公告的要求提供。</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46" w:name="_Toc102117325"/>
      <w:r/>
      <w:bookmarkStart w:id="347" w:name="_Toc107246289"/>
      <w:r/>
      <w:bookmarkStart w:id="348" w:name="_Toc103848594"/>
      <w:r/>
      <w:bookmarkStart w:id="349" w:name="_Toc104560909"/>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val="0"/>
          <w:bCs w:val="0"/>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7-6</w:t>
      </w:r>
      <w:r>
        <w:rPr>
          <w:rFonts w:hint="eastAsia" w:ascii="Microsoft New Tai Lue" w:hAnsi="Microsoft New Tai Lue" w:eastAsia="宋体" w:cs="宋体"/>
          <w:b/>
          <w:bCs/>
          <w:color w:val="auto"/>
          <w:sz w:val="24"/>
          <w:szCs w:val="24"/>
          <w:highlight w:val="none"/>
          <w:lang w:val="en-US" w:eastAsia="zh-CN" w:bidi="ar-SA"/>
        </w:rPr>
        <w:t xml:space="preserve">）没有重大违法记录的书面声明</w:t>
      </w:r>
      <w:bookmarkEnd w:id="346"/>
      <w:r/>
      <w:bookmarkEnd w:id="347"/>
      <w:r/>
      <w:bookmarkEnd w:id="348"/>
      <w:r/>
      <w:bookmarkEnd w:id="349"/>
      <w:r/>
      <w:r/>
    </w:p>
    <w:p>
      <w:pPr>
        <w:ind w:firstLine="316"/>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注：参加政府采购活动前</w:t>
      </w:r>
      <w:r>
        <w:rPr>
          <w:rFonts w:ascii="Microsoft New Tai Lue" w:hAnsi="Microsoft New Tai Lue" w:cs="Microsoft New Tai Lue"/>
          <w:b/>
          <w:bCs/>
          <w:color w:val="auto"/>
          <w:szCs w:val="21"/>
          <w:highlight w:val="none"/>
          <w:lang w:val="en-US" w:eastAsia="zh-CN" w:bidi="ar-SA"/>
        </w:rPr>
        <w:t xml:space="preserve">3</w:t>
      </w:r>
      <w:r>
        <w:rPr>
          <w:rFonts w:hint="eastAsia" w:ascii="Microsoft New Tai Lue" w:hAnsi="Microsoft New Tai Lue" w:cs="宋体"/>
          <w:b/>
          <w:bCs/>
          <w:color w:val="auto"/>
          <w:szCs w:val="21"/>
          <w:highlight w:val="none"/>
          <w:lang w:val="en-US" w:eastAsia="zh-CN" w:bidi="ar-SA"/>
        </w:rPr>
        <w:t xml:space="preserve">年内在经营活动中没有重大违法记录的书面声明（提供声明函原件）。</w:t>
      </w:r>
      <w:r/>
    </w:p>
    <w:p>
      <w:pPr>
        <w:ind w:left="74" w:firstLine="482"/>
        <w:jc w:val="center"/>
        <w:spacing w:line="300" w:lineRule="auto"/>
        <w:rPr>
          <w:rFonts w:ascii="Microsoft New Tai Lue" w:hAnsi="Microsoft New Tai Lue" w:eastAsia="黑体" w:cs="Times New Roman"/>
          <w:b/>
          <w:bCs/>
          <w:color w:val="auto"/>
          <w:sz w:val="32"/>
          <w:szCs w:val="32"/>
          <w:highlight w:val="none"/>
          <w:lang w:val="en-US" w:eastAsia="zh-CN" w:bidi="ar-SA"/>
        </w:rPr>
      </w:pPr>
      <w:r>
        <w:rPr>
          <w:rFonts w:ascii="Microsoft New Tai Lue" w:hAnsi="Microsoft New Tai Lue" w:eastAsia="黑体" w:cs="Times New Roman"/>
          <w:b/>
          <w:bCs/>
          <w:color w:val="auto"/>
          <w:sz w:val="32"/>
          <w:szCs w:val="32"/>
          <w:highlight w:val="none"/>
          <w:lang w:val="en-US" w:eastAsia="zh-CN" w:bidi="ar-SA"/>
        </w:rPr>
      </w:r>
      <w:r/>
    </w:p>
    <w:p>
      <w:pPr>
        <w:ind w:left="154" w:firstLine="660"/>
        <w:jc w:val="center"/>
        <w:spacing w:line="300" w:lineRule="auto"/>
        <w:rPr>
          <w:rFonts w:ascii="Microsoft New Tai Lue" w:hAnsi="Microsoft New Tai Lue" w:cs="Microsoft New Tai Lue"/>
          <w:color w:val="auto"/>
          <w:sz w:val="44"/>
          <w:szCs w:val="44"/>
          <w:highlight w:val="none"/>
          <w:lang w:val="en-US" w:eastAsia="zh-CN" w:bidi="ar-SA"/>
        </w:rPr>
      </w:pPr>
      <w:r>
        <w:rPr>
          <w:rFonts w:hint="eastAsia" w:ascii="Microsoft New Tai Lue" w:hAnsi="Microsoft New Tai Lue" w:cs="宋体"/>
          <w:color w:val="auto"/>
          <w:sz w:val="44"/>
          <w:szCs w:val="44"/>
          <w:highlight w:val="none"/>
          <w:lang w:val="en-US" w:eastAsia="zh-CN" w:bidi="ar-SA"/>
        </w:rPr>
        <w:t xml:space="preserve">声明</w:t>
      </w:r>
      <w:r/>
    </w:p>
    <w:p>
      <w:pPr>
        <w:ind w:firstLine="315"/>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tab/>
      </w:r>
      <w:r>
        <w:rPr>
          <w:rFonts w:hint="eastAsia" w:ascii="Microsoft New Tai Lue" w:hAnsi="Microsoft New Tai Lue" w:cs="宋体"/>
          <w:color w:val="auto"/>
          <w:szCs w:val="21"/>
          <w:highlight w:val="none"/>
          <w:lang w:val="en-US" w:eastAsia="zh-CN" w:bidi="ar-SA"/>
        </w:rPr>
        <w:t xml:space="preserve">我单位郑重声明：参加本次政府采购活动前</w:t>
      </w:r>
      <w:r>
        <w:rPr>
          <w:rFonts w:ascii="Microsoft New Tai Lue" w:hAnsi="Microsoft New Tai Lue" w:cs="Microsoft New Tai Lue"/>
          <w:color w:val="auto"/>
          <w:szCs w:val="21"/>
          <w:highlight w:val="none"/>
          <w:lang w:val="en-US" w:eastAsia="zh-CN" w:bidi="ar-SA"/>
        </w:rPr>
        <w:t xml:space="preserve"> 3 </w:t>
      </w:r>
      <w:r>
        <w:rPr>
          <w:rFonts w:hint="eastAsia" w:ascii="Microsoft New Tai Lue" w:hAnsi="Microsoft New Tai Lue" w:cs="宋体"/>
          <w:color w:val="auto"/>
          <w:szCs w:val="21"/>
          <w:highlight w:val="none"/>
          <w:lang w:val="en-US" w:eastAsia="zh-CN" w:bidi="ar-SA"/>
        </w:rPr>
        <w:t xml:space="preserve">年内，我单位在经营活动中没有因违法经营受到刑事处罚或者责令停产停业、吊销许可证或者执照、较大数额罚款等行政处罚。</w:t>
      </w:r>
      <w:r/>
    </w:p>
    <w:p>
      <w:pPr>
        <w:ind w:firstLine="315"/>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left="-141"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供应商名称（公章）：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left="-141" w:firstLine="3990"/>
        <w:spacing w:line="30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szCs w:val="21"/>
          <w:highlight w:val="none"/>
          <w:lang w:val="en-US" w:eastAsia="zh-CN" w:bidi="ar-SA"/>
        </w:rPr>
        <w:t xml:space="preserve">或其授权代表（签字或盖章）：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50" w:name="_Toc104560910"/>
      <w:r/>
      <w:bookmarkStart w:id="351" w:name="_Toc107246290"/>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Times New Roman" w:hAnsi="Times New Roman" w:eastAsia="宋体" w:cs="Times New Roman"/>
          <w:b w:val="0"/>
          <w:bCs w:val="0"/>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7-7</w:t>
      </w:r>
      <w:r>
        <w:rPr>
          <w:rFonts w:hint="eastAsia" w:ascii="Microsoft New Tai Lue" w:hAnsi="Microsoft New Tai Lue" w:eastAsia="宋体" w:cs="宋体"/>
          <w:b/>
          <w:bCs/>
          <w:color w:val="auto"/>
          <w:sz w:val="24"/>
          <w:szCs w:val="24"/>
          <w:highlight w:val="none"/>
          <w:lang w:val="en-US" w:eastAsia="zh-CN" w:bidi="ar-SA"/>
        </w:rPr>
        <w:t xml:space="preserve">）无不良信用记录承诺函</w:t>
      </w:r>
      <w:bookmarkEnd w:id="350"/>
      <w:r/>
      <w:bookmarkEnd w:id="351"/>
      <w:r/>
      <w:r/>
    </w:p>
    <w:p>
      <w:pPr>
        <w:ind w:firstLine="40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Courier New" w:eastAsia="宋体" w:cs="宋体"/>
          <w:color w:val="auto"/>
          <w:sz w:val="20"/>
          <w:szCs w:val="20"/>
          <w:highlight w:val="none"/>
          <w:lang w:val="en-US" w:eastAsia="zh-CN" w:bidi="ar-SA"/>
        </w:rPr>
        <w:t xml:space="preserve">本单位郑重承诺</w:t>
      </w:r>
      <w:r>
        <w:rPr>
          <w:rFonts w:hint="eastAsia" w:ascii="宋体" w:hAnsi="宋体" w:eastAsia="宋体" w:cs="Times New Roman"/>
          <w:color w:val="auto"/>
          <w:sz w:val="21"/>
          <w:szCs w:val="21"/>
          <w:highlight w:val="none"/>
          <w:lang w:val="en-US" w:eastAsia="zh-CN" w:bidi="ar-SA"/>
        </w:rPr>
        <w:t xml:space="preserve">，我单位无以下不良信用记录情形：</w:t>
      </w:r>
      <w:r/>
    </w:p>
    <w:p>
      <w:pPr>
        <w:ind w:firstLine="42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1.被人民法院列入失信被执行人；</w:t>
      </w:r>
      <w:r/>
    </w:p>
    <w:p>
      <w:pPr>
        <w:ind w:firstLine="42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w:t>
      </w:r>
      <w:r>
        <w:rPr>
          <w:rFonts w:hint="eastAsia" w:ascii="Microsoft New Tai Lue" w:hAnsi="Microsoft New Tai Lue" w:eastAsia="宋体" w:cs="宋体"/>
          <w:color w:val="auto"/>
          <w:sz w:val="20"/>
          <w:szCs w:val="20"/>
          <w:highlight w:val="none"/>
          <w:lang w:val="en-US" w:eastAsia="zh-CN" w:bidi="ar-SA"/>
        </w:rPr>
        <w:t xml:space="preserve">被税务部门列入重大税收违法失信主体名单</w:t>
      </w:r>
      <w:r>
        <w:rPr>
          <w:rFonts w:hint="eastAsia" w:ascii="宋体" w:hAnsi="宋体" w:eastAsia="宋体" w:cs="Times New Roman"/>
          <w:color w:val="auto"/>
          <w:sz w:val="21"/>
          <w:szCs w:val="21"/>
          <w:highlight w:val="none"/>
          <w:lang w:val="en-US" w:eastAsia="zh-CN" w:bidi="ar-SA"/>
        </w:rPr>
        <w:t xml:space="preserve">；</w:t>
      </w:r>
      <w:r/>
    </w:p>
    <w:p>
      <w:pPr>
        <w:ind w:firstLine="42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3.被政府采购监管部门列入政府采购严重违法失信行为记录名单；</w:t>
      </w:r>
      <w:r/>
    </w:p>
    <w:p>
      <w:pPr>
        <w:ind w:firstLine="42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4.不符合《政府采购法》第二十二条规定的条件。</w:t>
      </w:r>
      <w:r/>
    </w:p>
    <w:p>
      <w:pPr>
        <w:ind w:firstLine="420"/>
        <w:jc w:val="both"/>
        <w:spacing w:line="300" w:lineRule="auto"/>
        <w:widowControl w:val="off"/>
        <w:rPr>
          <w:rFonts w:hint="default" w:ascii="宋体" w:hAnsi="Courier New" w:eastAsia="宋体" w:cs="Times New Roman"/>
          <w:color w:val="auto"/>
          <w:sz w:val="20"/>
          <w:szCs w:val="20"/>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ascii="宋体" w:hAnsi="Courier New" w:eastAsia="宋体" w:cs="宋体"/>
          <w:color w:val="auto"/>
          <w:sz w:val="20"/>
          <w:szCs w:val="20"/>
          <w:highlight w:val="none"/>
          <w:lang w:val="en-US" w:eastAsia="zh-CN" w:bidi="ar-SA"/>
        </w:rPr>
        <w:t xml:space="preserve">理。</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left="-141" w:firstLine="3990"/>
        <w:spacing w:line="300" w:lineRule="auto"/>
        <w:rPr>
          <w:rFonts w:ascii="Microsoft New Tai Lue" w:hAnsi="Microsoft New Tai Lue" w:cs="Microsoft New Tai Lue"/>
          <w:color w:val="auto"/>
          <w:szCs w:val="21"/>
          <w:highlight w:val="none"/>
          <w:lang w:val="en-US" w:eastAsia="zh-CN" w:bidi="ar-SA"/>
        </w:rPr>
      </w:pPr>
      <w:r/>
      <w:bookmarkStart w:id="352" w:name="_Toc102117326"/>
      <w:r/>
      <w:bookmarkStart w:id="353" w:name="_Toc103848596"/>
      <w:r>
        <w:rPr>
          <w:rFonts w:hint="eastAsia" w:ascii="Microsoft New Tai Lue" w:hAnsi="Microsoft New Tai Lue" w:cs="宋体"/>
          <w:color w:val="auto"/>
          <w:szCs w:val="21"/>
          <w:highlight w:val="none"/>
          <w:lang w:val="en-US" w:eastAsia="zh-CN" w:bidi="ar-SA"/>
        </w:rPr>
        <w:t xml:space="preserve">供应商名称（公章）：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left="-141" w:firstLine="3990"/>
        <w:spacing w:line="30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szCs w:val="21"/>
          <w:highlight w:val="none"/>
          <w:lang w:val="en-US" w:eastAsia="zh-CN" w:bidi="ar-SA"/>
        </w:rPr>
        <w:t xml:space="preserve">或其授权代表（签字或盖章）：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54" w:name="_Toc104560911"/>
      <w:r/>
      <w:bookmarkStart w:id="355" w:name="_Toc107246291"/>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7-8</w:t>
      </w:r>
      <w:r>
        <w:rPr>
          <w:rFonts w:hint="eastAsia" w:ascii="Microsoft New Tai Lue" w:hAnsi="Microsoft New Tai Lue" w:eastAsia="宋体" w:cs="宋体"/>
          <w:b/>
          <w:bCs/>
          <w:color w:val="auto"/>
          <w:sz w:val="24"/>
          <w:szCs w:val="24"/>
          <w:highlight w:val="none"/>
          <w:lang w:val="en-US" w:eastAsia="zh-CN" w:bidi="ar-SA"/>
        </w:rPr>
        <w:t xml:space="preserve">）</w:t>
      </w:r>
      <w:bookmarkEnd w:id="352"/>
      <w:r>
        <w:rPr>
          <w:rFonts w:hint="eastAsia" w:ascii="Microsoft New Tai Lue" w:hAnsi="Microsoft New Tai Lue" w:eastAsia="宋体" w:cs="宋体"/>
          <w:b/>
          <w:bCs/>
          <w:color w:val="auto"/>
          <w:sz w:val="24"/>
          <w:szCs w:val="24"/>
          <w:highlight w:val="none"/>
          <w:lang w:val="en-US" w:eastAsia="zh-CN" w:bidi="ar-SA"/>
        </w:rPr>
        <w:t xml:space="preserve">招标文件要求的其它实质性资格资信证明文件</w:t>
      </w:r>
      <w:bookmarkEnd w:id="354"/>
      <w:r/>
      <w:bookmarkEnd w:id="355"/>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hanging="10"/>
        <w:jc w:val="both"/>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bookmarkStart w:id="356" w:name="_Toc107246292"/>
      <w:r>
        <w:rPr>
          <w:rFonts w:hint="default" w:ascii="Microsoft New Tai Lue" w:hAnsi="Microsoft New Tai Lue" w:eastAsia="宋体" w:cs="Microsoft New Tai Lue"/>
          <w:b/>
          <w:bCs/>
          <w:color w:val="auto"/>
          <w:sz w:val="24"/>
          <w:szCs w:val="24"/>
          <w:highlight w:val="none"/>
          <w:lang w:val="en-US" w:eastAsia="zh-CN" w:bidi="ar-SA"/>
        </w:rPr>
        <w:br w:type="page" w:clear="all"/>
      </w:r>
      <w:bookmarkEnd w:id="353"/>
      <w:r/>
      <w:bookmarkEnd w:id="356"/>
      <w:r/>
      <w:bookmarkStart w:id="357" w:name="_Toc96347919"/>
      <w:r/>
      <w:bookmarkStart w:id="358" w:name="_Toc107246295"/>
      <w:r/>
      <w:bookmarkStart w:id="359" w:name="_Toc104560914"/>
      <w:r/>
      <w:bookmarkStart w:id="360" w:name="_Toc103848598"/>
      <w:r/>
      <w:bookmarkStart w:id="361" w:name="_Toc102117330"/>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8</w:t>
      </w:r>
      <w:r>
        <w:rPr>
          <w:rFonts w:hint="eastAsia" w:ascii="Microsoft New Tai Lue" w:hAnsi="Microsoft New Tai Lue" w:eastAsia="宋体" w:cs="宋体"/>
          <w:b/>
          <w:bCs/>
          <w:color w:val="auto"/>
          <w:sz w:val="24"/>
          <w:szCs w:val="24"/>
          <w:highlight w:val="none"/>
          <w:lang w:val="en-US" w:eastAsia="zh-CN" w:bidi="ar-SA"/>
        </w:rPr>
        <w:t xml:space="preserve">）分包意向协议（如需）</w:t>
      </w:r>
      <w:bookmarkEnd w:id="357"/>
      <w:r/>
      <w:bookmarkEnd w:id="358"/>
      <w:r/>
      <w:bookmarkEnd w:id="359"/>
      <w:r/>
      <w:r/>
    </w:p>
    <w:p>
      <w:pPr>
        <w:ind w:firstLine="315"/>
        <w:spacing w:line="30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u w:val="single"/>
          <w:lang w:val="en-US" w:eastAsia="zh-CN" w:bidi="ar-SA"/>
        </w:rPr>
        <w:t xml:space="preserve">（供应商名称）</w:t>
      </w:r>
      <w:r>
        <w:rPr>
          <w:rFonts w:hint="eastAsia" w:ascii="宋体" w:hAnsi="宋体" w:cs="宋体"/>
          <w:color w:val="auto"/>
          <w:szCs w:val="21"/>
          <w:highlight w:val="none"/>
          <w:lang w:val="zh-CN" w:eastAsia="zh-CN" w:bidi="ar-SA"/>
        </w:rPr>
        <w:t xml:space="preserve">若成为</w:t>
      </w:r>
      <w:r>
        <w:rPr>
          <w:rFonts w:hint="eastAsia" w:ascii="宋体" w:hAnsi="宋体" w:cs="宋体"/>
          <w:color w:val="auto"/>
          <w:szCs w:val="21"/>
          <w:highlight w:val="none"/>
          <w:u w:val="single"/>
          <w:lang w:val="en-US" w:eastAsia="zh-CN" w:bidi="ar-SA"/>
        </w:rPr>
        <w:t xml:space="preserve">（项目名称）</w:t>
      </w:r>
      <w:r>
        <w:rPr>
          <w:rFonts w:hint="eastAsia" w:ascii="宋体" w:hAnsi="宋体" w:cs="宋体"/>
          <w:color w:val="auto"/>
          <w:szCs w:val="21"/>
          <w:highlight w:val="none"/>
          <w:lang w:val="en-US" w:eastAsia="zh-CN" w:bidi="ar-SA"/>
        </w:rPr>
        <w:t xml:space="preserve">（项目编号：，采购包号）</w:t>
      </w:r>
      <w:r>
        <w:rPr>
          <w:rFonts w:hint="eastAsia" w:ascii="宋体" w:hAnsi="宋体" w:cs="宋体"/>
          <w:color w:val="auto"/>
          <w:szCs w:val="21"/>
          <w:highlight w:val="none"/>
          <w:lang w:val="zh-CN" w:eastAsia="zh-CN" w:bidi="ar-SA"/>
        </w:rPr>
        <w:t xml:space="preserve">的中标供应商，将依法采取分包方式履行合同。</w:t>
      </w:r>
      <w:r>
        <w:rPr>
          <w:rFonts w:hint="eastAsia" w:ascii="宋体" w:hAnsi="宋体" w:cs="宋体"/>
          <w:color w:val="auto"/>
          <w:szCs w:val="21"/>
          <w:highlight w:val="none"/>
          <w:u w:val="single"/>
          <w:lang w:val="en-US" w:eastAsia="zh-CN" w:bidi="ar-SA"/>
        </w:rPr>
        <w:t xml:space="preserve">（供应商名称）</w:t>
      </w:r>
      <w:r>
        <w:rPr>
          <w:rFonts w:hint="eastAsia" w:ascii="宋体" w:hAnsi="宋体" w:cs="宋体"/>
          <w:color w:val="auto"/>
          <w:szCs w:val="21"/>
          <w:highlight w:val="none"/>
          <w:lang w:val="en-US" w:eastAsia="zh-CN" w:bidi="ar-SA"/>
        </w:rPr>
        <w:t xml:space="preserve">与</w:t>
      </w:r>
      <w:r>
        <w:rPr>
          <w:rFonts w:hint="eastAsia" w:ascii="宋体" w:hAnsi="宋体" w:cs="宋体"/>
          <w:color w:val="auto"/>
          <w:szCs w:val="21"/>
          <w:highlight w:val="none"/>
          <w:u w:val="single"/>
          <w:lang w:val="en-US" w:eastAsia="zh-CN" w:bidi="ar-SA"/>
        </w:rPr>
        <w:t xml:space="preserve">（所有分包供应商名称）</w:t>
      </w:r>
      <w:r>
        <w:rPr>
          <w:rFonts w:hint="eastAsia" w:ascii="宋体" w:hAnsi="宋体" w:cs="宋体"/>
          <w:color w:val="auto"/>
          <w:szCs w:val="21"/>
          <w:highlight w:val="none"/>
          <w:lang w:val="en-US" w:eastAsia="zh-CN" w:bidi="ar-SA"/>
        </w:rPr>
        <w:t xml:space="preserve">达成分包意向协议</w:t>
      </w:r>
      <w:r>
        <w:rPr>
          <w:rFonts w:hint="eastAsia" w:ascii="宋体" w:hAnsi="宋体" w:cs="宋体"/>
          <w:color w:val="auto"/>
          <w:szCs w:val="21"/>
          <w:highlight w:val="none"/>
          <w:lang w:val="zh-CN" w:eastAsia="zh-CN" w:bidi="ar-SA"/>
        </w:rPr>
        <w:t xml:space="preserve">。</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一、分包标的及数量</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u w:val="single"/>
          <w:lang w:val="en-US" w:eastAsia="zh-CN" w:bidi="ar-SA"/>
        </w:rPr>
        <w:t xml:space="preserve">（供应商名称）</w:t>
      </w:r>
      <w:r>
        <w:rPr>
          <w:rFonts w:hint="eastAsia" w:ascii="宋体" w:hAnsi="宋体" w:cs="宋体"/>
          <w:color w:val="auto"/>
          <w:szCs w:val="21"/>
          <w:highlight w:val="none"/>
          <w:lang w:val="zh-CN" w:eastAsia="zh-CN" w:bidi="ar-SA"/>
        </w:rPr>
        <w:t xml:space="preserve">将</w:t>
      </w:r>
      <w:r>
        <w:rPr>
          <w:rFonts w:hint="eastAsia" w:ascii="宋体" w:hAnsi="宋体" w:cs="宋体"/>
          <w:color w:val="auto"/>
          <w:szCs w:val="21"/>
          <w:highlight w:val="none"/>
          <w:u w:val="single"/>
          <w:lang w:val="en-US" w:eastAsia="zh-CN" w:bidi="ar-SA"/>
        </w:rPr>
        <w:t xml:space="preserve">（工作内容）</w:t>
      </w:r>
      <w:r>
        <w:rPr>
          <w:rFonts w:hint="eastAsia" w:ascii="宋体" w:hAnsi="宋体" w:cs="宋体"/>
          <w:color w:val="auto"/>
          <w:szCs w:val="21"/>
          <w:highlight w:val="none"/>
          <w:lang w:val="en-US" w:eastAsia="zh-CN" w:bidi="ar-SA"/>
        </w:rPr>
        <w:t xml:space="preserve">分包给</w:t>
      </w:r>
      <w:r>
        <w:rPr>
          <w:rFonts w:hint="eastAsia" w:ascii="宋体" w:hAnsi="宋体" w:cs="宋体"/>
          <w:color w:val="auto"/>
          <w:szCs w:val="21"/>
          <w:highlight w:val="none"/>
          <w:u w:val="single"/>
          <w:lang w:val="en-US" w:eastAsia="zh-CN" w:bidi="ar-SA"/>
        </w:rPr>
        <w:t xml:space="preserve">（某分包供应商名称）</w:t>
      </w:r>
      <w:r>
        <w:rPr>
          <w:rFonts w:hint="eastAsia" w:ascii="宋体" w:hAnsi="宋体" w:cs="宋体"/>
          <w:color w:val="auto"/>
          <w:szCs w:val="21"/>
          <w:highlight w:val="none"/>
          <w:lang w:val="zh-CN" w:eastAsia="zh-CN" w:bidi="ar-SA"/>
        </w:rPr>
        <w:t xml:space="preserve">，</w:t>
      </w:r>
      <w:r>
        <w:rPr>
          <w:rFonts w:hint="eastAsia" w:ascii="宋体" w:hAnsi="宋体" w:cs="宋体"/>
          <w:color w:val="auto"/>
          <w:szCs w:val="21"/>
          <w:highlight w:val="none"/>
          <w:u w:val="single"/>
          <w:lang w:val="en-US" w:eastAsia="zh-CN" w:bidi="ar-SA"/>
        </w:rPr>
        <w:t xml:space="preserve">（某分包供应商名称），</w:t>
      </w:r>
      <w:r>
        <w:rPr>
          <w:rFonts w:hint="eastAsia" w:ascii="宋体" w:hAnsi="宋体" w:cs="宋体"/>
          <w:color w:val="auto"/>
          <w:szCs w:val="21"/>
          <w:highlight w:val="none"/>
          <w:lang w:val="zh-CN" w:eastAsia="zh-CN" w:bidi="ar-SA"/>
        </w:rPr>
        <w:t xml:space="preserve">具备承</w:t>
      </w:r>
      <w:r>
        <w:rPr>
          <w:rFonts w:hint="eastAsia" w:ascii="宋体" w:hAnsi="宋体" w:cs="宋体"/>
          <w:color w:val="auto"/>
          <w:szCs w:val="21"/>
          <w:highlight w:val="none"/>
          <w:lang w:val="en-US" w:eastAsia="zh-CN" w:bidi="ar-SA"/>
        </w:rPr>
        <w:t xml:space="preserve">担</w:t>
      </w:r>
      <w:r>
        <w:rPr>
          <w:rFonts w:hint="eastAsia" w:ascii="宋体" w:hAnsi="宋体" w:cs="宋体"/>
          <w:color w:val="auto"/>
          <w:szCs w:val="21"/>
          <w:highlight w:val="none"/>
          <w:u w:val="single"/>
          <w:lang w:val="en-US" w:eastAsia="zh-CN" w:bidi="ar-SA"/>
        </w:rPr>
        <w:t xml:space="preserve">（工作内容）</w:t>
      </w:r>
      <w:r>
        <w:rPr>
          <w:rFonts w:hint="eastAsia" w:ascii="宋体" w:hAnsi="宋体" w:cs="宋体"/>
          <w:color w:val="auto"/>
          <w:szCs w:val="21"/>
          <w:highlight w:val="none"/>
          <w:lang w:val="zh-CN" w:eastAsia="zh-CN" w:bidi="ar-SA"/>
        </w:rPr>
        <w:t xml:space="preserve">相应资质条件且不得再次分包；</w:t>
      </w:r>
      <w:r/>
    </w:p>
    <w:p>
      <w:pPr>
        <w:ind w:left="-141" w:firstLine="525"/>
        <w:spacing w:line="30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二、分包工作履行期限、地点、方式</w:t>
      </w:r>
      <w:r/>
    </w:p>
    <w:p>
      <w:pPr>
        <w:ind w:firstLine="315"/>
        <w:spacing w:line="300" w:lineRule="auto"/>
        <w:rPr>
          <w:rFonts w:hint="eastAsia" w:ascii="宋体" w:hAnsi="宋体" w:cs="Times New Roman"/>
          <w:color w:val="auto"/>
          <w:szCs w:val="21"/>
          <w:highlight w:val="none"/>
          <w:u w:val="single"/>
          <w:lang w:val="en-US" w:eastAsia="zh-CN" w:bidi="ar-SA"/>
        </w:rPr>
      </w:pPr>
      <w:r>
        <w:rPr>
          <w:rFonts w:hint="eastAsia" w:ascii="宋体" w:hAnsi="宋体" w:cs="Times New Roman"/>
          <w:color w:val="auto"/>
          <w:szCs w:val="21"/>
          <w:highlight w:val="none"/>
          <w:u w:val="single"/>
          <w:lang w:val="en-US"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三、质量</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四、价款或者报酬</w:t>
      </w:r>
      <w:r/>
    </w:p>
    <w:p>
      <w:pPr>
        <w:ind w:left="141" w:firstLine="315"/>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left="141"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五、违约责任</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六、争议解决的办法</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七、其他</w:t>
      </w:r>
      <w:r/>
    </w:p>
    <w:p>
      <w:pPr>
        <w:ind w:left="-141" w:firstLine="52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en-US" w:eastAsia="zh-CN" w:bidi="ar-SA"/>
        </w:rPr>
        <w:t xml:space="preserve">中小企业合同金额达到</w:t>
      </w:r>
      <w:r>
        <w:rPr>
          <w:rFonts w:ascii="宋体" w:hAnsi="宋体" w:cs="宋体"/>
          <w:color w:val="auto"/>
          <w:szCs w:val="21"/>
          <w:highlight w:val="none"/>
          <w:lang w:val="en-US" w:eastAsia="zh-CN" w:bidi="ar-SA"/>
        </w:rPr>
        <w:t xml:space="preserve">%</w:t>
      </w:r>
      <w:r>
        <w:rPr>
          <w:rFonts w:hint="eastAsia" w:ascii="宋体" w:hAnsi="宋体" w:cs="宋体"/>
          <w:color w:val="auto"/>
          <w:szCs w:val="21"/>
          <w:highlight w:val="none"/>
          <w:lang w:val="en-US" w:eastAsia="zh-CN" w:bidi="ar-SA"/>
        </w:rPr>
        <w:t xml:space="preserve">，小微企业合同金额达到</w:t>
      </w:r>
      <w:r>
        <w:rPr>
          <w:rFonts w:ascii="宋体" w:hAnsi="宋体" w:cs="宋体"/>
          <w:color w:val="auto"/>
          <w:szCs w:val="21"/>
          <w:highlight w:val="none"/>
          <w:lang w:val="en-US" w:eastAsia="zh-CN" w:bidi="ar-SA"/>
        </w:rPr>
        <w:t xml:space="preserve">%</w:t>
      </w:r>
      <w:r>
        <w:rPr>
          <w:rFonts w:hint="eastAsia" w:ascii="宋体" w:hAnsi="宋体" w:cs="宋体"/>
          <w:color w:val="auto"/>
          <w:szCs w:val="21"/>
          <w:highlight w:val="none"/>
          <w:lang w:val="zh-CN" w:eastAsia="zh-CN" w:bidi="ar-SA"/>
        </w:rPr>
        <w:t xml:space="preserve">。</w:t>
      </w:r>
      <w:r/>
    </w:p>
    <w:p>
      <w:pPr>
        <w:ind w:left="5128" w:hanging="4410"/>
        <w:jc w:val="right"/>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left="-141" w:firstLine="4935"/>
        <w:spacing w:line="30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供应商名称（公章）：</w:t>
      </w:r>
      <w:r/>
    </w:p>
    <w:p>
      <w:pPr>
        <w:ind w:left="-141" w:firstLine="493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分包供应商（公章）：</w:t>
      </w:r>
      <w:r/>
    </w:p>
    <w:p>
      <w:pPr>
        <w:ind w:left="-141" w:firstLine="4935"/>
        <w:spacing w:line="30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zh-CN" w:eastAsia="zh-CN" w:bidi="ar-SA"/>
        </w:rPr>
        <w:t xml:space="preserve">……</w:t>
      </w:r>
      <w:r/>
    </w:p>
    <w:p>
      <w:pPr>
        <w:ind w:left="-141" w:firstLine="4935"/>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val="0"/>
          <w:iCs w:val="0"/>
          <w:color w:val="auto"/>
          <w:position w:val="-10"/>
          <w:sz w:val="21"/>
          <w:szCs w:val="21"/>
          <w:highlight w:val="none"/>
          <w:u w:val="single"/>
          <w:lang w:val="en-US" w:eastAsia="zh-CN" w:bidi="ar-SA"/>
        </w:rPr>
      </w:pPr>
      <w:r>
        <w:rPr>
          <w:rFonts w:hint="default" w:ascii="Microsoft New Tai Lue" w:hAnsi="Microsoft New Tai Lue" w:eastAsia="宋体" w:cs="Times New Roman"/>
          <w:i w:val="0"/>
          <w:iCs w:val="0"/>
          <w:color w:val="auto"/>
          <w:position w:val="-10"/>
          <w:sz w:val="21"/>
          <w:szCs w:val="21"/>
          <w:highlight w:val="none"/>
          <w:u w:val="single"/>
          <w:lang w:val="en-US" w:eastAsia="zh-CN" w:bidi="ar-SA"/>
        </w:rPr>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default" w:ascii="Cambria" w:hAnsi="Cambria" w:eastAsia="宋体" w:cs="Times New Roman"/>
          <w:b/>
          <w:bCs/>
          <w:color w:val="auto"/>
          <w:sz w:val="32"/>
          <w:szCs w:val="32"/>
          <w:highlight w:val="none"/>
          <w:lang w:val="en-US" w:eastAsia="zh-CN" w:bidi="ar-SA"/>
        </w:rPr>
        <w:br w:type="page" w:clear="all"/>
      </w:r>
      <w:bookmarkStart w:id="362" w:name="_Toc107246296"/>
      <w:r/>
      <w:bookmarkStart w:id="363" w:name="_Toc104560915"/>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9</w:t>
      </w:r>
      <w:r>
        <w:rPr>
          <w:rFonts w:hint="eastAsia" w:ascii="Microsoft New Tai Lue" w:hAnsi="Microsoft New Tai Lue" w:eastAsia="宋体" w:cs="宋体"/>
          <w:b/>
          <w:bCs/>
          <w:color w:val="auto"/>
          <w:sz w:val="24"/>
          <w:szCs w:val="24"/>
          <w:highlight w:val="none"/>
          <w:lang w:val="en-US" w:eastAsia="zh-CN" w:bidi="ar-SA"/>
        </w:rPr>
        <w:t xml:space="preserve">）公章授权书（如需）</w:t>
      </w:r>
      <w:bookmarkEnd w:id="360"/>
      <w:r/>
      <w:bookmarkEnd w:id="361"/>
      <w:r/>
      <w:bookmarkEnd w:id="362"/>
      <w:r/>
      <w:bookmarkEnd w:id="363"/>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宋体"/>
          <w:color w:val="auto"/>
          <w:sz w:val="21"/>
          <w:szCs w:val="21"/>
          <w:highlight w:val="none"/>
          <w:lang w:val="en-US" w:eastAsia="zh-CN" w:bidi="ar-SA"/>
        </w:rPr>
        <w:t xml:space="preserve">______________________</w:t>
      </w:r>
      <w:r>
        <w:rPr>
          <w:rFonts w:hint="eastAsia" w:ascii="宋体" w:hAnsi="Courier New" w:eastAsia="宋体" w:cs="宋体"/>
          <w:color w:val="auto"/>
          <w:sz w:val="21"/>
          <w:szCs w:val="21"/>
          <w:highlight w:val="none"/>
          <w:lang w:val="en-US" w:eastAsia="zh-CN" w:bidi="ar-SA"/>
        </w:rPr>
        <w:t xml:space="preserve">（采购人）</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宋体"/>
          <w:color w:val="auto"/>
          <w:sz w:val="21"/>
          <w:szCs w:val="21"/>
          <w:highlight w:val="none"/>
          <w:lang w:val="en-US" w:eastAsia="zh-CN" w:bidi="ar-SA"/>
        </w:rPr>
        <w:t xml:space="preserve">______</w:t>
      </w:r>
      <w:r>
        <w:rPr>
          <w:rFonts w:hint="default" w:ascii="宋体" w:hAnsi="Courier New" w:eastAsia="宋体" w:cs="宋体"/>
          <w:color w:val="auto"/>
          <w:sz w:val="21"/>
          <w:szCs w:val="21"/>
          <w:highlight w:val="none"/>
          <w:u w:val="single"/>
          <w:lang w:val="en-US" w:eastAsia="zh-CN" w:bidi="ar-SA"/>
        </w:rPr>
        <w:t xml:space="preserve">(</w:t>
      </w:r>
      <w:r>
        <w:rPr>
          <w:rFonts w:hint="eastAsia" w:ascii="宋体" w:hAnsi="Courier New" w:eastAsia="宋体" w:cs="宋体"/>
          <w:color w:val="auto"/>
          <w:sz w:val="21"/>
          <w:szCs w:val="21"/>
          <w:highlight w:val="none"/>
          <w:u w:val="single"/>
          <w:lang w:val="en-US" w:eastAsia="zh-CN" w:bidi="ar-SA"/>
        </w:rPr>
        <w:t xml:space="preserve">供应商名称</w:t>
      </w:r>
      <w:r>
        <w:rPr>
          <w:rFonts w:hint="default" w:ascii="宋体" w:hAnsi="Courier New" w:eastAsia="宋体" w:cs="宋体"/>
          <w:color w:val="auto"/>
          <w:sz w:val="21"/>
          <w:szCs w:val="21"/>
          <w:highlight w:val="none"/>
          <w:u w:val="single"/>
          <w:lang w:val="en-US" w:eastAsia="zh-CN" w:bidi="ar-SA"/>
        </w:rPr>
        <w:t xml:space="preserve">)</w:t>
      </w:r>
      <w:r>
        <w:rPr>
          <w:rFonts w:hint="default" w:ascii="宋体" w:hAnsi="Courier New" w:eastAsia="宋体" w:cs="宋体"/>
          <w:color w:val="auto"/>
          <w:sz w:val="21"/>
          <w:szCs w:val="21"/>
          <w:highlight w:val="none"/>
          <w:lang w:val="en-US" w:eastAsia="zh-CN" w:bidi="ar-SA"/>
        </w:rPr>
        <w:t xml:space="preserve">______</w:t>
      </w:r>
      <w:r>
        <w:rPr>
          <w:rFonts w:hint="eastAsia" w:ascii="宋体" w:hAnsi="Courier New" w:eastAsia="宋体" w:cs="宋体"/>
          <w:color w:val="auto"/>
          <w:sz w:val="21"/>
          <w:szCs w:val="21"/>
          <w:highlight w:val="none"/>
          <w:lang w:val="en-US" w:eastAsia="zh-CN" w:bidi="ar-SA"/>
        </w:rPr>
        <w:t xml:space="preserve">，中华人民共和国合法企业，法定地址：</w:t>
      </w:r>
      <w:r>
        <w:rPr>
          <w:rFonts w:hint="default" w:ascii="宋体" w:hAnsi="Courier New" w:eastAsia="宋体" w:cs="宋体"/>
          <w:color w:val="auto"/>
          <w:sz w:val="21"/>
          <w:szCs w:val="21"/>
          <w:highlight w:val="none"/>
          <w:lang w:val="en-US" w:eastAsia="zh-CN" w:bidi="ar-SA"/>
        </w:rPr>
        <w:t xml:space="preserve">____________________</w:t>
      </w:r>
      <w:r>
        <w:rPr>
          <w:rFonts w:hint="eastAsia" w:ascii="宋体" w:hAnsi="Courier New" w:eastAsia="宋体" w:cs="宋体"/>
          <w:color w:val="auto"/>
          <w:sz w:val="21"/>
          <w:szCs w:val="21"/>
          <w:highlight w:val="none"/>
          <w:lang w:val="en-US" w:eastAsia="zh-CN" w:bidi="ar-SA"/>
        </w:rPr>
        <w:t xml:space="preserve">。在参与</w:t>
      </w:r>
      <w:r>
        <w:rPr>
          <w:rFonts w:hint="default" w:ascii="宋体" w:hAnsi="Courier New" w:eastAsia="宋体" w:cs="宋体"/>
          <w:color w:val="auto"/>
          <w:sz w:val="21"/>
          <w:szCs w:val="21"/>
          <w:highlight w:val="none"/>
          <w:lang w:val="en-US" w:eastAsia="zh-CN" w:bidi="ar-SA"/>
        </w:rPr>
        <w:t xml:space="preserve">______</w:t>
      </w:r>
      <w:r>
        <w:rPr>
          <w:rFonts w:hint="default" w:ascii="宋体" w:hAnsi="Courier New" w:eastAsia="宋体" w:cs="宋体"/>
          <w:color w:val="auto"/>
          <w:sz w:val="21"/>
          <w:szCs w:val="21"/>
          <w:highlight w:val="none"/>
          <w:u w:val="single"/>
          <w:lang w:val="en-US" w:eastAsia="zh-CN" w:bidi="ar-SA"/>
        </w:rPr>
        <w:t xml:space="preserve">(</w:t>
      </w:r>
      <w:r>
        <w:rPr>
          <w:rFonts w:hint="eastAsia" w:ascii="宋体" w:hAnsi="Courier New" w:eastAsia="宋体" w:cs="宋体"/>
          <w:color w:val="auto"/>
          <w:sz w:val="21"/>
          <w:szCs w:val="21"/>
          <w:highlight w:val="none"/>
          <w:u w:val="single"/>
          <w:lang w:val="en-US" w:eastAsia="zh-CN" w:bidi="ar-SA"/>
        </w:rPr>
        <w:t xml:space="preserve">项目名称</w:t>
      </w:r>
      <w:r>
        <w:rPr>
          <w:rFonts w:hint="default" w:ascii="宋体" w:hAnsi="Courier New" w:eastAsia="宋体" w:cs="宋体"/>
          <w:color w:val="auto"/>
          <w:sz w:val="21"/>
          <w:szCs w:val="21"/>
          <w:highlight w:val="none"/>
          <w:u w:val="single"/>
          <w:lang w:val="en-US" w:eastAsia="zh-CN" w:bidi="ar-SA"/>
        </w:rPr>
        <w:t xml:space="preserve">)(</w:t>
      </w:r>
      <w:r>
        <w:rPr>
          <w:rFonts w:hint="eastAsia" w:ascii="宋体" w:hAnsi="Courier New" w:eastAsia="宋体" w:cs="宋体"/>
          <w:color w:val="auto"/>
          <w:sz w:val="21"/>
          <w:szCs w:val="21"/>
          <w:highlight w:val="none"/>
          <w:u w:val="single"/>
          <w:lang w:val="en-US" w:eastAsia="zh-CN" w:bidi="ar-SA"/>
        </w:rPr>
        <w:t xml:space="preserve">项目编号</w:t>
      </w:r>
      <w:r>
        <w:rPr>
          <w:rFonts w:hint="default" w:ascii="宋体" w:hAnsi="Courier New" w:eastAsia="宋体" w:cs="宋体"/>
          <w:color w:val="auto"/>
          <w:sz w:val="21"/>
          <w:szCs w:val="21"/>
          <w:highlight w:val="none"/>
          <w:u w:val="single"/>
          <w:lang w:val="en-US" w:eastAsia="zh-CN" w:bidi="ar-SA"/>
        </w:rPr>
        <w:t xml:space="preserve">)</w:t>
      </w:r>
      <w:r>
        <w:rPr>
          <w:rFonts w:hint="eastAsia" w:ascii="宋体" w:hAnsi="Courier New" w:cs="宋体"/>
          <w:color w:val="auto"/>
          <w:sz w:val="21"/>
          <w:szCs w:val="21"/>
          <w:highlight w:val="none"/>
          <w:u w:val="single"/>
          <w:lang w:val="en-US" w:eastAsia="zh-CN" w:bidi="ar-SA"/>
        </w:rPr>
        <w:t xml:space="preserve">（采购包号）</w:t>
      </w:r>
      <w:r>
        <w:rPr>
          <w:rFonts w:hint="default" w:ascii="宋体" w:hAnsi="Courier New" w:eastAsia="宋体" w:cs="宋体"/>
          <w:color w:val="auto"/>
          <w:sz w:val="21"/>
          <w:szCs w:val="21"/>
          <w:highlight w:val="none"/>
          <w:lang w:val="en-US" w:eastAsia="zh-CN" w:bidi="ar-SA"/>
        </w:rPr>
        <w:t xml:space="preserve">______</w:t>
      </w:r>
      <w:r>
        <w:rPr>
          <w:rFonts w:hint="eastAsia" w:ascii="宋体" w:hAnsi="Courier New" w:cs="宋体"/>
          <w:color w:val="auto"/>
          <w:sz w:val="21"/>
          <w:szCs w:val="21"/>
          <w:highlight w:val="none"/>
          <w:lang w:val="en-US" w:eastAsia="zh-CN" w:bidi="ar-SA"/>
        </w:rPr>
        <w:t xml:space="preserve">招标</w:t>
      </w:r>
      <w:r>
        <w:rPr>
          <w:rFonts w:hint="eastAsia" w:ascii="宋体" w:hAnsi="Courier New" w:eastAsia="宋体" w:cs="宋体"/>
          <w:color w:val="auto"/>
          <w:sz w:val="21"/>
          <w:szCs w:val="21"/>
          <w:highlight w:val="none"/>
          <w:lang w:val="en-US" w:eastAsia="zh-CN" w:bidi="ar-SA"/>
        </w:rPr>
        <w:t xml:space="preserve">活动中，我单位授权</w:t>
      </w:r>
      <w:r>
        <w:rPr>
          <w:rFonts w:hint="eastAsia" w:ascii="宋体" w:hAnsi="Courier New" w:eastAsia="宋体" w:cs="宋体"/>
          <w:color w:val="auto"/>
          <w:sz w:val="21"/>
          <w:szCs w:val="21"/>
          <w:highlight w:val="none"/>
          <w:u w:val="single"/>
          <w:lang w:val="en-US" w:eastAsia="zh-CN" w:bidi="ar-SA"/>
        </w:rPr>
        <w:t xml:space="preserve">（其他形式的印章名称）</w:t>
      </w:r>
      <w:r>
        <w:rPr>
          <w:rFonts w:hint="eastAsia" w:ascii="宋体" w:hAnsi="Courier New" w:eastAsia="宋体" w:cs="宋体"/>
          <w:color w:val="auto"/>
          <w:sz w:val="21"/>
          <w:szCs w:val="21"/>
          <w:highlight w:val="none"/>
          <w:lang w:val="en-US" w:eastAsia="zh-CN" w:bidi="ar-SA"/>
        </w:rPr>
        <w:t xml:space="preserve">（样式附后）在此次活动中代为公章使用。</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u w:val="single"/>
          <w:lang w:val="en-US" w:eastAsia="zh-CN" w:bidi="ar-SA"/>
        </w:rPr>
        <w:t xml:space="preserve">（其他形式的印章名称）</w:t>
      </w:r>
      <w:r>
        <w:rPr>
          <w:rFonts w:hint="eastAsia" w:ascii="宋体" w:hAnsi="Courier New" w:eastAsia="宋体" w:cs="宋体"/>
          <w:color w:val="auto"/>
          <w:sz w:val="21"/>
          <w:szCs w:val="21"/>
          <w:highlight w:val="none"/>
          <w:lang w:val="en-US" w:eastAsia="zh-CN" w:bidi="ar-SA"/>
        </w:rPr>
        <w:t xml:space="preserve">所签署的投标文件、澄清等，我单位承认并同意具备与我单位公章签署等同的法律效力。</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u w:val="single"/>
          <w:lang w:val="en-US" w:eastAsia="zh-CN" w:bidi="ar-SA"/>
        </w:rPr>
        <w:t xml:space="preserve">（其他形式的印章名称）</w:t>
      </w:r>
      <w:r>
        <w:rPr>
          <w:rFonts w:hint="eastAsia" w:ascii="宋体" w:hAnsi="Courier New" w:eastAsia="宋体" w:cs="宋体"/>
          <w:color w:val="auto"/>
          <w:sz w:val="21"/>
          <w:szCs w:val="21"/>
          <w:highlight w:val="none"/>
          <w:lang w:val="en-US" w:eastAsia="zh-CN" w:bidi="ar-SA"/>
        </w:rPr>
        <w:t xml:space="preserve">签署的所有文件、协议不因授权的撤销而失效。</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其他形式的印章名称：</w:t>
      </w:r>
      <w:r>
        <w:rPr>
          <w:rFonts w:hint="default" w:ascii="宋体" w:hAnsi="Courier New" w:eastAsia="宋体" w:cs="宋体"/>
          <w:color w:val="auto"/>
          <w:sz w:val="21"/>
          <w:szCs w:val="21"/>
          <w:highlight w:val="none"/>
          <w:lang w:val="en-US" w:eastAsia="zh-CN" w:bidi="ar-SA"/>
        </w:rPr>
        <w:t xml:space="preserve">______________</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印章样式：</w:t>
      </w:r>
      <w:r/>
    </w:p>
    <w:tbl>
      <w:tblPr>
        <w:tblStyle w:val="852"/>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bl>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u w:val="single"/>
          <w:lang w:val="en-US" w:eastAsia="zh-CN" w:bidi="ar-SA"/>
        </w:rPr>
      </w:pPr>
      <w:r>
        <w:rPr>
          <w:rFonts w:hint="eastAsia" w:ascii="宋体" w:hAnsi="Courier New" w:eastAsia="宋体" w:cs="宋体"/>
          <w:color w:val="auto"/>
          <w:sz w:val="21"/>
          <w:szCs w:val="21"/>
          <w:highlight w:val="none"/>
          <w:lang w:val="en-US" w:eastAsia="zh-CN" w:bidi="ar-SA"/>
        </w:rPr>
        <w:t xml:space="preserve">供应商名称（公章）：</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法定代表人（单位负责人）</w:t>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或其授权代表（签字或盖章）：</w:t>
      </w:r>
      <w:r>
        <w:rPr>
          <w:rFonts w:hint="default" w:ascii="宋体" w:hAnsi="Courier New" w:eastAsia="宋体" w:cs="宋体"/>
          <w:color w:val="auto"/>
          <w:sz w:val="21"/>
          <w:szCs w:val="21"/>
          <w:highlight w:val="none"/>
          <w:lang w:val="en-US" w:eastAsia="zh-CN" w:bidi="ar-SA"/>
        </w:rPr>
        <w:t xml:space="preserve">_________________</w:t>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default" w:ascii="宋体" w:hAnsi="Courier New" w:eastAsia="宋体" w:cs="宋体"/>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日期：</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年</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月</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日</w:t>
      </w:r>
      <w:r/>
    </w:p>
    <w:p>
      <w:pPr>
        <w:ind w:left="74" w:firstLine="482"/>
        <w:jc w:val="left"/>
        <w:spacing w:line="276" w:lineRule="auto"/>
        <w:rPr>
          <w:rFonts w:ascii="Microsoft New Tai Lue" w:hAnsi="Microsoft New Tai Lue" w:eastAsia="黑体" w:cs="Times New Roman"/>
          <w:b/>
          <w:bCs/>
          <w:color w:val="auto"/>
          <w:sz w:val="32"/>
          <w:szCs w:val="32"/>
          <w:highlight w:val="none"/>
          <w:lang w:val="en-US" w:eastAsia="zh-CN" w:bidi="ar-SA"/>
        </w:rPr>
      </w:pPr>
      <w:r>
        <w:rPr>
          <w:rFonts w:ascii="Microsoft New Tai Lue" w:hAnsi="Microsoft New Tai Lue" w:eastAsia="黑体" w:cs="Times New Roman"/>
          <w:b/>
          <w:bCs/>
          <w:color w:val="auto"/>
          <w:sz w:val="32"/>
          <w:szCs w:val="32"/>
          <w:highlight w:val="none"/>
          <w:lang w:val="en-US" w:eastAsia="zh-CN" w:bidi="ar-SA"/>
        </w:rPr>
      </w:r>
      <w:r/>
    </w:p>
    <w:p>
      <w:pPr>
        <w:ind w:left="-141" w:firstLine="420"/>
        <w:spacing w:line="380" w:lineRule="exact"/>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left="-141" w:firstLine="0"/>
        <w:jc w:val="center"/>
        <w:spacing w:before="24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1"/>
      </w:pPr>
      <w:r/>
      <w:bookmarkStart w:id="364" w:name="_Toc103848599"/>
      <w:r>
        <w:rPr>
          <w:rFonts w:hint="default" w:ascii="Microsoft New Tai Lue" w:hAnsi="Microsoft New Tai Lue" w:eastAsia="宋体" w:cs="Microsoft New Tai Lue"/>
          <w:b/>
          <w:bCs/>
          <w:color w:val="auto"/>
          <w:sz w:val="24"/>
          <w:szCs w:val="24"/>
          <w:highlight w:val="none"/>
          <w:lang w:val="en-US" w:eastAsia="zh-CN" w:bidi="ar-SA"/>
        </w:rPr>
        <w:br w:type="page" w:clear="all"/>
      </w:r>
      <w:bookmarkStart w:id="365" w:name="_Toc29772"/>
      <w:r/>
      <w:bookmarkStart w:id="366" w:name="_Toc104560916"/>
      <w:r/>
      <w:bookmarkStart w:id="367" w:name="_Toc107246299"/>
      <w:r>
        <w:rPr>
          <w:rFonts w:hint="eastAsia" w:ascii="Microsoft New Tai Lue" w:hAnsi="Microsoft New Tai Lue" w:eastAsia="宋体" w:cs="宋体"/>
          <w:b/>
          <w:bCs/>
          <w:color w:val="auto"/>
          <w:sz w:val="28"/>
          <w:szCs w:val="28"/>
          <w:highlight w:val="none"/>
          <w:lang w:val="en-US" w:eastAsia="zh-CN" w:bidi="ar-SA"/>
        </w:rPr>
        <w:t xml:space="preserve">二、技术部分</w:t>
      </w:r>
      <w:bookmarkEnd w:id="364"/>
      <w:r/>
      <w:bookmarkEnd w:id="365"/>
      <w:r/>
      <w:bookmarkEnd w:id="366"/>
      <w:r/>
      <w:bookmarkEnd w:id="367"/>
      <w:r/>
      <w:r/>
    </w:p>
    <w:p>
      <w:pPr>
        <w:ind w:hanging="10"/>
        <w:jc w:val="center"/>
        <w:spacing w:before="0" w:after="60" w:line="360" w:lineRule="auto"/>
        <w:widowControl w:val="off"/>
        <w:rPr>
          <w:rFonts w:hint="default" w:ascii="Cambria" w:hAnsi="Cambria" w:eastAsia="宋体" w:cs="Times New Roman"/>
          <w:b/>
          <w:bCs/>
          <w:color w:val="auto"/>
          <w:sz w:val="32"/>
          <w:szCs w:val="32"/>
          <w:highlight w:val="none"/>
          <w:lang w:val="en-US" w:eastAsia="zh-CN" w:bidi="ar-SA"/>
        </w:rPr>
        <w:outlineLvl w:val="2"/>
      </w:pPr>
      <w:r/>
      <w:bookmarkStart w:id="368" w:name="_Toc103848600"/>
      <w:r/>
      <w:bookmarkStart w:id="369" w:name="_Toc104560917"/>
      <w:r/>
      <w:bookmarkStart w:id="370" w:name="_Toc107246300"/>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1</w:t>
      </w:r>
      <w:r>
        <w:rPr>
          <w:rFonts w:hint="eastAsia" w:ascii="Microsoft New Tai Lue" w:hAnsi="Microsoft New Tai Lue" w:eastAsia="宋体" w:cs="宋体"/>
          <w:b/>
          <w:bCs/>
          <w:color w:val="auto"/>
          <w:sz w:val="24"/>
          <w:szCs w:val="24"/>
          <w:highlight w:val="none"/>
          <w:lang w:val="en-US" w:eastAsia="zh-CN" w:bidi="ar-SA"/>
        </w:rPr>
        <w:t xml:space="preserve">）技术方案或服务方案</w:t>
      </w:r>
      <w:bookmarkEnd w:id="368"/>
      <w:r/>
      <w:bookmarkEnd w:id="369"/>
      <w:r/>
      <w:bookmarkEnd w:id="370"/>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71" w:name="_Toc107246301"/>
      <w:r/>
      <w:bookmarkStart w:id="372" w:name="_Toc104560918"/>
      <w:r/>
      <w:bookmarkStart w:id="373" w:name="_Toc103848601"/>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2</w:t>
      </w:r>
      <w:r>
        <w:rPr>
          <w:rFonts w:hint="eastAsia" w:ascii="Microsoft New Tai Lue" w:hAnsi="Microsoft New Tai Lue" w:eastAsia="宋体" w:cs="宋体"/>
          <w:b/>
          <w:bCs/>
          <w:color w:val="auto"/>
          <w:sz w:val="24"/>
          <w:szCs w:val="24"/>
          <w:highlight w:val="none"/>
          <w:lang w:val="en-US" w:eastAsia="zh-CN" w:bidi="ar-SA"/>
        </w:rPr>
        <w:t xml:space="preserve">）技术条款偏离表</w:t>
      </w:r>
      <w:bookmarkEnd w:id="371"/>
      <w:r/>
      <w:bookmarkEnd w:id="372"/>
      <w:r/>
      <w:bookmarkEnd w:id="373"/>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项目名称：</w:t>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eastAsia" w:ascii="宋体" w:hAnsi="Courier New" w:cs="Times New Roman"/>
          <w:color w:val="auto"/>
          <w:sz w:val="21"/>
          <w:szCs w:val="21"/>
          <w:highlight w:val="none"/>
          <w:lang w:val="en-US" w:eastAsia="zh-CN" w:bidi="ar-SA"/>
        </w:rPr>
        <w:t xml:space="preserve">    </w:t>
      </w:r>
      <w:r>
        <w:rPr>
          <w:rFonts w:hint="eastAsia" w:ascii="宋体" w:hAnsi="Courier New" w:eastAsia="宋体" w:cs="宋体"/>
          <w:color w:val="auto"/>
          <w:sz w:val="21"/>
          <w:szCs w:val="21"/>
          <w:highlight w:val="none"/>
          <w:lang w:val="en-US" w:eastAsia="zh-CN" w:bidi="ar-SA"/>
        </w:rPr>
        <w:t xml:space="preserve">项目编号：</w:t>
      </w:r>
      <w:r>
        <w:rPr>
          <w:rFonts w:hint="eastAsia" w:ascii="宋体" w:hAnsi="Courier New" w:cs="宋体"/>
          <w:color w:val="auto"/>
          <w:sz w:val="21"/>
          <w:szCs w:val="21"/>
          <w:highlight w:val="none"/>
          <w:lang w:val="en-US" w:eastAsia="zh-CN" w:bidi="ar-SA"/>
        </w:rPr>
        <w:t xml:space="preserve">                          采购包号：</w:t>
      </w:r>
      <w:r/>
    </w:p>
    <w:tbl>
      <w:tblPr>
        <w:tblStyle w:val="852"/>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09"/>
        <w:gridCol w:w="2603"/>
        <w:gridCol w:w="2126"/>
        <w:gridCol w:w="1134"/>
        <w:gridCol w:w="901"/>
        <w:gridCol w:w="797"/>
      </w:tblGrid>
      <w:tr>
        <w:trPr>
          <w:trHeight w:val="635"/>
        </w:trPr>
        <w:tc>
          <w:tcPr>
            <w:tcW w:w="653"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序号</w:t>
            </w:r>
            <w:r/>
          </w:p>
        </w:tc>
        <w:tc>
          <w:tcPr>
            <w:tcW w:w="1509"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招标文件条目号</w:t>
            </w:r>
            <w:r/>
          </w:p>
        </w:tc>
        <w:tc>
          <w:tcPr>
            <w:tcW w:w="2603"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招标文件的技术条款</w:t>
            </w:r>
            <w:r/>
          </w:p>
        </w:tc>
        <w:tc>
          <w:tcPr>
            <w:tcW w:w="2126"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投标响应技术条款</w:t>
            </w:r>
            <w:r/>
          </w:p>
        </w:tc>
        <w:tc>
          <w:tcPr>
            <w:tcW w:w="1134"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是否偏离</w:t>
            </w:r>
            <w:r/>
          </w:p>
        </w:tc>
        <w:tc>
          <w:tcPr>
            <w:tcW w:w="901"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偏离</w:t>
            </w:r>
            <w:r/>
          </w:p>
        </w:tc>
        <w:tc>
          <w:tcPr>
            <w:tcW w:w="797"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说明</w:t>
            </w:r>
            <w:r/>
          </w:p>
        </w:tc>
      </w:tr>
      <w:tr>
        <w:trPr>
          <w:trHeight w:val="570"/>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81"/>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90"/>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714"/>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82"/>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707"/>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bl>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注：</w:t>
      </w:r>
      <w:r/>
    </w:p>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1. </w:t>
      </w:r>
      <w:r>
        <w:rPr>
          <w:rFonts w:hint="eastAsia" w:ascii="Times New Roman" w:hAnsi="Times New Roman" w:eastAsia="宋体" w:cs="宋体"/>
          <w:b/>
          <w:bCs/>
          <w:color w:val="auto"/>
          <w:sz w:val="21"/>
          <w:szCs w:val="21"/>
          <w:highlight w:val="none"/>
          <w:lang w:val="en-US" w:eastAsia="zh-CN" w:bidi="ar-SA"/>
        </w:rPr>
        <w:t xml:space="preserve">供应商须根据招标文件要求填写此表，作为投标文件的组成部分。</w:t>
      </w:r>
      <w:r/>
    </w:p>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2. </w:t>
      </w:r>
      <w:r>
        <w:rPr>
          <w:rFonts w:hint="eastAsia" w:ascii="Times New Roman" w:hAnsi="Times New Roman" w:eastAsia="宋体" w:cs="宋体"/>
          <w:b/>
          <w:bCs/>
          <w:color w:val="auto"/>
          <w:sz w:val="21"/>
          <w:szCs w:val="21"/>
          <w:highlight w:val="none"/>
          <w:lang w:val="en-US" w:eastAsia="zh-CN" w:bidi="ar-SA"/>
        </w:rPr>
        <w:t xml:space="preserve">所有偏离必须在本表中列出，未在本偏离表中列出偏离，将视为供应商已完全接受招标文件要求。如完全无偏离，也无其他说明，可在本表第一行填写“全部无偏离”。</w:t>
      </w:r>
      <w:r/>
    </w:p>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3. </w:t>
      </w:r>
      <w:r>
        <w:rPr>
          <w:rFonts w:hint="eastAsia" w:ascii="Times New Roman" w:hAnsi="Times New Roman" w:eastAsia="宋体" w:cs="宋体"/>
          <w:b/>
          <w:bCs/>
          <w:color w:val="auto"/>
          <w:sz w:val="21"/>
          <w:szCs w:val="21"/>
          <w:highlight w:val="none"/>
          <w:lang w:val="en-US" w:eastAsia="zh-CN" w:bidi="ar-SA"/>
        </w:rPr>
        <w:t xml:space="preserve">偏离包括正、负偏离，正偏离指供应商的响应高于招标文件要求，负偏离指供应商的响应低于招标文件要求。</w:t>
      </w:r>
      <w:r/>
    </w:p>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4. </w:t>
      </w:r>
      <w:r>
        <w:rPr>
          <w:rFonts w:hint="eastAsia" w:ascii="Times New Roman" w:hAnsi="Times New Roman" w:eastAsia="宋体" w:cs="宋体"/>
          <w:b/>
          <w:bCs/>
          <w:color w:val="auto"/>
          <w:sz w:val="21"/>
          <w:szCs w:val="21"/>
          <w:highlight w:val="none"/>
          <w:lang w:val="en-US" w:eastAsia="zh-CN" w:bidi="ar-SA"/>
        </w:rPr>
        <w:t xml:space="preserve">如供应商将此表空白，视为供应商无任何偏离。</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numPr>
          <w:ilvl w:val="0"/>
          <w:numId w:val="0"/>
        </w:numPr>
        <w:jc w:val="center"/>
        <w:rPr>
          <w:rFonts w:hint="eastAsia" w:ascii="Microsoft New Tai Lue" w:hAnsi="Microsoft New Tai Lue" w:eastAsia="宋体" w:cs="宋体"/>
          <w:b/>
          <w:bCs/>
          <w:color w:val="auto"/>
          <w:sz w:val="24"/>
          <w:szCs w:val="24"/>
          <w:highlight w:val="none"/>
          <w:lang w:val="en-US" w:eastAsia="zh-CN" w:bidi="ar-SA"/>
        </w:rPr>
        <w:outlineLvl w:val="2"/>
      </w:pPr>
      <w:r>
        <w:rPr>
          <w:rFonts w:hint="default" w:ascii="Microsoft New Tai Lue" w:hAnsi="Microsoft New Tai Lue" w:eastAsia="宋体" w:cs="Microsoft New Tai Lue"/>
          <w:b/>
          <w:bCs/>
          <w:color w:val="auto"/>
          <w:sz w:val="32"/>
          <w:szCs w:val="32"/>
          <w:highlight w:val="none"/>
          <w:lang w:val="en-US" w:eastAsia="zh-CN" w:bidi="ar-SA"/>
        </w:rPr>
        <w:br w:type="page" w:clear="all"/>
      </w:r>
      <w:bookmarkStart w:id="374" w:name="_Toc104560919"/>
      <w:r/>
      <w:bookmarkStart w:id="375" w:name="_Toc103848602"/>
      <w:r/>
      <w:bookmarkStart w:id="376" w:name="_Toc107246302"/>
      <w:r>
        <w:rPr>
          <w:rFonts w:hint="eastAsia" w:ascii="宋体" w:hAnsi="宋体" w:eastAsia="宋体" w:cs="宋体"/>
          <w:b/>
          <w:bCs/>
          <w:color w:val="auto"/>
          <w:sz w:val="24"/>
          <w:szCs w:val="24"/>
          <w:highlight w:val="none"/>
          <w:lang w:val="en-US" w:eastAsia="zh-CN" w:bidi="ar-SA"/>
        </w:rPr>
        <w:t xml:space="preserve">（3）</w:t>
      </w:r>
      <w:r>
        <w:rPr>
          <w:rFonts w:hint="eastAsia" w:ascii="Microsoft New Tai Lue" w:hAnsi="Microsoft New Tai Lue" w:eastAsia="宋体" w:cs="宋体"/>
          <w:b/>
          <w:bCs/>
          <w:color w:val="auto"/>
          <w:sz w:val="24"/>
          <w:szCs w:val="24"/>
          <w:highlight w:val="none"/>
          <w:lang w:val="en-US" w:eastAsia="zh-CN" w:bidi="ar-SA"/>
        </w:rPr>
        <w:t xml:space="preserve">技术要求响应表</w:t>
      </w:r>
      <w:r/>
    </w:p>
    <w:p>
      <w:pPr>
        <w:numPr>
          <w:ilvl w:val="0"/>
          <w:numId w:val="0"/>
        </w:numPr>
        <w:jc w:val="center"/>
        <w:rPr>
          <w:rFonts w:hint="eastAsia" w:ascii="Microsoft New Tai Lue" w:hAnsi="Microsoft New Tai Lue" w:eastAsia="宋体" w:cs="宋体"/>
          <w:b/>
          <w:bCs/>
          <w:color w:val="auto"/>
          <w:sz w:val="24"/>
          <w:szCs w:val="24"/>
          <w:highlight w:val="none"/>
          <w:lang w:val="en-US" w:eastAsia="zh-CN" w:bidi="ar-SA"/>
        </w:rPr>
        <w:outlineLvl w:val="2"/>
      </w:pPr>
      <w:r>
        <w:rPr>
          <w:rFonts w:hint="eastAsia" w:ascii="Microsoft New Tai Lue" w:hAnsi="Microsoft New Tai Lue" w:cs="宋体"/>
          <w:b/>
          <w:bCs/>
          <w:color w:val="auto"/>
          <w:sz w:val="24"/>
          <w:szCs w:val="24"/>
          <w:highlight w:val="none"/>
          <w:lang w:val="en-US" w:eastAsia="zh-CN" w:bidi="ar-SA"/>
        </w:rPr>
        <w:t xml:space="preserve">（3-1）采购包1▲条款</w:t>
      </w:r>
      <w:r>
        <w:rPr>
          <w:rFonts w:hint="eastAsia" w:ascii="Microsoft New Tai Lue" w:hAnsi="Microsoft New Tai Lue" w:eastAsia="宋体" w:cs="宋体"/>
          <w:b/>
          <w:bCs/>
          <w:color w:val="auto"/>
          <w:sz w:val="24"/>
          <w:szCs w:val="24"/>
          <w:highlight w:val="none"/>
          <w:lang w:val="en-US" w:eastAsia="zh-CN" w:bidi="ar-SA"/>
        </w:rPr>
        <w:t xml:space="preserve">技术要求响应表</w:t>
      </w:r>
      <w:r/>
    </w:p>
    <w:p>
      <w:pPr>
        <w:numPr>
          <w:ilvl w:val="0"/>
          <w:numId w:val="0"/>
        </w:numPr>
        <w:jc w:val="both"/>
        <w:rPr>
          <w:rFonts w:hint="eastAsia" w:ascii="Microsoft New Tai Lue" w:hAnsi="Microsoft New Tai Lue" w:eastAsia="宋体" w:cs="宋体"/>
          <w:b w:val="0"/>
          <w:bCs w:val="0"/>
          <w:color w:val="auto"/>
          <w:sz w:val="24"/>
          <w:szCs w:val="24"/>
          <w:highlight w:val="none"/>
          <w:lang w:val="en-US" w:eastAsia="zh-CN" w:bidi="ar-SA"/>
        </w:rPr>
        <w:outlineLvl w:val="9"/>
      </w:pPr>
      <w:r>
        <w:rPr>
          <w:rFonts w:hint="eastAsia" w:ascii="Microsoft New Tai Lue" w:hAnsi="Microsoft New Tai Lue" w:eastAsia="宋体" w:cs="宋体"/>
          <w:b w:val="0"/>
          <w:bCs w:val="0"/>
          <w:color w:val="auto"/>
          <w:sz w:val="24"/>
          <w:szCs w:val="24"/>
          <w:highlight w:val="none"/>
          <w:lang w:val="en-US" w:eastAsia="zh-CN" w:bidi="ar-SA"/>
        </w:rPr>
        <w:t xml:space="preserve">项目名称：</w:t>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 xml:space="preserve">项目编号：</w:t>
      </w:r>
      <w:r/>
    </w:p>
    <w:tbl>
      <w:tblPr>
        <w:tblStyle w:val="875"/>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
        <w:gridCol w:w="866"/>
        <w:gridCol w:w="4817"/>
        <w:gridCol w:w="1033"/>
        <w:gridCol w:w="750"/>
        <w:gridCol w:w="817"/>
        <w:gridCol w:w="951"/>
      </w:tblGrid>
      <w:tr>
        <w:trPr/>
        <w:tc>
          <w:tcPr>
            <w:tcW w:w="4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序号</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需求清单序号和品类</w:t>
            </w:r>
            <w:r/>
          </w:p>
        </w:tc>
        <w:tc>
          <w:tcPr>
            <w:tcW w:w="48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《需求清单》（采购包</w:t>
            </w:r>
            <w:r>
              <w:rPr>
                <w:rFonts w:hint="eastAsia" w:ascii="宋体" w:hAnsi="宋体" w:cs="宋体"/>
                <w:b w:val="0"/>
                <w:bCs w:val="0"/>
                <w:color w:val="auto"/>
                <w:sz w:val="21"/>
                <w:szCs w:val="21"/>
                <w:highlight w:val="none"/>
                <w:vertAlign w:val="baseline"/>
                <w:lang w:val="en-US" w:eastAsia="zh-CN" w:bidi="ar-SA"/>
              </w:rPr>
              <w:t xml:space="preserve">1</w:t>
            </w:r>
            <w:r>
              <w:rPr>
                <w:rFonts w:hint="eastAsia" w:ascii="宋体" w:hAnsi="宋体" w:eastAsia="宋体" w:cs="宋体"/>
                <w:b w:val="0"/>
                <w:bCs w:val="0"/>
                <w:color w:val="auto"/>
                <w:sz w:val="21"/>
                <w:szCs w:val="21"/>
                <w:highlight w:val="none"/>
                <w:vertAlign w:val="baseline"/>
                <w:lang w:val="en-US" w:eastAsia="zh-CN" w:bidi="ar-SA"/>
              </w:rPr>
              <w:t xml:space="preserve">）▲</w:t>
            </w:r>
            <w:r>
              <w:rPr>
                <w:rFonts w:hint="eastAsia" w:ascii="宋体" w:hAnsi="宋体" w:cs="宋体"/>
                <w:b w:val="0"/>
                <w:bCs w:val="0"/>
                <w:color w:val="auto"/>
                <w:sz w:val="21"/>
                <w:szCs w:val="21"/>
                <w:highlight w:val="none"/>
                <w:vertAlign w:val="baseline"/>
                <w:lang w:val="en-US" w:eastAsia="zh-CN" w:bidi="ar-SA"/>
              </w:rPr>
              <w:t xml:space="preserve">条款要求</w:t>
            </w:r>
            <w:r/>
          </w:p>
        </w:tc>
        <w:tc>
          <w:tcPr>
            <w:tcW w:w="1033"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投标文件响应内容</w:t>
            </w:r>
            <w:r/>
          </w:p>
        </w:tc>
        <w:tc>
          <w:tcPr>
            <w:tcW w:w="750"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偏离情况</w:t>
            </w:r>
            <w:r/>
          </w:p>
        </w:tc>
        <w:tc>
          <w:tcPr>
            <w:tcW w:w="8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偏离说明</w:t>
            </w:r>
            <w:r/>
          </w:p>
        </w:tc>
        <w:tc>
          <w:tcPr>
            <w:tcW w:w="951"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投标文件对应页码</w:t>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1</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1接待台</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w:t>
            </w:r>
            <w:r>
              <w:rPr>
                <w:rFonts w:hint="eastAsia" w:ascii="宋体" w:hAnsi="宋体" w:eastAsia="宋体" w:cs="宋体"/>
                <w:b w:val="0"/>
                <w:bCs w:val="0"/>
                <w:color w:val="auto"/>
                <w:sz w:val="21"/>
                <w:szCs w:val="21"/>
                <w:highlight w:val="none"/>
                <w:vertAlign w:val="baseline"/>
                <w:lang w:val="en-US" w:eastAsia="zh-CN" w:bidi="ar-SA"/>
              </w:rPr>
              <w:t xml:space="preserve">-2024《绿色产品评价人造板和木质地板》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rPr>
                <w:rFonts w:hint="eastAsia" w:ascii="宋体" w:hAnsi="宋体" w:cs="宋体"/>
                <w:b w:val="0"/>
                <w:bCs w:val="0"/>
                <w:color w:val="auto"/>
                <w:sz w:val="21"/>
                <w:szCs w:val="21"/>
                <w:highlight w:val="none"/>
                <w:vertAlign w:val="baseline"/>
                <w:lang w:val="en-US" w:eastAsia="zh-CN" w:bidi="ar-SA"/>
              </w:rPr>
              <w:t xml:space="preserve">；</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w:t>
            </w:r>
            <w:r/>
          </w:p>
        </w:tc>
        <w:tc>
          <w:tcPr>
            <w:tcW w:w="866"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1接待台</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▲3.水性漆：符合HJ 2537-2014《环境标志产品技术要求水性涂料》、GB 30981.2-2025《涂料中有害物质限量第2部分:工业涂料》、GB/T 23999-2009《室内装饰装修用水性木</w:t>
            </w:r>
            <w:r>
              <w:rPr>
                <w:rFonts w:hint="eastAsia" w:ascii="宋体" w:hAnsi="宋体" w:eastAsia="宋体" w:cs="宋体"/>
                <w:b w:val="0"/>
                <w:bCs w:val="0"/>
                <w:color w:val="auto"/>
                <w:sz w:val="21"/>
                <w:szCs w:val="21"/>
                <w:highlight w:val="none"/>
                <w:vertAlign w:val="baseline"/>
                <w:lang w:val="en-US" w:eastAsia="zh-CN" w:bidi="ar-SA"/>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3</w:t>
            </w:r>
            <w:r/>
          </w:p>
        </w:tc>
        <w:tc>
          <w:tcPr>
            <w:tcW w:w="866"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1接待台</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eastAsia" w:ascii="宋体" w:hAnsi="宋体" w:eastAsia="宋体" w:cs="宋体"/>
                <w:b w:val="0"/>
                <w:bCs w:val="0"/>
                <w:color w:val="auto"/>
                <w:sz w:val="21"/>
                <w:szCs w:val="21"/>
                <w:highlight w:val="none"/>
                <w:vertAlign w:val="baseline"/>
                <w:lang w:val="en-US" w:eastAsia="zh-CN" w:bidi="ar-SA"/>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rPr>
                <w:rFonts w:hint="eastAsia" w:ascii="宋体" w:hAnsi="宋体" w:cs="宋体"/>
                <w:b w:val="0"/>
                <w:bCs w:val="0"/>
                <w:color w:val="auto"/>
                <w:sz w:val="21"/>
                <w:szCs w:val="21"/>
                <w:highlight w:val="none"/>
                <w:vertAlign w:val="baseline"/>
                <w:lang w:val="en-US" w:eastAsia="zh-CN" w:bidi="ar-SA"/>
              </w:rPr>
              <w:t xml:space="preserve">；</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4</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2接待椅</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▲2.海绵：符合GB/T </w:t>
            </w:r>
            <w:r>
              <w:rPr>
                <w:rFonts w:hint="eastAsia" w:ascii="宋体" w:hAnsi="宋体" w:eastAsia="宋体" w:cs="宋体"/>
                <w:b w:val="0"/>
                <w:bCs w:val="0"/>
                <w:color w:val="auto"/>
                <w:sz w:val="21"/>
                <w:szCs w:val="21"/>
                <w:highlight w:val="none"/>
                <w:vertAlign w:val="baseline"/>
                <w:lang w:val="en-US" w:eastAsia="zh-CN" w:bidi="ar-SA"/>
              </w:rPr>
              <w:t xml:space="preserve">10802-2023《通用软质聚氨酯泡沫塑料》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5</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3高低床</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▲1.钢管：壁厚≥1.5mm，符合GB/T 3325-2024《金属家具通用技术条件》、QB/T 3827-1999《轻工产品金属镀层和化学处理层的耐腐蚀试验方法 乙酸盐雾试验(ASS)法》、QB/T 3832-1999《轻工产品金属镀层腐蚀试验结果的评价》、QB/T 3826-1999《轻工产品金属镀层和化学处理层的耐腐蚀试验方法 中性盐雾试验(NSS)法》 、QB/T 3828-1999《轻工产品金属</w:t>
            </w:r>
            <w:r>
              <w:rPr>
                <w:rFonts w:hint="eastAsia" w:ascii="宋体" w:hAnsi="宋体" w:eastAsia="宋体" w:cs="宋体"/>
                <w:b w:val="0"/>
                <w:bCs w:val="0"/>
                <w:color w:val="auto"/>
                <w:sz w:val="21"/>
                <w:szCs w:val="21"/>
                <w:highlight w:val="none"/>
                <w:vertAlign w:val="baseline"/>
                <w:lang w:val="en-US" w:eastAsia="zh-CN" w:bidi="ar-SA"/>
              </w:rPr>
              <w:t xml:space="preserve">镀层和化学处理层的耐腐蚀试验方法 铜盐加速乙酸盐雾试验(CASS)法》、QB/T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推荐品牌：宝钢、武钢、鞍钢或同档次其他品牌；</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6</w:t>
            </w:r>
            <w:r/>
          </w:p>
        </w:tc>
        <w:tc>
          <w:tcPr>
            <w:tcW w:w="866"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3高低床</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▲2.塑粉：符合GB/T 21866-2025《涂膜抗病毒活性和抗菌性测定法》 GB</w:t>
            </w:r>
            <w:r>
              <w:rPr>
                <w:rFonts w:hint="eastAsia" w:ascii="宋体" w:hAnsi="宋体" w:eastAsia="宋体" w:cs="宋体"/>
                <w:b w:val="0"/>
                <w:bCs w:val="0"/>
                <w:color w:val="auto"/>
                <w:sz w:val="21"/>
                <w:szCs w:val="21"/>
                <w:highlight w:val="none"/>
                <w:vertAlign w:val="baseline"/>
                <w:lang w:val="en-US" w:eastAsia="zh-CN" w:bidi="ar-SA"/>
              </w:rPr>
              <w:t xml:space="preserve">/T 1741-2020《漆膜耐霉菌性测定法》 HG/T 2006-2022 《热固性和热塑性粉末涂料》 GB 30981.2-2025《涂料中有害物质限量第 2 部分：工业涂料》标准。附着力湿附着力、干附着力、沸水附着力1级；铅笔硬度(内聚破坏中擦伤) 4H；耐沸水性检测符合要求；耐湿性500h 无异常；耐霉菌性能等级0级；抗菌性能抗细菌率：＞99.9%；总重金属含量铅（Pb）、汞（Hg）未检出；可溶性元素含量铅（Pb） 镉（Cd）铬（Cr） 汞（Hg） 锑（Sb） 砷（As）钡（Ba）硒（Se）未检出。</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7</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4活动衣柜</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▲3.PVC封边条：符合QB/T 4463-2025《家具用封边条》、‌GB/T 17657-2022《‌人造板及饰面人造板理化性能试验方法‌》、GB/T 4615-2013《聚氯乙烯残留氯乙烯单体的测定气相色谱法》标准。有害物质限量检测塑料封边条-可迁移元素（可溶性重金属）铅（Pb）、镉（Cd）、铬（Cr）、汞（Hg）、砷（As）、钡（Ba）、锑（Sb）、硒（Se）未检出；甲醛释放量未检出；耐磨性检测符合要求；耐龟裂性达五级；漆膜附着力达六级；氯乙烯单体未检出。</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4活动衣柜</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w:t>
            </w:r>
            <w:r>
              <w:rPr>
                <w:rFonts w:hint="eastAsia" w:ascii="宋体" w:hAnsi="宋体" w:eastAsia="宋体" w:cs="宋体"/>
                <w:b w:val="0"/>
                <w:bCs w:val="0"/>
                <w:color w:val="auto"/>
                <w:sz w:val="21"/>
                <w:szCs w:val="21"/>
                <w:highlight w:val="none"/>
                <w:vertAlign w:val="baseline"/>
                <w:lang w:val="en-US" w:eastAsia="zh-CN" w:bidi="ar-SA"/>
              </w:rPr>
              <w:t xml:space="preserve">）法》、QB/T3832-1999《轻工产品金属镀层腐蚀试验结果的评价》、GB/T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7休闲椅1</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▲1.实木框架采用ENF级环保实木方，符合 GB/T 3324-2024《木家具通用技术条件》、GB 18584-2024《家具中有害物质限量》甲醛释放量未检出，木材含水率≤12%，气干密度≥0.635g/cm³。无虫蚀、腐朽材。</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7休闲椅1</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▲3.</w:t>
            </w:r>
            <w:r>
              <w:rPr>
                <w:rFonts w:hint="eastAsia" w:ascii="宋体" w:hAnsi="宋体" w:cs="宋体"/>
                <w:b w:val="0"/>
                <w:bCs w:val="0"/>
                <w:color w:val="auto"/>
                <w:sz w:val="21"/>
                <w:szCs w:val="21"/>
                <w:highlight w:val="none"/>
                <w:vertAlign w:val="baseline"/>
                <w:lang w:val="en-US" w:eastAsia="zh-CN" w:bidi="ar-SA"/>
              </w:rPr>
              <w:t xml:space="preserve">优质超纤皮：符合GB/T 16799-2018《家具用皮革》标准。摩擦色牢度检测：干擦500次达到5级标准；湿擦250次达到5级；碱性汗液80次达5级标准，推荐品牌，科一，爱进，杰诚或同档次其他品牌</w:t>
            </w:r>
            <w:r>
              <w:rPr>
                <w:rFonts w:hint="eastAsia" w:ascii="宋体" w:hAnsi="宋体" w:eastAsia="宋体" w:cs="宋体"/>
                <w:b w:val="0"/>
                <w:bCs w:val="0"/>
                <w:color w:val="auto"/>
                <w:sz w:val="21"/>
                <w:szCs w:val="21"/>
                <w:highlight w:val="none"/>
                <w:vertAlign w:val="baseline"/>
                <w:lang w:val="en-US" w:eastAsia="zh-CN" w:bidi="ar-SA"/>
              </w:rPr>
              <w:t xml:space="preserve">；</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8大床1（含床背板）</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▲2.优质海绵：符合GB/T 10802-2023《通用软质聚氨酯泡沫塑料》</w:t>
            </w:r>
            <w:r>
              <w:rPr>
                <w:rFonts w:hint="eastAsia" w:ascii="宋体" w:hAnsi="宋体" w:eastAsia="宋体" w:cs="宋体"/>
                <w:b w:val="0"/>
                <w:bCs w:val="0"/>
                <w:color w:val="auto"/>
                <w:sz w:val="21"/>
                <w:szCs w:val="21"/>
                <w:highlight w:val="none"/>
                <w:vertAlign w:val="baseline"/>
                <w:lang w:val="en-US" w:eastAsia="zh-CN" w:bidi="ar-SA"/>
              </w:rPr>
              <w:t xml:space="preserve"> QB/T 2280-2016《办公家具 办公椅》 QB/T 1952.1-2023《软体家具 沙发》 GB 17927-2024《家具阻燃性能安全技术规范》 GB 8624-2012《建筑材料及制品燃烧性能分级》标准。甲醛释放量、TVOC均要求未检出；撕裂强度≥2.8N/cm、拉伸强度≥170 kPa、断裂伸长率≥200%；表观密度-座面≥50 kg/m³；甲醛散发未检出；回弹性能B级:≥55%；阻燃性能安全技术要求模拟火柴火焰点火源引燃试验阻燃Ⅱ级符合要求。推荐品牌：圣诺盟、东亚、广雄或同档次其他品牌；</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21组合茶几</w:t>
            </w:r>
            <w:r/>
          </w:p>
        </w:tc>
        <w:tc>
          <w:tcPr>
            <w:tcW w:w="4817" w:type="dxa"/>
            <w:vAlign w:val="center"/>
            <w:textDirection w:val="lrTb"/>
            <w:noWrap w:val="false"/>
          </w:tcPr>
          <w:p>
            <w:pPr>
              <w:jc w:val="both"/>
              <w:tabs>
                <w:tab w:val="left" w:pos="1642" w:leader="none"/>
              </w:tabs>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▲1.桌面优质岩板 ，符合GB/T26696-2011《家具用高分子材料台面板》、JC/T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21组合茶几</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▲2.优质304不锈钢符合GB/T3325-2024《金属家具通用技术条件》、QB/T3832-1999《轻工产品金属镀层腐蚀试验结果的评价》、QB/T3826-1999《轻工产品金属镀层和化学处理层的耐腐蚀试验方法 中性盐雾试验(NSS)法》</w:t>
            </w:r>
            <w:r/>
          </w:p>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QB/T3827-1999《轻工产品金属镀层和化学处理层的耐腐蚀试验方法 </w:t>
            </w:r>
            <w:r>
              <w:rPr>
                <w:rFonts w:hint="eastAsia" w:ascii="宋体" w:hAnsi="宋体" w:eastAsia="宋体" w:cs="宋体"/>
                <w:b w:val="0"/>
                <w:bCs w:val="0"/>
                <w:color w:val="auto"/>
                <w:sz w:val="21"/>
                <w:szCs w:val="21"/>
                <w:highlight w:val="none"/>
                <w:vertAlign w:val="baseline"/>
                <w:lang w:val="en-US" w:eastAsia="zh-CN" w:bidi="ar-SA"/>
              </w:rPr>
              <w:t xml:space="preserve">乙酸盐雾试验(ASS)法》、GB/T10125-2021《人造气氛腐蚀试验 盐雾试验》标准。喷漆（塑）涂层外观检测符合要求；金属喷漆（塑）涂层理化性能：耐腐蚀、硬度、耐盐浴、冲击强度检测符合要求；附着力0级；铜加速乙酸盐雾连续喷雾200h，镀（涂）层本身的耐腐蚀等级10级、镀（涂）层对基体的保护等级10级；中性盐雾200h，镀（涂）层本身的耐腐蚀等级10级、镀（涂）层对基体的保护等级10级；乙酸盐雾200h，镀（涂）层本身的耐腐蚀等级10级、镀（涂）层对基体的保护等级10级；恒温恒湿试验后:试样表面无开裂。</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26消毒柜</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▲1.采用≥0.8优质冷轧钢板：符合GB/T3325-2024《金属家具通用技术条件》、GB/T10125-2021《人造气氛腐蚀试验 盐雾试验》、QB</w:t>
            </w:r>
            <w:r>
              <w:rPr>
                <w:rFonts w:hint="eastAsia" w:ascii="宋体" w:hAnsi="宋体" w:eastAsia="宋体" w:cs="宋体"/>
                <w:b w:val="0"/>
                <w:bCs w:val="0"/>
                <w:color w:val="auto"/>
                <w:sz w:val="21"/>
                <w:szCs w:val="21"/>
                <w:highlight w:val="none"/>
                <w:vertAlign w:val="baseline"/>
                <w:lang w:val="en-US" w:eastAsia="zh-CN" w:bidi="ar-SA"/>
              </w:rPr>
              <w:t xml:space="preserve">/T 3826-1999《轻工产品金属镀层和化学处理层的耐腐蚀试验方法 中性盐雾试验(NSS)法》、QB/T 3827-1999《轻工产品金属镀层和化学处理层的耐腐蚀试验方法 乙酸盐雾试验(ASS)法》、QB/T 3828-1999《轻工产品金属镀层和化学处理层的耐腐蚀试验方法铜盐加速乙酸盐雾试验(CASS)法》、GB/T 21604-2022《化学品 急性皮肤刺激性/腐蚀性试验方法》、GB/T 11253-2019《碳素结构钢冷轧钢板及钢带》、GB/T35607-2024《绿色产品评价家具》、GB/T 4</w:t>
            </w:r>
            <w:r>
              <w:rPr>
                <w:rFonts w:hint="eastAsia" w:ascii="宋体" w:hAnsi="宋体" w:eastAsia="宋体" w:cs="宋体"/>
                <w:b w:val="0"/>
                <w:bCs w:val="0"/>
                <w:color w:val="auto"/>
                <w:sz w:val="21"/>
                <w:szCs w:val="21"/>
                <w:highlight w:val="none"/>
                <w:vertAlign w:val="baseline"/>
                <w:lang w:val="en-US" w:eastAsia="zh-CN" w:bidi="ar-SA"/>
              </w:rPr>
              <w:t xml:space="preserve">337-2025 《金属材料 疲劳试验 旋转弯曲方法》标准。铜加速乙酸盐雾连续喷雾200h、中性盐雾200h、乙酸盐雾200h、铜盐加速乙酸盐雾试验（CASS）连续喷雾18h，镀（涂）层本身的耐腐蚀等级：10级，镀（涂）层对基体的保护等级：10级；抗拉强度、下屈服强度、断后伸长率、冲击强度检测符合要求；附着力0级；硬度检测达3H,无塑性变形和内聚破坏；旋转弯曲疲劳试验大于200万次目测无裂纹，样品未断裂；家具涂层可迁移元素未检出；急性皮肤刺激性/腐蚀性试验无刺激性推荐品牌：宝钢、武钢、鞍钢或同档次其他品牌；</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28接待台</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▲1.基材采用ENF级实木多层板：符合GB/T 9846-2015《普通胶合板》 GB/T17657-2022《人造板及饰面人造板理化性能试验方法》 GB/T39600-2021《人造板及其制品甲醛释放量分级》 GB 18580-2025《室内装饰装修材料 人造板及其制品中甲醛释放限量》 GB/T 35601-2</w:t>
            </w:r>
            <w:r>
              <w:rPr>
                <w:rFonts w:hint="eastAsia" w:ascii="宋体" w:hAnsi="宋体" w:eastAsia="宋体" w:cs="宋体"/>
                <w:b w:val="0"/>
                <w:bCs w:val="0"/>
                <w:color w:val="auto"/>
                <w:sz w:val="21"/>
                <w:szCs w:val="21"/>
                <w:highlight w:val="none"/>
                <w:vertAlign w:val="baseline"/>
                <w:lang w:val="en-US" w:eastAsia="zh-CN" w:bidi="ar-SA"/>
              </w:rPr>
              <w:t xml:space="preserve">024《绿色产品评价 人造板和木质地板》  JC/T 2039-2010《抗菌防霉木质装饰板》标准。胶合强度≥1.60MPa；静曲强度顺纹≥41.5MPa、横纹≥38MPa；弹性模量顺纹≥5600Mpa、横纹≥4400MPa；甲醛释放量（1m3气候箱法）未检出；挥发性有机化合物释放浓度（7d）-苯、甲苯、二甲苯未检出；挥发性有机化合物释放浓度（7d）-总挥发性有机化合物（TVOC）未检出；防霉性能-防霉菌等级黑曲霉达0级；抗菌性能-抑菌率≥99.8%。推荐品牌：兔宝宝、千年舟、华晟、三威新材或同档次其他品牌</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28接待台</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▲3.水性漆：符合HJ 2537-2014《环境标志产品技术要求水性涂料》、GB 30981.2-2025《涂料中有害物质限量第2部分:工业涂料》、GB/T 23999-2009《室内装饰装修用水性木</w:t>
            </w:r>
            <w:r>
              <w:rPr>
                <w:rFonts w:hint="eastAsia" w:ascii="宋体" w:hAnsi="宋体" w:eastAsia="宋体" w:cs="宋体"/>
                <w:b w:val="0"/>
                <w:bCs w:val="0"/>
                <w:color w:val="auto"/>
                <w:sz w:val="21"/>
                <w:szCs w:val="21"/>
                <w:highlight w:val="none"/>
                <w:vertAlign w:val="baseline"/>
                <w:lang w:val="en-US" w:eastAsia="zh-CN" w:bidi="ar-SA"/>
              </w:rPr>
              <w:t xml:space="preserve">器涂料》、GB/T 35602-2017《绿色产品评价 涂料》、GB/T 21866-2025《涂膜抗病毒活性和抗菌性测定法》、HG/T 3950-2025《抗菌和抗病毒涂料》、GB/T 21605-2025《化学品急性吸入毒性试验方法》标准。VOC含量、甲醛含量未检出，苯系物总和含量未检出、总重金属含量铅、汞未检出；乙二醇醚及醚脂总和含量未检出；卤代烃未检出、硬度（擦伤）3H；抗菌性能-抗菌率≥99.9%；抗霉菌性能-抗霉菌等级达0级；急性吸入毒性项符合标准。推荐品牌：华润、大宝、易涂宝或同档次其他品牌；</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28接待台</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▲4.五金配件优质导轨：符合QB/T 2454-2013《家具五金抽屉导轨》、QB/T 3832-1999《轻工产品金属镀层腐蚀试验结果的评价》、QB/T 3826-1999《轻工产品金属镀层和化学处理层的耐腐蚀试验方法中性盐雾试验（NSS)法、》、QB/T 3827-1999《轻工产品金属镀层和化学处理层的耐腐蚀试验方法乙酸盐雾试验（ASS）法》、QB/T 3828</w:t>
            </w:r>
            <w:r>
              <w:rPr>
                <w:rFonts w:hint="eastAsia" w:ascii="宋体" w:hAnsi="宋体" w:eastAsia="宋体" w:cs="宋体"/>
                <w:b w:val="0"/>
                <w:bCs w:val="0"/>
                <w:color w:val="auto"/>
                <w:sz w:val="21"/>
                <w:szCs w:val="21"/>
                <w:highlight w:val="none"/>
                <w:vertAlign w:val="baseline"/>
                <w:lang w:val="en-US" w:eastAsia="zh-CN" w:bidi="ar-SA"/>
              </w:rPr>
              <w:t xml:space="preserve">-1999《轻工产品金属镀层和化学处理层的耐腐蚀试验方法铜盐加速乙酸盐雾试验(CASS)法》、GB/T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推荐品牌：DTC、海蒂诗、FGV或同档次其他品牌</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30主席椅</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▲3.优质牛皮：符合GB/T 16799-2018《家具用皮革》 GB/T 19941.2-2019《皮革和毛皮 甲醛含量的测定 第2部分：分光光度法》 GB 20400-2006《皮革和毛皮 有害物质限量》标准。游离甲醛、挥发性有机物（VOC）、禁用偶氮染料未检出；有害物质限量值-可分解有害芳香胺染料未检出。</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86操作台I、87弧形操作台I</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9.▲控制台表面理化性能和木材含水率须符合GB/T 3324-2017《木家具通用技术条件》、GB/T 4893.7-2013《家具表面漆膜理化性能试验 第7部分:耐冷热温差测定法》、GB/T 4983.8-2023、GB/T 4893.9-2013《家具表面漆膜理化性能试验 第9部分:抗冲击测定法》检测标准，其中耐磨和耐冲击性能需达到1级标准；（须提供带CMA标识的第三方检测机构出具的检测报告）</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86操作台I、87弧形操作台I</w:t>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10.▲控制台的金属制品表面涂层/覆面的性能要求应满足以下标</w:t>
            </w:r>
            <w:r>
              <w:rPr>
                <w:rFonts w:hint="eastAsia" w:ascii="宋体" w:hAnsi="宋体" w:eastAsia="宋体" w:cs="宋体"/>
                <w:b w:val="0"/>
                <w:bCs w:val="0"/>
                <w:color w:val="auto"/>
                <w:sz w:val="21"/>
                <w:szCs w:val="21"/>
                <w:highlight w:val="none"/>
                <w:vertAlign w:val="baseline"/>
                <w:lang w:val="en-US" w:eastAsia="zh-CN" w:bidi="ar-SA"/>
              </w:rPr>
              <w:t xml:space="preserve">准：①弯曲测试（锥形轴）符合GB/T 11185-2009 《色漆和清漆.弯曲试验(锥形轴)》检测标准，结果应无开裂；② 附着力测试符合 GB/T 9286-2021《色漆和清漆 划格试验》检测标准，结果应达到0级（最好）；③涂层硬度符合GB/T 6739-2022 《色漆和清漆 铅笔法测定漆膜硬度》检测标准，结果应不低于3H铅笔硬度；④耐冲击测试符合GB/T 1732-2020《漆膜耐冲击测定法》检测标准，1kg质量冲击高度500mm，结果无开裂或剥落；（须提供带CMA标识的第三方检测机构出具的检测报告）</w:t>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gridSpan w:val="7"/>
            <w:tcW w:w="9651" w:type="dxa"/>
            <w:vAlign w:val="center"/>
            <w:textDirection w:val="lrTb"/>
            <w:noWrap w:val="false"/>
          </w:tcPr>
          <w:p>
            <w:pPr>
              <w:jc w:val="left"/>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说明：投标供应商应当对照</w:t>
            </w:r>
            <w:r>
              <w:rPr>
                <w:rFonts w:hint="eastAsia" w:ascii="宋体" w:hAnsi="宋体" w:cs="宋体"/>
                <w:b w:val="0"/>
                <w:bCs w:val="0"/>
                <w:color w:val="auto"/>
                <w:sz w:val="21"/>
                <w:szCs w:val="21"/>
                <w:highlight w:val="none"/>
                <w:vertAlign w:val="baseline"/>
                <w:lang w:val="en-US" w:eastAsia="zh-CN" w:bidi="ar-SA"/>
              </w:rPr>
              <w:t xml:space="preserve">招标</w:t>
            </w:r>
            <w:r>
              <w:rPr>
                <w:rFonts w:hint="eastAsia" w:ascii="宋体" w:hAnsi="宋体" w:eastAsia="宋体" w:cs="宋体"/>
                <w:b w:val="0"/>
                <w:bCs w:val="0"/>
                <w:color w:val="auto"/>
                <w:sz w:val="21"/>
                <w:szCs w:val="21"/>
                <w:highlight w:val="none"/>
                <w:vertAlign w:val="baseline"/>
                <w:lang w:val="en-US" w:eastAsia="zh-CN" w:bidi="ar-SA"/>
              </w:rPr>
              <w:t xml:space="preserve">文件</w:t>
            </w:r>
            <w:r>
              <w:rPr>
                <w:rFonts w:hint="eastAsia" w:ascii="宋体" w:hAnsi="宋体" w:cs="宋体"/>
                <w:b w:val="0"/>
                <w:bCs w:val="0"/>
                <w:color w:val="auto"/>
                <w:sz w:val="21"/>
                <w:szCs w:val="21"/>
                <w:highlight w:val="none"/>
                <w:vertAlign w:val="baseline"/>
                <w:lang w:val="en-US" w:eastAsia="zh-CN" w:bidi="ar-SA"/>
              </w:rPr>
              <w:t xml:space="preserve">中《需求清单》（采购包1）的材质说明</w:t>
            </w:r>
            <w:r>
              <w:rPr>
                <w:rFonts w:hint="eastAsia" w:ascii="宋体" w:hAnsi="宋体" w:eastAsia="宋体" w:cs="宋体"/>
                <w:b w:val="0"/>
                <w:bCs w:val="0"/>
                <w:color w:val="auto"/>
                <w:sz w:val="21"/>
                <w:szCs w:val="21"/>
                <w:highlight w:val="none"/>
                <w:vertAlign w:val="baseline"/>
                <w:lang w:val="en-US" w:eastAsia="zh-CN" w:bidi="ar-SA"/>
              </w:rPr>
              <w:t xml:space="preserve">，逐条如实填写所投物资的具体技术评审参数，注明无偏离、正偏离或负偏离，并注明偏离的具体内容。</w:t>
            </w:r>
            <w:r/>
          </w:p>
        </w:tc>
      </w:tr>
    </w:tbl>
    <w:p>
      <w:pPr>
        <w:jc w:val="center"/>
        <w:rPr>
          <w:rFonts w:hint="default" w:ascii="Microsoft New Tai Lue" w:hAnsi="Microsoft New Tai Lue" w:eastAsia="宋体" w:cs="Microsoft New Tai Lue"/>
          <w:b/>
          <w:bCs/>
          <w:color w:val="auto"/>
          <w:sz w:val="32"/>
          <w:szCs w:val="32"/>
          <w:highlight w:val="none"/>
          <w:lang w:val="en-US" w:eastAsia="zh-CN" w:bidi="ar-SA"/>
        </w:rPr>
        <w:outlineLvl w:val="9"/>
      </w:pP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 xml:space="preserve">                </w:t>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-169545</wp:posOffset>
                </wp:positionH>
                <wp:positionV relativeFrom="paragraph">
                  <wp:posOffset>210185</wp:posOffset>
                </wp:positionV>
                <wp:extent cx="6456045" cy="0"/>
                <wp:effectExtent l="0" t="4445" r="0" b="5080"/>
                <wp:wrapNone/>
                <wp:docPr id="115" name="直接连接符 1"/>
                <wp:cNvGraphicFramePr/>
                <a:graphic xmlns:a="http://schemas.openxmlformats.org/drawingml/2006/main">
                  <a:graphicData uri="http://schemas.microsoft.com/office/word/2010/wordprocessingShape">
                    <wps:wsp>
                      <wps:cNvPr id="0" name=""/>
                      <wps:cNvSpPr/>
                      <wps:spPr bwMode="auto">
                        <a:xfrm>
                          <a:off x="550545" y="4556760"/>
                          <a:ext cx="6456045" cy="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14" o:spid="_x0000_s114" style="position:absolute;left:0;text-align:left;z-index:251660288;mso-wrap-distance-left:9.0pt;mso-wrap-distance-top:0.0pt;mso-wrap-distance-right:9.0pt;mso-wrap-distance-bottom:0.0pt;visibility:visible;" from="-13.3pt,16.6pt" to="495.0pt,16.6pt" filled="f" strokecolor="#000000" strokeweight="0.25pt">
                <v:stroke dashstyle="solid"/>
              </v:line>
            </w:pict>
          </mc:Fallback>
        </mc:AlternateContent>
      </w:r>
      <w:r/>
    </w:p>
    <w:p>
      <w:pPr>
        <w:jc w:val="center"/>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）采购包2技术要求响应表</w:t>
      </w:r>
      <w:r/>
    </w:p>
    <w:p>
      <w:pPr>
        <w:numPr>
          <w:ilvl w:val="0"/>
          <w:numId w:val="0"/>
        </w:numPr>
        <w:jc w:val="both"/>
        <w:rPr>
          <w:rFonts w:hint="eastAsia" w:ascii="Microsoft New Tai Lue" w:hAnsi="Microsoft New Tai Lue" w:eastAsia="宋体" w:cs="宋体"/>
          <w:b w:val="0"/>
          <w:bCs w:val="0"/>
          <w:color w:val="auto"/>
          <w:sz w:val="24"/>
          <w:szCs w:val="24"/>
          <w:highlight w:val="none"/>
          <w:lang w:val="en-US" w:eastAsia="zh-CN" w:bidi="ar-SA"/>
        </w:rPr>
        <w:outlineLvl w:val="9"/>
      </w:pPr>
      <w:r>
        <w:rPr>
          <w:rFonts w:hint="eastAsia" w:ascii="Microsoft New Tai Lue" w:hAnsi="Microsoft New Tai Lue" w:eastAsia="宋体" w:cs="宋体"/>
          <w:b w:val="0"/>
          <w:bCs w:val="0"/>
          <w:color w:val="auto"/>
          <w:sz w:val="24"/>
          <w:szCs w:val="24"/>
          <w:highlight w:val="none"/>
          <w:lang w:val="en-US" w:eastAsia="zh-CN" w:bidi="ar-SA"/>
        </w:rPr>
        <w:t xml:space="preserve">项目名称：</w:t>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 xml:space="preserve">项目编号：</w:t>
      </w:r>
      <w:r/>
    </w:p>
    <w:tbl>
      <w:tblPr>
        <w:tblStyle w:val="875"/>
        <w:tblW w:w="8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
        <w:gridCol w:w="866"/>
        <w:gridCol w:w="4817"/>
        <w:gridCol w:w="1033"/>
        <w:gridCol w:w="750"/>
        <w:gridCol w:w="817"/>
      </w:tblGrid>
      <w:tr>
        <w:trPr/>
        <w:tc>
          <w:tcPr>
            <w:tcW w:w="4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序号</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需求清单序号和品类</w:t>
            </w:r>
            <w:r/>
          </w:p>
        </w:tc>
        <w:tc>
          <w:tcPr>
            <w:tcW w:w="48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《需求清单》（采购包2）材质要求</w:t>
            </w:r>
            <w:r/>
          </w:p>
        </w:tc>
        <w:tc>
          <w:tcPr>
            <w:tcW w:w="1033"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投标文件响应内容</w:t>
            </w:r>
            <w:r/>
          </w:p>
        </w:tc>
        <w:tc>
          <w:tcPr>
            <w:tcW w:w="750"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偏离情况</w:t>
            </w:r>
            <w:r/>
          </w:p>
        </w:tc>
        <w:tc>
          <w:tcPr>
            <w:tcW w:w="8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偏离说明</w:t>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1</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3</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bl>
    <w:p>
      <w:pPr>
        <w:jc w:val="both"/>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jc w:val="center"/>
        <w:rPr>
          <w:rFonts w:hint="default" w:ascii="Microsoft New Tai Lue" w:hAnsi="Microsoft New Tai Lue" w:eastAsia="宋体" w:cs="Microsoft New Tai Lue"/>
          <w:b/>
          <w:bCs/>
          <w:color w:val="auto"/>
          <w:sz w:val="32"/>
          <w:szCs w:val="32"/>
          <w:highlight w:val="none"/>
          <w:u w:val="single"/>
          <w:lang w:val="en-US" w:eastAsia="zh-CN" w:bidi="ar-SA"/>
        </w:rPr>
        <w:outlineLvl w:val="9"/>
      </w:pP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 xml:space="preserve">                </w:t>
      </w:r>
      <w:r>
        <w:rPr>
          <w:rFonts w:hint="default" w:ascii="Microsoft New Tai Lue" w:hAnsi="Microsoft New Tai Lue" w:eastAsia="宋体" w:cs="Microsoft New Tai Lue"/>
          <w:b/>
          <w:bCs/>
          <w:color w:val="auto"/>
          <w:sz w:val="32"/>
          <w:szCs w:val="32"/>
          <w:highlight w:val="none"/>
          <w:u w:val="single"/>
          <w:lang w:val="en-US" w:eastAsia="zh-CN" w:bidi="ar-SA"/>
        </w:rPr>
        <w:tab/>
      </w:r>
      <w:r/>
    </w:p>
    <w:p>
      <w:pPr>
        <w:jc w:val="center"/>
        <w:rPr>
          <w:rFonts w:hint="default" w:ascii="Microsoft New Tai Lue" w:hAnsi="Microsoft New Tai Lue" w:eastAsia="宋体" w:cs="Microsoft New Tai Lue"/>
          <w:b/>
          <w:bCs/>
          <w:color w:val="auto"/>
          <w:sz w:val="32"/>
          <w:szCs w:val="32"/>
          <w:highlight w:val="none"/>
          <w:lang w:val="en-US" w:eastAsia="zh-CN" w:bidi="ar-SA"/>
        </w:rPr>
        <w:outlineLvl w:val="9"/>
      </w:pPr>
      <w:r>
        <w:rPr>
          <w:rFonts w:hint="default" w:ascii="Microsoft New Tai Lue" w:hAnsi="Microsoft New Tai Lue" w:eastAsia="宋体" w:cs="Microsoft New Tai Lue"/>
          <w:b/>
          <w:bCs/>
          <w:color w:val="auto"/>
          <w:sz w:val="32"/>
          <w:szCs w:val="32"/>
          <w:highlight w:val="none"/>
          <w:lang w:val="en-US" w:eastAsia="zh-CN" w:bidi="ar-SA"/>
        </w:rPr>
        <w:br w:type="page" w:clear="all"/>
      </w:r>
      <w:r/>
    </w:p>
    <w:p>
      <w:pPr>
        <w:ind w:hanging="10"/>
        <w:jc w:val="center"/>
        <w:spacing w:before="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eastAsia" w:ascii="Microsoft New Tai Lue" w:hAnsi="Microsoft New Tai Lue" w:cs="Microsoft New Tai Lue"/>
          <w:b/>
          <w:bCs/>
          <w:color w:val="auto"/>
          <w:sz w:val="24"/>
          <w:szCs w:val="24"/>
          <w:highlight w:val="none"/>
          <w:lang w:val="en-US" w:eastAsia="zh-CN" w:bidi="ar-SA"/>
        </w:rPr>
        <w:t xml:space="preserve">4</w:t>
      </w:r>
      <w:r>
        <w:rPr>
          <w:rFonts w:hint="eastAsia" w:ascii="Microsoft New Tai Lue" w:hAnsi="Microsoft New Tai Lue" w:eastAsia="宋体" w:cs="宋体"/>
          <w:b/>
          <w:bCs/>
          <w:color w:val="auto"/>
          <w:sz w:val="24"/>
          <w:szCs w:val="24"/>
          <w:highlight w:val="none"/>
          <w:lang w:val="en-US" w:eastAsia="zh-CN" w:bidi="ar-SA"/>
        </w:rPr>
        <w:t xml:space="preserve">）供应商售后服务承诺</w:t>
      </w:r>
      <w:bookmarkEnd w:id="374"/>
      <w:r/>
      <w:bookmarkEnd w:id="375"/>
      <w:r/>
      <w:bookmarkEnd w:id="376"/>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1</w:t>
      </w:r>
      <w:r>
        <w:rPr>
          <w:rFonts w:hint="eastAsia" w:ascii="宋体" w:hAnsi="宋体" w:cs="宋体"/>
          <w:b/>
          <w:bCs/>
          <w:color w:val="auto"/>
          <w:szCs w:val="21"/>
          <w:highlight w:val="none"/>
          <w:lang w:val="en-US" w:eastAsia="zh-CN" w:bidi="ar-SA"/>
        </w:rPr>
        <w:t xml:space="preserve">、免费质保承诺书格式：</w:t>
      </w:r>
      <w:r/>
    </w:p>
    <w:p>
      <w:pPr>
        <w:ind w:firstLine="316"/>
        <w:jc w:val="center"/>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免费质保承诺书</w:t>
      </w:r>
      <w:r/>
    </w:p>
    <w:p>
      <w:pPr>
        <w:ind w:left="-141" w:firstLine="420"/>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我公司郑重承诺：</w:t>
      </w:r>
      <w:r/>
    </w:p>
    <w:p>
      <w:pPr>
        <w:ind w:left="-141" w:firstLine="420"/>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本项目整体免费质保期为自验收合格之日起不少于</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年……。</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left="-141" w:firstLine="420"/>
        <w:spacing w:line="36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供应商名称（公章）：</w:t>
      </w:r>
      <w:r>
        <w:rPr>
          <w:rFonts w:ascii="宋体" w:hAnsi="宋体" w:cs="宋体"/>
          <w:color w:val="auto"/>
          <w:szCs w:val="21"/>
          <w:highlight w:val="none"/>
          <w:lang w:val="en-US" w:eastAsia="zh-CN" w:bidi="ar-SA"/>
        </w:rPr>
        <w:t xml:space="preserve">_________________</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left="-141" w:firstLine="420"/>
        <w:spacing w:line="36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eastAsia" w:ascii="Microsoft New Tai Lue" w:hAnsi="Microsoft New Tai Lue" w:eastAsia="宋体" w:cs="宋体"/>
          <w:color w:val="auto"/>
          <w:sz w:val="21"/>
          <w:szCs w:val="21"/>
          <w:highlight w:val="none"/>
          <w:lang w:val="en-US" w:eastAsia="zh-CN" w:bidi="ar-SA"/>
        </w:rPr>
        <w:t xml:space="preserve">或其授权代表（签字或盖章）：</w:t>
      </w:r>
      <w:r>
        <w:rPr>
          <w:rFonts w:hint="default" w:ascii="宋体" w:hAnsi="Courier New" w:eastAsia="宋体" w:cs="宋体"/>
          <w:color w:val="auto"/>
          <w:sz w:val="21"/>
          <w:szCs w:val="21"/>
          <w:highlight w:val="none"/>
          <w:lang w:val="en-US" w:eastAsia="zh-CN" w:bidi="ar-SA"/>
        </w:rPr>
        <w:t xml:space="preserve">_________________</w:t>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default" w:ascii="宋体" w:hAnsi="Courier New" w:eastAsia="宋体" w:cs="宋体"/>
          <w:color w:val="auto"/>
          <w:sz w:val="21"/>
          <w:szCs w:val="21"/>
          <w:highlight w:val="none"/>
          <w:lang w:val="en-US" w:eastAsia="zh-CN" w:bidi="ar-SA"/>
        </w:rPr>
      </w:r>
      <w:r/>
    </w:p>
    <w:p>
      <w:pPr>
        <w:ind w:left="-141" w:firstLine="420"/>
        <w:spacing w:line="360" w:lineRule="auto"/>
        <w:rPr>
          <w:rFonts w:hint="eastAsia" w:ascii="宋体" w:hAnsi="宋体" w:cs="Times New Roman"/>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default" w:ascii="Microsoft New Tai Lue" w:hAnsi="Microsoft New Tai Lue" w:eastAsia="宋体" w:cs="Microsoft New Tai Lue"/>
          <w:b/>
          <w:bCs/>
          <w:color w:val="auto"/>
          <w:sz w:val="24"/>
          <w:szCs w:val="24"/>
          <w:highlight w:val="none"/>
          <w:lang w:val="en-US" w:eastAsia="zh-CN" w:bidi="ar-SA"/>
        </w:rPr>
        <w:br w:type="page" w:clear="all"/>
      </w:r>
      <w:bookmarkStart w:id="377" w:name="_Toc103848603"/>
      <w:r/>
      <w:bookmarkStart w:id="378" w:name="_Toc104560920"/>
      <w:r/>
      <w:bookmarkStart w:id="379" w:name="_Toc107246303"/>
      <w:r>
        <w:rPr>
          <w:rFonts w:hint="eastAsia" w:ascii="Microsoft New Tai Lue" w:hAnsi="Microsoft New Tai Lue" w:eastAsia="宋体" w:cs="宋体"/>
          <w:b/>
          <w:bCs/>
          <w:color w:val="auto"/>
          <w:sz w:val="24"/>
          <w:szCs w:val="24"/>
          <w:highlight w:val="none"/>
          <w:lang w:val="en-US" w:eastAsia="zh-CN" w:bidi="ar-SA"/>
        </w:rPr>
        <w:t xml:space="preserve">（</w:t>
      </w:r>
      <w:r>
        <w:rPr>
          <w:rFonts w:hint="eastAsia" w:ascii="Microsoft New Tai Lue" w:hAnsi="Microsoft New Tai Lue" w:cs="Microsoft New Tai Lue"/>
          <w:b/>
          <w:bCs/>
          <w:color w:val="auto"/>
          <w:sz w:val="24"/>
          <w:szCs w:val="24"/>
          <w:highlight w:val="none"/>
          <w:lang w:val="en-US" w:eastAsia="zh-CN" w:bidi="ar-SA"/>
        </w:rPr>
        <w:t xml:space="preserve">5</w:t>
      </w:r>
      <w:r>
        <w:rPr>
          <w:rFonts w:hint="eastAsia" w:ascii="Microsoft New Tai Lue" w:hAnsi="Microsoft New Tai Lue" w:eastAsia="宋体" w:cs="宋体"/>
          <w:b/>
          <w:bCs/>
          <w:color w:val="auto"/>
          <w:sz w:val="24"/>
          <w:szCs w:val="24"/>
          <w:highlight w:val="none"/>
          <w:lang w:val="en-US" w:eastAsia="zh-CN" w:bidi="ar-SA"/>
        </w:rPr>
        <w:t xml:space="preserve">）用于本项目人员表</w:t>
      </w:r>
      <w:bookmarkEnd w:id="377"/>
      <w:r/>
      <w:bookmarkEnd w:id="378"/>
      <w:r>
        <w:rPr>
          <w:rFonts w:hint="eastAsia" w:ascii="Microsoft New Tai Lue" w:hAnsi="Microsoft New Tai Lue" w:eastAsia="宋体" w:cs="宋体"/>
          <w:b/>
          <w:bCs/>
          <w:color w:val="auto"/>
          <w:sz w:val="24"/>
          <w:szCs w:val="24"/>
          <w:highlight w:val="none"/>
          <w:lang w:val="en-US" w:eastAsia="zh-CN" w:bidi="ar-SA"/>
        </w:rPr>
        <w:t xml:space="preserve">（如需）</w:t>
      </w:r>
      <w:bookmarkEnd w:id="379"/>
      <w:r/>
      <w:r/>
    </w:p>
    <w:p>
      <w:pPr>
        <w:ind w:firstLine="316"/>
        <w:jc w:val="center"/>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A.</w:t>
      </w:r>
      <w:r>
        <w:rPr>
          <w:rFonts w:hint="eastAsia" w:ascii="宋体" w:hAnsi="宋体" w:cs="宋体"/>
          <w:b/>
          <w:bCs/>
          <w:color w:val="auto"/>
          <w:szCs w:val="21"/>
          <w:highlight w:val="none"/>
          <w:lang w:val="en-US" w:eastAsia="zh-CN" w:bidi="ar-SA"/>
        </w:rPr>
        <w:t xml:space="preserve">项目团队成员明细表</w:t>
      </w:r>
      <w:r/>
    </w:p>
    <w:tbl>
      <w:tblPr>
        <w:tblStyle w:val="852"/>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序号</w:t>
            </w:r>
            <w:r/>
          </w:p>
        </w:tc>
        <w:tc>
          <w:tcPr>
            <w:tcW w:w="1320"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在本项目中拟任岗位</w:t>
            </w:r>
            <w:r/>
          </w:p>
        </w:tc>
        <w:tc>
          <w:tcPr>
            <w:tcW w:w="1189"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是否为主要成员</w:t>
            </w:r>
            <w:r/>
          </w:p>
        </w:tc>
        <w:tc>
          <w:tcPr>
            <w:tcW w:w="907"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姓名</w:t>
            </w:r>
            <w:r/>
          </w:p>
        </w:tc>
        <w:tc>
          <w:tcPr>
            <w:tcW w:w="753"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性别</w:t>
            </w:r>
            <w:r/>
          </w:p>
        </w:tc>
        <w:tc>
          <w:tcPr>
            <w:tcW w:w="774"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年龄</w:t>
            </w:r>
            <w:r/>
          </w:p>
        </w:tc>
        <w:tc>
          <w:tcPr>
            <w:tcW w:w="720"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学历</w:t>
            </w:r>
            <w:r/>
          </w:p>
        </w:tc>
        <w:tc>
          <w:tcPr>
            <w:tcW w:w="720"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专业</w:t>
            </w:r>
            <w:r/>
          </w:p>
        </w:tc>
        <w:tc>
          <w:tcPr>
            <w:tcW w:w="720"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职称</w:t>
            </w:r>
            <w:r/>
          </w:p>
        </w:tc>
        <w:tc>
          <w:tcPr>
            <w:tcW w:w="982"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备注</w:t>
            </w:r>
            <w:r/>
          </w:p>
        </w:tc>
      </w:tr>
      <w:tr>
        <w:trPr/>
        <w:tc>
          <w:tcPr>
            <w:tcW w:w="736"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3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189"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07"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53"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74"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82"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r>
      <w:tr>
        <w:trPr/>
        <w:tc>
          <w:tcPr>
            <w:tcW w:w="736"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3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189"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07"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53"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74"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82"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r>
      <w:tr>
        <w:trPr/>
        <w:tc>
          <w:tcPr>
            <w:tcW w:w="736"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3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189"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07"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53"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74"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82"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r>
      <w:tr>
        <w:trPr/>
        <w:tc>
          <w:tcPr>
            <w:tcW w:w="736"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3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189"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07"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53"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74"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82"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r>
    </w:tbl>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注：表后附上述人员身份证正反面、职称证、社保证明等证明材料。</w:t>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Times New Roman"/>
          <w:b/>
          <w:bCs/>
          <w:color w:val="auto"/>
          <w:szCs w:val="21"/>
          <w:highlight w:val="none"/>
          <w:lang w:val="en-US" w:eastAsia="zh-CN" w:bidi="ar-SA"/>
        </w:rPr>
      </w:r>
      <w:r/>
    </w:p>
    <w:p>
      <w:pPr>
        <w:ind w:firstLine="316"/>
        <w:jc w:val="center"/>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B.</w:t>
      </w:r>
      <w:r>
        <w:rPr>
          <w:rFonts w:hint="eastAsia" w:ascii="宋体" w:hAnsi="宋体" w:cs="宋体"/>
          <w:b/>
          <w:bCs/>
          <w:color w:val="auto"/>
          <w:szCs w:val="21"/>
          <w:highlight w:val="none"/>
          <w:lang w:val="en-US" w:eastAsia="zh-CN" w:bidi="ar-SA"/>
        </w:rPr>
        <w:t xml:space="preserve">用于本项目人员简历表</w:t>
      </w:r>
      <w:r/>
    </w:p>
    <w:tbl>
      <w:tblPr>
        <w:tblStyle w:val="852"/>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姓名</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性别</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职务</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职称</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毕业学校、专业</w:t>
            </w:r>
            <w:r/>
          </w:p>
        </w:tc>
        <w:tc>
          <w:tcPr>
            <w:gridSpan w:val="3"/>
            <w:tcW w:w="5808"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身份证号</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拟在本项目任职</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执业资格证</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执业资格证书号</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gridSpan w:val="4"/>
            <w:tcW w:w="8304"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近</w:t>
            </w:r>
            <w:r>
              <w:rPr>
                <w:rFonts w:hint="default" w:ascii="宋体" w:hAnsi="Courier New" w:eastAsia="宋体" w:cs="宋体"/>
                <w:color w:val="auto"/>
                <w:sz w:val="21"/>
                <w:szCs w:val="21"/>
                <w:highlight w:val="none"/>
                <w:lang w:val="en-US" w:eastAsia="zh-CN" w:bidi="ar-SA"/>
              </w:rPr>
              <w:t xml:space="preserve">____</w:t>
            </w:r>
            <w:r>
              <w:rPr>
                <w:rFonts w:hint="eastAsia" w:ascii="宋体" w:hAnsi="Courier New" w:eastAsia="宋体" w:cs="宋体"/>
                <w:color w:val="auto"/>
                <w:sz w:val="21"/>
                <w:szCs w:val="21"/>
                <w:highlight w:val="none"/>
                <w:lang w:val="en-US" w:eastAsia="zh-CN" w:bidi="ar-SA"/>
              </w:rPr>
              <w:t xml:space="preserve">年承担项目情况</w:t>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时间</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类似项目名称</w:t>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担任职务</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项目单位名称及电话</w:t>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bl>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80" w:name="_Toc103848604"/>
      <w:r/>
      <w:bookmarkStart w:id="381" w:name="_Toc104560921"/>
      <w:r/>
      <w:bookmarkStart w:id="382" w:name="_Toc107246304"/>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left="20" w:firstLine="361"/>
        <w:jc w:val="center"/>
        <w:spacing w:before="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eastAsia" w:ascii="Microsoft New Tai Lue" w:hAnsi="Microsoft New Tai Lue" w:cs="Microsoft New Tai Lue"/>
          <w:b/>
          <w:bCs/>
          <w:color w:val="auto"/>
          <w:sz w:val="24"/>
          <w:szCs w:val="24"/>
          <w:highlight w:val="none"/>
          <w:lang w:val="en-US" w:eastAsia="zh-CN" w:bidi="ar-SA"/>
        </w:rPr>
        <w:t xml:space="preserve">6</w:t>
      </w:r>
      <w:r>
        <w:rPr>
          <w:rFonts w:hint="eastAsia" w:ascii="Microsoft New Tai Lue" w:hAnsi="Microsoft New Tai Lue" w:eastAsia="宋体" w:cs="宋体"/>
          <w:b/>
          <w:bCs/>
          <w:color w:val="auto"/>
          <w:sz w:val="24"/>
          <w:szCs w:val="24"/>
          <w:highlight w:val="none"/>
          <w:lang w:val="en-US" w:eastAsia="zh-CN" w:bidi="ar-SA"/>
        </w:rPr>
        <w:t xml:space="preserve">）投标标的物符合招标文件规定的证明文件</w:t>
      </w:r>
      <w:bookmarkEnd w:id="380"/>
      <w:r/>
      <w:bookmarkEnd w:id="381"/>
      <w:r>
        <w:rPr>
          <w:rFonts w:hint="eastAsia" w:ascii="Microsoft New Tai Lue" w:hAnsi="Microsoft New Tai Lue" w:eastAsia="宋体" w:cs="宋体"/>
          <w:b/>
          <w:bCs/>
          <w:color w:val="auto"/>
          <w:sz w:val="24"/>
          <w:szCs w:val="24"/>
          <w:highlight w:val="none"/>
          <w:lang w:val="en-US" w:eastAsia="zh-CN" w:bidi="ar-SA"/>
        </w:rPr>
        <w:t xml:space="preserve">（如需）</w:t>
      </w:r>
      <w:bookmarkEnd w:id="382"/>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注：提供第二章“投标人须知”和第四章“采购需求”规定</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包括投标货物的强制性认证、注册等</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的证明材料</w:t>
      </w:r>
      <w:r>
        <w:rPr>
          <w:rFonts w:hint="eastAsia" w:ascii="宋体" w:hAnsi="Courier New" w:cs="宋体"/>
          <w:color w:val="auto"/>
          <w:sz w:val="21"/>
          <w:szCs w:val="21"/>
          <w:highlight w:val="none"/>
          <w:lang w:val="en-US" w:eastAsia="zh-CN" w:bidi="ar-SA"/>
        </w:rPr>
        <w:t xml:space="preserve">扫描件</w:t>
      </w:r>
      <w:r>
        <w:rPr>
          <w:rFonts w:hint="eastAsia" w:ascii="宋体" w:hAnsi="Courier New" w:eastAsia="宋体" w:cs="宋体"/>
          <w:color w:val="auto"/>
          <w:sz w:val="21"/>
          <w:szCs w:val="21"/>
          <w:highlight w:val="none"/>
          <w:lang w:val="en-US" w:eastAsia="zh-CN" w:bidi="ar-SA"/>
        </w:rPr>
        <w:t xml:space="preserve">。</w:t>
      </w:r>
      <w:bookmarkEnd w:id="300"/>
      <w:r/>
      <w:r/>
    </w:p>
    <w:p>
      <w:pPr>
        <w:ind w:firstLine="316"/>
        <w:spacing w:line="360" w:lineRule="auto"/>
        <w:rPr>
          <w:rFonts w:ascii="Microsoft New Tai Lue" w:hAnsi="Microsoft New Tai Lue" w:cs="Microsoft New Tai Lue"/>
          <w:b/>
          <w:bCs/>
          <w:color w:val="auto"/>
          <w:szCs w:val="21"/>
          <w:highlight w:val="none"/>
          <w:lang w:val="en-US" w:eastAsia="zh-CN" w:bidi="ar-SA"/>
        </w:rPr>
      </w:pPr>
      <w:r>
        <w:rPr>
          <w:rFonts w:ascii="Microsoft New Tai Lue" w:hAnsi="Microsoft New Tai Lue" w:cs="Microsoft New Tai Lue"/>
          <w:b/>
          <w:bCs/>
          <w:color w:val="auto"/>
          <w:szCs w:val="21"/>
          <w:highlight w:val="none"/>
          <w:lang w:val="en-US" w:eastAsia="zh-CN" w:bidi="ar-SA"/>
        </w:rPr>
      </w:r>
      <w:r/>
    </w:p>
    <w:p>
      <w:pPr>
        <w:ind w:left="-141" w:firstLine="0"/>
        <w:jc w:val="center"/>
        <w:spacing w:before="24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1"/>
      </w:pPr>
      <w:r/>
      <w:bookmarkStart w:id="383" w:name="_Toc96347904"/>
      <w:r>
        <w:rPr>
          <w:rFonts w:hint="default" w:ascii="Microsoft New Tai Lue" w:hAnsi="Microsoft New Tai Lue" w:eastAsia="宋体" w:cs="Microsoft New Tai Lue"/>
          <w:b/>
          <w:bCs/>
          <w:color w:val="auto"/>
          <w:sz w:val="32"/>
          <w:szCs w:val="32"/>
          <w:highlight w:val="none"/>
          <w:lang w:val="en-US" w:eastAsia="zh-CN" w:bidi="ar-SA"/>
        </w:rPr>
        <w:br w:type="page" w:clear="all"/>
      </w:r>
      <w:bookmarkStart w:id="384" w:name="_Toc104560922"/>
      <w:r/>
      <w:bookmarkStart w:id="385" w:name="_Toc29092"/>
      <w:r/>
      <w:bookmarkStart w:id="386" w:name="_Toc103848605"/>
      <w:r/>
      <w:bookmarkStart w:id="387" w:name="_Toc107246305"/>
      <w:r/>
      <w:bookmarkStart w:id="388" w:name="_Toc100905289"/>
      <w:r>
        <w:rPr>
          <w:rFonts w:hint="eastAsia" w:ascii="Microsoft New Tai Lue" w:hAnsi="Microsoft New Tai Lue" w:eastAsia="宋体" w:cs="宋体"/>
          <w:b/>
          <w:bCs/>
          <w:color w:val="auto"/>
          <w:sz w:val="28"/>
          <w:szCs w:val="28"/>
          <w:highlight w:val="none"/>
          <w:lang w:val="en-US" w:eastAsia="zh-CN" w:bidi="ar-SA"/>
        </w:rPr>
        <w:t xml:space="preserve">三、其他部分</w:t>
      </w:r>
      <w:bookmarkEnd w:id="384"/>
      <w:r/>
      <w:bookmarkEnd w:id="385"/>
      <w:r/>
      <w:bookmarkEnd w:id="386"/>
      <w:r/>
      <w:bookmarkEnd w:id="387"/>
      <w:r/>
      <w:r/>
    </w:p>
    <w:p>
      <w:pPr>
        <w:ind w:left="-141" w:firstLine="0"/>
        <w:jc w:val="center"/>
        <w:spacing w:before="0" w:after="60" w:line="30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bookmarkStart w:id="389" w:name="_Toc107246306"/>
      <w:r/>
      <w:bookmarkStart w:id="390" w:name="_Toc104560923"/>
      <w:r/>
      <w:bookmarkStart w:id="391" w:name="_Toc103848606"/>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1</w:t>
      </w:r>
      <w:r>
        <w:rPr>
          <w:rFonts w:hint="eastAsia" w:ascii="Microsoft New Tai Lue" w:hAnsi="Microsoft New Tai Lue" w:eastAsia="宋体" w:cs="宋体"/>
          <w:b/>
          <w:bCs/>
          <w:color w:val="auto"/>
          <w:sz w:val="24"/>
          <w:szCs w:val="24"/>
          <w:highlight w:val="none"/>
          <w:lang w:val="en-US" w:eastAsia="zh-CN" w:bidi="ar-SA"/>
        </w:rPr>
        <w:t xml:space="preserve">）提供符合政府采购政策的证明材料</w:t>
      </w:r>
      <w:bookmarkEnd w:id="388"/>
      <w:r/>
      <w:bookmarkEnd w:id="389"/>
      <w:r/>
      <w:bookmarkEnd w:id="390"/>
      <w:r/>
      <w:bookmarkEnd w:id="391"/>
      <w:r/>
      <w:r/>
    </w:p>
    <w:p>
      <w:pPr>
        <w:ind w:firstLine="315"/>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firstLine="315"/>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（请根据本项目“采购项目类型”选择合适的中小企业声明函，不适用的可以不提交）</w:t>
      </w:r>
      <w:r/>
    </w:p>
    <w:p>
      <w:pPr>
        <w:ind w:left="2" w:firstLine="321"/>
        <w:jc w:val="center"/>
        <w:spacing w:line="300" w:lineRule="auto"/>
        <w:rPr>
          <w:rFonts w:ascii="Microsoft New Tai Lue" w:hAnsi="Microsoft New Tai Lue" w:cs="Microsoft New Tai Lue"/>
          <w:color w:val="auto"/>
          <w:spacing w:val="2"/>
          <w:position w:val="-3"/>
          <w:szCs w:val="21"/>
          <w:highlight w:val="none"/>
          <w:lang w:val="en-US" w:eastAsia="zh-CN" w:bidi="ar-SA"/>
        </w:rPr>
      </w:pPr>
      <w:r>
        <w:rPr>
          <w:rFonts w:ascii="Microsoft New Tai Lue" w:hAnsi="Microsoft New Tai Lue" w:cs="Microsoft New Tai Lue"/>
          <w:color w:val="auto"/>
          <w:spacing w:val="2"/>
          <w:position w:val="-3"/>
          <w:szCs w:val="21"/>
          <w:highlight w:val="none"/>
          <w:lang w:val="en-US" w:eastAsia="zh-CN" w:bidi="ar-SA"/>
        </w:rPr>
      </w:r>
      <w:r/>
    </w:p>
    <w:p>
      <w:pPr>
        <w:ind w:left="-141" w:firstLine="361"/>
        <w:jc w:val="center"/>
        <w:spacing w:before="240" w:after="60" w:line="360" w:lineRule="auto"/>
        <w:widowControl w:val="off"/>
        <w:rPr>
          <w:rFonts w:hint="default" w:ascii="Microsoft New Tai Lue" w:hAnsi="Microsoft New Tai Lue" w:eastAsia="宋体" w:cs="宋体"/>
          <w:b/>
          <w:bCs/>
          <w:color w:val="auto"/>
          <w:sz w:val="24"/>
          <w:szCs w:val="24"/>
          <w:highlight w:val="none"/>
          <w:lang w:val="en-US" w:eastAsia="zh-CN" w:bidi="ar-SA"/>
        </w:rPr>
        <w:outlineLvl w:val="9"/>
      </w:pPr>
      <w:r>
        <w:rPr>
          <w:rFonts w:hint="eastAsia" w:ascii="Microsoft New Tai Lue" w:hAnsi="Microsoft New Tai Lue" w:eastAsia="宋体" w:cs="宋体"/>
          <w:b/>
          <w:bCs/>
          <w:color w:val="auto"/>
          <w:sz w:val="24"/>
          <w:szCs w:val="24"/>
          <w:highlight w:val="none"/>
          <w:lang w:val="en-US" w:eastAsia="zh-CN" w:bidi="ar-SA"/>
        </w:rPr>
        <w:t xml:space="preserve">中小企业声明函（货物）</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hint="eastAsia" w:ascii="Microsoft New Tai Lue" w:hAnsi="Microsoft New Tai Lue" w:cs="宋体"/>
          <w:color w:val="auto"/>
          <w:position w:val="-2"/>
          <w:szCs w:val="21"/>
          <w:highlight w:val="none"/>
          <w:lang w:val="en-US" w:eastAsia="zh-CN" w:bidi="ar-SA"/>
        </w:rPr>
        <w:t xml:space="preserve">本公司（联合体）郑重声明，根据《政府采购促进中小企业发展管理办法》（财库﹝</w:t>
      </w:r>
      <w:r>
        <w:rPr>
          <w:rFonts w:ascii="Microsoft New Tai Lue" w:hAnsi="Microsoft New Tai Lue" w:cs="Microsoft New Tai Lue"/>
          <w:color w:val="auto"/>
          <w:position w:val="-2"/>
          <w:szCs w:val="21"/>
          <w:highlight w:val="none"/>
          <w:lang w:val="en-US" w:eastAsia="zh-CN" w:bidi="ar-SA"/>
        </w:rPr>
        <w:t xml:space="preserve">2020</w:t>
      </w:r>
      <w:r>
        <w:rPr>
          <w:rFonts w:hint="eastAsia" w:ascii="Microsoft New Tai Lue" w:hAnsi="Microsoft New Tai Lue" w:cs="宋体"/>
          <w:color w:val="auto"/>
          <w:position w:val="-2"/>
          <w:szCs w:val="21"/>
          <w:highlight w:val="none"/>
          <w:lang w:val="en-US" w:eastAsia="zh-CN" w:bidi="ar-SA"/>
        </w:rPr>
        <w:t xml:space="preserve">﹞</w:t>
      </w:r>
      <w:r>
        <w:rPr>
          <w:rFonts w:ascii="Microsoft New Tai Lue" w:hAnsi="Microsoft New Tai Lue" w:cs="Microsoft New Tai Lue"/>
          <w:color w:val="auto"/>
          <w:position w:val="-2"/>
          <w:szCs w:val="21"/>
          <w:highlight w:val="none"/>
          <w:lang w:val="en-US" w:eastAsia="zh-CN" w:bidi="ar-SA"/>
        </w:rPr>
        <w:t xml:space="preserve">46 </w:t>
      </w:r>
      <w:r>
        <w:rPr>
          <w:rFonts w:hint="eastAsia" w:ascii="Microsoft New Tai Lue" w:hAnsi="Microsoft New Tai Lue" w:cs="宋体"/>
          <w:color w:val="auto"/>
          <w:position w:val="-2"/>
          <w:szCs w:val="21"/>
          <w:highlight w:val="none"/>
          <w:lang w:val="en-US" w:eastAsia="zh-CN" w:bidi="ar-SA"/>
        </w:rPr>
        <w:t xml:space="preserve">号）的规定，本公司（联合体）参加</w:t>
      </w:r>
      <w:r>
        <w:rPr>
          <w:rFonts w:hint="eastAsia" w:ascii="Microsoft New Tai Lue" w:hAnsi="Microsoft New Tai Lue" w:cs="宋体"/>
          <w:i/>
          <w:iCs/>
          <w:color w:val="auto"/>
          <w:position w:val="-2"/>
          <w:szCs w:val="21"/>
          <w:highlight w:val="none"/>
          <w:u w:val="single"/>
          <w:lang w:val="en-US" w:eastAsia="zh-CN" w:bidi="ar-SA"/>
        </w:rPr>
        <w:t xml:space="preserve">（单位名称）</w:t>
      </w:r>
      <w:r>
        <w:rPr>
          <w:rFonts w:hint="eastAsia" w:ascii="Microsoft New Tai Lue" w:hAnsi="Microsoft New Tai Lue" w:cs="宋体"/>
          <w:color w:val="auto"/>
          <w:position w:val="-2"/>
          <w:szCs w:val="21"/>
          <w:highlight w:val="none"/>
          <w:lang w:val="en-US" w:eastAsia="zh-CN" w:bidi="ar-SA"/>
        </w:rPr>
        <w:t xml:space="preserve">的</w:t>
      </w:r>
      <w:r>
        <w:rPr>
          <w:rFonts w:hint="eastAsia" w:ascii="Microsoft New Tai Lue" w:hAnsi="Microsoft New Tai Lue" w:cs="宋体"/>
          <w:i/>
          <w:iCs/>
          <w:color w:val="auto"/>
          <w:position w:val="-2"/>
          <w:szCs w:val="21"/>
          <w:highlight w:val="none"/>
          <w:u w:val="single"/>
          <w:lang w:val="en-US" w:eastAsia="zh-CN" w:bidi="ar-SA"/>
        </w:rPr>
        <w:t xml:space="preserve">（项目名称）（采购包号）</w:t>
      </w:r>
      <w:r>
        <w:rPr>
          <w:rFonts w:hint="eastAsia" w:ascii="Microsoft New Tai Lue" w:hAnsi="Microsoft New Tai Lue" w:cs="宋体"/>
          <w:color w:val="auto"/>
          <w:position w:val="-2"/>
          <w:szCs w:val="21"/>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lang w:val="en-US" w:eastAsia="zh-CN" w:bidi="ar-SA"/>
        </w:rPr>
        <w:t xml:space="preserve">1. </w:t>
      </w:r>
      <w:r>
        <w:rPr>
          <w:rFonts w:hint="eastAsia" w:ascii="Microsoft New Tai Lue" w:hAnsi="Microsoft New Tai Lue" w:cs="宋体"/>
          <w:i/>
          <w:iCs/>
          <w:color w:val="auto"/>
          <w:position w:val="-2"/>
          <w:szCs w:val="21"/>
          <w:highlight w:val="none"/>
          <w:u w:val="single"/>
          <w:lang w:val="en-US" w:eastAsia="zh-CN" w:bidi="ar-SA"/>
        </w:rPr>
        <w:t xml:space="preserve">（标的名称）</w:t>
      </w:r>
      <w:r>
        <w:rPr>
          <w:rFonts w:hint="eastAsia" w:ascii="Microsoft New Tai Lue" w:hAnsi="Microsoft New Tai Lue" w:cs="宋体"/>
          <w:color w:val="auto"/>
          <w:position w:val="-2"/>
          <w:szCs w:val="21"/>
          <w:highlight w:val="none"/>
          <w:lang w:val="en-US" w:eastAsia="zh-CN" w:bidi="ar-SA"/>
        </w:rPr>
        <w:t xml:space="preserve">，属于</w:t>
      </w:r>
      <w:r>
        <w:rPr>
          <w:rFonts w:hint="eastAsia" w:ascii="Microsoft New Tai Lue" w:hAnsi="Microsoft New Tai Lue" w:cs="宋体"/>
          <w:i/>
          <w:iCs/>
          <w:color w:val="auto"/>
          <w:position w:val="-2"/>
          <w:szCs w:val="21"/>
          <w:highlight w:val="none"/>
          <w:u w:val="single"/>
          <w:lang w:val="en-US" w:eastAsia="zh-CN" w:bidi="ar-SA"/>
        </w:rPr>
        <w:t xml:space="preserve">（招标文件中明确的所属行业）</w:t>
      </w:r>
      <w:r>
        <w:rPr>
          <w:rFonts w:hint="eastAsia" w:ascii="Microsoft New Tai Lue" w:hAnsi="Microsoft New Tai Lue" w:cs="宋体"/>
          <w:color w:val="auto"/>
          <w:position w:val="-2"/>
          <w:szCs w:val="21"/>
          <w:highlight w:val="none"/>
          <w:lang w:val="en-US" w:eastAsia="zh-CN" w:bidi="ar-SA"/>
        </w:rPr>
        <w:t xml:space="preserve">行业；制造商为</w:t>
      </w:r>
      <w:r>
        <w:rPr>
          <w:rFonts w:hint="eastAsia" w:ascii="Microsoft New Tai Lue" w:hAnsi="Microsoft New Tai Lue" w:cs="宋体"/>
          <w:i/>
          <w:iCs/>
          <w:color w:val="auto"/>
          <w:position w:val="-2"/>
          <w:szCs w:val="21"/>
          <w:highlight w:val="none"/>
          <w:u w:val="single"/>
          <w:lang w:val="en-US" w:eastAsia="zh-CN" w:bidi="ar-SA"/>
        </w:rPr>
        <w:t xml:space="preserve">（企业名称）</w:t>
      </w:r>
      <w:r>
        <w:rPr>
          <w:rFonts w:hint="eastAsia" w:ascii="Microsoft New Tai Lue" w:hAnsi="Microsoft New Tai Lue" w:cs="宋体"/>
          <w:color w:val="auto"/>
          <w:position w:val="-2"/>
          <w:szCs w:val="21"/>
          <w:highlight w:val="none"/>
          <w:lang w:val="en-US" w:eastAsia="zh-CN" w:bidi="ar-SA"/>
        </w:rPr>
        <w:t xml:space="preserve">，从业人员</w:t>
      </w:r>
      <w:r>
        <w:rPr>
          <w:rFonts w:ascii="Microsoft New Tai Lue" w:hAnsi="Microsoft New Tai Lue" w:cs="Microsoft New Tai Lue"/>
          <w:color w:val="auto"/>
          <w:position w:val="-2"/>
          <w:szCs w:val="21"/>
          <w:highlight w:val="none"/>
          <w:u w:val="single"/>
          <w:lang w:val="en-US" w:eastAsia="zh-CN" w:bidi="ar-SA"/>
        </w:rPr>
        <w:tab/>
      </w:r>
      <w:r>
        <w:rPr>
          <w:rFonts w:hint="eastAsia" w:ascii="Microsoft New Tai Lue" w:hAnsi="Microsoft New Tai Lue" w:cs="宋体"/>
          <w:color w:val="auto"/>
          <w:position w:val="-2"/>
          <w:szCs w:val="21"/>
          <w:highlight w:val="none"/>
          <w:lang w:val="en-US" w:eastAsia="zh-CN" w:bidi="ar-SA"/>
        </w:rPr>
        <w:t xml:space="preserve">人，营业收入为万元，资产总额为</w:t>
      </w:r>
      <w:r>
        <w:rPr>
          <w:rFonts w:ascii="Microsoft New Tai Lue" w:hAnsi="Microsoft New Tai Lue" w:cs="Microsoft New Tai Lue"/>
          <w:color w:val="auto"/>
          <w:position w:val="-2"/>
          <w:szCs w:val="21"/>
          <w:highlight w:val="none"/>
          <w:u w:val="single"/>
          <w:lang w:val="en-US" w:eastAsia="zh-CN" w:bidi="ar-SA"/>
        </w:rPr>
        <w:tab/>
      </w:r>
      <w:r>
        <w:rPr>
          <w:rFonts w:hint="eastAsia" w:ascii="Microsoft New Tai Lue" w:hAnsi="Microsoft New Tai Lue" w:cs="宋体"/>
          <w:color w:val="auto"/>
          <w:position w:val="-2"/>
          <w:szCs w:val="21"/>
          <w:highlight w:val="none"/>
          <w:lang w:val="en-US" w:eastAsia="zh-CN" w:bidi="ar-SA"/>
        </w:rPr>
        <w:t xml:space="preserve">万元</w:t>
      </w:r>
      <w:r>
        <w:rPr>
          <w:rFonts w:ascii="Microsoft New Tai Lue" w:hAnsi="Microsoft New Tai Lue" w:cs="Microsoft New Tai Lue"/>
          <w:color w:val="auto"/>
          <w:position w:val="-2"/>
          <w:szCs w:val="21"/>
          <w:highlight w:val="none"/>
          <w:vertAlign w:val="superscript"/>
          <w:lang w:val="en-US" w:eastAsia="zh-CN" w:bidi="ar-SA"/>
        </w:rPr>
        <w:t xml:space="preserve">1</w:t>
      </w:r>
      <w:r>
        <w:rPr>
          <w:rFonts w:hint="eastAsia" w:ascii="Microsoft New Tai Lue" w:hAnsi="Microsoft New Tai Lue" w:cs="宋体"/>
          <w:color w:val="auto"/>
          <w:position w:val="-2"/>
          <w:szCs w:val="21"/>
          <w:highlight w:val="none"/>
          <w:lang w:val="en-US" w:eastAsia="zh-CN" w:bidi="ar-SA"/>
        </w:rPr>
        <w:t xml:space="preserve">，属于</w:t>
      </w:r>
      <w:r>
        <w:rPr>
          <w:rFonts w:hint="eastAsia" w:ascii="Microsoft New Tai Lue" w:hAnsi="Microsoft New Tai Lue" w:cs="宋体"/>
          <w:i/>
          <w:iCs/>
          <w:color w:val="auto"/>
          <w:position w:val="-2"/>
          <w:szCs w:val="21"/>
          <w:highlight w:val="none"/>
          <w:u w:val="single"/>
          <w:lang w:val="en-US" w:eastAsia="zh-CN" w:bidi="ar-SA"/>
        </w:rPr>
        <w:t xml:space="preserve">（中型企业、小型企业、微型企业）</w:t>
      </w:r>
      <w:r>
        <w:rPr>
          <w:rFonts w:hint="eastAsia" w:ascii="Microsoft New Tai Lue" w:hAnsi="Microsoft New Tai Lue" w:cs="宋体"/>
          <w:color w:val="auto"/>
          <w:position w:val="-2"/>
          <w:szCs w:val="21"/>
          <w:highlight w:val="none"/>
          <w:lang w:val="en-US" w:eastAsia="zh-CN" w:bidi="ar-SA"/>
        </w:rPr>
        <w:t xml:space="preserve">；</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lang w:val="en-US" w:eastAsia="zh-CN" w:bidi="ar-SA"/>
        </w:rPr>
        <w:t xml:space="preserve">2. </w:t>
      </w:r>
      <w:r>
        <w:rPr>
          <w:rFonts w:hint="eastAsia" w:ascii="Microsoft New Tai Lue" w:hAnsi="Microsoft New Tai Lue" w:cs="宋体"/>
          <w:i/>
          <w:iCs/>
          <w:color w:val="auto"/>
          <w:position w:val="-2"/>
          <w:szCs w:val="21"/>
          <w:highlight w:val="none"/>
          <w:u w:val="single"/>
          <w:lang w:val="en-US" w:eastAsia="zh-CN" w:bidi="ar-SA"/>
        </w:rPr>
        <w:t xml:space="preserve">（标的名称）</w:t>
      </w:r>
      <w:r>
        <w:rPr>
          <w:rFonts w:hint="eastAsia" w:ascii="Microsoft New Tai Lue" w:hAnsi="Microsoft New Tai Lue" w:cs="宋体"/>
          <w:color w:val="auto"/>
          <w:position w:val="-2"/>
          <w:szCs w:val="21"/>
          <w:highlight w:val="none"/>
          <w:lang w:val="en-US" w:eastAsia="zh-CN" w:bidi="ar-SA"/>
        </w:rPr>
        <w:t xml:space="preserve">，属于</w:t>
      </w:r>
      <w:r>
        <w:rPr>
          <w:rFonts w:hint="eastAsia" w:ascii="Microsoft New Tai Lue" w:hAnsi="Microsoft New Tai Lue" w:cs="宋体"/>
          <w:i/>
          <w:iCs/>
          <w:color w:val="auto"/>
          <w:position w:val="-2"/>
          <w:szCs w:val="21"/>
          <w:highlight w:val="none"/>
          <w:u w:val="single"/>
          <w:lang w:val="en-US" w:eastAsia="zh-CN" w:bidi="ar-SA"/>
        </w:rPr>
        <w:t xml:space="preserve">（招标文件中明确的所属行业）</w:t>
      </w:r>
      <w:r>
        <w:rPr>
          <w:rFonts w:hint="eastAsia" w:ascii="Microsoft New Tai Lue" w:hAnsi="Microsoft New Tai Lue" w:cs="宋体"/>
          <w:color w:val="auto"/>
          <w:position w:val="-2"/>
          <w:szCs w:val="21"/>
          <w:highlight w:val="none"/>
          <w:lang w:val="en-US" w:eastAsia="zh-CN" w:bidi="ar-SA"/>
        </w:rPr>
        <w:t xml:space="preserve">行业；制造商为</w:t>
      </w:r>
      <w:r>
        <w:rPr>
          <w:rFonts w:hint="eastAsia" w:ascii="Microsoft New Tai Lue" w:hAnsi="Microsoft New Tai Lue" w:cs="宋体"/>
          <w:i/>
          <w:iCs/>
          <w:color w:val="auto"/>
          <w:position w:val="-2"/>
          <w:szCs w:val="21"/>
          <w:highlight w:val="none"/>
          <w:u w:val="single"/>
          <w:lang w:val="en-US" w:eastAsia="zh-CN" w:bidi="ar-SA"/>
        </w:rPr>
        <w:t xml:space="preserve">（企业名称）</w:t>
      </w:r>
      <w:r>
        <w:rPr>
          <w:rFonts w:hint="eastAsia" w:ascii="Microsoft New Tai Lue" w:hAnsi="Microsoft New Tai Lue" w:cs="宋体"/>
          <w:color w:val="auto"/>
          <w:position w:val="-2"/>
          <w:szCs w:val="21"/>
          <w:highlight w:val="none"/>
          <w:lang w:val="en-US" w:eastAsia="zh-CN" w:bidi="ar-SA"/>
        </w:rPr>
        <w:t xml:space="preserve">，从业人员</w:t>
      </w:r>
      <w:r>
        <w:rPr>
          <w:rFonts w:ascii="Microsoft New Tai Lue" w:hAnsi="Microsoft New Tai Lue" w:cs="Microsoft New Tai Lue"/>
          <w:color w:val="auto"/>
          <w:position w:val="-2"/>
          <w:szCs w:val="21"/>
          <w:highlight w:val="none"/>
          <w:u w:val="single"/>
          <w:lang w:val="en-US" w:eastAsia="zh-CN" w:bidi="ar-SA"/>
        </w:rPr>
        <w:tab/>
      </w:r>
      <w:r>
        <w:rPr>
          <w:rFonts w:hint="eastAsia" w:ascii="Microsoft New Tai Lue" w:hAnsi="Microsoft New Tai Lue" w:cs="宋体"/>
          <w:color w:val="auto"/>
          <w:position w:val="-2"/>
          <w:szCs w:val="21"/>
          <w:highlight w:val="none"/>
          <w:lang w:val="en-US" w:eastAsia="zh-CN" w:bidi="ar-SA"/>
        </w:rPr>
        <w:t xml:space="preserve">人，营业收入为万元，资产总额为</w:t>
      </w:r>
      <w:r>
        <w:rPr>
          <w:rFonts w:ascii="Microsoft New Tai Lue" w:hAnsi="Microsoft New Tai Lue" w:cs="Microsoft New Tai Lue"/>
          <w:color w:val="auto"/>
          <w:position w:val="-2"/>
          <w:szCs w:val="21"/>
          <w:highlight w:val="none"/>
          <w:u w:val="single"/>
          <w:lang w:val="en-US" w:eastAsia="zh-CN" w:bidi="ar-SA"/>
        </w:rPr>
        <w:tab/>
      </w:r>
      <w:r>
        <w:rPr>
          <w:rFonts w:hint="eastAsia" w:ascii="Microsoft New Tai Lue" w:hAnsi="Microsoft New Tai Lue" w:cs="宋体"/>
          <w:color w:val="auto"/>
          <w:position w:val="-2"/>
          <w:szCs w:val="21"/>
          <w:highlight w:val="none"/>
          <w:lang w:val="en-US" w:eastAsia="zh-CN" w:bidi="ar-SA"/>
        </w:rPr>
        <w:t xml:space="preserve">万元，属于</w:t>
      </w:r>
      <w:r>
        <w:rPr>
          <w:rFonts w:hint="eastAsia" w:ascii="Microsoft New Tai Lue" w:hAnsi="Microsoft New Tai Lue" w:cs="宋体"/>
          <w:i/>
          <w:iCs/>
          <w:color w:val="auto"/>
          <w:position w:val="-2"/>
          <w:szCs w:val="21"/>
          <w:highlight w:val="none"/>
          <w:u w:val="single"/>
          <w:lang w:val="en-US" w:eastAsia="zh-CN" w:bidi="ar-SA"/>
        </w:rPr>
        <w:t xml:space="preserve">（中型企业、小型企业、微型企业）</w:t>
      </w:r>
      <w:r>
        <w:rPr>
          <w:rFonts w:hint="eastAsia" w:ascii="Microsoft New Tai Lue" w:hAnsi="Microsoft New Tai Lue" w:cs="宋体"/>
          <w:color w:val="auto"/>
          <w:position w:val="-2"/>
          <w:szCs w:val="21"/>
          <w:highlight w:val="none"/>
          <w:lang w:val="en-US" w:eastAsia="zh-CN" w:bidi="ar-SA"/>
        </w:rPr>
        <w:t xml:space="preserve">；</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lang w:val="en-US" w:eastAsia="zh-CN" w:bidi="ar-SA"/>
        </w:rPr>
        <w:t xml:space="preserve">…… </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hint="eastAsia" w:ascii="Microsoft New Tai Lue" w:hAnsi="Microsoft New Tai Lue" w:cs="宋体"/>
          <w:color w:val="auto"/>
          <w:position w:val="-2"/>
          <w:szCs w:val="21"/>
          <w:highlight w:val="none"/>
          <w:lang w:val="en-US" w:eastAsia="zh-CN" w:bidi="ar-SA"/>
        </w:rPr>
        <w:t xml:space="preserve">以上企业，不属于大企业的分支机构，不存在控股股东为大企业的情形，也不存在与大企业的负责人为同一人的情形。</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hint="eastAsia" w:ascii="Microsoft New Tai Lue" w:hAnsi="Microsoft New Tai Lue" w:cs="宋体"/>
          <w:color w:val="auto"/>
          <w:position w:val="-2"/>
          <w:szCs w:val="21"/>
          <w:highlight w:val="none"/>
          <w:lang w:val="en-US" w:eastAsia="zh-CN" w:bidi="ar-SA"/>
        </w:rPr>
        <w:t xml:space="preserve">本企业对上述声明内容的真实性负责。如有虚假，将依法承担相应责任。</w:t>
      </w:r>
      <w:r/>
    </w:p>
    <w:p>
      <w:pPr>
        <w:ind w:firstLine="315"/>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lang w:val="en-US" w:eastAsia="zh-CN" w:bidi="ar-SA"/>
        </w:rPr>
      </w:r>
      <w:r/>
    </w:p>
    <w:p>
      <w:pPr>
        <w:ind w:left="-141" w:firstLine="3780"/>
        <w:spacing w:line="30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position w:val="-2"/>
          <w:szCs w:val="21"/>
          <w:highlight w:val="none"/>
          <w:lang w:val="en-US" w:eastAsia="zh-CN" w:bidi="ar-SA"/>
        </w:rPr>
        <w:t xml:space="preserve">企</w:t>
      </w:r>
      <w:r>
        <w:rPr>
          <w:rFonts w:hint="eastAsia" w:ascii="Microsoft New Tai Lue" w:hAnsi="Microsoft New Tai Lue" w:cs="宋体"/>
          <w:color w:val="auto"/>
          <w:spacing w:val="3"/>
          <w:position w:val="-2"/>
          <w:szCs w:val="21"/>
          <w:highlight w:val="none"/>
          <w:lang w:val="en-US" w:eastAsia="zh-CN" w:bidi="ar-SA"/>
        </w:rPr>
        <w:t xml:space="preserve">业</w:t>
      </w:r>
      <w:r>
        <w:rPr>
          <w:rFonts w:hint="eastAsia" w:ascii="Microsoft New Tai Lue" w:hAnsi="Microsoft New Tai Lue" w:cs="宋体"/>
          <w:color w:val="auto"/>
          <w:position w:val="-2"/>
          <w:szCs w:val="21"/>
          <w:highlight w:val="none"/>
          <w:lang w:val="en-US" w:eastAsia="zh-CN" w:bidi="ar-SA"/>
        </w:rPr>
        <w:t xml:space="preserve">名称</w:t>
      </w:r>
      <w:r>
        <w:rPr>
          <w:rFonts w:hint="eastAsia" w:ascii="Microsoft New Tai Lue" w:hAnsi="Microsoft New Tai Lue" w:cs="宋体"/>
          <w:color w:val="auto"/>
          <w:spacing w:val="3"/>
          <w:position w:val="-2"/>
          <w:szCs w:val="21"/>
          <w:highlight w:val="none"/>
          <w:lang w:val="en-US" w:eastAsia="zh-CN" w:bidi="ar-SA"/>
        </w:rPr>
        <w:t xml:space="preserve">（</w:t>
      </w:r>
      <w:r>
        <w:rPr>
          <w:rFonts w:hint="eastAsia" w:ascii="Microsoft New Tai Lue" w:hAnsi="Microsoft New Tai Lue" w:cs="宋体"/>
          <w:color w:val="auto"/>
          <w:position w:val="-2"/>
          <w:szCs w:val="21"/>
          <w:highlight w:val="none"/>
          <w:lang w:val="en-US" w:eastAsia="zh-CN" w:bidi="ar-SA"/>
        </w:rPr>
        <w:t xml:space="preserve">盖章</w:t>
      </w:r>
      <w:r>
        <w:rPr>
          <w:rFonts w:hint="eastAsia" w:ascii="Microsoft New Tai Lue" w:hAnsi="Microsoft New Tai Lue" w:cs="宋体"/>
          <w:color w:val="auto"/>
          <w:spacing w:val="-158"/>
          <w:position w:val="-2"/>
          <w:szCs w:val="21"/>
          <w:highlight w:val="none"/>
          <w:lang w:val="en-US" w:eastAsia="zh-CN" w:bidi="ar-SA"/>
        </w:rPr>
        <w:t xml:space="preserve">）</w:t>
      </w:r>
      <w:r>
        <w:rPr>
          <w:rFonts w:hint="eastAsia" w:ascii="Microsoft New Tai Lue" w:hAnsi="Microsoft New Tai Lue" w:cs="宋体"/>
          <w:color w:val="auto"/>
          <w:position w:val="-2"/>
          <w:szCs w:val="21"/>
          <w:highlight w:val="none"/>
          <w:lang w:val="en-US" w:eastAsia="zh-CN" w:bidi="ar-SA"/>
        </w:rPr>
        <w:t xml:space="preserve">：</w:t>
      </w:r>
      <w:r/>
    </w:p>
    <w:p>
      <w:pPr>
        <w:ind w:left="-141" w:firstLine="378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4200"/>
        <w:jc w:val="center"/>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left="-141" w:firstLine="4200"/>
        <w:jc w:val="center"/>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firstLine="315"/>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vertAlign w:val="superscript"/>
          <w:lang w:val="en-US" w:eastAsia="zh-CN" w:bidi="ar-SA"/>
        </w:rPr>
        <w:t xml:space="preserve">1</w:t>
      </w:r>
      <w:r>
        <w:rPr>
          <w:rFonts w:hint="eastAsia" w:ascii="Microsoft New Tai Lue" w:hAnsi="Microsoft New Tai Lue" w:cs="宋体"/>
          <w:color w:val="auto"/>
          <w:position w:val="-2"/>
          <w:szCs w:val="21"/>
          <w:highlight w:val="none"/>
          <w:lang w:val="en-US" w:eastAsia="zh-CN" w:bidi="ar-SA"/>
        </w:rPr>
        <w:t xml:space="preserve">从业人员、营业收入、资产总额填报上一年度数据，无上一年度数据的新成立企业可不填报。</w:t>
      </w:r>
      <w:r/>
    </w:p>
    <w:p>
      <w:pPr>
        <w:ind w:firstLine="316"/>
        <w:spacing w:line="300" w:lineRule="auto"/>
        <w:rPr>
          <w:rFonts w:ascii="Microsoft New Tai Lue" w:hAnsi="Microsoft New Tai Lue" w:cs="Microsoft New Tai Lue"/>
          <w:b/>
          <w:bCs/>
          <w:color w:val="auto"/>
          <w:szCs w:val="21"/>
          <w:highlight w:val="none"/>
          <w:lang w:val="en-US" w:eastAsia="zh-CN" w:bidi="ar-SA"/>
        </w:rPr>
      </w:pPr>
      <w:r>
        <w:rPr>
          <w:rFonts w:ascii="Microsoft New Tai Lue" w:hAnsi="Microsoft New Tai Lue" w:cs="Microsoft New Tai Lue"/>
          <w:b/>
          <w:bCs/>
          <w:color w:val="auto"/>
          <w:szCs w:val="21"/>
          <w:highlight w:val="none"/>
          <w:lang w:val="en-US" w:eastAsia="zh-CN" w:bidi="ar-SA"/>
        </w:rPr>
      </w:r>
      <w:r/>
    </w:p>
    <w:p>
      <w:pPr>
        <w:ind w:firstLine="316"/>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w:t>
      </w:r>
      <w:r>
        <w:rPr>
          <w:rFonts w:ascii="Microsoft New Tai Lue" w:hAnsi="Microsoft New Tai Lue" w:cs="Microsoft New Tai Lue"/>
          <w:b/>
          <w:bCs/>
          <w:color w:val="auto"/>
          <w:szCs w:val="21"/>
          <w:highlight w:val="none"/>
          <w:lang w:val="en-US" w:eastAsia="zh-CN" w:bidi="ar-SA"/>
        </w:rPr>
        <w:t xml:space="preserve">1.</w:t>
      </w:r>
      <w:r>
        <w:rPr>
          <w:rFonts w:hint="eastAsia" w:ascii="Microsoft New Tai Lue" w:hAnsi="Microsoft New Tai Lue" w:cs="宋体"/>
          <w:b/>
          <w:bCs/>
          <w:color w:val="auto"/>
          <w:szCs w:val="21"/>
          <w:highlight w:val="none"/>
          <w:lang w:val="en-US" w:eastAsia="zh-CN" w:bidi="ar-SA"/>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szCs w:val="21"/>
          <w:highlight w:val="none"/>
          <w:lang w:val="en-US" w:eastAsia="zh-CN" w:bidi="ar-SA"/>
        </w:rPr>
        <w:t xml:space="preserve">(</w:t>
      </w:r>
      <w:r>
        <w:rPr>
          <w:rFonts w:hint="eastAsia" w:ascii="Microsoft New Tai Lue" w:hAnsi="Microsoft New Tai Lue" w:cs="宋体"/>
          <w:b/>
          <w:bCs/>
          <w:color w:val="auto"/>
          <w:szCs w:val="21"/>
          <w:highlight w:val="none"/>
          <w:lang w:val="en-US" w:eastAsia="zh-CN" w:bidi="ar-SA"/>
        </w:rPr>
        <w:t xml:space="preserve">工信部联企业〔</w:t>
      </w:r>
      <w:r>
        <w:rPr>
          <w:rFonts w:ascii="Microsoft New Tai Lue" w:hAnsi="Microsoft New Tai Lue" w:cs="Microsoft New Tai Lue"/>
          <w:b/>
          <w:bCs/>
          <w:color w:val="auto"/>
          <w:szCs w:val="21"/>
          <w:highlight w:val="none"/>
          <w:lang w:val="en-US" w:eastAsia="zh-CN" w:bidi="ar-SA"/>
        </w:rPr>
        <w:t xml:space="preserve">2011</w:t>
      </w:r>
      <w:r>
        <w:rPr>
          <w:rFonts w:hint="eastAsia" w:ascii="Microsoft New Tai Lue" w:hAnsi="Microsoft New Tai Lue" w:cs="宋体"/>
          <w:b/>
          <w:bCs/>
          <w:color w:val="auto"/>
          <w:szCs w:val="21"/>
          <w:highlight w:val="none"/>
          <w:lang w:val="en-US" w:eastAsia="zh-CN" w:bidi="ar-SA"/>
        </w:rPr>
        <w:t xml:space="preserve">〕</w:t>
      </w:r>
      <w:r>
        <w:rPr>
          <w:rFonts w:ascii="Microsoft New Tai Lue" w:hAnsi="Microsoft New Tai Lue" w:cs="Microsoft New Tai Lue"/>
          <w:b/>
          <w:bCs/>
          <w:color w:val="auto"/>
          <w:szCs w:val="21"/>
          <w:highlight w:val="none"/>
          <w:lang w:val="en-US" w:eastAsia="zh-CN" w:bidi="ar-SA"/>
        </w:rPr>
        <w:t xml:space="preserve">300</w:t>
      </w:r>
      <w:r>
        <w:rPr>
          <w:rFonts w:hint="eastAsia" w:ascii="Microsoft New Tai Lue" w:hAnsi="Microsoft New Tai Lue" w:cs="宋体"/>
          <w:b/>
          <w:bCs/>
          <w:color w:val="auto"/>
          <w:szCs w:val="21"/>
          <w:highlight w:val="none"/>
          <w:lang w:val="en-US" w:eastAsia="zh-CN" w:bidi="ar-SA"/>
        </w:rPr>
        <w:t xml:space="preserve">号</w:t>
      </w:r>
      <w:r>
        <w:rPr>
          <w:rFonts w:ascii="Microsoft New Tai Lue" w:hAnsi="Microsoft New Tai Lue" w:cs="Microsoft New Tai Lue"/>
          <w:b/>
          <w:bCs/>
          <w:color w:val="auto"/>
          <w:szCs w:val="21"/>
          <w:highlight w:val="none"/>
          <w:lang w:val="en-US" w:eastAsia="zh-CN" w:bidi="ar-SA"/>
        </w:rPr>
        <w:t xml:space="preserve">)</w:t>
      </w:r>
      <w:r>
        <w:rPr>
          <w:rFonts w:hint="eastAsia" w:ascii="Microsoft New Tai Lue" w:hAnsi="Microsoft New Tai Lue" w:cs="宋体"/>
          <w:b/>
          <w:bCs/>
          <w:color w:val="auto"/>
          <w:szCs w:val="21"/>
          <w:highlight w:val="none"/>
          <w:lang w:val="en-US" w:eastAsia="zh-CN" w:bidi="ar-SA"/>
        </w:rPr>
        <w:t xml:space="preserve">和《财政部、工业和信息化部关于印发《政府采购促进中小企业发展管理办法》的通知》</w:t>
      </w:r>
      <w:r>
        <w:rPr>
          <w:rFonts w:ascii="Microsoft New Tai Lue" w:hAnsi="Microsoft New Tai Lue" w:cs="Microsoft New Tai Lue"/>
          <w:b/>
          <w:bCs/>
          <w:color w:val="auto"/>
          <w:szCs w:val="21"/>
          <w:highlight w:val="none"/>
          <w:lang w:val="en-US" w:eastAsia="zh-CN" w:bidi="ar-SA"/>
        </w:rPr>
        <w:t xml:space="preserve">(</w:t>
      </w:r>
      <w:r>
        <w:rPr>
          <w:rFonts w:hint="eastAsia" w:ascii="Microsoft New Tai Lue" w:hAnsi="Microsoft New Tai Lue" w:cs="宋体"/>
          <w:b/>
          <w:bCs/>
          <w:color w:val="auto"/>
          <w:szCs w:val="21"/>
          <w:highlight w:val="none"/>
          <w:lang w:val="en-US" w:eastAsia="zh-CN" w:bidi="ar-SA"/>
        </w:rPr>
        <w:t xml:space="preserve">财库〔</w:t>
      </w:r>
      <w:r>
        <w:rPr>
          <w:rFonts w:ascii="Microsoft New Tai Lue" w:hAnsi="Microsoft New Tai Lue" w:cs="Microsoft New Tai Lue"/>
          <w:b/>
          <w:bCs/>
          <w:color w:val="auto"/>
          <w:szCs w:val="21"/>
          <w:highlight w:val="none"/>
          <w:lang w:val="en-US" w:eastAsia="zh-CN" w:bidi="ar-SA"/>
        </w:rPr>
        <w:t xml:space="preserve">2020</w:t>
      </w:r>
      <w:r>
        <w:rPr>
          <w:rFonts w:hint="eastAsia" w:ascii="Microsoft New Tai Lue" w:hAnsi="Microsoft New Tai Lue" w:cs="宋体"/>
          <w:b/>
          <w:bCs/>
          <w:color w:val="auto"/>
          <w:szCs w:val="21"/>
          <w:highlight w:val="none"/>
          <w:lang w:val="en-US" w:eastAsia="zh-CN" w:bidi="ar-SA"/>
        </w:rPr>
        <w:t xml:space="preserve">〕</w:t>
      </w:r>
      <w:r>
        <w:rPr>
          <w:rFonts w:ascii="Microsoft New Tai Lue" w:hAnsi="Microsoft New Tai Lue" w:cs="Microsoft New Tai Lue"/>
          <w:b/>
          <w:bCs/>
          <w:color w:val="auto"/>
          <w:szCs w:val="21"/>
          <w:highlight w:val="none"/>
          <w:lang w:val="en-US" w:eastAsia="zh-CN" w:bidi="ar-SA"/>
        </w:rPr>
        <w:t xml:space="preserve">46</w:t>
      </w:r>
      <w:r>
        <w:rPr>
          <w:rFonts w:hint="eastAsia" w:ascii="Microsoft New Tai Lue" w:hAnsi="Microsoft New Tai Lue" w:cs="宋体"/>
          <w:b/>
          <w:bCs/>
          <w:color w:val="auto"/>
          <w:szCs w:val="21"/>
          <w:highlight w:val="none"/>
          <w:lang w:val="en-US" w:eastAsia="zh-CN" w:bidi="ar-SA"/>
        </w:rPr>
        <w:t xml:space="preserve">号</w:t>
      </w:r>
      <w:r>
        <w:rPr>
          <w:rFonts w:ascii="Microsoft New Tai Lue" w:hAnsi="Microsoft New Tai Lue" w:cs="Microsoft New Tai Lue"/>
          <w:b/>
          <w:bCs/>
          <w:color w:val="auto"/>
          <w:szCs w:val="21"/>
          <w:highlight w:val="none"/>
          <w:lang w:val="en-US" w:eastAsia="zh-CN" w:bidi="ar-SA"/>
        </w:rPr>
        <w:t xml:space="preserve">)</w:t>
      </w:r>
      <w:r>
        <w:rPr>
          <w:rFonts w:hint="eastAsia" w:ascii="Microsoft New Tai Lue" w:hAnsi="Microsoft New Tai Lue" w:cs="宋体"/>
          <w:b/>
          <w:bCs/>
          <w:color w:val="auto"/>
          <w:szCs w:val="21"/>
          <w:highlight w:val="none"/>
          <w:lang w:val="en-US" w:eastAsia="zh-CN" w:bidi="ar-SA"/>
        </w:rPr>
        <w:t xml:space="preserve">相关规定。</w:t>
      </w:r>
      <w:r>
        <w:rPr>
          <w:rFonts w:ascii="Microsoft New Tai Lue" w:hAnsi="Microsoft New Tai Lue" w:cs="Microsoft New Tai Lue"/>
          <w:b/>
          <w:bCs/>
          <w:color w:val="auto"/>
          <w:szCs w:val="21"/>
          <w:highlight w:val="none"/>
          <w:lang w:val="en-US" w:eastAsia="zh-CN" w:bidi="ar-SA"/>
        </w:rPr>
        <w:t xml:space="preserve">2.</w:t>
      </w:r>
      <w:r>
        <w:rPr>
          <w:rFonts w:hint="eastAsia" w:ascii="Microsoft New Tai Lue" w:hAnsi="Microsoft New Tai Lue" w:cs="宋体"/>
          <w:b/>
          <w:bCs/>
          <w:color w:val="auto"/>
          <w:szCs w:val="21"/>
          <w:highlight w:val="none"/>
          <w:lang w:val="en-US" w:eastAsia="zh-CN" w:bidi="ar-SA"/>
        </w:rPr>
        <w:t xml:space="preserve">授权用投标专用章的，与公章具有相同法律效力。</w:t>
      </w:r>
      <w:r/>
    </w:p>
    <w:p>
      <w:pPr>
        <w:ind w:left="-141" w:firstLine="0"/>
        <w:jc w:val="center"/>
        <w:spacing w:before="0" w:after="60" w:line="30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9"/>
      </w:pPr>
      <w:r>
        <w:rPr>
          <w:rFonts w:hint="eastAsia" w:ascii="Microsoft New Tai Lue" w:hAnsi="Microsoft New Tai Lue" w:eastAsia="宋体" w:cs="宋体"/>
          <w:b/>
          <w:bCs/>
          <w:color w:val="auto"/>
          <w:sz w:val="24"/>
          <w:szCs w:val="24"/>
          <w:highlight w:val="none"/>
          <w:lang w:val="en-US" w:eastAsia="zh-CN" w:bidi="ar-SA"/>
        </w:rPr>
        <w:t xml:space="preserve">监狱企业证明</w:t>
      </w:r>
      <w:r/>
    </w:p>
    <w:p>
      <w:pPr>
        <w:ind w:firstLine="42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根据《关于政府采购支持监狱企业发展有关问题的通知》（财库</w:t>
      </w:r>
      <w:r>
        <w:rPr>
          <w:rFonts w:hint="default" w:ascii="宋体" w:hAnsi="Courier New" w:eastAsia="宋体" w:cs="宋体"/>
          <w:color w:val="auto"/>
          <w:sz w:val="21"/>
          <w:szCs w:val="21"/>
          <w:highlight w:val="none"/>
          <w:lang w:val="en-US" w:eastAsia="zh-CN" w:bidi="ar-SA"/>
        </w:rPr>
        <w:t xml:space="preserve">[2014]68</w:t>
      </w:r>
      <w:r>
        <w:rPr>
          <w:rFonts w:hint="eastAsia" w:ascii="宋体" w:hAnsi="Courier New" w:eastAsia="宋体" w:cs="宋体"/>
          <w:color w:val="auto"/>
          <w:sz w:val="21"/>
          <w:szCs w:val="21"/>
          <w:highlight w:val="none"/>
          <w:lang w:val="en-US" w:eastAsia="zh-CN" w:bidi="ar-SA"/>
        </w:rPr>
        <w:t xml:space="preserve">号），监狱企业视同小型、微型企业，享受以上政策。监狱企业须提供由省级以上监狱管理局、戒毒管理局</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含新疆生产建设兵团</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出具的属于监狱企业的证明文件。</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left="-141" w:firstLine="0"/>
        <w:jc w:val="center"/>
        <w:spacing w:before="0" w:after="60" w:line="30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9"/>
      </w:pPr>
      <w:r>
        <w:rPr>
          <w:rFonts w:hint="eastAsia" w:ascii="Microsoft New Tai Lue" w:hAnsi="Microsoft New Tai Lue" w:eastAsia="宋体" w:cs="宋体"/>
          <w:b/>
          <w:bCs/>
          <w:color w:val="auto"/>
          <w:sz w:val="24"/>
          <w:szCs w:val="24"/>
          <w:highlight w:val="none"/>
          <w:lang w:val="en-US" w:eastAsia="zh-CN" w:bidi="ar-SA"/>
        </w:rPr>
        <w:t xml:space="preserve">残疾人福利性单位声明函</w:t>
      </w:r>
      <w:r/>
    </w:p>
    <w:p>
      <w:pPr>
        <w:ind w:firstLine="42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本单位郑重声明，根据《财政部民政部中国残疾人联合会关于促进残疾人就业政府采购政策的通知》（财库〔</w:t>
      </w:r>
      <w:r>
        <w:rPr>
          <w:rFonts w:hint="default" w:ascii="宋体" w:hAnsi="Courier New" w:eastAsia="宋体" w:cs="宋体"/>
          <w:color w:val="auto"/>
          <w:sz w:val="21"/>
          <w:szCs w:val="21"/>
          <w:highlight w:val="none"/>
          <w:lang w:val="en-US" w:eastAsia="zh-CN" w:bidi="ar-SA"/>
        </w:rPr>
        <w:t xml:space="preserve">2017</w:t>
      </w:r>
      <w:r>
        <w:rPr>
          <w:rFonts w:hint="eastAsia" w:ascii="宋体" w:hAnsi="Courier New" w:eastAsia="宋体" w:cs="宋体"/>
          <w:color w:val="auto"/>
          <w:sz w:val="21"/>
          <w:szCs w:val="21"/>
          <w:highlight w:val="none"/>
          <w:lang w:val="en-US" w:eastAsia="zh-CN" w:bidi="ar-SA"/>
        </w:rPr>
        <w:t xml:space="preserve">〕</w:t>
      </w:r>
      <w:r>
        <w:rPr>
          <w:rFonts w:hint="default" w:ascii="宋体" w:hAnsi="Courier New" w:eastAsia="宋体" w:cs="宋体"/>
          <w:color w:val="auto"/>
          <w:sz w:val="21"/>
          <w:szCs w:val="21"/>
          <w:highlight w:val="none"/>
          <w:lang w:val="en-US" w:eastAsia="zh-CN" w:bidi="ar-SA"/>
        </w:rPr>
        <w:t xml:space="preserve"> 141</w:t>
      </w:r>
      <w:r>
        <w:rPr>
          <w:rFonts w:hint="eastAsia" w:ascii="宋体" w:hAnsi="Courier New" w:eastAsia="宋体" w:cs="宋体"/>
          <w:color w:val="auto"/>
          <w:sz w:val="21"/>
          <w:szCs w:val="21"/>
          <w:highlight w:val="none"/>
          <w:lang w:val="en-US" w:eastAsia="zh-CN" w:bidi="ar-SA"/>
        </w:rPr>
        <w:t xml:space="preserve">号）的规定，本单位为符合条件的残疾人福利性单位，且本单位参加</w:t>
      </w:r>
      <w:r>
        <w:rPr>
          <w:rFonts w:hint="default" w:ascii="宋体" w:hAnsi="Courier New" w:eastAsia="宋体" w:cs="宋体"/>
          <w:color w:val="auto"/>
          <w:sz w:val="21"/>
          <w:szCs w:val="21"/>
          <w:highlight w:val="none"/>
          <w:lang w:val="en-US" w:eastAsia="zh-CN" w:bidi="ar-SA"/>
        </w:rPr>
        <w:t xml:space="preserve">______</w:t>
      </w:r>
      <w:r>
        <w:rPr>
          <w:rFonts w:hint="eastAsia" w:ascii="宋体" w:hAnsi="Courier New" w:eastAsia="宋体" w:cs="宋体"/>
          <w:color w:val="auto"/>
          <w:sz w:val="21"/>
          <w:szCs w:val="21"/>
          <w:highlight w:val="none"/>
          <w:lang w:val="en-US" w:eastAsia="zh-CN" w:bidi="ar-SA"/>
        </w:rPr>
        <w:t xml:space="preserve">单位的</w:t>
      </w:r>
      <w:r>
        <w:rPr>
          <w:rFonts w:hint="default" w:ascii="宋体" w:hAnsi="Courier New" w:eastAsia="宋体" w:cs="宋体"/>
          <w:color w:val="auto"/>
          <w:sz w:val="21"/>
          <w:szCs w:val="21"/>
          <w:highlight w:val="none"/>
          <w:lang w:val="en-US" w:eastAsia="zh-CN" w:bidi="ar-SA"/>
        </w:rPr>
        <w:t xml:space="preserve">______</w:t>
      </w:r>
      <w:r>
        <w:rPr>
          <w:rFonts w:hint="eastAsia" w:ascii="宋体" w:hAnsi="Courier New" w:eastAsia="宋体" w:cs="宋体"/>
          <w:color w:val="auto"/>
          <w:sz w:val="21"/>
          <w:szCs w:val="21"/>
          <w:highlight w:val="none"/>
          <w:lang w:val="en-US" w:eastAsia="zh-CN" w:bidi="ar-SA"/>
        </w:rPr>
        <w:t xml:space="preserve">项目采购活动提供本单位制造的货物（由本单位承担工程</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提供服务），或者提供其他残疾人福利性单位制造的货物（不包括使用非残疾人福利性单位注册商标的货物）。</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本单位对上述声明的真实性负责。如有虚假，将依法承担相应责任。</w:t>
      </w:r>
      <w:r/>
    </w:p>
    <w:p>
      <w:pPr>
        <w:ind w:firstLine="357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单位名称（盖章）：</w:t>
      </w:r>
      <w:r>
        <w:rPr>
          <w:rFonts w:hint="default" w:ascii="宋体" w:hAnsi="Courier New" w:eastAsia="宋体" w:cs="宋体"/>
          <w:color w:val="auto"/>
          <w:sz w:val="21"/>
          <w:szCs w:val="21"/>
          <w:highlight w:val="none"/>
          <w:lang w:val="en-US" w:eastAsia="zh-CN" w:bidi="ar-SA"/>
        </w:rPr>
        <w:t xml:space="preserve">____________</w:t>
      </w:r>
      <w:r/>
    </w:p>
    <w:p>
      <w:pPr>
        <w:ind w:left="-141" w:firstLine="3780"/>
        <w:jc w:val="left"/>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bookmarkEnd w:id="383"/>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92" w:name="_Toc100905295"/>
      <w:r/>
      <w:bookmarkStart w:id="393" w:name="_Toc107246307"/>
      <w:r/>
      <w:bookmarkStart w:id="394" w:name="_Toc103848607"/>
      <w:r/>
      <w:bookmarkStart w:id="395" w:name="_Toc104560924"/>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firstLine="198"/>
        <w:jc w:val="center"/>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政府采购节能产品政策</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1、根据财政部、发展改革委、生态环境部、市场监管总局《关于调整优化节能产品、环境标志产品政府采购执行机制的通知》，投标产品（不含政府强制采购节能产品</w:t>
      </w: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图形建模工作站和配套的显示器”）属于《节能产品政府采购品目清单》（最新一期）内的产品，对相应产品的价格给予1%的扣除，用扣除后的价格参与评审。</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2、评标委员会根据供应商填制的《节能产品报价表》，计算其所投节能产品享受价格折扣部分的多少。</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4、投标商必须保证使用节能产品参加投标的真实性，如出现虚假响应，一经查实，将按照招标文件具体规定进行处理。</w:t>
      </w:r>
      <w:r/>
    </w:p>
    <w:p>
      <w:pPr>
        <w:ind w:firstLine="361"/>
        <w:jc w:val="center"/>
        <w:spacing w:line="360" w:lineRule="auto"/>
        <w:rPr>
          <w:rFonts w:hint="eastAsia" w:ascii="宋体" w:hAnsi="宋体" w:cs="宋体"/>
          <w:b/>
          <w:color w:val="auto"/>
          <w:sz w:val="24"/>
          <w:szCs w:val="21"/>
          <w:highlight w:val="none"/>
          <w:lang w:val="en-US" w:eastAsia="zh-CN" w:bidi="ar-SA"/>
        </w:rPr>
      </w:pPr>
      <w:r>
        <w:rPr>
          <w:rFonts w:hint="eastAsia" w:ascii="宋体" w:hAnsi="宋体" w:cs="宋体"/>
          <w:b/>
          <w:color w:val="auto"/>
          <w:sz w:val="24"/>
          <w:szCs w:val="21"/>
          <w:highlight w:val="none"/>
          <w:lang w:val="en-US" w:eastAsia="zh-CN" w:bidi="ar-SA"/>
        </w:rPr>
      </w:r>
      <w:r/>
    </w:p>
    <w:p>
      <w:pPr>
        <w:ind w:firstLine="361"/>
        <w:jc w:val="center"/>
        <w:spacing w:line="360" w:lineRule="auto"/>
        <w:rPr>
          <w:rFonts w:hint="eastAsia" w:ascii="宋体" w:hAnsi="宋体" w:cs="宋体"/>
          <w:b/>
          <w:color w:val="auto"/>
          <w:sz w:val="24"/>
          <w:szCs w:val="21"/>
          <w:highlight w:val="none"/>
          <w:lang w:val="en-US" w:eastAsia="zh-CN" w:bidi="ar-SA"/>
        </w:rPr>
      </w:pPr>
      <w:r>
        <w:rPr>
          <w:rFonts w:hint="eastAsia" w:ascii="宋体" w:hAnsi="宋体" w:cs="宋体"/>
          <w:b/>
          <w:color w:val="auto"/>
          <w:sz w:val="24"/>
          <w:szCs w:val="21"/>
          <w:highlight w:val="none"/>
          <w:lang w:val="en-US" w:eastAsia="zh-CN" w:bidi="ar-SA"/>
        </w:rPr>
        <w:t xml:space="preserve">节能产品报价表</w:t>
      </w:r>
      <w:r/>
    </w:p>
    <w:p>
      <w:pPr>
        <w:ind w:firstLine="315"/>
        <w:spacing w:line="360" w:lineRule="auto"/>
        <w:rPr>
          <w:rFonts w:hint="default" w:ascii="宋体" w:hAnsi="宋体" w:cs="宋体"/>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项目名称：</w:t>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 xml:space="preserve">    项目编号：                     采购包号：   </w:t>
      </w:r>
      <w:r/>
    </w:p>
    <w:tbl>
      <w:tblPr>
        <w:tblStyle w:val="85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序号</w:t>
            </w:r>
            <w:r/>
          </w:p>
        </w:tc>
        <w:tc>
          <w:tcPr>
            <w:tcW w:w="1559"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在《节能产品政府采购品目清单》（最新一期）中归属的编码及名称</w:t>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产品名称</w:t>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型号和规格</w:t>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数量</w:t>
            </w:r>
            <w:r/>
          </w:p>
        </w:tc>
        <w:tc>
          <w:tcPr>
            <w:tcW w:w="1572" w:type="dxa"/>
            <w:vAlign w:val="center"/>
            <w:textDirection w:val="lrTb"/>
            <w:noWrap w:val="false"/>
          </w:tcPr>
          <w:p>
            <w:pPr>
              <w:ind w:firstLine="315"/>
              <w:jc w:val="center"/>
              <w:spacing w:before="12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原产地和</w:t>
            </w:r>
            <w:r/>
          </w:p>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制造商名称</w:t>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节能产品认证证书证书编号</w:t>
            </w:r>
            <w:r/>
          </w:p>
        </w:tc>
        <w:tc>
          <w:tcPr>
            <w:tcW w:w="899"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单价</w:t>
            </w:r>
            <w:r/>
          </w:p>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（元人民币）</w:t>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总价</w:t>
            </w:r>
            <w:r/>
          </w:p>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（元人民币）</w:t>
            </w:r>
            <w:r/>
          </w:p>
        </w:tc>
      </w:tr>
      <w:tr>
        <w:trPr>
          <w:jc w:val="center"/>
          <w:trHeight w:val="705"/>
        </w:trPr>
        <w:tc>
          <w:tcPr>
            <w:tcW w:w="62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59"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72"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9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r>
        <w:trPr>
          <w:jc w:val="center"/>
          <w:trHeight w:val="705"/>
        </w:trPr>
        <w:tc>
          <w:tcPr>
            <w:tcW w:w="62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59"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72"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9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r>
        <w:trPr>
          <w:jc w:val="center"/>
          <w:trHeight w:val="705"/>
        </w:trPr>
        <w:tc>
          <w:tcPr>
            <w:gridSpan w:val="8"/>
            <w:tcW w:w="8432" w:type="dxa"/>
            <w:textDirection w:val="lrTb"/>
            <w:noWrap w:val="false"/>
          </w:tcPr>
          <w:p>
            <w:pPr>
              <w:ind w:right="840" w:firstLine="315"/>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其中，节能产品总计：</w:t>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bl>
    <w:p>
      <w:pPr>
        <w:ind w:right="420"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376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投标人名称（公章）：____________</w:t>
      </w:r>
      <w:r>
        <w:rPr>
          <w:rFonts w:hint="eastAsia" w:ascii="宋体" w:hAnsi="宋体" w:eastAsia="宋体" w:cs="宋体"/>
          <w:color w:val="auto"/>
          <w:sz w:val="21"/>
          <w:szCs w:val="21"/>
          <w:highlight w:val="none"/>
          <w:u w:val="single"/>
          <w:lang w:val="en-US" w:eastAsia="zh-CN" w:bidi="ar-SA"/>
        </w:rPr>
        <w:t xml:space="preserve">             </w:t>
      </w:r>
      <w:r/>
    </w:p>
    <w:p>
      <w:pPr>
        <w:ind w:right="840" w:firstLine="378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法定代表人（单位负责人）</w:t>
      </w:r>
      <w:r/>
    </w:p>
    <w:p>
      <w:pPr>
        <w:ind w:right="420" w:firstLine="378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或其授权代表（签字或盖章）：_________________</w:t>
      </w:r>
      <w:r/>
    </w:p>
    <w:p>
      <w:pPr>
        <w:ind w:right="420" w:firstLine="378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日期：</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年</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月</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96" w:name="_Toc522290175"/>
      <w:r/>
      <w:bookmarkStart w:id="397" w:name="_Toc11678079"/>
      <w:r/>
      <w:bookmarkStart w:id="398" w:name="_Toc68159636"/>
      <w:r/>
      <w:bookmarkStart w:id="399" w:name="_Toc525720157"/>
      <w:r/>
      <w:bookmarkStart w:id="400" w:name="_Toc17097052"/>
      <w:r/>
      <w:bookmarkStart w:id="401" w:name="_Toc96347934"/>
      <w:r/>
      <w:bookmarkStart w:id="402" w:name="_Toc10472944"/>
      <w:r/>
      <w:bookmarkStart w:id="403" w:name="_Toc63695314"/>
      <w:r/>
      <w:bookmarkStart w:id="404" w:name="_Toc9515978"/>
      <w:r/>
      <w:bookmarkStart w:id="405" w:name="_Toc520719717"/>
      <w:r/>
      <w:bookmarkStart w:id="406" w:name="_Toc8742842"/>
      <w:r/>
      <w:bookmarkStart w:id="407" w:name="_Toc447021133"/>
      <w:r/>
      <w:bookmarkStart w:id="408" w:name="_Toc13233104"/>
      <w:r/>
      <w:bookmarkStart w:id="409" w:name="_Toc450220986"/>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firstLine="198"/>
        <w:jc w:val="center"/>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政府采购环境标志产品政策</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2、评标委员会根据供应商填制的《环境标志产品报价表》，计算其所投环境标志产品享受价格折扣部分的多少。</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4、投标商必须保证使用环境标志产品参加投标的真实性，如出现虚假响应，一经查实，将按照招标文件具体规定进行处理。</w:t>
      </w:r>
      <w:r/>
    </w:p>
    <w:p>
      <w:pPr>
        <w:ind w:firstLine="361"/>
        <w:jc w:val="center"/>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r>
      <w:r/>
    </w:p>
    <w:p>
      <w:pPr>
        <w:ind w:firstLine="361"/>
        <w:jc w:val="center"/>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环境标志产品报价表</w:t>
      </w:r>
      <w:r/>
    </w:p>
    <w:p>
      <w:pPr>
        <w:ind w:firstLine="315"/>
        <w:spacing w:line="360" w:lineRule="auto"/>
        <w:rPr>
          <w:rFonts w:hint="default" w:ascii="宋体" w:hAnsi="宋体" w:cs="宋体"/>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项目名称：</w:t>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 xml:space="preserve">    项目编号：                      采购包号：</w:t>
      </w:r>
      <w:r>
        <w:rPr>
          <w:rFonts w:hint="eastAsia" w:ascii="宋体" w:hAnsi="宋体" w:cs="宋体"/>
          <w:color w:val="auto"/>
          <w:szCs w:val="21"/>
          <w:highlight w:val="none"/>
          <w:u w:val="none"/>
          <w:lang w:val="en-US" w:eastAsia="zh-CN" w:bidi="ar-SA"/>
        </w:rPr>
        <w:t xml:space="preserve">   </w:t>
      </w:r>
      <w:r/>
    </w:p>
    <w:tbl>
      <w:tblPr>
        <w:tblStyle w:val="85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序号</w:t>
            </w:r>
            <w:r/>
          </w:p>
        </w:tc>
        <w:tc>
          <w:tcPr>
            <w:tcW w:w="1694"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在《环境标志产品政府采购品目清单》（最新一期）中归属的编码及名称</w:t>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产品名称</w:t>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型号和规格</w:t>
            </w:r>
            <w:r/>
          </w:p>
        </w:tc>
        <w:tc>
          <w:tcPr>
            <w:tcW w:w="851"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数量</w:t>
            </w:r>
            <w:r/>
          </w:p>
        </w:tc>
        <w:tc>
          <w:tcPr>
            <w:tcW w:w="1430" w:type="dxa"/>
            <w:vAlign w:val="center"/>
            <w:textDirection w:val="lrTb"/>
            <w:noWrap w:val="false"/>
          </w:tcPr>
          <w:p>
            <w:pPr>
              <w:ind w:firstLine="315"/>
              <w:jc w:val="center"/>
              <w:spacing w:before="12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原产地和</w:t>
            </w:r>
            <w:r/>
          </w:p>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制造商名称</w:t>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环境标志产品认证证书证书编号</w:t>
            </w:r>
            <w:r/>
          </w:p>
        </w:tc>
        <w:tc>
          <w:tcPr>
            <w:tcW w:w="899"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单价</w:t>
            </w:r>
            <w:r/>
          </w:p>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（元人民币）</w:t>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总价</w:t>
            </w:r>
            <w:r/>
          </w:p>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（元人民币）</w:t>
            </w:r>
            <w:r/>
          </w:p>
        </w:tc>
      </w:tr>
      <w:tr>
        <w:trPr>
          <w:jc w:val="center"/>
          <w:trHeight w:val="705"/>
        </w:trPr>
        <w:tc>
          <w:tcPr>
            <w:tcW w:w="485"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694"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1"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43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9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r>
        <w:trPr>
          <w:jc w:val="center"/>
          <w:trHeight w:val="705"/>
        </w:trPr>
        <w:tc>
          <w:tcPr>
            <w:tcW w:w="485"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694"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1"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43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9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r>
        <w:trPr>
          <w:jc w:val="center"/>
          <w:trHeight w:val="705"/>
        </w:trPr>
        <w:tc>
          <w:tcPr>
            <w:gridSpan w:val="8"/>
            <w:tcW w:w="8432" w:type="dxa"/>
            <w:textDirection w:val="lrTb"/>
            <w:noWrap w:val="false"/>
          </w:tcPr>
          <w:p>
            <w:pPr>
              <w:ind w:firstLine="315"/>
              <w:jc w:val="right"/>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其中，</w:t>
            </w:r>
            <w:r>
              <w:rPr>
                <w:rFonts w:hint="eastAsia" w:ascii="宋体" w:hAnsi="宋体" w:cs="宋体"/>
                <w:bCs/>
                <w:color w:val="auto"/>
                <w:szCs w:val="21"/>
                <w:highlight w:val="none"/>
                <w:lang w:val="en-US" w:eastAsia="zh-CN" w:bidi="ar-SA"/>
              </w:rPr>
              <w:t xml:space="preserve">环境标志</w:t>
            </w:r>
            <w:r>
              <w:rPr>
                <w:rFonts w:hint="eastAsia" w:ascii="宋体" w:hAnsi="宋体" w:cs="宋体"/>
                <w:color w:val="auto"/>
                <w:szCs w:val="21"/>
                <w:highlight w:val="none"/>
                <w:lang w:val="en-US" w:eastAsia="zh-CN" w:bidi="ar-SA"/>
              </w:rPr>
              <w:t xml:space="preserve">产品总计：</w:t>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bl>
    <w:p>
      <w:pPr>
        <w:ind w:firstLine="480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r>
      <w:r/>
    </w:p>
    <w:p>
      <w:pPr>
        <w:ind w:right="840" w:firstLine="378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376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投标人名称（公章）：____________</w:t>
      </w:r>
      <w:r>
        <w:rPr>
          <w:rFonts w:hint="eastAsia" w:ascii="宋体" w:hAnsi="宋体" w:eastAsia="宋体" w:cs="宋体"/>
          <w:color w:val="auto"/>
          <w:sz w:val="21"/>
          <w:szCs w:val="21"/>
          <w:highlight w:val="none"/>
          <w:u w:val="single"/>
          <w:lang w:val="en-US" w:eastAsia="zh-CN" w:bidi="ar-SA"/>
        </w:rPr>
        <w:t xml:space="preserve">             </w:t>
      </w:r>
      <w:r/>
    </w:p>
    <w:p>
      <w:pPr>
        <w:ind w:right="840" w:firstLine="378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法定代表人（单位负责人）</w:t>
      </w:r>
      <w:r/>
    </w:p>
    <w:p>
      <w:pPr>
        <w:ind w:right="420" w:firstLine="378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或其授权代表（签字或盖章）：_________________</w:t>
      </w:r>
      <w:r/>
    </w:p>
    <w:p>
      <w:pPr>
        <w:ind w:right="420" w:firstLine="378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日期：</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年</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月</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left="-141" w:firstLine="0"/>
        <w:jc w:val="left"/>
        <w:spacing w:line="30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361"/>
        <w:jc w:val="center"/>
        <w:spacing w:before="20" w:beforeAutospacing="0" w:after="20" w:afterAutospacing="0" w:line="30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关于符合本国产品标准的声明函</w:t>
      </w:r>
      <w:r/>
    </w:p>
    <w:p>
      <w:pPr>
        <w:ind w:firstLine="240"/>
        <w:jc w:val="left"/>
        <w:spacing w:before="20" w:beforeAutospacing="0" w:after="20" w:afterAutospacing="0" w:line="300" w:lineRule="auto"/>
        <w:shd w:val="clear" w:color="auto" w:fill="ffffff"/>
        <w:widowControl/>
        <w:rPr>
          <w:rFonts w:hint="eastAsia" w:ascii="宋体" w:hAnsi="宋体" w:eastAsia="宋体" w:cs="宋体"/>
          <w:color w:val="auto"/>
          <w:sz w:val="16"/>
          <w:szCs w:val="16"/>
          <w:highlight w:val="none"/>
          <w:lang w:val="en-US" w:eastAsia="zh-CN" w:bidi="ar-SA"/>
        </w:rPr>
      </w:pPr>
      <w:r>
        <w:rPr>
          <w:rFonts w:hint="eastAsia" w:ascii="宋体" w:hAnsi="宋体" w:eastAsia="宋体" w:cs="宋体"/>
          <w:color w:val="auto"/>
          <w:sz w:val="16"/>
          <w:szCs w:val="16"/>
          <w:highlight w:val="none"/>
          <w:lang w:val="en-US" w:eastAsia="zh-CN" w:bidi="ar-SA"/>
        </w:rPr>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1.</w:t>
      </w:r>
      <w:r>
        <w:rPr>
          <w:rFonts w:hint="eastAsia" w:ascii="宋体" w:hAnsi="宋体" w:cs="Microsoft New Tai Lue"/>
          <w:color w:val="auto"/>
          <w:spacing w:val="3"/>
          <w:szCs w:val="21"/>
          <w:highlight w:val="none"/>
          <w:u w:val="single"/>
          <w:lang w:val="en-US" w:eastAsia="zh-CN" w:bidi="ar-SA"/>
        </w:rPr>
        <w:t xml:space="preserve">（产品名称1）</w:t>
      </w:r>
      <w:r>
        <w:rPr>
          <w:rFonts w:hint="eastAsia" w:ascii="宋体" w:hAnsi="宋体" w:cs="Microsoft New Tai Lue"/>
          <w:color w:val="auto"/>
          <w:spacing w:val="6"/>
          <w:szCs w:val="21"/>
          <w:highlight w:val="none"/>
          <w:u w:val="single"/>
          <w:vertAlign w:val="superscript"/>
          <w:lang w:val="en-US" w:eastAsia="zh-CN" w:bidi="ar-SA"/>
        </w:rPr>
        <w:t xml:space="preserve">1</w:t>
      </w:r>
      <w:r>
        <w:rPr>
          <w:rFonts w:hint="eastAsia" w:ascii="宋体" w:hAnsi="宋体" w:cs="Microsoft New Tai Lue"/>
          <w:color w:val="auto"/>
          <w:spacing w:val="3"/>
          <w:szCs w:val="21"/>
          <w:highlight w:val="none"/>
          <w:lang w:val="en-US" w:eastAsia="zh-CN" w:bidi="ar-SA"/>
        </w:rPr>
        <w:t xml:space="preserve">，生产厂为</w:t>
      </w:r>
      <w:r>
        <w:rPr>
          <w:rFonts w:hint="eastAsia" w:ascii="宋体" w:hAnsi="宋体" w:cs="Microsoft New Tai Lue"/>
          <w:color w:val="auto"/>
          <w:spacing w:val="3"/>
          <w:szCs w:val="21"/>
          <w:highlight w:val="none"/>
          <w:u w:val="single"/>
          <w:lang w:val="en-US" w:eastAsia="zh-CN" w:bidi="ar-SA"/>
        </w:rPr>
        <w:t xml:space="preserve">（厂名）</w:t>
      </w:r>
      <w:r>
        <w:rPr>
          <w:rFonts w:hint="eastAsia" w:ascii="宋体" w:hAnsi="宋体" w:cs="Microsoft New Tai Lue"/>
          <w:color w:val="auto"/>
          <w:spacing w:val="6"/>
          <w:szCs w:val="21"/>
          <w:highlight w:val="none"/>
          <w:u w:val="single"/>
          <w:vertAlign w:val="superscript"/>
          <w:lang w:val="en-US" w:eastAsia="zh-CN" w:bidi="ar-SA"/>
        </w:rPr>
        <w:t xml:space="preserve">2</w:t>
      </w:r>
      <w:r>
        <w:rPr>
          <w:rFonts w:hint="eastAsia" w:ascii="宋体" w:hAnsi="宋体" w:cs="Microsoft New Tai Lue"/>
          <w:color w:val="auto"/>
          <w:spacing w:val="3"/>
          <w:szCs w:val="21"/>
          <w:highlight w:val="none"/>
          <w:lang w:val="en-US" w:eastAsia="zh-CN" w:bidi="ar-SA"/>
        </w:rPr>
        <w:t xml:space="preserve">，厂址为</w:t>
      </w:r>
      <w:r>
        <w:rPr>
          <w:rFonts w:hint="eastAsia" w:ascii="宋体" w:hAnsi="宋体" w:cs="Microsoft New Tai Lue"/>
          <w:color w:val="auto"/>
          <w:spacing w:val="3"/>
          <w:szCs w:val="21"/>
          <w:highlight w:val="none"/>
          <w:u w:val="single"/>
          <w:lang w:val="en-US" w:eastAsia="zh-CN" w:bidi="ar-SA"/>
        </w:rPr>
        <w:t xml:space="preserve">（生产厂址）</w:t>
      </w:r>
      <w:r>
        <w:rPr>
          <w:rFonts w:hint="eastAsia" w:ascii="宋体" w:hAnsi="宋体" w:cs="Microsoft New Tai Lue"/>
          <w:color w:val="auto"/>
          <w:spacing w:val="3"/>
          <w:szCs w:val="21"/>
          <w:highlight w:val="none"/>
          <w:lang w:val="en-US" w:eastAsia="zh-CN" w:bidi="ar-SA"/>
        </w:rPr>
        <w:t xml:space="preserve">。</w:t>
      </w:r>
      <w:r>
        <w:rPr>
          <w:rFonts w:hint="eastAsia" w:ascii="宋体" w:hAnsi="宋体" w:cs="Microsoft New Tai Lue"/>
          <w:color w:val="auto"/>
          <w:spacing w:val="3"/>
          <w:szCs w:val="21"/>
          <w:highlight w:val="none"/>
          <w:u w:val="single"/>
          <w:lang w:val="en-US" w:eastAsia="zh-CN" w:bidi="ar-SA"/>
        </w:rPr>
        <w:t xml:space="preserve">（产品名称1）</w:t>
      </w:r>
      <w:r>
        <w:rPr>
          <w:rFonts w:hint="eastAsia" w:ascii="宋体" w:hAnsi="宋体" w:cs="Microsoft New Tai Lue"/>
          <w:color w:val="auto"/>
          <w:spacing w:val="3"/>
          <w:szCs w:val="21"/>
          <w:highlight w:val="none"/>
          <w:lang w:val="en-US" w:eastAsia="zh-CN" w:bidi="ar-SA"/>
        </w:rPr>
        <w:t xml:space="preserve">的中国境内生产的组件成本占比≥</w:t>
      </w:r>
      <w:r>
        <w:rPr>
          <w:rFonts w:hint="eastAsia" w:ascii="宋体" w:hAnsi="宋体" w:cs="Microsoft New Tai Lue"/>
          <w:color w:val="auto"/>
          <w:spacing w:val="3"/>
          <w:szCs w:val="21"/>
          <w:highlight w:val="none"/>
          <w:u w:val="single"/>
          <w:lang w:val="en-US" w:eastAsia="zh-CN" w:bidi="ar-SA"/>
        </w:rPr>
        <w:t xml:space="preserve">（规定比例）</w:t>
      </w:r>
      <w:r>
        <w:rPr>
          <w:rFonts w:hint="eastAsia" w:ascii="宋体" w:hAnsi="宋体" w:cs="Microsoft New Tai Lue"/>
          <w:color w:val="auto"/>
          <w:spacing w:val="6"/>
          <w:szCs w:val="21"/>
          <w:highlight w:val="none"/>
          <w:vertAlign w:val="superscript"/>
          <w:lang w:val="en-US" w:eastAsia="zh-CN" w:bidi="ar-SA"/>
        </w:rPr>
        <w:t xml:space="preserve">3</w:t>
      </w:r>
      <w:r>
        <w:rPr>
          <w:rFonts w:hint="eastAsia" w:ascii="宋体" w:hAnsi="宋体" w:cs="Microsoft New Tai Lue"/>
          <w:color w:val="auto"/>
          <w:spacing w:val="3"/>
          <w:szCs w:val="21"/>
          <w:highlight w:val="none"/>
          <w:lang w:val="en-US" w:eastAsia="zh-CN" w:bidi="ar-SA"/>
        </w:rPr>
        <w:t xml:space="preserve">。</w:t>
      </w:r>
      <w:r>
        <w:rPr>
          <w:rFonts w:hint="eastAsia" w:ascii="宋体" w:hAnsi="宋体" w:cs="Microsoft New Tai Lue"/>
          <w:color w:val="auto"/>
          <w:spacing w:val="3"/>
          <w:szCs w:val="21"/>
          <w:highlight w:val="none"/>
          <w:u w:val="single"/>
          <w:lang w:val="en-US" w:eastAsia="zh-CN" w:bidi="ar-SA"/>
        </w:rPr>
        <w:t xml:space="preserve">（产品名称1）</w:t>
      </w:r>
      <w:r>
        <w:rPr>
          <w:rFonts w:hint="eastAsia" w:ascii="宋体" w:hAnsi="宋体" w:cs="Microsoft New Tai Lue"/>
          <w:color w:val="auto"/>
          <w:spacing w:val="3"/>
          <w:szCs w:val="21"/>
          <w:highlight w:val="none"/>
          <w:lang w:val="en-US" w:eastAsia="zh-CN" w:bidi="ar-SA"/>
        </w:rPr>
        <w:t xml:space="preserve">的</w:t>
      </w:r>
      <w:r>
        <w:rPr>
          <w:rFonts w:hint="eastAsia" w:ascii="宋体" w:hAnsi="宋体" w:cs="Microsoft New Tai Lue"/>
          <w:color w:val="auto"/>
          <w:spacing w:val="3"/>
          <w:szCs w:val="21"/>
          <w:highlight w:val="none"/>
          <w:u w:val="single"/>
          <w:lang w:val="en-US" w:eastAsia="zh-CN" w:bidi="ar-SA"/>
        </w:rPr>
        <w:t xml:space="preserve">（关键组件）</w:t>
      </w:r>
      <w:r>
        <w:rPr>
          <w:rFonts w:hint="eastAsia" w:ascii="宋体" w:hAnsi="宋体" w:cs="Microsoft New Tai Lue"/>
          <w:color w:val="auto"/>
          <w:spacing w:val="6"/>
          <w:szCs w:val="21"/>
          <w:highlight w:val="none"/>
          <w:vertAlign w:val="superscript"/>
          <w:lang w:val="en-US" w:eastAsia="zh-CN" w:bidi="ar-SA"/>
        </w:rPr>
        <w:t xml:space="preserve">4</w:t>
      </w:r>
      <w:r>
        <w:rPr>
          <w:rFonts w:hint="eastAsia" w:ascii="宋体" w:hAnsi="宋体" w:cs="Microsoft New Tai Lue"/>
          <w:color w:val="auto"/>
          <w:spacing w:val="3"/>
          <w:szCs w:val="21"/>
          <w:highlight w:val="none"/>
          <w:lang w:val="en-US" w:eastAsia="zh-CN" w:bidi="ar-SA"/>
        </w:rPr>
        <w:t xml:space="preserve">在中国境内生产。</w:t>
      </w:r>
      <w:r>
        <w:rPr>
          <w:rFonts w:hint="eastAsia" w:ascii="宋体" w:hAnsi="宋体" w:cs="Microsoft New Tai Lue"/>
          <w:color w:val="auto"/>
          <w:spacing w:val="3"/>
          <w:szCs w:val="21"/>
          <w:highlight w:val="none"/>
          <w:u w:val="single"/>
          <w:lang w:val="en-US" w:eastAsia="zh-CN" w:bidi="ar-SA"/>
        </w:rPr>
        <w:t xml:space="preserve">（产品名称1）</w:t>
      </w:r>
      <w:r>
        <w:rPr>
          <w:rFonts w:hint="eastAsia" w:ascii="宋体" w:hAnsi="宋体" w:cs="Microsoft New Tai Lue"/>
          <w:color w:val="auto"/>
          <w:spacing w:val="3"/>
          <w:szCs w:val="21"/>
          <w:highlight w:val="none"/>
          <w:lang w:val="en-US" w:eastAsia="zh-CN" w:bidi="ar-SA"/>
        </w:rPr>
        <w:t xml:space="preserve">的</w:t>
      </w:r>
      <w:r>
        <w:rPr>
          <w:rFonts w:hint="eastAsia" w:ascii="宋体" w:hAnsi="宋体" w:cs="Microsoft New Tai Lue"/>
          <w:color w:val="auto"/>
          <w:spacing w:val="3"/>
          <w:szCs w:val="21"/>
          <w:highlight w:val="none"/>
          <w:u w:val="single"/>
          <w:lang w:val="en-US" w:eastAsia="zh-CN" w:bidi="ar-SA"/>
        </w:rPr>
        <w:t xml:space="preserve">（关键工序）</w:t>
      </w:r>
      <w:r>
        <w:rPr>
          <w:rFonts w:hint="eastAsia" w:ascii="宋体" w:hAnsi="宋体" w:cs="Microsoft New Tai Lue"/>
          <w:color w:val="auto"/>
          <w:spacing w:val="6"/>
          <w:szCs w:val="21"/>
          <w:highlight w:val="none"/>
          <w:vertAlign w:val="superscript"/>
          <w:lang w:val="en-US" w:eastAsia="zh-CN" w:bidi="ar-SA"/>
        </w:rPr>
        <w:t xml:space="preserve">5</w:t>
      </w:r>
      <w:r>
        <w:rPr>
          <w:rFonts w:hint="eastAsia" w:ascii="宋体" w:hAnsi="宋体" w:cs="Microsoft New Tai Lue"/>
          <w:color w:val="auto"/>
          <w:spacing w:val="3"/>
          <w:szCs w:val="21"/>
          <w:highlight w:val="none"/>
          <w:lang w:val="en-US" w:eastAsia="zh-CN" w:bidi="ar-SA"/>
        </w:rPr>
        <w:t xml:space="preserve">在中国境内完成。</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2.</w:t>
      </w:r>
      <w:r>
        <w:rPr>
          <w:rFonts w:hint="eastAsia" w:ascii="宋体" w:hAnsi="宋体" w:cs="Microsoft New Tai Lue"/>
          <w:color w:val="auto"/>
          <w:spacing w:val="3"/>
          <w:szCs w:val="21"/>
          <w:highlight w:val="none"/>
          <w:u w:val="single"/>
          <w:lang w:val="en-US" w:eastAsia="zh-CN" w:bidi="ar-SA"/>
        </w:rPr>
        <w:t xml:space="preserve">（产品名称2）</w:t>
      </w:r>
      <w:r>
        <w:rPr>
          <w:rFonts w:hint="eastAsia" w:ascii="宋体" w:hAnsi="宋体" w:cs="Microsoft New Tai Lue"/>
          <w:color w:val="auto"/>
          <w:spacing w:val="3"/>
          <w:szCs w:val="21"/>
          <w:highlight w:val="none"/>
          <w:lang w:val="en-US" w:eastAsia="zh-CN" w:bidi="ar-SA"/>
        </w:rPr>
        <w:t xml:space="preserve">，生产厂为</w:t>
      </w:r>
      <w:r>
        <w:rPr>
          <w:rFonts w:hint="eastAsia" w:ascii="宋体" w:hAnsi="宋体" w:cs="Microsoft New Tai Lue"/>
          <w:color w:val="auto"/>
          <w:spacing w:val="3"/>
          <w:szCs w:val="21"/>
          <w:highlight w:val="none"/>
          <w:u w:val="single"/>
          <w:lang w:val="en-US" w:eastAsia="zh-CN" w:bidi="ar-SA"/>
        </w:rPr>
        <w:t xml:space="preserve">（厂名）</w:t>
      </w:r>
      <w:r>
        <w:rPr>
          <w:rFonts w:hint="eastAsia" w:ascii="宋体" w:hAnsi="宋体" w:cs="Microsoft New Tai Lue"/>
          <w:color w:val="auto"/>
          <w:spacing w:val="3"/>
          <w:szCs w:val="21"/>
          <w:highlight w:val="none"/>
          <w:lang w:val="en-US" w:eastAsia="zh-CN" w:bidi="ar-SA"/>
        </w:rPr>
        <w:t xml:space="preserve">，厂址为</w:t>
      </w:r>
      <w:r>
        <w:rPr>
          <w:rFonts w:hint="eastAsia" w:ascii="宋体" w:hAnsi="宋体" w:cs="Microsoft New Tai Lue"/>
          <w:color w:val="auto"/>
          <w:spacing w:val="3"/>
          <w:szCs w:val="21"/>
          <w:highlight w:val="none"/>
          <w:u w:val="single"/>
          <w:lang w:val="en-US" w:eastAsia="zh-CN" w:bidi="ar-SA"/>
        </w:rPr>
        <w:t xml:space="preserve">（生产厂址）</w:t>
      </w:r>
      <w:r>
        <w:rPr>
          <w:rFonts w:hint="eastAsia" w:ascii="宋体" w:hAnsi="宋体" w:cs="Microsoft New Tai Lue"/>
          <w:color w:val="auto"/>
          <w:spacing w:val="3"/>
          <w:szCs w:val="21"/>
          <w:highlight w:val="none"/>
          <w:lang w:val="en-US" w:eastAsia="zh-CN" w:bidi="ar-SA"/>
        </w:rPr>
        <w:t xml:space="preserve">。</w:t>
      </w:r>
      <w:r>
        <w:rPr>
          <w:rFonts w:hint="eastAsia" w:ascii="宋体" w:hAnsi="宋体" w:cs="Microsoft New Tai Lue"/>
          <w:color w:val="auto"/>
          <w:spacing w:val="3"/>
          <w:szCs w:val="21"/>
          <w:highlight w:val="none"/>
          <w:u w:val="single"/>
          <w:lang w:val="en-US" w:eastAsia="zh-CN" w:bidi="ar-SA"/>
        </w:rPr>
        <w:t xml:space="preserve">（产品名称2）</w:t>
      </w:r>
      <w:r>
        <w:rPr>
          <w:rFonts w:hint="eastAsia" w:ascii="宋体" w:hAnsi="宋体" w:cs="Microsoft New Tai Lue"/>
          <w:color w:val="auto"/>
          <w:spacing w:val="3"/>
          <w:szCs w:val="21"/>
          <w:highlight w:val="none"/>
          <w:lang w:val="en-US" w:eastAsia="zh-CN" w:bidi="ar-SA"/>
        </w:rPr>
        <w:t xml:space="preserve">的中国境内生产的组件成本占比≥</w:t>
      </w:r>
      <w:r>
        <w:rPr>
          <w:rFonts w:hint="eastAsia" w:ascii="宋体" w:hAnsi="宋体" w:cs="Microsoft New Tai Lue"/>
          <w:color w:val="auto"/>
          <w:spacing w:val="3"/>
          <w:szCs w:val="21"/>
          <w:highlight w:val="none"/>
          <w:u w:val="single"/>
          <w:lang w:val="en-US" w:eastAsia="zh-CN" w:bidi="ar-SA"/>
        </w:rPr>
        <w:t xml:space="preserve">（规定比例）</w:t>
      </w:r>
      <w:r>
        <w:rPr>
          <w:rFonts w:hint="eastAsia" w:ascii="宋体" w:hAnsi="宋体" w:cs="Microsoft New Tai Lue"/>
          <w:color w:val="auto"/>
          <w:spacing w:val="3"/>
          <w:szCs w:val="21"/>
          <w:highlight w:val="none"/>
          <w:lang w:val="en-US" w:eastAsia="zh-CN" w:bidi="ar-SA"/>
        </w:rPr>
        <w:t xml:space="preserve">。</w:t>
      </w:r>
      <w:r>
        <w:rPr>
          <w:rFonts w:hint="eastAsia" w:ascii="宋体" w:hAnsi="宋体" w:cs="Microsoft New Tai Lue"/>
          <w:color w:val="auto"/>
          <w:spacing w:val="3"/>
          <w:szCs w:val="21"/>
          <w:highlight w:val="none"/>
          <w:u w:val="single"/>
          <w:lang w:val="en-US" w:eastAsia="zh-CN" w:bidi="ar-SA"/>
        </w:rPr>
        <w:t xml:space="preserve">（产品名称2）</w:t>
      </w:r>
      <w:r>
        <w:rPr>
          <w:rFonts w:hint="eastAsia" w:ascii="宋体" w:hAnsi="宋体" w:cs="Microsoft New Tai Lue"/>
          <w:color w:val="auto"/>
          <w:spacing w:val="3"/>
          <w:szCs w:val="21"/>
          <w:highlight w:val="none"/>
          <w:lang w:val="en-US" w:eastAsia="zh-CN" w:bidi="ar-SA"/>
        </w:rPr>
        <w:t xml:space="preserve">的</w:t>
      </w:r>
      <w:r>
        <w:rPr>
          <w:rFonts w:hint="eastAsia" w:ascii="宋体" w:hAnsi="宋体" w:cs="Microsoft New Tai Lue"/>
          <w:color w:val="auto"/>
          <w:spacing w:val="3"/>
          <w:szCs w:val="21"/>
          <w:highlight w:val="none"/>
          <w:u w:val="single"/>
          <w:lang w:val="en-US" w:eastAsia="zh-CN" w:bidi="ar-SA"/>
        </w:rPr>
        <w:t xml:space="preserve">（关键组件）</w:t>
      </w:r>
      <w:r>
        <w:rPr>
          <w:rFonts w:hint="eastAsia" w:ascii="宋体" w:hAnsi="宋体" w:cs="Microsoft New Tai Lue"/>
          <w:color w:val="auto"/>
          <w:spacing w:val="3"/>
          <w:szCs w:val="21"/>
          <w:highlight w:val="none"/>
          <w:lang w:val="en-US" w:eastAsia="zh-CN" w:bidi="ar-SA"/>
        </w:rPr>
        <w:t xml:space="preserve">在中国境内生产。</w:t>
      </w:r>
      <w:r>
        <w:rPr>
          <w:rFonts w:hint="eastAsia" w:ascii="宋体" w:hAnsi="宋体" w:cs="Microsoft New Tai Lue"/>
          <w:color w:val="auto"/>
          <w:spacing w:val="3"/>
          <w:szCs w:val="21"/>
          <w:highlight w:val="none"/>
          <w:u w:val="single"/>
          <w:lang w:val="en-US" w:eastAsia="zh-CN" w:bidi="ar-SA"/>
        </w:rPr>
        <w:t xml:space="preserve">（产品名称2）</w:t>
      </w:r>
      <w:r>
        <w:rPr>
          <w:rFonts w:hint="eastAsia" w:ascii="宋体" w:hAnsi="宋体" w:cs="Microsoft New Tai Lue"/>
          <w:color w:val="auto"/>
          <w:spacing w:val="3"/>
          <w:szCs w:val="21"/>
          <w:highlight w:val="none"/>
          <w:lang w:val="en-US" w:eastAsia="zh-CN" w:bidi="ar-SA"/>
        </w:rPr>
        <w:t xml:space="preserve">的</w:t>
      </w:r>
      <w:r>
        <w:rPr>
          <w:rFonts w:hint="eastAsia" w:ascii="宋体" w:hAnsi="宋体" w:cs="Microsoft New Tai Lue"/>
          <w:color w:val="auto"/>
          <w:spacing w:val="3"/>
          <w:szCs w:val="21"/>
          <w:highlight w:val="none"/>
          <w:u w:val="single"/>
          <w:lang w:val="en-US" w:eastAsia="zh-CN" w:bidi="ar-SA"/>
        </w:rPr>
        <w:t xml:space="preserve">（关键工序）</w:t>
      </w:r>
      <w:r>
        <w:rPr>
          <w:rFonts w:hint="eastAsia" w:ascii="宋体" w:hAnsi="宋体" w:cs="Microsoft New Tai Lue"/>
          <w:color w:val="auto"/>
          <w:spacing w:val="3"/>
          <w:szCs w:val="21"/>
          <w:highlight w:val="none"/>
          <w:lang w:val="en-US" w:eastAsia="zh-CN" w:bidi="ar-SA"/>
        </w:rPr>
        <w:t xml:space="preserve">在中国境内完成。</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本公司（单位）对上述声明内容的真实性负责。如有虚假，愿承担相应法律责任。</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r>
      <w:r/>
    </w:p>
    <w:p>
      <w:pPr>
        <w:ind w:left="120" w:right="207" w:firstLine="324"/>
        <w:jc w:val="right"/>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公司（单位）名称（盖章）：　        </w:t>
      </w:r>
      <w:r/>
    </w:p>
    <w:p>
      <w:pPr>
        <w:ind w:left="120" w:right="207" w:firstLine="324"/>
        <w:jc w:val="right"/>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日期：　     年　  月　  日         </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1.产品如有型号，请在“产品名称”栏一并填写。</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2.生产厂名与厂址应与生产厂营业执照载明的相关信息保持一致。</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3.该产品的中国境内生产的组件成本占比相关要求实施前，“规定比例”栏可不填，下同。</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4.该产品的关键组件要求实施前，“关键组件”栏可不填，下同。</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5.该产品的关键工序要求实施前，“关键工序”栏可不填，下同。</w:t>
      </w:r>
      <w:r/>
    </w:p>
    <w:p>
      <w:pPr>
        <w:ind w:firstLine="482"/>
        <w:spacing w:line="360" w:lineRule="auto"/>
        <w:rPr>
          <w:rFonts w:hint="eastAsia" w:ascii="宋体" w:hAnsi="宋体" w:cs="宋体"/>
          <w:b/>
          <w:color w:val="auto"/>
          <w:sz w:val="32"/>
          <w:szCs w:val="32"/>
          <w:highlight w:val="none"/>
          <w:lang w:val="en-US" w:eastAsia="zh-CN" w:bidi="ar-SA"/>
        </w:rPr>
      </w:pPr>
      <w:r>
        <w:rPr>
          <w:rFonts w:hint="eastAsia" w:ascii="宋体" w:hAnsi="宋体" w:cs="宋体"/>
          <w:b/>
          <w:color w:val="auto"/>
          <w:sz w:val="32"/>
          <w:szCs w:val="32"/>
          <w:highlight w:val="non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numPr>
          <w:ilvl w:val="0"/>
          <w:numId w:val="17"/>
        </w:numPr>
        <w:ind w:left="-141" w:firstLine="0"/>
        <w:jc w:val="center"/>
        <w:spacing w:before="0" w:after="60" w:line="300" w:lineRule="auto"/>
        <w:widowControl w:val="off"/>
        <w:rPr>
          <w:rFonts w:hint="default" w:ascii="Microsoft New Tai Lue" w:hAnsi="Microsoft New Tai Lue" w:eastAsia="宋体" w:cs="宋体"/>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供应商认为需提供的其他</w:t>
      </w:r>
      <w:bookmarkEnd w:id="392"/>
      <w:r>
        <w:rPr>
          <w:rFonts w:hint="eastAsia" w:ascii="Microsoft New Tai Lue" w:hAnsi="Microsoft New Tai Lue" w:eastAsia="宋体" w:cs="宋体"/>
          <w:b/>
          <w:bCs/>
          <w:color w:val="auto"/>
          <w:sz w:val="24"/>
          <w:szCs w:val="24"/>
          <w:highlight w:val="none"/>
          <w:lang w:val="en-US" w:eastAsia="zh-CN" w:bidi="ar-SA"/>
        </w:rPr>
        <w:t xml:space="preserve">文件或证明材料</w:t>
      </w:r>
      <w:bookmarkEnd w:id="393"/>
      <w:r/>
      <w:bookmarkEnd w:id="394"/>
      <w:r/>
      <w:bookmarkEnd w:id="395"/>
      <w:r/>
      <w:r/>
    </w:p>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p>
      <w:pPr>
        <w:ind w:firstLine="0"/>
        <w:jc w:val="left"/>
        <w:spacing w:line="360" w:lineRule="auto"/>
        <w:widowControl w:val="off"/>
        <w:rPr>
          <w:rFonts w:hint="default" w:ascii="Microsoft New Tai Lue" w:hAnsi="Microsoft New Tai Lue" w:eastAsia="宋体" w:cs="Microsoft New Tai Lue"/>
          <w:i/>
          <w:iCs/>
          <w:color w:val="auto"/>
          <w:position w:val="-10"/>
          <w:sz w:val="21"/>
          <w:szCs w:val="21"/>
          <w:highlight w:val="none"/>
          <w:u w:val="single"/>
          <w:lang w:val="en-US" w:eastAsia="zh-CN" w:bidi="ar-SA"/>
        </w:rPr>
      </w:pPr>
      <w:r>
        <w:rPr>
          <w:rFonts w:hint="default" w:ascii="Microsoft New Tai Lue" w:hAnsi="Microsoft New Tai Lue" w:eastAsia="宋体" w:cs="Microsoft New Tai Lue"/>
          <w:i/>
          <w:iCs/>
          <w:color w:val="auto"/>
          <w:position w:val="-10"/>
          <w:sz w:val="21"/>
          <w:szCs w:val="21"/>
          <w:highlight w:val="none"/>
          <w:u w:val="single"/>
          <w:lang w:val="en-US" w:eastAsia="zh-CN" w:bidi="ar-SA"/>
        </w:rPr>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p>
      <w:pPr>
        <w:ind w:firstLine="0"/>
        <w:jc w:val="left"/>
        <w:spacing w:line="360" w:lineRule="auto"/>
        <w:widowControl w:val="off"/>
        <w:rPr>
          <w:rFonts w:hint="default" w:ascii="Microsoft New Tai Lue" w:hAnsi="Microsoft New Tai Lue" w:eastAsia="宋体" w:cs="Microsoft New Tai Lue"/>
          <w:i/>
          <w:iCs/>
          <w:color w:val="auto"/>
          <w:position w:val="-10"/>
          <w:sz w:val="21"/>
          <w:szCs w:val="21"/>
          <w:highlight w:val="none"/>
          <w:u w:val="single"/>
          <w:lang w:val="en-US" w:eastAsia="zh-CN" w:bidi="ar-SA"/>
        </w:rPr>
      </w:pPr>
      <w:r>
        <w:rPr>
          <w:rFonts w:hint="default" w:ascii="Microsoft New Tai Lue" w:hAnsi="Microsoft New Tai Lue" w:eastAsia="宋体" w:cs="Microsoft New Tai Lue"/>
          <w:i/>
          <w:iCs/>
          <w:color w:val="auto"/>
          <w:position w:val="-10"/>
          <w:sz w:val="21"/>
          <w:szCs w:val="21"/>
          <w:highlight w:val="none"/>
          <w:u w:val="singl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410" w:name="_Toc103848608"/>
      <w:r/>
      <w:bookmarkStart w:id="411" w:name="_Toc107246308"/>
      <w:r/>
      <w:bookmarkStart w:id="412" w:name="_Toc104560925"/>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left="-141" w:firstLine="0"/>
        <w:jc w:val="center"/>
        <w:spacing w:before="0" w:after="60" w:line="300" w:lineRule="auto"/>
        <w:widowControl w:val="off"/>
        <w:rPr>
          <w:rFonts w:hint="default" w:ascii="Microsoft New Tai Lue" w:hAnsi="Microsoft New Tai Lue" w:eastAsia="宋体" w:cs="宋体"/>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3</w:t>
      </w:r>
      <w:r>
        <w:rPr>
          <w:rFonts w:hint="eastAsia" w:ascii="Microsoft New Tai Lue" w:hAnsi="Microsoft New Tai Lue" w:eastAsia="宋体" w:cs="宋体"/>
          <w:b/>
          <w:bCs/>
          <w:color w:val="auto"/>
          <w:sz w:val="24"/>
          <w:szCs w:val="24"/>
          <w:highlight w:val="none"/>
          <w:lang w:val="en-US" w:eastAsia="zh-CN" w:bidi="ar-SA"/>
        </w:rPr>
        <w:t xml:space="preserve">）要求供应商提交的其他文件材料或证明材料</w:t>
      </w:r>
      <w:bookmarkEnd w:id="410"/>
      <w:r/>
      <w:bookmarkEnd w:id="411"/>
      <w:r/>
      <w:bookmarkEnd w:id="412"/>
      <w:r/>
      <w:r/>
    </w:p>
    <w:p>
      <w:pPr>
        <w:ind w:firstLine="450"/>
        <w:spacing w:line="360" w:lineRule="auto"/>
        <w:rPr>
          <w:rFonts w:ascii="Times New Roman" w:hAnsi="Times New Roman" w:cs="宋体"/>
          <w:color w:val="auto"/>
          <w:sz w:val="30"/>
          <w:szCs w:val="30"/>
          <w:highlight w:val="none"/>
          <w:lang w:val="en-US" w:eastAsia="zh-CN" w:bidi="ar-SA"/>
        </w:rPr>
      </w:pPr>
      <w:r>
        <w:rPr>
          <w:rFonts w:ascii="Times New Roman" w:hAnsi="Times New Roman" w:cs="宋体"/>
          <w:color w:val="auto"/>
          <w:sz w:val="30"/>
          <w:szCs w:val="30"/>
          <w:highlight w:val="none"/>
          <w:lang w:val="en-US" w:eastAsia="zh-CN" w:bidi="ar-SA"/>
        </w:rPr>
      </w:r>
      <w:r/>
    </w:p>
    <w:p>
      <w:pPr>
        <w:ind w:firstLine="452"/>
        <w:jc w:val="center"/>
        <w:keepLines/>
        <w:keepNext/>
        <w:spacing w:before="0" w:after="0" w:line="360" w:lineRule="auto"/>
        <w:widowControl w:val="off"/>
        <w:rPr>
          <w:rFonts w:hint="default" w:ascii="Times New Roman" w:hAnsi="Times New Roman" w:eastAsia="宋体" w:cs="等线 Light"/>
          <w:b/>
          <w:bCs/>
          <w:color w:val="auto"/>
          <w:sz w:val="30"/>
          <w:szCs w:val="30"/>
          <w:highlight w:val="none"/>
          <w:lang w:val="en-US" w:eastAsia="zh-CN" w:bidi="ar-SA"/>
        </w:rPr>
        <w:outlineLvl w:val="9"/>
      </w:pPr>
      <w:r>
        <w:rPr>
          <w:rFonts w:hint="eastAsia" w:ascii="Times New Roman" w:hAnsi="Times New Roman" w:eastAsia="宋体" w:cs="等线 Light"/>
          <w:b/>
          <w:bCs/>
          <w:color w:val="auto"/>
          <w:sz w:val="30"/>
          <w:szCs w:val="30"/>
          <w:highlight w:val="none"/>
          <w:lang w:val="en-US" w:eastAsia="zh-CN" w:bidi="ar-SA"/>
        </w:rPr>
        <w:t xml:space="preserve">保密承诺书</w:t>
      </w:r>
      <w:r/>
    </w:p>
    <w:p>
      <w:pPr>
        <w:ind w:firstLine="315"/>
        <w:spacing w:line="360" w:lineRule="auto"/>
        <w:rPr>
          <w:rFonts w:hint="eastAsia" w:ascii="宋体" w:hAnsi="宋体" w:cs="宋体"/>
          <w:color w:val="auto"/>
          <w:szCs w:val="28"/>
          <w:highlight w:val="none"/>
          <w:lang w:val="en-US" w:eastAsia="zh-CN" w:bidi="ar-SA"/>
        </w:rPr>
      </w:pPr>
      <w:r>
        <w:rPr>
          <w:rFonts w:hint="eastAsia" w:ascii="宋体" w:hAnsi="宋体" w:cs="宋体"/>
          <w:color w:val="auto"/>
          <w:szCs w:val="28"/>
          <w:highlight w:val="none"/>
          <w:lang w:val="en-US" w:eastAsia="zh-CN" w:bidi="ar-SA"/>
        </w:rPr>
      </w:r>
      <w:r/>
    </w:p>
    <w:p>
      <w:pPr>
        <w:ind w:firstLine="315"/>
        <w:spacing w:line="360" w:lineRule="auto"/>
        <w:rPr>
          <w:rFonts w:hint="eastAsia" w:ascii="宋体" w:hAnsi="宋体" w:eastAsia="楷体" w:cs="宋体"/>
          <w:color w:val="auto"/>
          <w:szCs w:val="28"/>
          <w:highlight w:val="none"/>
          <w:lang w:val="en-US" w:eastAsia="zh-CN" w:bidi="ar-SA"/>
        </w:rPr>
      </w:pPr>
      <w:r>
        <w:rPr>
          <w:rFonts w:ascii="宋体" w:hAnsi="宋体" w:cs="宋体"/>
          <w:color w:val="auto"/>
          <w:szCs w:val="28"/>
          <w:highlight w:val="none"/>
          <w:lang w:val="en-US" w:eastAsia="zh-CN" w:bidi="ar-SA"/>
        </w:rPr>
        <w:t xml:space="preserve">（采购</w:t>
      </w:r>
      <w:r>
        <w:rPr>
          <w:rFonts w:hint="eastAsia" w:ascii="宋体" w:hAnsi="宋体" w:cs="宋体"/>
          <w:color w:val="auto"/>
          <w:szCs w:val="28"/>
          <w:highlight w:val="none"/>
          <w:lang w:val="en-US" w:eastAsia="zh-CN" w:bidi="ar-SA"/>
        </w:rPr>
        <w:t xml:space="preserve">人</w:t>
      </w:r>
      <w:r>
        <w:rPr>
          <w:rFonts w:ascii="宋体" w:hAnsi="宋体" w:cs="宋体"/>
          <w:color w:val="auto"/>
          <w:szCs w:val="28"/>
          <w:highlight w:val="none"/>
          <w:lang w:val="en-US" w:eastAsia="zh-CN" w:bidi="ar-SA"/>
        </w:rPr>
        <w:t xml:space="preserve">名称）</w:t>
      </w:r>
      <w:r>
        <w:rPr>
          <w:rFonts w:ascii="宋体" w:hAnsi="宋体" w:eastAsia="MS Gothic" w:cs="宋体"/>
          <w:color w:val="auto"/>
          <w:szCs w:val="28"/>
          <w:highlight w:val="none"/>
          <w:lang w:val="en-US" w:eastAsia="zh-CN" w:bidi="ar-SA"/>
        </w:rPr>
        <w:t xml:space="preserve">：</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zh-CN" w:eastAsia="zh-CN" w:bidi="ar-SA"/>
        </w:rPr>
        <w:t xml:space="preserve">我方参加贵</w:t>
      </w:r>
      <w:r>
        <w:rPr>
          <w:rFonts w:hint="eastAsia" w:ascii="宋体" w:hAnsi="宋体" w:cs="宋体"/>
          <w:color w:val="auto"/>
          <w:szCs w:val="28"/>
          <w:highlight w:val="none"/>
          <w:lang w:val="en-US" w:eastAsia="zh-CN" w:bidi="ar-SA"/>
        </w:rPr>
        <w:t xml:space="preserve">方</w:t>
      </w:r>
      <w:r>
        <w:rPr>
          <w:rFonts w:ascii="宋体" w:hAnsi="宋体" w:cs="宋体"/>
          <w:color w:val="auto"/>
          <w:szCs w:val="28"/>
          <w:highlight w:val="none"/>
          <w:lang w:val="zh-CN" w:eastAsia="zh-CN" w:bidi="ar-SA"/>
        </w:rPr>
        <w:t xml:space="preserve">组织的编号</w:t>
      </w:r>
      <w:r>
        <w:rPr>
          <w:rFonts w:hint="eastAsia" w:ascii="宋体" w:hAnsi="宋体" w:cs="宋体"/>
          <w:color w:val="auto"/>
          <w:szCs w:val="28"/>
          <w:highlight w:val="none"/>
          <w:lang w:val="en-US" w:eastAsia="zh-CN" w:bidi="ar-SA"/>
        </w:rPr>
        <w:t xml:space="preserve">为</w:t>
      </w:r>
      <w:r>
        <w:rPr>
          <w:rFonts w:ascii="宋体" w:hAnsi="宋体" w:cs="宋体"/>
          <w:color w:val="auto"/>
          <w:szCs w:val="28"/>
          <w:highlight w:val="none"/>
          <w:u w:val="single"/>
          <w:lang w:val="en-US" w:eastAsia="zh-CN" w:bidi="ar-SA"/>
        </w:rPr>
        <w:t xml:space="preserve">              </w:t>
      </w:r>
      <w:r>
        <w:rPr>
          <w:rFonts w:hint="eastAsia" w:ascii="宋体" w:hAnsi="宋体" w:cs="宋体"/>
          <w:color w:val="auto"/>
          <w:szCs w:val="28"/>
          <w:highlight w:val="none"/>
          <w:lang w:val="en-US" w:eastAsia="zh-CN" w:bidi="ar-SA"/>
        </w:rPr>
        <w:t xml:space="preserve">的</w:t>
      </w:r>
      <w:r>
        <w:rPr>
          <w:rFonts w:ascii="宋体" w:hAnsi="宋体" w:cs="宋体"/>
          <w:color w:val="auto"/>
          <w:szCs w:val="28"/>
          <w:highlight w:val="none"/>
          <w:u w:val="single"/>
          <w:lang w:val="en-US" w:eastAsia="zh-CN" w:bidi="ar-SA"/>
        </w:rPr>
        <w:t xml:space="preserve">             </w:t>
      </w:r>
      <w:r>
        <w:rPr>
          <w:rFonts w:ascii="宋体" w:hAnsi="宋体" w:cs="宋体"/>
          <w:color w:val="auto"/>
          <w:szCs w:val="28"/>
          <w:highlight w:val="none"/>
          <w:lang w:val="en-US" w:eastAsia="zh-CN" w:bidi="ar-SA"/>
        </w:rPr>
        <w:t xml:space="preserve">项目采购活动，根据有关保密法规制度，知悉应当承担的保密义务和法律责任。本公司承诺：</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一、严格遵守国家的保密法律法规和规章制度，履行保密义务。</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二、不以任何方式泄露或传播本次采购项目相关信息。</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三、不违规记录、存储、复制本次采购项目相关信息。</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四、</w:t>
      </w:r>
      <w:r>
        <w:rPr>
          <w:rFonts w:hint="eastAsia" w:ascii="宋体" w:hAnsi="宋体" w:cs="宋体"/>
          <w:color w:val="auto"/>
          <w:szCs w:val="28"/>
          <w:highlight w:val="none"/>
          <w:lang w:val="en-US" w:eastAsia="zh-CN" w:bidi="ar-SA"/>
        </w:rPr>
        <w:t xml:space="preserve">招标</w:t>
      </w:r>
      <w:r>
        <w:rPr>
          <w:rFonts w:ascii="宋体" w:hAnsi="宋体" w:cs="宋体"/>
          <w:color w:val="auto"/>
          <w:szCs w:val="28"/>
          <w:highlight w:val="none"/>
          <w:lang w:val="en-US" w:eastAsia="zh-CN" w:bidi="ar-SA"/>
        </w:rPr>
        <w:t xml:space="preserve">文件以及相关技术文件专室放置、专盘存储、专人管理。</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五、未经采购</w:t>
      </w:r>
      <w:r>
        <w:rPr>
          <w:rFonts w:hint="eastAsia" w:ascii="宋体" w:hAnsi="宋体" w:cs="宋体"/>
          <w:color w:val="auto"/>
          <w:szCs w:val="28"/>
          <w:highlight w:val="none"/>
          <w:lang w:val="en-US" w:eastAsia="zh-CN" w:bidi="ar-SA"/>
        </w:rPr>
        <w:t xml:space="preserve">人</w:t>
      </w:r>
      <w:r>
        <w:rPr>
          <w:rFonts w:ascii="宋体" w:hAnsi="宋体" w:cs="宋体"/>
          <w:color w:val="auto"/>
          <w:szCs w:val="28"/>
          <w:highlight w:val="none"/>
          <w:lang w:val="en-US" w:eastAsia="zh-CN" w:bidi="ar-SA"/>
        </w:rPr>
        <w:t xml:space="preserve">审查批准，不得擅自在互联网、通讯媒体等发表涉及此次采购项目相关内容或资讯。 </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违反上述承诺，愿承担一切法律责任。</w:t>
      </w:r>
      <w:r/>
    </w:p>
    <w:p>
      <w:pPr>
        <w:ind w:firstLine="844"/>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               </w:t>
      </w:r>
      <w:r/>
    </w:p>
    <w:p>
      <w:pPr>
        <w:ind w:firstLine="785"/>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               </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zh-CN" w:eastAsia="zh-CN" w:bidi="ar-SA"/>
        </w:rPr>
        <w:t xml:space="preserve">                    </w:t>
      </w:r>
      <w:r>
        <w:rPr>
          <w:rFonts w:ascii="宋体" w:hAnsi="宋体" w:cs="宋体"/>
          <w:color w:val="auto"/>
          <w:szCs w:val="28"/>
          <w:highlight w:val="none"/>
          <w:lang w:val="en-US" w:eastAsia="zh-CN" w:bidi="ar-SA"/>
        </w:rPr>
        <w:t xml:space="preserve">供应商全称：（盖章）</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                    法定代表人（或授权代表）：（签字或盖章）</w:t>
      </w:r>
      <w:r/>
    </w:p>
    <w:p>
      <w:pPr>
        <w:ind w:firstLine="0"/>
        <w:spacing w:line="360" w:lineRule="auto"/>
        <w:rPr>
          <w:rFonts w:hint="eastAsia" w:ascii="宋体" w:hAnsi="宋体" w:cs="宋体"/>
          <w:color w:val="auto"/>
          <w:szCs w:val="21"/>
          <w:highlight w:val="none"/>
          <w:lang w:val="en-US" w:eastAsia="zh-CN" w:bidi="ar-SA"/>
        </w:rPr>
      </w:pPr>
      <w:r>
        <w:rPr>
          <w:rFonts w:ascii="宋体" w:hAnsi="宋体" w:cs="宋体"/>
          <w:color w:val="auto"/>
          <w:szCs w:val="28"/>
          <w:highlight w:val="none"/>
          <w:lang w:val="en-US" w:eastAsia="zh-CN" w:bidi="ar-SA"/>
        </w:rPr>
        <w:t xml:space="preserve">                               年  月   日</w:t>
      </w:r>
      <w:r/>
    </w:p>
    <w:p>
      <w:pPr>
        <w:ind w:firstLine="42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p>
      <w:pPr>
        <w:jc w:val="both"/>
        <w:spacing w:line="400" w:lineRule="exact"/>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r>
      <w:bookmarkEnd w:id="263"/>
      <w:r/>
      <w:bookmarkEnd w:id="264"/>
      <w:r/>
      <w:bookmarkEnd w:id="294"/>
      <w:r/>
      <w:bookmarkEnd w:id="295"/>
      <w:r/>
      <w:bookmarkEnd w:id="296"/>
      <w:r/>
      <w:r/>
    </w:p>
    <w:p>
      <w:pPr>
        <w:jc w:val="left"/>
        <w:spacing w:line="400" w:lineRule="exact"/>
        <w:widowControl/>
        <w:rPr>
          <w:highlight w:val="none"/>
        </w:rPr>
      </w:pPr>
      <w:r>
        <w:rPr>
          <w:highlight w:val="none"/>
        </w:rPr>
      </w:r>
      <w:r/>
    </w:p>
    <w:sectPr>
      <w:footnotePr/>
      <w:endnotePr/>
      <w:type w:val="nextPage"/>
      <w:pgSz w:w="11906" w:h="16838" w:orient="portrait"/>
      <w:pgMar w:top="1242" w:right="1111"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汉仪书宋二S">
    <w:panose1 w:val="020B0503020202020204"/>
  </w:font>
  <w:font w:name="等线 Light">
    <w:panose1 w:val="02010600030101010101"/>
  </w:font>
  <w:font w:name="Segoe UI Symbol">
    <w:panose1 w:val="020B0502040204020203"/>
  </w:font>
  <w:font w:name="Cambria">
    <w:panose1 w:val="0204050305040603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ourier New">
    <w:panose1 w:val="02070309020205020404"/>
  </w:font>
  <w:font w:name="华文中宋">
    <w:panose1 w:val="02010600040101010101"/>
  </w:font>
  <w:font w:name="Verdana">
    <w:panose1 w:val="020B0604030504040204"/>
  </w:font>
  <w:font w:name="仿宋_GB2312">
    <w:panose1 w:val="02010609060101010101"/>
  </w:font>
  <w:font w:name="Heiti SC Medium">
    <w:panose1 w:val="020B0503020202020204"/>
  </w:font>
  <w:font w:name="幼圆">
    <w:panose1 w:val="02010509060101010101"/>
  </w:font>
  <w:font w:name="黑体">
    <w:panose1 w:val="02010609060101010101"/>
  </w:font>
  <w:font w:name="Arial Unicode MS">
    <w:panose1 w:val="020B0604020202020204"/>
  </w:font>
  <w:font w:name="Microsoft New Tai Lue">
    <w:panose1 w:val="020B0502040204020203"/>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left"/>
      <w:spacing w:line="360" w:lineRule="auto"/>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left"/>
      <w:spacing w:line="360" w:lineRule="auto"/>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w:r/>
  </w:p>
  <w:p>
    <w:pPr>
      <w:pStyle w:val="11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07"/>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07"/>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p>
    <w:pPr>
      <w:pStyle w:val="11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rPr>
        <w:b/>
        <w:i/>
        <w:sz w:val="20"/>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07"/>
                          </w:pPr>
                          <w:r>
                            <w:fldChar w:fldCharType="begin"/>
                          </w:r>
                          <w:r>
                            <w:instrText xml:space="preserve"> PAGE  \* MERGEFORMAT </w:instrText>
                          </w:r>
                          <w:r>
                            <w:fldChar w:fldCharType="separate"/>
                          </w:r>
                          <w:r>
                            <w:t xml:space="preserve">65</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07"/>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Style w:val="1127"/>
      </w:rPr>
      <w:framePr w:wrap="around" w:vAnchor="text" w:hAnchor="margin" w:xAlign="center" w:y="1"/>
    </w:pPr>
    <w:r>
      <w:fldChar w:fldCharType="begin"/>
    </w:r>
    <w:r>
      <w:rPr>
        <w:rStyle w:val="1127"/>
      </w:rPr>
      <w:instrText xml:space="preserve">PAGE  </w:instrText>
    </w:r>
    <w:r>
      <w:fldChar w:fldCharType="separate"/>
    </w:r>
    <w:r>
      <w:rPr>
        <w:rStyle w:val="1127"/>
      </w:rPr>
      <w:t xml:space="preserve">1</w:t>
    </w:r>
    <w:r>
      <w:fldChar w:fldCharType="end"/>
    </w:r>
    <w:r/>
  </w:p>
  <w:p>
    <w:pPr>
      <w:pStyle w:val="11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center"/>
      <w:spacing w:line="360" w:lineRule="auto"/>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6" w:space="1"/>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center"/>
      <w:spacing w:line="360" w:lineRule="auto"/>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6" w:space="1"/>
      </w:pBdr>
    </w:pPr>
    <w:r>
      <w:rPr>
        <w:rFonts w:hint="default"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0"/>
      <w:isLgl w:val="false"/>
      <w:suff w:val="nothing"/>
      <w:lvlText w:val=""/>
      <w:lvlJc w:val="left"/>
      <w:pPr>
        <w:ind w:left="0" w:firstLine="0"/>
      </w:pPr>
      <w:rPr>
        <w:rFonts w:hint="eastAsia"/>
      </w:rPr>
    </w:lvl>
    <w:lvl w:ilvl="6">
      <w:start w:val="1"/>
      <w:numFmt w:val="decimal"/>
      <w:pStyle w:val="1071"/>
      <w:isLgl w:val="false"/>
      <w:suff w:val="nothing"/>
      <w:lvlText w:val=""/>
      <w:lvlJc w:val="left"/>
      <w:pPr>
        <w:ind w:left="0" w:firstLine="0"/>
      </w:pPr>
      <w:rPr>
        <w:rFonts w:hint="eastAsia"/>
      </w:rPr>
    </w:lvl>
    <w:lvl w:ilvl="7">
      <w:start w:val="1"/>
      <w:numFmt w:val="decimal"/>
      <w:pStyle w:val="1072"/>
      <w:isLgl w:val="false"/>
      <w:suff w:val="nothing"/>
      <w:lvlText w:val=""/>
      <w:lvlJc w:val="left"/>
      <w:pPr>
        <w:ind w:left="0" w:firstLine="0"/>
      </w:pPr>
      <w:rPr>
        <w:rFonts w:hint="eastAsia"/>
      </w:rPr>
    </w:lvl>
    <w:lvl w:ilvl="8">
      <w:start w:val="1"/>
      <w:numFmt w:val="decimal"/>
      <w:pStyle w:val="1073"/>
      <w:isLgl w:val="false"/>
      <w:suff w:val="nothing"/>
      <w:lvlText w:val=""/>
      <w:lvlJc w:val="left"/>
      <w:pPr>
        <w:ind w:left="0" w:firstLine="0"/>
      </w:pPr>
      <w:rPr>
        <w:rFonts w:hint="eastAsia"/>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0"/>
  </w:num>
  <w:num w:numId="4">
    <w:abstractNumId w:val="1"/>
  </w:num>
  <w:num w:numId="5">
    <w:abstractNumId w:val="15"/>
  </w:num>
  <w:num w:numId="6">
    <w:abstractNumId w:val="4"/>
  </w:num>
  <w:num w:numId="7">
    <w:abstractNumId w:val="14"/>
  </w:num>
  <w:num w:numId="8">
    <w:abstractNumId w:val="11"/>
  </w:num>
  <w:num w:numId="9">
    <w:abstractNumId w:val="3"/>
  </w:num>
  <w:num w:numId="10">
    <w:abstractNumId w:val="8"/>
  </w:num>
  <w:num w:numId="11">
    <w:abstractNumId w:val="9"/>
  </w:num>
  <w:num w:numId="12">
    <w:abstractNumId w:val="13"/>
  </w:num>
  <w:num w:numId="13">
    <w:abstractNumId w:val="6"/>
  </w:num>
  <w:num w:numId="14">
    <w:abstractNumId w:val="0"/>
  </w:num>
  <w:num w:numId="15">
    <w:abstractNumId w:val="16"/>
  </w:num>
  <w:num w:numId="16">
    <w:abstractNumId w:val="2"/>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6">
    <w:name w:val="Heading 1 Char"/>
    <w:basedOn w:val="851"/>
    <w:link w:val="842"/>
    <w:uiPriority w:val="9"/>
    <w:rPr>
      <w:rFonts w:ascii="Arial" w:hAnsi="Arial" w:eastAsia="Arial" w:cs="Arial"/>
      <w:sz w:val="40"/>
      <w:szCs w:val="40"/>
    </w:rPr>
  </w:style>
  <w:style w:type="character" w:styleId="827">
    <w:name w:val="Heading 2 Char"/>
    <w:basedOn w:val="851"/>
    <w:link w:val="843"/>
    <w:uiPriority w:val="9"/>
    <w:rPr>
      <w:rFonts w:ascii="Arial" w:hAnsi="Arial" w:eastAsia="Arial" w:cs="Arial"/>
      <w:sz w:val="34"/>
    </w:rPr>
  </w:style>
  <w:style w:type="character" w:styleId="828">
    <w:name w:val="Heading 3 Char"/>
    <w:basedOn w:val="851"/>
    <w:link w:val="844"/>
    <w:uiPriority w:val="9"/>
    <w:rPr>
      <w:rFonts w:ascii="Arial" w:hAnsi="Arial" w:eastAsia="Arial" w:cs="Arial"/>
      <w:sz w:val="30"/>
      <w:szCs w:val="30"/>
    </w:rPr>
  </w:style>
  <w:style w:type="character" w:styleId="829">
    <w:name w:val="Heading 4 Char"/>
    <w:basedOn w:val="851"/>
    <w:link w:val="845"/>
    <w:uiPriority w:val="9"/>
    <w:rPr>
      <w:rFonts w:ascii="Arial" w:hAnsi="Arial" w:eastAsia="Arial" w:cs="Arial"/>
      <w:b/>
      <w:bCs/>
      <w:sz w:val="26"/>
      <w:szCs w:val="26"/>
    </w:rPr>
  </w:style>
  <w:style w:type="character" w:styleId="830">
    <w:name w:val="Heading 5 Char"/>
    <w:basedOn w:val="851"/>
    <w:link w:val="846"/>
    <w:uiPriority w:val="9"/>
    <w:rPr>
      <w:rFonts w:ascii="Arial" w:hAnsi="Arial" w:eastAsia="Arial" w:cs="Arial"/>
      <w:b/>
      <w:bCs/>
      <w:sz w:val="24"/>
      <w:szCs w:val="24"/>
    </w:rPr>
  </w:style>
  <w:style w:type="character" w:styleId="831">
    <w:name w:val="Heading 6 Char"/>
    <w:basedOn w:val="851"/>
    <w:link w:val="847"/>
    <w:uiPriority w:val="9"/>
    <w:rPr>
      <w:rFonts w:ascii="Arial" w:hAnsi="Arial" w:eastAsia="Arial" w:cs="Arial"/>
      <w:b/>
      <w:bCs/>
      <w:sz w:val="22"/>
      <w:szCs w:val="22"/>
    </w:rPr>
  </w:style>
  <w:style w:type="character" w:styleId="832">
    <w:name w:val="Heading 7 Char"/>
    <w:basedOn w:val="851"/>
    <w:link w:val="848"/>
    <w:uiPriority w:val="9"/>
    <w:rPr>
      <w:rFonts w:ascii="Arial" w:hAnsi="Arial" w:eastAsia="Arial" w:cs="Arial"/>
      <w:b/>
      <w:bCs/>
      <w:i/>
      <w:iCs/>
      <w:sz w:val="22"/>
      <w:szCs w:val="22"/>
    </w:rPr>
  </w:style>
  <w:style w:type="character" w:styleId="833">
    <w:name w:val="Heading 8 Char"/>
    <w:basedOn w:val="851"/>
    <w:link w:val="849"/>
    <w:uiPriority w:val="9"/>
    <w:rPr>
      <w:rFonts w:ascii="Arial" w:hAnsi="Arial" w:eastAsia="Arial" w:cs="Arial"/>
      <w:i/>
      <w:iCs/>
      <w:sz w:val="22"/>
      <w:szCs w:val="22"/>
    </w:rPr>
  </w:style>
  <w:style w:type="character" w:styleId="834">
    <w:name w:val="Heading 9 Char"/>
    <w:basedOn w:val="851"/>
    <w:link w:val="850"/>
    <w:uiPriority w:val="9"/>
    <w:rPr>
      <w:rFonts w:ascii="Arial" w:hAnsi="Arial" w:eastAsia="Arial" w:cs="Arial"/>
      <w:i/>
      <w:iCs/>
      <w:sz w:val="21"/>
      <w:szCs w:val="21"/>
    </w:rPr>
  </w:style>
  <w:style w:type="character" w:styleId="835">
    <w:name w:val="Title Char"/>
    <w:basedOn w:val="851"/>
    <w:link w:val="874"/>
    <w:uiPriority w:val="10"/>
    <w:rPr>
      <w:sz w:val="48"/>
      <w:szCs w:val="48"/>
    </w:rPr>
  </w:style>
  <w:style w:type="character" w:styleId="836">
    <w:name w:val="Quote Char"/>
    <w:link w:val="929"/>
    <w:uiPriority w:val="29"/>
    <w:rPr>
      <w:i/>
    </w:rPr>
  </w:style>
  <w:style w:type="character" w:styleId="837">
    <w:name w:val="Intense Quote Char"/>
    <w:link w:val="931"/>
    <w:uiPriority w:val="30"/>
    <w:rPr>
      <w:i/>
    </w:rPr>
  </w:style>
  <w:style w:type="character" w:styleId="838">
    <w:name w:val="Header Char"/>
    <w:basedOn w:val="851"/>
    <w:link w:val="864"/>
    <w:uiPriority w:val="99"/>
  </w:style>
  <w:style w:type="character" w:styleId="839">
    <w:name w:val="Footer Char"/>
    <w:basedOn w:val="851"/>
    <w:link w:val="863"/>
    <w:uiPriority w:val="99"/>
  </w:style>
  <w:style w:type="paragraph" w:styleId="840">
    <w:name w:val="TOC Heading"/>
    <w:uiPriority w:val="39"/>
    <w:unhideWhenUsed/>
  </w:style>
  <w:style w:type="paragraph" w:styleId="841" w:default="1">
    <w:name w:val="Normal"/>
    <w:uiPriority w:val="0"/>
    <w:qFormat/>
    <w:pPr>
      <w:jc w:val="both"/>
      <w:widowControl w:val="off"/>
    </w:pPr>
    <w:rPr>
      <w:rFonts w:hint="default" w:ascii="Times New Roman" w:hAnsi="Times New Roman" w:eastAsia="宋体" w:cs="Times New Roman"/>
      <w:sz w:val="21"/>
      <w:szCs w:val="22"/>
    </w:rPr>
  </w:style>
  <w:style w:type="paragraph" w:styleId="842">
    <w:name w:val="Heading 1"/>
    <w:basedOn w:val="841"/>
    <w:next w:val="841"/>
    <w:link w:val="916"/>
    <w:uiPriority w:val="9"/>
    <w:qFormat/>
    <w:pPr>
      <w:keepLines/>
      <w:keepNext/>
      <w:spacing w:before="480" w:after="200"/>
      <w:outlineLvl w:val="0"/>
    </w:pPr>
    <w:rPr>
      <w:rFonts w:ascii="Arial" w:hAnsi="Arial" w:eastAsia="Arial" w:cs="Arial"/>
      <w:sz w:val="40"/>
      <w:szCs w:val="40"/>
    </w:rPr>
  </w:style>
  <w:style w:type="paragraph" w:styleId="843">
    <w:name w:val="Heading 2"/>
    <w:basedOn w:val="841"/>
    <w:next w:val="841"/>
    <w:link w:val="917"/>
    <w:uiPriority w:val="9"/>
    <w:qFormat/>
    <w:pPr>
      <w:keepLines/>
      <w:keepNext/>
      <w:spacing w:before="360" w:after="200"/>
      <w:outlineLvl w:val="1"/>
    </w:pPr>
    <w:rPr>
      <w:rFonts w:ascii="Arial" w:hAnsi="Arial" w:eastAsia="Arial" w:cs="Arial"/>
      <w:sz w:val="34"/>
    </w:rPr>
  </w:style>
  <w:style w:type="paragraph" w:styleId="844">
    <w:name w:val="Heading 3"/>
    <w:basedOn w:val="841"/>
    <w:next w:val="841"/>
    <w:link w:val="918"/>
    <w:uiPriority w:val="9"/>
    <w:qFormat/>
    <w:pPr>
      <w:keepLines/>
      <w:keepNext/>
      <w:spacing w:before="320" w:after="200"/>
      <w:outlineLvl w:val="2"/>
    </w:pPr>
    <w:rPr>
      <w:rFonts w:ascii="Arial" w:hAnsi="Arial" w:eastAsia="Arial" w:cs="Arial"/>
      <w:sz w:val="30"/>
      <w:szCs w:val="30"/>
    </w:rPr>
  </w:style>
  <w:style w:type="paragraph" w:styleId="845">
    <w:name w:val="Heading 4"/>
    <w:basedOn w:val="841"/>
    <w:next w:val="841"/>
    <w:link w:val="919"/>
    <w:uiPriority w:val="9"/>
    <w:qFormat/>
    <w:pPr>
      <w:keepLines/>
      <w:keepNext/>
      <w:spacing w:before="320" w:after="200"/>
      <w:outlineLvl w:val="3"/>
    </w:pPr>
    <w:rPr>
      <w:rFonts w:ascii="Arial" w:hAnsi="Arial" w:eastAsia="Arial" w:cs="Arial"/>
      <w:b/>
      <w:bCs/>
      <w:sz w:val="26"/>
      <w:szCs w:val="26"/>
    </w:rPr>
  </w:style>
  <w:style w:type="paragraph" w:styleId="846">
    <w:name w:val="Heading 5"/>
    <w:basedOn w:val="841"/>
    <w:next w:val="841"/>
    <w:link w:val="920"/>
    <w:uiPriority w:val="9"/>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921"/>
    <w:uiPriority w:val="9"/>
    <w:qFormat/>
    <w:pPr>
      <w:keepLines/>
      <w:keepNext/>
      <w:spacing w:before="320" w:after="200"/>
      <w:outlineLvl w:val="5"/>
    </w:pPr>
    <w:rPr>
      <w:rFonts w:ascii="Arial" w:hAnsi="Arial" w:eastAsia="Arial" w:cs="Arial"/>
      <w:b/>
      <w:bCs/>
      <w:sz w:val="22"/>
    </w:rPr>
  </w:style>
  <w:style w:type="paragraph" w:styleId="848">
    <w:name w:val="Heading 7"/>
    <w:basedOn w:val="841"/>
    <w:next w:val="841"/>
    <w:link w:val="922"/>
    <w:uiPriority w:val="9"/>
    <w:qFormat/>
    <w:pPr>
      <w:keepLines/>
      <w:keepNext/>
      <w:spacing w:before="320" w:after="200"/>
      <w:outlineLvl w:val="6"/>
    </w:pPr>
    <w:rPr>
      <w:rFonts w:ascii="Arial" w:hAnsi="Arial" w:eastAsia="Arial" w:cs="Arial"/>
      <w:b/>
      <w:bCs/>
      <w:i/>
      <w:iCs/>
      <w:sz w:val="22"/>
    </w:rPr>
  </w:style>
  <w:style w:type="paragraph" w:styleId="849">
    <w:name w:val="Heading 8"/>
    <w:basedOn w:val="841"/>
    <w:next w:val="841"/>
    <w:link w:val="923"/>
    <w:uiPriority w:val="9"/>
    <w:qFormat/>
    <w:pPr>
      <w:keepLines/>
      <w:keepNext/>
      <w:spacing w:before="320" w:after="200"/>
      <w:outlineLvl w:val="7"/>
    </w:pPr>
    <w:rPr>
      <w:rFonts w:ascii="Arial" w:hAnsi="Arial" w:eastAsia="Arial" w:cs="Arial"/>
      <w:i/>
      <w:iCs/>
      <w:sz w:val="22"/>
    </w:rPr>
  </w:style>
  <w:style w:type="paragraph" w:styleId="850">
    <w:name w:val="Heading 9"/>
    <w:basedOn w:val="841"/>
    <w:next w:val="841"/>
    <w:link w:val="924"/>
    <w:uiPriority w:val="9"/>
    <w:qFormat/>
    <w:pPr>
      <w:keepLines/>
      <w:keepNext/>
      <w:spacing w:before="320" w:after="200"/>
      <w:outlineLvl w:val="8"/>
    </w:pPr>
    <w:rPr>
      <w:rFonts w:ascii="Arial" w:hAnsi="Arial" w:eastAsia="Arial" w:cs="Arial"/>
      <w:i/>
      <w:iCs/>
      <w:szCs w:val="21"/>
    </w:rPr>
  </w:style>
  <w:style w:type="character" w:styleId="851" w:default="1">
    <w:name w:val="Default Paragraph Font"/>
    <w:uiPriority w:val="1"/>
    <w:qFormat/>
  </w:style>
  <w:style w:type="table" w:styleId="852" w:default="1">
    <w:name w:val="Normal Table"/>
    <w:uiPriority w:val="99"/>
    <w:qFormat/>
    <w:tblPr>
      <w:tblCellMar>
        <w:left w:w="108" w:type="dxa"/>
        <w:top w:w="0" w:type="dxa"/>
        <w:right w:w="108" w:type="dxa"/>
        <w:bottom w:w="0" w:type="dxa"/>
      </w:tblCellMar>
    </w:tblPr>
  </w:style>
  <w:style w:type="paragraph" w:styleId="853">
    <w:name w:val="toc 7"/>
    <w:basedOn w:val="841"/>
    <w:next w:val="841"/>
    <w:uiPriority w:val="0"/>
    <w:qFormat/>
    <w:pPr>
      <w:ind w:left="1260"/>
      <w:jc w:val="left"/>
    </w:pPr>
    <w:rPr>
      <w:szCs w:val="21"/>
    </w:rPr>
  </w:style>
  <w:style w:type="paragraph" w:styleId="854">
    <w:name w:val="Caption"/>
    <w:basedOn w:val="841"/>
    <w:next w:val="841"/>
    <w:uiPriority w:val="35"/>
    <w:qFormat/>
    <w:pPr>
      <w:spacing w:line="276" w:lineRule="auto"/>
    </w:pPr>
    <w:rPr>
      <w:b/>
      <w:bCs/>
      <w:color w:val="4f81bd"/>
      <w:sz w:val="18"/>
      <w:szCs w:val="18"/>
    </w:rPr>
  </w:style>
  <w:style w:type="paragraph" w:styleId="855">
    <w:name w:val="toa heading"/>
    <w:basedOn w:val="841"/>
    <w:next w:val="841"/>
    <w:uiPriority w:val="0"/>
    <w:qFormat/>
    <w:pPr>
      <w:spacing w:before="120"/>
    </w:pPr>
    <w:rPr>
      <w:rFonts w:ascii="Arial" w:hAnsi="Arial" w:cs="Arial"/>
      <w:sz w:val="24"/>
      <w:szCs w:val="24"/>
    </w:rPr>
  </w:style>
  <w:style w:type="paragraph" w:styleId="856">
    <w:name w:val="annotation text"/>
    <w:basedOn w:val="841"/>
    <w:uiPriority w:val="99"/>
    <w:qFormat/>
    <w:pPr>
      <w:jc w:val="left"/>
    </w:pPr>
  </w:style>
  <w:style w:type="paragraph" w:styleId="857">
    <w:name w:val="index 4"/>
    <w:basedOn w:val="841"/>
    <w:next w:val="841"/>
    <w:uiPriority w:val="99"/>
    <w:qFormat/>
    <w:pPr>
      <w:ind w:left="600"/>
    </w:pPr>
    <w:rPr>
      <w:rFonts w:ascii="Verdana" w:hAnsi="Verdana"/>
      <w:szCs w:val="20"/>
    </w:rPr>
  </w:style>
  <w:style w:type="paragraph" w:styleId="858">
    <w:name w:val="toc 5"/>
    <w:basedOn w:val="841"/>
    <w:next w:val="841"/>
    <w:uiPriority w:val="0"/>
    <w:qFormat/>
    <w:pPr>
      <w:ind w:left="840"/>
      <w:jc w:val="left"/>
    </w:pPr>
    <w:rPr>
      <w:szCs w:val="21"/>
    </w:rPr>
  </w:style>
  <w:style w:type="paragraph" w:styleId="859">
    <w:name w:val="toc 3"/>
    <w:basedOn w:val="841"/>
    <w:next w:val="841"/>
    <w:uiPriority w:val="0"/>
    <w:qFormat/>
    <w:pPr>
      <w:ind w:left="420"/>
      <w:jc w:val="left"/>
    </w:pPr>
    <w:rPr>
      <w:i/>
      <w:iCs/>
      <w:szCs w:val="24"/>
    </w:rPr>
  </w:style>
  <w:style w:type="paragraph" w:styleId="860">
    <w:name w:val="Plain Text"/>
    <w:basedOn w:val="841"/>
    <w:uiPriority w:val="99"/>
    <w:qFormat/>
    <w:rPr>
      <w:rFonts w:hAnsi="Courier New"/>
      <w:b/>
      <w:bCs/>
    </w:rPr>
  </w:style>
  <w:style w:type="paragraph" w:styleId="861">
    <w:name w:val="toc 8"/>
    <w:basedOn w:val="841"/>
    <w:next w:val="841"/>
    <w:uiPriority w:val="0"/>
    <w:qFormat/>
    <w:pPr>
      <w:ind w:left="1470"/>
      <w:jc w:val="left"/>
    </w:pPr>
    <w:rPr>
      <w:szCs w:val="21"/>
    </w:rPr>
  </w:style>
  <w:style w:type="paragraph" w:styleId="862">
    <w:name w:val="endnote text"/>
    <w:basedOn w:val="841"/>
    <w:link w:val="1062"/>
    <w:uiPriority w:val="99"/>
    <w:qFormat/>
    <w:rPr>
      <w:sz w:val="20"/>
    </w:rPr>
  </w:style>
  <w:style w:type="paragraph" w:styleId="863">
    <w:name w:val="Footer"/>
    <w:basedOn w:val="841"/>
    <w:link w:val="935"/>
    <w:uiPriority w:val="99"/>
    <w:qFormat/>
    <w:pPr>
      <w:tabs>
        <w:tab w:val="center" w:pos="7143" w:leader="none"/>
        <w:tab w:val="right" w:pos="14287" w:leader="none"/>
      </w:tabs>
    </w:pPr>
  </w:style>
  <w:style w:type="paragraph" w:styleId="864">
    <w:name w:val="Header"/>
    <w:basedOn w:val="841"/>
    <w:link w:val="933"/>
    <w:uiPriority w:val="99"/>
    <w:qFormat/>
    <w:pPr>
      <w:tabs>
        <w:tab w:val="center" w:pos="7143" w:leader="none"/>
        <w:tab w:val="right" w:pos="14287" w:leader="none"/>
      </w:tabs>
    </w:pPr>
  </w:style>
  <w:style w:type="paragraph" w:styleId="865">
    <w:name w:val="toc 1"/>
    <w:basedOn w:val="841"/>
    <w:next w:val="841"/>
    <w:uiPriority w:val="39"/>
    <w:qFormat/>
    <w:pPr>
      <w:jc w:val="left"/>
      <w:spacing w:before="120" w:after="120" w:line="400" w:lineRule="exact"/>
      <w:tabs>
        <w:tab w:val="right" w:pos="8720" w:leader="dot"/>
      </w:tabs>
    </w:pPr>
    <w:rPr>
      <w:rFonts w:ascii="宋体" w:hAnsi="宋体"/>
      <w:caps/>
      <w:sz w:val="24"/>
      <w:szCs w:val="24"/>
    </w:rPr>
  </w:style>
  <w:style w:type="paragraph" w:styleId="866">
    <w:name w:val="toc 4"/>
    <w:basedOn w:val="841"/>
    <w:next w:val="841"/>
    <w:uiPriority w:val="0"/>
    <w:qFormat/>
    <w:pPr>
      <w:ind w:left="630"/>
      <w:jc w:val="left"/>
    </w:pPr>
    <w:rPr>
      <w:szCs w:val="21"/>
    </w:rPr>
  </w:style>
  <w:style w:type="paragraph" w:styleId="867">
    <w:name w:val="Subtitle"/>
    <w:basedOn w:val="841"/>
    <w:next w:val="841"/>
    <w:link w:val="928"/>
    <w:uiPriority w:val="11"/>
    <w:qFormat/>
    <w:pPr>
      <w:spacing w:before="200" w:after="200"/>
    </w:pPr>
    <w:rPr>
      <w:sz w:val="24"/>
      <w:szCs w:val="24"/>
    </w:rPr>
  </w:style>
  <w:style w:type="paragraph" w:styleId="868">
    <w:name w:val="footnote text"/>
    <w:basedOn w:val="841"/>
    <w:link w:val="1061"/>
    <w:uiPriority w:val="99"/>
    <w:qFormat/>
    <w:pPr>
      <w:spacing w:after="40"/>
    </w:pPr>
    <w:rPr>
      <w:sz w:val="18"/>
    </w:rPr>
  </w:style>
  <w:style w:type="paragraph" w:styleId="869">
    <w:name w:val="toc 6"/>
    <w:basedOn w:val="841"/>
    <w:next w:val="841"/>
    <w:uiPriority w:val="0"/>
    <w:qFormat/>
    <w:pPr>
      <w:ind w:left="1050"/>
      <w:jc w:val="left"/>
    </w:pPr>
    <w:rPr>
      <w:szCs w:val="21"/>
    </w:rPr>
  </w:style>
  <w:style w:type="paragraph" w:styleId="870">
    <w:name w:val="table of figures"/>
    <w:basedOn w:val="841"/>
    <w:next w:val="841"/>
    <w:uiPriority w:val="99"/>
    <w:qFormat/>
  </w:style>
  <w:style w:type="paragraph" w:styleId="871">
    <w:name w:val="toc 2"/>
    <w:basedOn w:val="841"/>
    <w:next w:val="841"/>
    <w:uiPriority w:val="0"/>
    <w:qFormat/>
    <w:pPr>
      <w:ind w:left="210"/>
      <w:jc w:val="left"/>
    </w:pPr>
    <w:rPr>
      <w:smallCaps/>
      <w:szCs w:val="24"/>
    </w:rPr>
  </w:style>
  <w:style w:type="paragraph" w:styleId="872">
    <w:name w:val="toc 9"/>
    <w:basedOn w:val="841"/>
    <w:next w:val="841"/>
    <w:uiPriority w:val="0"/>
    <w:qFormat/>
    <w:pPr>
      <w:ind w:left="1680"/>
      <w:jc w:val="left"/>
    </w:pPr>
    <w:rPr>
      <w:szCs w:val="21"/>
    </w:rPr>
  </w:style>
  <w:style w:type="paragraph" w:styleId="873">
    <w:name w:val="Normal (Web)"/>
    <w:basedOn w:val="841"/>
    <w:uiPriority w:val="0"/>
    <w:qFormat/>
    <w:pPr>
      <w:jc w:val="left"/>
      <w:spacing w:before="100" w:beforeAutospacing="1" w:after="100" w:afterAutospacing="1"/>
      <w:widowControl/>
    </w:pPr>
    <w:rPr>
      <w:rFonts w:ascii="宋体" w:hAnsi="宋体" w:cs="宋体"/>
      <w:sz w:val="24"/>
      <w:szCs w:val="24"/>
    </w:rPr>
  </w:style>
  <w:style w:type="paragraph" w:styleId="874">
    <w:name w:val="Title"/>
    <w:basedOn w:val="841"/>
    <w:next w:val="841"/>
    <w:link w:val="927"/>
    <w:uiPriority w:val="10"/>
    <w:qFormat/>
    <w:pPr>
      <w:contextualSpacing/>
      <w:spacing w:before="300" w:after="200"/>
    </w:pPr>
    <w:rPr>
      <w:sz w:val="48"/>
      <w:szCs w:val="48"/>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endnote reference"/>
    <w:uiPriority w:val="99"/>
    <w:qFormat/>
    <w:rPr>
      <w:vertAlign w:val="superscript"/>
    </w:rPr>
  </w:style>
  <w:style w:type="character" w:styleId="877">
    <w:name w:val="Hyperlink"/>
    <w:uiPriority w:val="99"/>
    <w:qFormat/>
    <w:rPr>
      <w:color w:val="0000ff"/>
      <w:u w:val="single"/>
    </w:rPr>
  </w:style>
  <w:style w:type="character" w:styleId="878">
    <w:name w:val="footnote reference"/>
    <w:uiPriority w:val="99"/>
    <w:qFormat/>
    <w:rPr>
      <w:vertAlign w:val="superscript"/>
    </w:rPr>
  </w:style>
  <w:style w:type="character" w:styleId="879" w:customStyle="1">
    <w:name w:val="Heading 1 Char_70fb197c-7d42-4fd8-8165-0bbdcabee60f"/>
    <w:basedOn w:val="851"/>
    <w:uiPriority w:val="9"/>
    <w:qFormat/>
    <w:rPr>
      <w:rFonts w:ascii="Arial" w:hAnsi="Arial" w:eastAsia="Arial" w:cs="Arial"/>
      <w:sz w:val="40"/>
      <w:szCs w:val="40"/>
    </w:rPr>
  </w:style>
  <w:style w:type="character" w:styleId="880" w:customStyle="1">
    <w:name w:val="Heading 2 Char_cd5efaf6-bf27-4391-83c0-0f66e7b3cd2b"/>
    <w:basedOn w:val="851"/>
    <w:uiPriority w:val="9"/>
    <w:qFormat/>
    <w:rPr>
      <w:rFonts w:ascii="Arial" w:hAnsi="Arial" w:eastAsia="Arial" w:cs="Arial"/>
      <w:sz w:val="34"/>
    </w:rPr>
  </w:style>
  <w:style w:type="character" w:styleId="881" w:customStyle="1">
    <w:name w:val="Heading 3 Char_0eee72e3-ca7f-4b74-b78d-e5a96d9a151c"/>
    <w:basedOn w:val="851"/>
    <w:uiPriority w:val="9"/>
    <w:qFormat/>
    <w:rPr>
      <w:rFonts w:ascii="Arial" w:hAnsi="Arial" w:eastAsia="Arial" w:cs="Arial"/>
      <w:sz w:val="30"/>
      <w:szCs w:val="30"/>
    </w:rPr>
  </w:style>
  <w:style w:type="character" w:styleId="882" w:customStyle="1">
    <w:name w:val="Heading 4 Char_6c802001-fee3-4b1c-91b4-1223a78f7d60"/>
    <w:basedOn w:val="851"/>
    <w:uiPriority w:val="9"/>
    <w:qFormat/>
    <w:rPr>
      <w:rFonts w:ascii="Arial" w:hAnsi="Arial" w:eastAsia="Arial" w:cs="Arial"/>
      <w:b/>
      <w:bCs/>
      <w:sz w:val="26"/>
      <w:szCs w:val="26"/>
    </w:rPr>
  </w:style>
  <w:style w:type="character" w:styleId="883" w:customStyle="1">
    <w:name w:val="Heading 5 Char_f3dbad3f-3fe3-4faf-a59e-c532459d161b"/>
    <w:basedOn w:val="851"/>
    <w:uiPriority w:val="9"/>
    <w:qFormat/>
    <w:rPr>
      <w:rFonts w:ascii="Arial" w:hAnsi="Arial" w:eastAsia="Arial" w:cs="Arial"/>
      <w:b/>
      <w:bCs/>
      <w:sz w:val="24"/>
      <w:szCs w:val="24"/>
    </w:rPr>
  </w:style>
  <w:style w:type="character" w:styleId="884" w:customStyle="1">
    <w:name w:val="Heading 6 Char_0fac7d9b-eaa8-4146-9d15-037f7925c89e"/>
    <w:basedOn w:val="851"/>
    <w:uiPriority w:val="9"/>
    <w:qFormat/>
    <w:rPr>
      <w:rFonts w:ascii="Arial" w:hAnsi="Arial" w:eastAsia="Arial" w:cs="Arial"/>
      <w:b/>
      <w:bCs/>
      <w:sz w:val="22"/>
      <w:szCs w:val="22"/>
    </w:rPr>
  </w:style>
  <w:style w:type="character" w:styleId="885" w:customStyle="1">
    <w:name w:val="Heading 7 Char_910f90e9-b959-47d0-bf2d-7ca5c11b107e"/>
    <w:basedOn w:val="851"/>
    <w:uiPriority w:val="9"/>
    <w:qFormat/>
    <w:rPr>
      <w:rFonts w:ascii="Arial" w:hAnsi="Arial" w:eastAsia="Arial" w:cs="Arial"/>
      <w:b/>
      <w:bCs/>
      <w:i/>
      <w:iCs/>
      <w:sz w:val="22"/>
      <w:szCs w:val="22"/>
    </w:rPr>
  </w:style>
  <w:style w:type="character" w:styleId="886" w:customStyle="1">
    <w:name w:val="Heading 8 Char_10fbf51a-30ed-49f7-b803-b7e644e26683"/>
    <w:basedOn w:val="851"/>
    <w:uiPriority w:val="9"/>
    <w:qFormat/>
    <w:rPr>
      <w:rFonts w:ascii="Arial" w:hAnsi="Arial" w:eastAsia="Arial" w:cs="Arial"/>
      <w:i/>
      <w:iCs/>
      <w:sz w:val="22"/>
      <w:szCs w:val="22"/>
    </w:rPr>
  </w:style>
  <w:style w:type="character" w:styleId="887" w:customStyle="1">
    <w:name w:val="Heading 9 Char_cb5cbc6c-dce9-4b88-b811-087492bd4622"/>
    <w:basedOn w:val="851"/>
    <w:uiPriority w:val="9"/>
    <w:qFormat/>
    <w:rPr>
      <w:rFonts w:ascii="Arial" w:hAnsi="Arial" w:eastAsia="Arial" w:cs="Arial"/>
      <w:i/>
      <w:iCs/>
      <w:sz w:val="21"/>
      <w:szCs w:val="21"/>
    </w:rPr>
  </w:style>
  <w:style w:type="character" w:styleId="888" w:customStyle="1">
    <w:name w:val="Title Char_e26a78c3-b048-4082-9ebd-77bddf5ee99a"/>
    <w:basedOn w:val="851"/>
    <w:uiPriority w:val="10"/>
    <w:qFormat/>
    <w:rPr>
      <w:sz w:val="48"/>
      <w:szCs w:val="48"/>
    </w:rPr>
  </w:style>
  <w:style w:type="character" w:styleId="889" w:customStyle="1">
    <w:name w:val="Subtitle Char"/>
    <w:basedOn w:val="851"/>
    <w:uiPriority w:val="11"/>
    <w:qFormat/>
    <w:rPr>
      <w:sz w:val="24"/>
      <w:szCs w:val="24"/>
    </w:rPr>
  </w:style>
  <w:style w:type="character" w:styleId="890" w:customStyle="1">
    <w:name w:val="Quote Char_e8634980-7e31-483d-a413-e540cf6ffb13"/>
    <w:uiPriority w:val="29"/>
    <w:qFormat/>
    <w:rPr>
      <w:i/>
    </w:rPr>
  </w:style>
  <w:style w:type="character" w:styleId="891" w:customStyle="1">
    <w:name w:val="Intense Quote Char_611aaa13-e968-451d-b4fb-5d1566068984"/>
    <w:uiPriority w:val="30"/>
    <w:qFormat/>
    <w:rPr>
      <w:i/>
    </w:rPr>
  </w:style>
  <w:style w:type="character" w:styleId="892" w:customStyle="1">
    <w:name w:val="Header Char_dd0009d9-5d6e-4fdf-99c4-adb34dc23443"/>
    <w:basedOn w:val="851"/>
    <w:uiPriority w:val="99"/>
    <w:qFormat/>
  </w:style>
  <w:style w:type="character" w:styleId="893" w:customStyle="1">
    <w:name w:val="Caption Char"/>
    <w:uiPriority w:val="99"/>
    <w:qFormat/>
  </w:style>
  <w:style w:type="table" w:styleId="894" w:customStyle="1">
    <w:name w:val="Plain Table 1"/>
    <w:basedOn w:val="852"/>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5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5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5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5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52"/>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00" w:customStyle="1">
    <w:name w:val="Grid Table 2"/>
    <w:basedOn w:val="85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01" w:customStyle="1">
    <w:name w:val="Grid Table 3"/>
    <w:basedOn w:val="85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52"/>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3" w:customStyle="1">
    <w:name w:val="Grid Table 5 Dark"/>
    <w:basedOn w:val="85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4" w:customStyle="1">
    <w:name w:val="Grid Table 6 Colorful"/>
    <w:basedOn w:val="852"/>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05" w:customStyle="1">
    <w:name w:val="Grid Table 7 Colorful"/>
    <w:basedOn w:val="852"/>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6" w:customStyle="1">
    <w:name w:val="List Table 1 Light"/>
    <w:basedOn w:val="852"/>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7" w:customStyle="1">
    <w:name w:val="List Table 2"/>
    <w:basedOn w:val="85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8" w:customStyle="1">
    <w:name w:val="List Table 3"/>
    <w:basedOn w:val="85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9" w:customStyle="1">
    <w:name w:val="List Table 4"/>
    <w:basedOn w:val="85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0" w:customStyle="1">
    <w:name w:val="List Table 5 Dark"/>
    <w:basedOn w:val="852"/>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1" w:customStyle="1">
    <w:name w:val="List Table 6 Colorful"/>
    <w:basedOn w:val="852"/>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12" w:customStyle="1">
    <w:name w:val="List Table 7 Colorful"/>
    <w:basedOn w:val="852"/>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913" w:customStyle="1">
    <w:name w:val="Footnote Text Char"/>
    <w:uiPriority w:val="99"/>
    <w:qFormat/>
    <w:rPr>
      <w:sz w:val="18"/>
    </w:rPr>
  </w:style>
  <w:style w:type="character" w:styleId="914" w:customStyle="1">
    <w:name w:val="Endnote Text Char"/>
    <w:uiPriority w:val="99"/>
    <w:qFormat/>
    <w:rPr>
      <w:sz w:val="20"/>
    </w:rPr>
  </w:style>
  <w:style w:type="paragraph" w:styleId="915" w:customStyle="1">
    <w:name w:val="TOC Heading_7c142c0e-5953-4112-80a7-a220b21d7410"/>
    <w:uiPriority w:val="39"/>
    <w:qFormat/>
    <w:rPr>
      <w:rFonts w:hint="default" w:ascii="Times New Roman" w:hAnsi="Times New Roman" w:eastAsia="宋体" w:cs="Times New Roman"/>
    </w:rPr>
  </w:style>
  <w:style w:type="character" w:styleId="916" w:customStyle="1">
    <w:name w:val="标题 1 字符1"/>
    <w:link w:val="842"/>
    <w:uiPriority w:val="9"/>
    <w:qFormat/>
    <w:rPr>
      <w:rFonts w:ascii="Arial" w:hAnsi="Arial" w:eastAsia="Arial" w:cs="Arial"/>
      <w:sz w:val="40"/>
      <w:szCs w:val="40"/>
    </w:rPr>
  </w:style>
  <w:style w:type="character" w:styleId="917" w:customStyle="1">
    <w:name w:val="标题 2 字符1"/>
    <w:link w:val="843"/>
    <w:uiPriority w:val="9"/>
    <w:qFormat/>
    <w:rPr>
      <w:rFonts w:ascii="Arial" w:hAnsi="Arial" w:eastAsia="Arial" w:cs="Arial"/>
      <w:sz w:val="34"/>
    </w:rPr>
  </w:style>
  <w:style w:type="character" w:styleId="918" w:customStyle="1">
    <w:name w:val="标题 3 字符1"/>
    <w:link w:val="844"/>
    <w:uiPriority w:val="9"/>
    <w:qFormat/>
    <w:rPr>
      <w:rFonts w:ascii="Arial" w:hAnsi="Arial" w:eastAsia="Arial" w:cs="Arial"/>
      <w:sz w:val="30"/>
      <w:szCs w:val="30"/>
    </w:rPr>
  </w:style>
  <w:style w:type="character" w:styleId="919" w:customStyle="1">
    <w:name w:val="标题 4 字符1"/>
    <w:link w:val="845"/>
    <w:uiPriority w:val="9"/>
    <w:qFormat/>
    <w:rPr>
      <w:rFonts w:ascii="Arial" w:hAnsi="Arial" w:eastAsia="Arial" w:cs="Arial"/>
      <w:b/>
      <w:bCs/>
      <w:sz w:val="26"/>
      <w:szCs w:val="26"/>
    </w:rPr>
  </w:style>
  <w:style w:type="character" w:styleId="920" w:customStyle="1">
    <w:name w:val="标题 5 字符1"/>
    <w:link w:val="846"/>
    <w:uiPriority w:val="9"/>
    <w:qFormat/>
    <w:rPr>
      <w:rFonts w:ascii="Arial" w:hAnsi="Arial" w:eastAsia="Arial" w:cs="Arial"/>
      <w:b/>
      <w:bCs/>
      <w:sz w:val="24"/>
      <w:szCs w:val="24"/>
    </w:rPr>
  </w:style>
  <w:style w:type="character" w:styleId="921" w:customStyle="1">
    <w:name w:val="标题 6 字符1"/>
    <w:link w:val="847"/>
    <w:uiPriority w:val="9"/>
    <w:qFormat/>
    <w:rPr>
      <w:rFonts w:ascii="Arial" w:hAnsi="Arial" w:eastAsia="Arial" w:cs="Arial"/>
      <w:b/>
      <w:bCs/>
      <w:sz w:val="22"/>
      <w:szCs w:val="22"/>
    </w:rPr>
  </w:style>
  <w:style w:type="character" w:styleId="922" w:customStyle="1">
    <w:name w:val="标题 7 字符1"/>
    <w:link w:val="848"/>
    <w:uiPriority w:val="9"/>
    <w:qFormat/>
    <w:rPr>
      <w:rFonts w:ascii="Arial" w:hAnsi="Arial" w:eastAsia="Arial" w:cs="Arial"/>
      <w:b/>
      <w:bCs/>
      <w:i/>
      <w:iCs/>
      <w:sz w:val="22"/>
      <w:szCs w:val="22"/>
    </w:rPr>
  </w:style>
  <w:style w:type="character" w:styleId="923" w:customStyle="1">
    <w:name w:val="标题 8 字符1"/>
    <w:link w:val="849"/>
    <w:uiPriority w:val="9"/>
    <w:qFormat/>
    <w:rPr>
      <w:rFonts w:ascii="Arial" w:hAnsi="Arial" w:eastAsia="Arial" w:cs="Arial"/>
      <w:i/>
      <w:iCs/>
      <w:sz w:val="22"/>
      <w:szCs w:val="22"/>
    </w:rPr>
  </w:style>
  <w:style w:type="character" w:styleId="924" w:customStyle="1">
    <w:name w:val="标题 9 字符1"/>
    <w:link w:val="850"/>
    <w:uiPriority w:val="9"/>
    <w:qFormat/>
    <w:rPr>
      <w:rFonts w:ascii="Arial" w:hAnsi="Arial" w:eastAsia="Arial" w:cs="Arial"/>
      <w:i/>
      <w:iCs/>
      <w:sz w:val="21"/>
      <w:szCs w:val="21"/>
    </w:rPr>
  </w:style>
  <w:style w:type="paragraph" w:styleId="925">
    <w:name w:val="List Paragraph"/>
    <w:basedOn w:val="841"/>
    <w:uiPriority w:val="34"/>
    <w:qFormat/>
    <w:pPr>
      <w:contextualSpacing/>
      <w:ind w:left="720"/>
    </w:pPr>
  </w:style>
  <w:style w:type="paragraph" w:styleId="926">
    <w:name w:val="No Spacing"/>
    <w:uiPriority w:val="1"/>
    <w:qFormat/>
    <w:rPr>
      <w:rFonts w:hint="default" w:ascii="Times New Roman" w:hAnsi="Times New Roman" w:eastAsia="宋体" w:cs="Times New Roman"/>
    </w:rPr>
  </w:style>
  <w:style w:type="character" w:styleId="927" w:customStyle="1">
    <w:name w:val="标题 字符"/>
    <w:link w:val="874"/>
    <w:uiPriority w:val="10"/>
    <w:qFormat/>
    <w:rPr>
      <w:sz w:val="48"/>
      <w:szCs w:val="48"/>
    </w:rPr>
  </w:style>
  <w:style w:type="character" w:styleId="928" w:customStyle="1">
    <w:name w:val="副标题 字符"/>
    <w:link w:val="867"/>
    <w:uiPriority w:val="11"/>
    <w:qFormat/>
    <w:rPr>
      <w:sz w:val="24"/>
      <w:szCs w:val="24"/>
    </w:rPr>
  </w:style>
  <w:style w:type="paragraph" w:styleId="929">
    <w:name w:val="Quote"/>
    <w:basedOn w:val="841"/>
    <w:next w:val="841"/>
    <w:link w:val="930"/>
    <w:uiPriority w:val="29"/>
    <w:qFormat/>
    <w:pPr>
      <w:ind w:left="720" w:right="720"/>
    </w:pPr>
    <w:rPr>
      <w:i/>
    </w:rPr>
  </w:style>
  <w:style w:type="character" w:styleId="930" w:customStyle="1">
    <w:name w:val="引用 字符"/>
    <w:link w:val="929"/>
    <w:uiPriority w:val="29"/>
    <w:qFormat/>
    <w:rPr>
      <w:i/>
    </w:rPr>
  </w:style>
  <w:style w:type="paragraph" w:styleId="931">
    <w:name w:val="Intense Quote"/>
    <w:basedOn w:val="841"/>
    <w:next w:val="841"/>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字符"/>
    <w:link w:val="931"/>
    <w:uiPriority w:val="30"/>
    <w:qFormat/>
    <w:rPr>
      <w:i/>
    </w:rPr>
  </w:style>
  <w:style w:type="character" w:styleId="933" w:customStyle="1">
    <w:name w:val="页眉 字符1"/>
    <w:link w:val="864"/>
    <w:uiPriority w:val="99"/>
    <w:qFormat/>
  </w:style>
  <w:style w:type="character" w:styleId="934" w:customStyle="1">
    <w:name w:val="Footer Char_92bfa490-0bd4-4793-8973-fcbb13e758e4"/>
    <w:uiPriority w:val="99"/>
    <w:qFormat/>
  </w:style>
  <w:style w:type="character" w:styleId="935" w:customStyle="1">
    <w:name w:val="页脚 字符1"/>
    <w:link w:val="863"/>
    <w:uiPriority w:val="99"/>
    <w:qFormat/>
  </w:style>
  <w:style w:type="table" w:styleId="93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7"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49"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5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56"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65"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7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7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7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7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7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7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77"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7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80"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8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8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8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84"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1"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98"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00"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0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08"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14"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19"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2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2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22"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2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2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26"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28"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29"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33"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7"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8"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50"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5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5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54"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55"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56"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5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59"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6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61" w:customStyle="1">
    <w:name w:val="脚注文本 字符"/>
    <w:link w:val="868"/>
    <w:uiPriority w:val="99"/>
    <w:qFormat/>
    <w:rPr>
      <w:sz w:val="18"/>
    </w:rPr>
  </w:style>
  <w:style w:type="character" w:styleId="1062" w:customStyle="1">
    <w:name w:val="尾注文本 字符"/>
    <w:link w:val="862"/>
    <w:uiPriority w:val="99"/>
    <w:qFormat/>
    <w:rPr>
      <w:sz w:val="20"/>
    </w:rPr>
  </w:style>
  <w:style w:type="paragraph" w:styleId="1063" w:customStyle="1">
    <w:name w:val="TOC 标题1"/>
    <w:uiPriority w:val="39"/>
    <w:qFormat/>
    <w:rPr>
      <w:rFonts w:hint="default" w:ascii="Times New Roman" w:hAnsi="Times New Roman" w:eastAsia="宋体" w:cs="Times New Roman"/>
    </w:rPr>
  </w:style>
  <w:style w:type="paragraph" w:styleId="1064" w:customStyle="1">
    <w:name w:val="标题 11"/>
    <w:basedOn w:val="841"/>
    <w:next w:val="841"/>
    <w:link w:val="1076"/>
    <w:uiPriority w:val="0"/>
    <w:qFormat/>
    <w:pPr>
      <w:jc w:val="center"/>
      <w:keepNext/>
      <w:outlineLvl w:val="0"/>
    </w:pPr>
    <w:rPr>
      <w:rFonts w:ascii="楷体_GB2312" w:eastAsia="楷体_GB2312"/>
      <w:sz w:val="28"/>
      <w:szCs w:val="28"/>
    </w:rPr>
  </w:style>
  <w:style w:type="paragraph" w:styleId="1065" w:customStyle="1">
    <w:name w:val="标题 21"/>
    <w:basedOn w:val="841"/>
    <w:next w:val="1066"/>
    <w:link w:val="10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6" w:customStyle="1">
    <w:name w:val="正文缩进1"/>
    <w:basedOn w:val="841"/>
    <w:link w:val="1078"/>
    <w:uiPriority w:val="0"/>
    <w:qFormat/>
    <w:pPr>
      <w:ind w:firstLine="420"/>
    </w:pPr>
    <w:rPr>
      <w:szCs w:val="21"/>
    </w:rPr>
  </w:style>
  <w:style w:type="paragraph" w:styleId="1067" w:customStyle="1">
    <w:name w:val="标题 31"/>
    <w:basedOn w:val="841"/>
    <w:next w:val="1066"/>
    <w:link w:val="1079"/>
    <w:uiPriority w:val="0"/>
    <w:qFormat/>
    <w:pPr>
      <w:keepLines/>
      <w:keepNext/>
      <w:spacing w:before="260" w:after="260" w:line="416" w:lineRule="auto"/>
      <w:outlineLvl w:val="2"/>
    </w:pPr>
    <w:rPr>
      <w:b/>
      <w:bCs/>
      <w:sz w:val="32"/>
      <w:szCs w:val="32"/>
    </w:rPr>
  </w:style>
  <w:style w:type="paragraph" w:styleId="1068" w:customStyle="1">
    <w:name w:val="标题 41"/>
    <w:basedOn w:val="841"/>
    <w:next w:val="1066"/>
    <w:link w:val="1080"/>
    <w:uiPriority w:val="0"/>
    <w:qFormat/>
    <w:pPr>
      <w:keepLines/>
      <w:keepNext/>
      <w:spacing w:before="280" w:after="290" w:line="376" w:lineRule="auto"/>
      <w:outlineLvl w:val="3"/>
    </w:pPr>
    <w:rPr>
      <w:rFonts w:ascii="Arial" w:hAnsi="Arial" w:eastAsia="黑体" w:cs="Arial"/>
      <w:b/>
      <w:bCs/>
      <w:sz w:val="28"/>
      <w:szCs w:val="28"/>
    </w:rPr>
  </w:style>
  <w:style w:type="paragraph" w:styleId="1069" w:customStyle="1">
    <w:name w:val="标题 51"/>
    <w:basedOn w:val="841"/>
    <w:next w:val="1066"/>
    <w:link w:val="1081"/>
    <w:uiPriority w:val="0"/>
    <w:qFormat/>
    <w:pPr>
      <w:keepNext/>
      <w:outlineLvl w:val="4"/>
    </w:pPr>
    <w:rPr>
      <w:rFonts w:ascii="宋体"/>
      <w:color w:val="000000"/>
      <w:sz w:val="28"/>
      <w:szCs w:val="28"/>
    </w:rPr>
  </w:style>
  <w:style w:type="paragraph" w:styleId="1070" w:customStyle="1">
    <w:name w:val="标题 61"/>
    <w:basedOn w:val="841"/>
    <w:next w:val="841"/>
    <w:link w:val="10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71" w:customStyle="1">
    <w:name w:val="标题 71"/>
    <w:basedOn w:val="841"/>
    <w:next w:val="841"/>
    <w:link w:val="1083"/>
    <w:uiPriority w:val="0"/>
    <w:qFormat/>
    <w:pPr>
      <w:numPr>
        <w:ilvl w:val="6"/>
        <w:numId w:val="1"/>
      </w:numPr>
      <w:keepLines/>
      <w:keepNext/>
      <w:spacing w:before="240" w:after="64" w:line="320" w:lineRule="auto"/>
      <w:outlineLvl w:val="6"/>
    </w:pPr>
    <w:rPr>
      <w:b/>
      <w:bCs/>
      <w:sz w:val="24"/>
      <w:szCs w:val="24"/>
    </w:rPr>
  </w:style>
  <w:style w:type="paragraph" w:styleId="1072" w:customStyle="1">
    <w:name w:val="标题 81"/>
    <w:basedOn w:val="841"/>
    <w:next w:val="841"/>
    <w:link w:val="10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73" w:customStyle="1">
    <w:name w:val="标题 91"/>
    <w:basedOn w:val="841"/>
    <w:next w:val="841"/>
    <w:link w:val="1085"/>
    <w:uiPriority w:val="0"/>
    <w:qFormat/>
    <w:pPr>
      <w:numPr>
        <w:ilvl w:val="8"/>
        <w:numId w:val="1"/>
      </w:numPr>
      <w:keepLines/>
      <w:keepNext/>
      <w:spacing w:before="240" w:after="64" w:line="320" w:lineRule="auto"/>
      <w:outlineLvl w:val="8"/>
    </w:pPr>
    <w:rPr>
      <w:rFonts w:ascii="Arial" w:hAnsi="Arial" w:eastAsia="黑体"/>
      <w:szCs w:val="21"/>
    </w:rPr>
  </w:style>
  <w:style w:type="character" w:styleId="1074" w:customStyle="1">
    <w:name w:val="默认段落字体1"/>
    <w:uiPriority w:val="1"/>
    <w:qFormat/>
  </w:style>
  <w:style w:type="table" w:styleId="1075" w:customStyle="1">
    <w:name w:val="普通表格11"/>
    <w:uiPriority w:val="99"/>
    <w:qFormat/>
    <w:tblPr>
      <w:tblCellMar>
        <w:left w:w="0" w:type="dxa"/>
        <w:top w:w="0" w:type="dxa"/>
        <w:right w:w="0" w:type="dxa"/>
        <w:bottom w:w="0" w:type="dxa"/>
      </w:tblCellMar>
    </w:tblPr>
  </w:style>
  <w:style w:type="character" w:styleId="1076" w:customStyle="1">
    <w:name w:val="标题 1 字符"/>
    <w:link w:val="1064"/>
    <w:uiPriority w:val="0"/>
    <w:qFormat/>
    <w:rPr>
      <w:rFonts w:ascii="楷体_GB2312" w:hAnsi="Times New Roman" w:eastAsia="楷体_GB2312" w:cs="Times New Roman"/>
      <w:sz w:val="28"/>
      <w:szCs w:val="28"/>
    </w:rPr>
  </w:style>
  <w:style w:type="character" w:styleId="1077" w:customStyle="1">
    <w:name w:val="标题 2 字符"/>
    <w:link w:val="1065"/>
    <w:uiPriority w:val="0"/>
    <w:qFormat/>
    <w:rPr>
      <w:rFonts w:ascii="Arial" w:hAnsi="Arial" w:eastAsia="幼圆" w:cs="Arial"/>
      <w:b/>
      <w:bCs/>
      <w:sz w:val="44"/>
      <w:szCs w:val="44"/>
    </w:rPr>
  </w:style>
  <w:style w:type="character" w:styleId="1078" w:customStyle="1">
    <w:name w:val="正文缩进 字符"/>
    <w:link w:val="1066"/>
    <w:uiPriority w:val="0"/>
    <w:qFormat/>
    <w:rPr>
      <w:szCs w:val="21"/>
    </w:rPr>
  </w:style>
  <w:style w:type="character" w:styleId="1079" w:customStyle="1">
    <w:name w:val="标题 3 字符"/>
    <w:link w:val="1067"/>
    <w:uiPriority w:val="0"/>
    <w:qFormat/>
    <w:rPr>
      <w:rFonts w:ascii="Times New Roman" w:hAnsi="Times New Roman" w:eastAsia="宋体" w:cs="Times New Roman"/>
      <w:b/>
      <w:bCs/>
      <w:sz w:val="32"/>
      <w:szCs w:val="32"/>
    </w:rPr>
  </w:style>
  <w:style w:type="character" w:styleId="1080" w:customStyle="1">
    <w:name w:val="标题 4 字符"/>
    <w:link w:val="1068"/>
    <w:uiPriority w:val="0"/>
    <w:qFormat/>
    <w:rPr>
      <w:rFonts w:ascii="Arial" w:hAnsi="Arial" w:eastAsia="黑体" w:cs="Arial"/>
      <w:b/>
      <w:bCs/>
      <w:sz w:val="28"/>
      <w:szCs w:val="28"/>
    </w:rPr>
  </w:style>
  <w:style w:type="character" w:styleId="1081" w:customStyle="1">
    <w:name w:val="标题 5 字符"/>
    <w:link w:val="1069"/>
    <w:uiPriority w:val="0"/>
    <w:qFormat/>
    <w:rPr>
      <w:rFonts w:ascii="宋体" w:hAnsi="Times New Roman" w:eastAsia="宋体" w:cs="Times New Roman"/>
      <w:color w:val="000000"/>
      <w:sz w:val="28"/>
      <w:szCs w:val="28"/>
    </w:rPr>
  </w:style>
  <w:style w:type="character" w:styleId="1082" w:customStyle="1">
    <w:name w:val="标题 6 字符"/>
    <w:link w:val="1070"/>
    <w:uiPriority w:val="0"/>
    <w:qFormat/>
    <w:rPr>
      <w:rFonts w:ascii="Arial" w:hAnsi="Arial" w:eastAsia="黑体" w:cs="Times New Roman"/>
      <w:b/>
      <w:bCs/>
      <w:sz w:val="24"/>
      <w:szCs w:val="24"/>
    </w:rPr>
  </w:style>
  <w:style w:type="character" w:styleId="1083" w:customStyle="1">
    <w:name w:val="标题 7 字符"/>
    <w:link w:val="1071"/>
    <w:uiPriority w:val="0"/>
    <w:qFormat/>
    <w:rPr>
      <w:rFonts w:ascii="Times New Roman" w:hAnsi="Times New Roman" w:eastAsia="宋体" w:cs="Times New Roman"/>
      <w:b/>
      <w:bCs/>
      <w:sz w:val="24"/>
      <w:szCs w:val="24"/>
    </w:rPr>
  </w:style>
  <w:style w:type="character" w:styleId="1084" w:customStyle="1">
    <w:name w:val="标题 8 字符"/>
    <w:link w:val="1072"/>
    <w:uiPriority w:val="0"/>
    <w:qFormat/>
    <w:rPr>
      <w:rFonts w:ascii="Arial" w:hAnsi="Arial" w:eastAsia="黑体" w:cs="Times New Roman"/>
      <w:sz w:val="24"/>
      <w:szCs w:val="24"/>
    </w:rPr>
  </w:style>
  <w:style w:type="character" w:styleId="1085" w:customStyle="1">
    <w:name w:val="标题 9 字符"/>
    <w:link w:val="1073"/>
    <w:uiPriority w:val="0"/>
    <w:qFormat/>
    <w:rPr>
      <w:rFonts w:ascii="Arial" w:hAnsi="Arial" w:eastAsia="黑体" w:cs="Times New Roman"/>
      <w:szCs w:val="21"/>
    </w:rPr>
  </w:style>
  <w:style w:type="paragraph" w:styleId="1086" w:customStyle="1">
    <w:name w:val="列表 31"/>
    <w:basedOn w:val="841"/>
    <w:uiPriority w:val="0"/>
    <w:qFormat/>
    <w:pPr>
      <w:ind w:left="100" w:hanging="200"/>
    </w:pPr>
    <w:rPr>
      <w:szCs w:val="21"/>
    </w:rPr>
  </w:style>
  <w:style w:type="paragraph" w:styleId="1087" w:customStyle="1">
    <w:name w:val="文档结构图1"/>
    <w:basedOn w:val="841"/>
    <w:link w:val="1088"/>
    <w:uiPriority w:val="0"/>
    <w:qFormat/>
    <w:pPr>
      <w:shd w:val="clear" w:color="auto" w:fill="000080"/>
    </w:pPr>
    <w:rPr>
      <w:szCs w:val="21"/>
    </w:rPr>
  </w:style>
  <w:style w:type="character" w:styleId="1088" w:customStyle="1">
    <w:name w:val="文档结构图 字符"/>
    <w:link w:val="1087"/>
    <w:uiPriority w:val="0"/>
    <w:qFormat/>
    <w:rPr>
      <w:rFonts w:ascii="Times New Roman" w:hAnsi="Times New Roman" w:eastAsia="宋体" w:cs="Times New Roman"/>
      <w:szCs w:val="21"/>
      <w:shd w:val="clear" w:color="auto" w:fill="000080"/>
    </w:rPr>
  </w:style>
  <w:style w:type="paragraph" w:styleId="1089" w:customStyle="1">
    <w:name w:val="批注文字1"/>
    <w:basedOn w:val="841"/>
    <w:link w:val="1090"/>
    <w:uiPriority w:val="0"/>
    <w:qFormat/>
    <w:pPr>
      <w:jc w:val="left"/>
    </w:pPr>
  </w:style>
  <w:style w:type="character" w:styleId="1090" w:customStyle="1">
    <w:name w:val="批注文字 字符"/>
    <w:link w:val="1089"/>
    <w:uiPriority w:val="99"/>
    <w:qFormat/>
  </w:style>
  <w:style w:type="paragraph" w:styleId="1091" w:customStyle="1">
    <w:name w:val="正文文本 31"/>
    <w:basedOn w:val="841"/>
    <w:link w:val="1092"/>
    <w:uiPriority w:val="0"/>
    <w:qFormat/>
    <w:rPr>
      <w:rFonts w:ascii="仿宋_GB2312" w:hAnsi="Arial" w:eastAsia="仿宋_GB2312"/>
      <w:sz w:val="32"/>
      <w:szCs w:val="32"/>
    </w:rPr>
  </w:style>
  <w:style w:type="character" w:styleId="1092" w:customStyle="1">
    <w:name w:val="正文文本 3 字符"/>
    <w:link w:val="1091"/>
    <w:uiPriority w:val="0"/>
    <w:qFormat/>
    <w:rPr>
      <w:rFonts w:ascii="仿宋_GB2312" w:hAnsi="Arial" w:eastAsia="仿宋_GB2312" w:cs="Times New Roman"/>
      <w:sz w:val="32"/>
      <w:szCs w:val="32"/>
    </w:rPr>
  </w:style>
  <w:style w:type="paragraph" w:styleId="1093" w:customStyle="1">
    <w:name w:val="正文文本1"/>
    <w:basedOn w:val="841"/>
    <w:link w:val="1094"/>
    <w:uiPriority w:val="0"/>
    <w:qFormat/>
    <w:rPr>
      <w:rFonts w:ascii="楷体_GB2312" w:hAnsi="Arial" w:eastAsia="楷体_GB2312"/>
      <w:sz w:val="28"/>
      <w:szCs w:val="28"/>
    </w:rPr>
  </w:style>
  <w:style w:type="character" w:styleId="1094" w:customStyle="1">
    <w:name w:val="正文文本 字符"/>
    <w:link w:val="1093"/>
    <w:uiPriority w:val="0"/>
    <w:qFormat/>
    <w:rPr>
      <w:rFonts w:ascii="楷体_GB2312" w:hAnsi="Arial" w:eastAsia="楷体_GB2312" w:cs="Times New Roman"/>
      <w:sz w:val="28"/>
      <w:szCs w:val="28"/>
    </w:rPr>
  </w:style>
  <w:style w:type="paragraph" w:styleId="1095" w:customStyle="1">
    <w:name w:val="正文文本缩进1"/>
    <w:basedOn w:val="841"/>
    <w:link w:val="1096"/>
    <w:uiPriority w:val="0"/>
    <w:qFormat/>
    <w:pPr>
      <w:ind w:left="420"/>
      <w:spacing w:after="120"/>
    </w:pPr>
  </w:style>
  <w:style w:type="character" w:styleId="1096" w:customStyle="1">
    <w:name w:val="正文文本缩进 字符"/>
    <w:link w:val="1095"/>
    <w:uiPriority w:val="99"/>
    <w:qFormat/>
  </w:style>
  <w:style w:type="paragraph" w:styleId="1097" w:customStyle="1">
    <w:name w:val="列表 21"/>
    <w:basedOn w:val="841"/>
    <w:uiPriority w:val="0"/>
    <w:qFormat/>
    <w:pPr>
      <w:ind w:left="100" w:hanging="200"/>
    </w:pPr>
    <w:rPr>
      <w:szCs w:val="21"/>
    </w:rPr>
  </w:style>
  <w:style w:type="paragraph" w:styleId="1098" w:customStyle="1">
    <w:name w:val="索引 41"/>
    <w:basedOn w:val="841"/>
    <w:next w:val="841"/>
    <w:uiPriority w:val="99"/>
    <w:qFormat/>
    <w:pPr>
      <w:ind w:left="600"/>
      <w:jc w:val="left"/>
      <w:widowControl/>
    </w:pPr>
    <w:rPr>
      <w:szCs w:val="21"/>
    </w:rPr>
  </w:style>
  <w:style w:type="paragraph" w:styleId="1099" w:customStyle="1">
    <w:name w:val="纯文本1"/>
    <w:basedOn w:val="841"/>
    <w:link w:val="1100"/>
    <w:uiPriority w:val="0"/>
    <w:qFormat/>
    <w:rPr>
      <w:rFonts w:ascii="宋体" w:hAnsi="Courier New" w:cs="Courier New"/>
      <w:szCs w:val="21"/>
    </w:rPr>
  </w:style>
  <w:style w:type="character" w:styleId="1100" w:customStyle="1">
    <w:name w:val="纯文本 字符"/>
    <w:link w:val="1099"/>
    <w:uiPriority w:val="0"/>
    <w:qFormat/>
    <w:rPr>
      <w:rFonts w:ascii="宋体" w:hAnsi="Courier New" w:eastAsia="宋体" w:cs="Courier New"/>
      <w:szCs w:val="21"/>
    </w:rPr>
  </w:style>
  <w:style w:type="paragraph" w:styleId="1101" w:customStyle="1">
    <w:name w:val="日期1"/>
    <w:basedOn w:val="841"/>
    <w:next w:val="841"/>
    <w:link w:val="1102"/>
    <w:uiPriority w:val="0"/>
    <w:qFormat/>
    <w:rPr>
      <w:sz w:val="24"/>
      <w:szCs w:val="24"/>
    </w:rPr>
  </w:style>
  <w:style w:type="character" w:styleId="1102" w:customStyle="1">
    <w:name w:val="日期 字符"/>
    <w:link w:val="1101"/>
    <w:uiPriority w:val="0"/>
    <w:qFormat/>
    <w:rPr>
      <w:rFonts w:ascii="Times New Roman" w:hAnsi="Times New Roman" w:eastAsia="宋体" w:cs="Times New Roman"/>
      <w:sz w:val="24"/>
      <w:szCs w:val="24"/>
    </w:rPr>
  </w:style>
  <w:style w:type="paragraph" w:styleId="1103" w:customStyle="1">
    <w:name w:val="正文文本缩进 21"/>
    <w:basedOn w:val="841"/>
    <w:link w:val="1104"/>
    <w:uiPriority w:val="0"/>
    <w:qFormat/>
    <w:pPr>
      <w:ind w:left="630" w:firstLine="645"/>
    </w:pPr>
    <w:rPr>
      <w:rFonts w:ascii="Arial" w:hAnsi="Arial" w:eastAsia="仿宋_GB2312" w:cs="Arial"/>
      <w:sz w:val="32"/>
      <w:szCs w:val="32"/>
    </w:rPr>
  </w:style>
  <w:style w:type="character" w:styleId="1104" w:customStyle="1">
    <w:name w:val="正文文本缩进 2 字符"/>
    <w:link w:val="1103"/>
    <w:uiPriority w:val="0"/>
    <w:qFormat/>
    <w:rPr>
      <w:rFonts w:ascii="Arial" w:hAnsi="Arial" w:eastAsia="仿宋_GB2312" w:cs="Arial"/>
      <w:sz w:val="32"/>
      <w:szCs w:val="32"/>
    </w:rPr>
  </w:style>
  <w:style w:type="paragraph" w:styleId="1105" w:customStyle="1">
    <w:name w:val="批注框文本1"/>
    <w:basedOn w:val="841"/>
    <w:link w:val="1106"/>
    <w:uiPriority w:val="0"/>
    <w:qFormat/>
    <w:rPr>
      <w:sz w:val="18"/>
      <w:szCs w:val="18"/>
    </w:rPr>
  </w:style>
  <w:style w:type="character" w:styleId="1106" w:customStyle="1">
    <w:name w:val="批注框文本 字符"/>
    <w:link w:val="1105"/>
    <w:uiPriority w:val="0"/>
    <w:qFormat/>
    <w:rPr>
      <w:rFonts w:ascii="Times New Roman" w:hAnsi="Times New Roman" w:eastAsia="宋体" w:cs="Times New Roman"/>
      <w:sz w:val="18"/>
      <w:szCs w:val="18"/>
    </w:rPr>
  </w:style>
  <w:style w:type="paragraph" w:styleId="1107" w:customStyle="1">
    <w:name w:val="页脚1"/>
    <w:basedOn w:val="841"/>
    <w:link w:val="1108"/>
    <w:uiPriority w:val="99"/>
    <w:qFormat/>
    <w:pPr>
      <w:jc w:val="left"/>
      <w:tabs>
        <w:tab w:val="center" w:pos="4153" w:leader="none"/>
        <w:tab w:val="right" w:pos="8306" w:leader="none"/>
      </w:tabs>
    </w:pPr>
    <w:rPr>
      <w:sz w:val="18"/>
      <w:szCs w:val="18"/>
    </w:rPr>
  </w:style>
  <w:style w:type="character" w:styleId="1108" w:customStyle="1">
    <w:name w:val="页脚 字符"/>
    <w:link w:val="1107"/>
    <w:uiPriority w:val="99"/>
    <w:qFormat/>
    <w:rPr>
      <w:rFonts w:ascii="Times New Roman" w:hAnsi="Times New Roman" w:eastAsia="宋体" w:cs="Times New Roman"/>
      <w:sz w:val="18"/>
      <w:szCs w:val="18"/>
    </w:rPr>
  </w:style>
  <w:style w:type="paragraph" w:styleId="1109" w:customStyle="1">
    <w:name w:val="页眉1"/>
    <w:basedOn w:val="841"/>
    <w:link w:val="1110"/>
    <w:uiPriority w:val="0"/>
    <w:qFormat/>
    <w:pPr>
      <w:jc w:val="center"/>
      <w:tabs>
        <w:tab w:val="center" w:pos="4153" w:leader="none"/>
        <w:tab w:val="right" w:pos="8306" w:leader="none"/>
      </w:tabs>
      <w:pBdr>
        <w:bottom w:val="single" w:color="000000" w:sz="6" w:space="1"/>
      </w:pBdr>
    </w:pPr>
    <w:rPr>
      <w:sz w:val="18"/>
      <w:szCs w:val="18"/>
    </w:rPr>
  </w:style>
  <w:style w:type="character" w:styleId="1110" w:customStyle="1">
    <w:name w:val="页眉 字符"/>
    <w:link w:val="1109"/>
    <w:uiPriority w:val="0"/>
    <w:qFormat/>
    <w:rPr>
      <w:rFonts w:ascii="Times New Roman" w:hAnsi="Times New Roman" w:eastAsia="宋体" w:cs="Times New Roman"/>
      <w:sz w:val="18"/>
      <w:szCs w:val="18"/>
    </w:rPr>
  </w:style>
  <w:style w:type="paragraph" w:styleId="1111" w:customStyle="1">
    <w:name w:val="列表1"/>
    <w:basedOn w:val="841"/>
    <w:uiPriority w:val="0"/>
    <w:qFormat/>
    <w:pPr>
      <w:ind w:left="200" w:hanging="200"/>
    </w:pPr>
    <w:rPr>
      <w:szCs w:val="21"/>
    </w:rPr>
  </w:style>
  <w:style w:type="paragraph" w:styleId="1112" w:customStyle="1">
    <w:name w:val="正文文本缩进 31"/>
    <w:basedOn w:val="841"/>
    <w:link w:val="1113"/>
    <w:uiPriority w:val="0"/>
    <w:qFormat/>
    <w:pPr>
      <w:ind w:left="645" w:firstLine="645"/>
    </w:pPr>
    <w:rPr>
      <w:rFonts w:ascii="Arial" w:hAnsi="Arial" w:eastAsia="仿宋_GB2312" w:cs="Arial"/>
      <w:color w:val="ffff00"/>
      <w:sz w:val="32"/>
      <w:szCs w:val="32"/>
    </w:rPr>
  </w:style>
  <w:style w:type="character" w:styleId="1113" w:customStyle="1">
    <w:name w:val="正文文本缩进 3 字符"/>
    <w:link w:val="1112"/>
    <w:uiPriority w:val="0"/>
    <w:qFormat/>
    <w:rPr>
      <w:rFonts w:ascii="Arial" w:hAnsi="Arial" w:eastAsia="仿宋_GB2312" w:cs="Arial"/>
      <w:color w:val="ffff00"/>
      <w:sz w:val="32"/>
      <w:szCs w:val="32"/>
    </w:rPr>
  </w:style>
  <w:style w:type="paragraph" w:styleId="1114" w:customStyle="1">
    <w:name w:val="图表目录1"/>
    <w:basedOn w:val="841"/>
    <w:next w:val="841"/>
    <w:uiPriority w:val="0"/>
    <w:qFormat/>
    <w:pPr>
      <w:ind w:left="840" w:hanging="420"/>
    </w:pPr>
    <w:rPr>
      <w:szCs w:val="21"/>
    </w:rPr>
  </w:style>
  <w:style w:type="paragraph" w:styleId="1115" w:customStyle="1">
    <w:name w:val="正文文本 21"/>
    <w:basedOn w:val="841"/>
    <w:link w:val="1116"/>
    <w:uiPriority w:val="0"/>
    <w:qFormat/>
    <w:pPr>
      <w:jc w:val="center"/>
      <w:widowControl/>
    </w:pPr>
    <w:rPr>
      <w:rFonts w:ascii="楷体_GB2312" w:eastAsia="楷体_GB2312"/>
      <w:sz w:val="28"/>
      <w:szCs w:val="28"/>
    </w:rPr>
  </w:style>
  <w:style w:type="character" w:styleId="1116" w:customStyle="1">
    <w:name w:val="正文文本 2 字符"/>
    <w:link w:val="1115"/>
    <w:uiPriority w:val="0"/>
    <w:qFormat/>
    <w:rPr>
      <w:rFonts w:ascii="楷体_GB2312" w:hAnsi="Times New Roman" w:eastAsia="楷体_GB2312" w:cs="Times New Roman"/>
      <w:sz w:val="28"/>
      <w:szCs w:val="28"/>
    </w:rPr>
  </w:style>
  <w:style w:type="paragraph" w:styleId="1117" w:customStyle="1">
    <w:name w:val="普通(网站)11"/>
    <w:basedOn w:val="841"/>
    <w:uiPriority w:val="99"/>
    <w:qFormat/>
    <w:pPr>
      <w:jc w:val="left"/>
      <w:spacing w:before="100" w:beforeAutospacing="1" w:after="100" w:afterAutospacing="1"/>
      <w:widowControl/>
    </w:pPr>
    <w:rPr>
      <w:rFonts w:ascii="宋体" w:hAnsi="宋体" w:cs="宋体"/>
      <w:sz w:val="24"/>
      <w:szCs w:val="24"/>
    </w:rPr>
  </w:style>
  <w:style w:type="paragraph" w:styleId="1118" w:customStyle="1">
    <w:name w:val="索引 11"/>
    <w:basedOn w:val="841"/>
    <w:next w:val="841"/>
    <w:uiPriority w:val="0"/>
    <w:qFormat/>
    <w:pPr>
      <w:spacing w:line="240" w:lineRule="atLeast"/>
    </w:pPr>
    <w:rPr>
      <w:b/>
      <w:bCs/>
      <w:szCs w:val="21"/>
    </w:rPr>
  </w:style>
  <w:style w:type="paragraph" w:styleId="1119" w:customStyle="1">
    <w:name w:val="批注主题1"/>
    <w:basedOn w:val="1089"/>
    <w:next w:val="1089"/>
    <w:link w:val="1120"/>
    <w:uiPriority w:val="0"/>
    <w:qFormat/>
    <w:rPr>
      <w:b/>
      <w:bCs/>
      <w:szCs w:val="21"/>
    </w:rPr>
  </w:style>
  <w:style w:type="character" w:styleId="1120" w:customStyle="1">
    <w:name w:val="批注主题 字符"/>
    <w:link w:val="1119"/>
    <w:uiPriority w:val="0"/>
    <w:qFormat/>
    <w:rPr>
      <w:rFonts w:ascii="Times New Roman" w:hAnsi="Times New Roman" w:eastAsia="宋体" w:cs="Times New Roman"/>
      <w:b/>
      <w:bCs/>
      <w:szCs w:val="21"/>
    </w:rPr>
  </w:style>
  <w:style w:type="paragraph" w:styleId="1121" w:customStyle="1">
    <w:name w:val="正文文本首行缩进1"/>
    <w:basedOn w:val="841"/>
    <w:link w:val="1122"/>
    <w:uiPriority w:val="0"/>
    <w:qFormat/>
    <w:pPr>
      <w:ind w:firstLine="200"/>
      <w:spacing w:line="360" w:lineRule="auto"/>
    </w:pPr>
    <w:rPr>
      <w:rFonts w:ascii="仿宋_GB2312" w:eastAsia="仿宋_GB2312"/>
      <w:sz w:val="30"/>
      <w:szCs w:val="30"/>
    </w:rPr>
  </w:style>
  <w:style w:type="character" w:styleId="1122" w:customStyle="1">
    <w:name w:val="正文文本首行缩进 字符"/>
    <w:link w:val="1121"/>
    <w:uiPriority w:val="0"/>
    <w:qFormat/>
    <w:rPr>
      <w:rFonts w:ascii="仿宋_GB2312" w:hAnsi="Times New Roman" w:eastAsia="仿宋_GB2312" w:cs="Times New Roman"/>
      <w:sz w:val="30"/>
      <w:szCs w:val="30"/>
    </w:rPr>
  </w:style>
  <w:style w:type="paragraph" w:styleId="1123" w:customStyle="1">
    <w:name w:val="正文文本首行缩进 21"/>
    <w:basedOn w:val="1095"/>
    <w:link w:val="1124"/>
    <w:uiPriority w:val="0"/>
    <w:qFormat/>
    <w:pPr>
      <w:ind w:left="0" w:firstLine="420"/>
      <w:spacing w:after="0" w:line="360" w:lineRule="auto"/>
    </w:pPr>
    <w:rPr>
      <w:rFonts w:ascii="宋体" w:hAnsi="宋体"/>
      <w:szCs w:val="20"/>
    </w:rPr>
  </w:style>
  <w:style w:type="character" w:styleId="1124" w:customStyle="1">
    <w:name w:val="正文文本首行缩进 2 字符"/>
    <w:link w:val="1123"/>
    <w:uiPriority w:val="0"/>
    <w:qFormat/>
    <w:rPr>
      <w:rFonts w:ascii="宋体" w:hAnsi="宋体" w:eastAsia="宋体" w:cs="Times New Roman"/>
      <w:szCs w:val="20"/>
    </w:rPr>
  </w:style>
  <w:style w:type="table" w:styleId="1125" w:customStyle="1">
    <w:name w:val="网格型11"/>
    <w:basedOn w:val="1075"/>
    <w:uiPriority w:val="0"/>
    <w:qFormat/>
    <w:pPr>
      <w:jc w:val="both"/>
      <w:widowControl w:val="off"/>
    </w:pPr>
    <w:tblPr>
      <w:tblCellMar>
        <w:left w:w="0" w:type="dxa"/>
        <w:top w:w="0" w:type="dxa"/>
        <w:right w:w="0" w:type="dxa"/>
        <w:bottom w:w="0" w:type="dxa"/>
      </w:tblCellMar>
    </w:tblPr>
  </w:style>
  <w:style w:type="character" w:styleId="1126" w:customStyle="1">
    <w:name w:val="要点1"/>
    <w:uiPriority w:val="0"/>
    <w:qFormat/>
    <w:rPr>
      <w:b/>
      <w:bCs/>
    </w:rPr>
  </w:style>
  <w:style w:type="character" w:styleId="1127" w:customStyle="1">
    <w:name w:val="页码1"/>
    <w:uiPriority w:val="0"/>
    <w:qFormat/>
  </w:style>
  <w:style w:type="character" w:styleId="1128" w:customStyle="1">
    <w:name w:val="访问过的超链接1"/>
    <w:uiPriority w:val="0"/>
    <w:qFormat/>
    <w:rPr>
      <w:color w:val="800080"/>
      <w:u w:val="single"/>
    </w:rPr>
  </w:style>
  <w:style w:type="character" w:styleId="1129" w:customStyle="1">
    <w:name w:val="强调1"/>
    <w:uiPriority w:val="0"/>
    <w:qFormat/>
    <w:rPr>
      <w:i/>
    </w:rPr>
  </w:style>
  <w:style w:type="character" w:styleId="1130" w:customStyle="1">
    <w:name w:val="超链接1"/>
    <w:uiPriority w:val="0"/>
    <w:qFormat/>
    <w:rPr>
      <w:color w:val="0000ff"/>
      <w:u w:val="single"/>
    </w:rPr>
  </w:style>
  <w:style w:type="character" w:styleId="1131" w:customStyle="1">
    <w:name w:val="批注引用1"/>
    <w:uiPriority w:val="0"/>
    <w:qFormat/>
    <w:rPr>
      <w:sz w:val="21"/>
      <w:szCs w:val="21"/>
    </w:rPr>
  </w:style>
  <w:style w:type="character" w:styleId="1132" w:customStyle="1">
    <w:name w:val="font5 Char"/>
    <w:uiPriority w:val="0"/>
    <w:qFormat/>
    <w:rPr>
      <w:rFonts w:ascii="宋体" w:hAnsi="宋体" w:eastAsia="宋体"/>
      <w:sz w:val="28"/>
      <w:szCs w:val="28"/>
      <w:lang w:val="en-US" w:eastAsia="zh-CN" w:bidi="ar-SA"/>
    </w:rPr>
  </w:style>
  <w:style w:type="character" w:styleId="1133" w:customStyle="1">
    <w:name w:val="二级目录 Char"/>
    <w:link w:val="1134"/>
    <w:uiPriority w:val="0"/>
    <w:qFormat/>
    <w:rPr>
      <w:b/>
      <w:sz w:val="30"/>
      <w:szCs w:val="28"/>
    </w:rPr>
  </w:style>
  <w:style w:type="paragraph" w:styleId="1134" w:customStyle="1">
    <w:name w:val="二级目录"/>
    <w:next w:val="841"/>
    <w:link w:val="113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1135" w:customStyle="1">
    <w:name w:val="列出段落 Char"/>
    <w:link w:val="1136"/>
    <w:uiPriority w:val="0"/>
    <w:qFormat/>
    <w:rPr>
      <w:rFonts w:ascii="Calibri" w:hAnsi="Calibri"/>
      <w:sz w:val="24"/>
      <w:szCs w:val="24"/>
      <w:lang w:eastAsia="en-US" w:bidi="en-US"/>
    </w:rPr>
  </w:style>
  <w:style w:type="paragraph" w:styleId="1136" w:customStyle="1">
    <w:name w:val="列出段落1"/>
    <w:basedOn w:val="841"/>
    <w:link w:val="1135"/>
    <w:uiPriority w:val="0"/>
    <w:qFormat/>
    <w:pPr>
      <w:contextualSpacing/>
      <w:ind w:left="720"/>
      <w:jc w:val="left"/>
      <w:widowControl/>
    </w:pPr>
    <w:rPr>
      <w:rFonts w:ascii="Calibri" w:hAnsi="Calibri"/>
      <w:sz w:val="24"/>
      <w:szCs w:val="24"/>
      <w:lang w:eastAsia="en-US" w:bidi="en-US"/>
    </w:rPr>
  </w:style>
  <w:style w:type="paragraph" w:styleId="1137" w:customStyle="1">
    <w:name w:val="Body Text(ch)"/>
    <w:basedOn w:val="841"/>
    <w:next w:val="1093"/>
    <w:uiPriority w:val="0"/>
    <w:qFormat/>
    <w:pPr>
      <w:spacing w:after="120"/>
    </w:pPr>
    <w:rPr>
      <w:rFonts w:ascii="宋体" w:hAnsi="Arial"/>
      <w:bCs/>
      <w:iCs/>
      <w:szCs w:val="24"/>
    </w:rPr>
  </w:style>
  <w:style w:type="paragraph" w:styleId="1138" w:customStyle="1">
    <w:name w:val="xl27"/>
    <w:basedOn w:val="8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9" w:customStyle="1">
    <w:name w:val="xl26"/>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0" w:customStyle="1">
    <w:name w:val="Char"/>
    <w:basedOn w:val="841"/>
    <w:uiPriority w:val="0"/>
    <w:qFormat/>
    <w:pPr>
      <w:ind w:firstLine="200"/>
      <w:tabs>
        <w:tab w:val="left" w:pos="360" w:leader="none"/>
      </w:tabs>
    </w:pPr>
    <w:rPr>
      <w:sz w:val="28"/>
      <w:szCs w:val="30"/>
    </w:rPr>
  </w:style>
  <w:style w:type="paragraph" w:styleId="1141" w:customStyle="1">
    <w:name w:val="Char1"/>
    <w:basedOn w:val="1087"/>
    <w:uiPriority w:val="0"/>
    <w:qFormat/>
    <w:rPr>
      <w:rFonts w:ascii="Tahoma" w:hAnsi="Tahoma"/>
      <w:sz w:val="24"/>
      <w:szCs w:val="24"/>
    </w:rPr>
  </w:style>
  <w:style w:type="paragraph" w:styleId="1142" w:customStyle="1">
    <w:name w:val="普通正文"/>
    <w:basedOn w:val="841"/>
    <w:link w:val="1143"/>
    <w:uiPriority w:val="0"/>
    <w:qFormat/>
    <w:pPr>
      <w:ind w:firstLine="480"/>
      <w:jc w:val="left"/>
      <w:spacing w:before="120" w:after="120" w:line="360" w:lineRule="auto"/>
    </w:pPr>
    <w:rPr>
      <w:rFonts w:ascii="Arial" w:hAnsi="Arial"/>
      <w:sz w:val="24"/>
      <w:szCs w:val="24"/>
    </w:rPr>
  </w:style>
  <w:style w:type="character" w:styleId="1143" w:customStyle="1">
    <w:name w:val="普通正文 Char"/>
    <w:link w:val="1142"/>
    <w:uiPriority w:val="0"/>
    <w:qFormat/>
    <w:rPr>
      <w:rFonts w:ascii="Arial" w:hAnsi="Arial"/>
      <w:sz w:val="24"/>
      <w:szCs w:val="24"/>
    </w:rPr>
  </w:style>
  <w:style w:type="paragraph" w:styleId="1144" w:customStyle="1">
    <w:name w:val="table_lines"/>
    <w:basedOn w:val="841"/>
    <w:uiPriority w:val="0"/>
    <w:qFormat/>
    <w:pPr>
      <w:jc w:val="left"/>
      <w:widowControl/>
    </w:pPr>
    <w:rPr>
      <w:sz w:val="20"/>
      <w:szCs w:val="20"/>
      <w:lang w:val="de-DE" w:eastAsia="de-DE"/>
    </w:rPr>
  </w:style>
  <w:style w:type="paragraph" w:styleId="1145"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146"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1147" w:customStyle="1">
    <w:name w:val="Char Char Char Char"/>
    <w:basedOn w:val="1087"/>
    <w:uiPriority w:val="0"/>
    <w:qFormat/>
    <w:pPr>
      <w:spacing w:line="360" w:lineRule="auto"/>
    </w:pPr>
    <w:rPr>
      <w:rFonts w:ascii="Tahoma" w:hAnsi="Tahoma"/>
      <w:sz w:val="24"/>
      <w:szCs w:val="24"/>
    </w:rPr>
  </w:style>
  <w:style w:type="paragraph" w:styleId="1148" w:customStyle="1">
    <w:name w:val="列表段落1"/>
    <w:basedOn w:val="841"/>
    <w:uiPriority w:val="0"/>
    <w:qFormat/>
    <w:pPr>
      <w:contextualSpacing/>
      <w:ind w:left="720"/>
      <w:jc w:val="left"/>
      <w:widowControl/>
    </w:pPr>
    <w:rPr>
      <w:rFonts w:ascii="Calibri" w:hAnsi="Calibri"/>
      <w:sz w:val="24"/>
      <w:szCs w:val="24"/>
      <w:lang w:eastAsia="en-US" w:bidi="en-US"/>
    </w:rPr>
  </w:style>
  <w:style w:type="paragraph" w:styleId="1149" w:customStyle="1">
    <w:name w:val="4"/>
    <w:basedOn w:val="841"/>
    <w:next w:val="1112"/>
    <w:uiPriority w:val="0"/>
    <w:qFormat/>
    <w:pPr>
      <w:ind w:firstLine="420"/>
      <w:spacing w:line="360" w:lineRule="auto"/>
    </w:pPr>
    <w:rPr>
      <w:color w:val="ff0000"/>
      <w:sz w:val="24"/>
      <w:szCs w:val="24"/>
    </w:rPr>
  </w:style>
  <w:style w:type="paragraph" w:styleId="1150"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1151" w:customStyle="1">
    <w:name w:val="Char Char Char Char Char Char Char Char Char Char"/>
    <w:basedOn w:val="841"/>
    <w:uiPriority w:val="0"/>
    <w:qFormat/>
    <w:pPr>
      <w:spacing w:line="360" w:lineRule="auto"/>
    </w:pPr>
    <w:rPr>
      <w:sz w:val="24"/>
      <w:szCs w:val="20"/>
    </w:rPr>
  </w:style>
  <w:style w:type="paragraph" w:styleId="1152" w:customStyle="1">
    <w:name w:val="样式1"/>
    <w:basedOn w:val="841"/>
    <w:uiPriority w:val="0"/>
    <w:qFormat/>
    <w:pPr>
      <w:numPr>
        <w:ilvl w:val="0"/>
        <w:numId w:val="3"/>
      </w:numPr>
    </w:pPr>
    <w:rPr>
      <w:rFonts w:ascii="宋体" w:hAnsi="宋体"/>
      <w:szCs w:val="21"/>
    </w:rPr>
  </w:style>
  <w:style w:type="paragraph" w:styleId="1153"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1154"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5"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6"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1157" w:customStyle="1">
    <w:name w:val="xl24"/>
    <w:basedOn w:val="8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8" w:customStyle="1">
    <w:name w:val="xl29"/>
    <w:basedOn w:val="8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9"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1160" w:customStyle="1">
    <w:name w:val="xl28"/>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1"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1162"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1163" w:customStyle="1">
    <w:name w:val="Char Char Char Char1"/>
    <w:basedOn w:val="1087"/>
    <w:uiPriority w:val="0"/>
    <w:qFormat/>
    <w:pPr>
      <w:spacing w:line="360" w:lineRule="auto"/>
    </w:pPr>
    <w:rPr>
      <w:rFonts w:ascii="Tahoma" w:hAnsi="Tahoma"/>
      <w:sz w:val="24"/>
      <w:szCs w:val="24"/>
    </w:rPr>
  </w:style>
  <w:style w:type="paragraph" w:styleId="1164" w:customStyle="1">
    <w:name w:val="table_1stline"/>
    <w:basedOn w:val="841"/>
    <w:uiPriority w:val="0"/>
    <w:qFormat/>
    <w:pPr>
      <w:jc w:val="left"/>
      <w:spacing w:before="120"/>
      <w:widowControl/>
    </w:pPr>
    <w:rPr>
      <w:bCs/>
      <w:sz w:val="20"/>
      <w:szCs w:val="20"/>
      <w:lang w:val="de-DE" w:eastAsia="de-DE"/>
    </w:rPr>
  </w:style>
  <w:style w:type="paragraph" w:styleId="1165"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1166"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7" w:customStyle="1">
    <w:name w:val="修订1"/>
    <w:uiPriority w:val="99"/>
    <w:qFormat/>
    <w:rPr>
      <w:rFonts w:hint="default" w:ascii="Times New Roman" w:hAnsi="Times New Roman" w:eastAsia="宋体" w:cs="Times New Roman"/>
      <w:sz w:val="21"/>
      <w:szCs w:val="21"/>
    </w:rPr>
  </w:style>
  <w:style w:type="paragraph" w:styleId="1168"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169"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170" w:customStyle="1">
    <w:name w:val="标题 311"/>
    <w:basedOn w:val="841"/>
    <w:next w:val="1171"/>
    <w:uiPriority w:val="0"/>
    <w:qFormat/>
    <w:pPr>
      <w:keepLines/>
      <w:keepNext/>
      <w:spacing w:before="260" w:after="260" w:line="416" w:lineRule="auto"/>
      <w:outlineLvl w:val="2"/>
    </w:pPr>
    <w:rPr>
      <w:b/>
      <w:bCs/>
      <w:sz w:val="32"/>
      <w:szCs w:val="32"/>
    </w:rPr>
  </w:style>
  <w:style w:type="paragraph" w:styleId="1171" w:customStyle="1">
    <w:name w:val="正文缩进111"/>
    <w:basedOn w:val="841"/>
    <w:uiPriority w:val="0"/>
    <w:qFormat/>
    <w:pPr>
      <w:ind w:firstLine="420"/>
    </w:pPr>
  </w:style>
  <w:style w:type="paragraph" w:styleId="1172" w:customStyle="1">
    <w:name w:val="普通(网站)1"/>
    <w:basedOn w:val="841"/>
    <w:uiPriority w:val="99"/>
    <w:qFormat/>
    <w:pPr>
      <w:jc w:val="left"/>
      <w:spacing w:before="100" w:beforeAutospacing="1" w:after="100" w:afterAutospacing="1"/>
      <w:widowControl/>
    </w:pPr>
    <w:rPr>
      <w:rFonts w:ascii="宋体" w:hAnsi="宋体" w:cs="宋体"/>
      <w:sz w:val="24"/>
      <w:szCs w:val="24"/>
    </w:rPr>
  </w:style>
  <w:style w:type="paragraph" w:styleId="1173" w:customStyle="1">
    <w:name w:val="目录 11"/>
    <w:basedOn w:val="841"/>
    <w:next w:val="841"/>
    <w:uiPriority w:val="0"/>
    <w:qFormat/>
    <w:pPr>
      <w:jc w:val="left"/>
      <w:spacing w:before="120" w:after="120" w:line="400" w:lineRule="exact"/>
      <w:tabs>
        <w:tab w:val="right" w:pos="8720" w:leader="dot"/>
      </w:tabs>
    </w:pPr>
    <w:rPr>
      <w:rFonts w:ascii="宋体" w:hAnsi="宋体"/>
      <w:caps/>
      <w:sz w:val="24"/>
      <w:szCs w:val="24"/>
    </w:rPr>
  </w:style>
  <w:style w:type="table" w:styleId="1174" w:customStyle="1">
    <w:name w:val="网格型1"/>
    <w:basedOn w:val="1175"/>
    <w:uiPriority w:val="0"/>
    <w:qFormat/>
    <w:pPr>
      <w:jc w:val="both"/>
      <w:widowControl w:val="off"/>
    </w:pPr>
    <w:tblPr>
      <w:tblCellMar>
        <w:left w:w="0" w:type="dxa"/>
        <w:top w:w="0" w:type="dxa"/>
        <w:right w:w="0" w:type="dxa"/>
        <w:bottom w:w="0" w:type="dxa"/>
      </w:tblCellMar>
    </w:tblPr>
  </w:style>
  <w:style w:type="table" w:styleId="1175" w:customStyle="1">
    <w:name w:val="普通表格1"/>
    <w:uiPriority w:val="99"/>
    <w:qFormat/>
    <w:tblPr>
      <w:tblCellMar>
        <w:left w:w="0" w:type="dxa"/>
        <w:top w:w="0" w:type="dxa"/>
        <w:right w:w="0" w:type="dxa"/>
        <w:bottom w:w="0" w:type="dxa"/>
      </w:tblCellMar>
    </w:tblPr>
  </w:style>
  <w:style w:type="character" w:styleId="1176" w:customStyle="1">
    <w:name w:val="font01"/>
    <w:uiPriority w:val="0"/>
    <w:qFormat/>
    <w:rPr>
      <w:rFonts w:ascii="Times New Roman" w:hAnsi="Times New Roman" w:eastAsia="宋体" w:cs="Times New Roman"/>
      <w:sz w:val="21"/>
      <w:szCs w:val="22"/>
      <w:lang w:val="en-US" w:eastAsia="zh-CN" w:bidi="ar-SA"/>
    </w:rPr>
  </w:style>
  <w:style w:type="paragraph" w:styleId="1177" w:customStyle="1">
    <w:name w:val="Table Paragraph"/>
    <w:basedOn w:val="841"/>
    <w:uiPriority w:val="1"/>
    <w:qFormat/>
    <w:rPr>
      <w:rFonts w:ascii="黑体" w:hAnsi="黑体" w:eastAsia="黑体" w:cs="黑体"/>
      <w:sz w:val="22"/>
    </w:rPr>
  </w:style>
  <w:style w:type="paragraph" w:styleId="1178" w:customStyle="1">
    <w:name w:val="Revision_e51777e8-2a07-45ac-9038-73e72f8cf595"/>
    <w:uiPriority w:val="99"/>
    <w:qFormat/>
    <w:rPr>
      <w:rFonts w:hint="default" w:ascii="Times New Roman" w:hAnsi="Times New Roman" w:eastAsia="宋体" w:cs="Times New Roman"/>
      <w:sz w:val="21"/>
      <w:szCs w:val="22"/>
    </w:rPr>
  </w:style>
  <w:style w:type="character" w:styleId="1179" w:customStyle="1">
    <w:name w:val="font11"/>
    <w:basedOn w:val="851"/>
    <w:uiPriority w:val="0"/>
    <w:qFormat/>
    <w:rPr>
      <w:rFonts w:hint="eastAsia" w:ascii="宋体" w:hAnsi="宋体" w:eastAsia="宋体" w:cs="宋体"/>
      <w:color w:val="000000"/>
      <w:sz w:val="22"/>
      <w:szCs w:val="22"/>
      <w:u w:val="none"/>
    </w:rPr>
  </w:style>
  <w:style w:type="character" w:styleId="1180" w:customStyle="1">
    <w:name w:val="font21"/>
    <w:basedOn w:val="851"/>
    <w:uiPriority w:val="0"/>
    <w:qFormat/>
    <w:rPr>
      <w:rFonts w:hint="eastAsia" w:ascii="宋体" w:hAnsi="宋体" w:eastAsia="宋体" w:cs="宋体"/>
      <w:color w:val="000000"/>
      <w:sz w:val="22"/>
      <w:szCs w:val="22"/>
      <w:u w:val="none"/>
    </w:rPr>
  </w:style>
  <w:style w:type="paragraph" w:styleId="1181" w:customStyle="1">
    <w:name w:val="首行缩进"/>
    <w:basedOn w:val="841"/>
    <w:uiPriority w:val="99"/>
    <w:qFormat/>
    <w:pPr>
      <w:ind w:firstLine="480"/>
      <w:widowControl/>
    </w:pPr>
    <w:rPr>
      <w:szCs w:val="20"/>
      <w:lang w:val="zh-CN"/>
    </w:rPr>
  </w:style>
  <w:style w:type="paragraph" w:styleId="1182" w:customStyle="1">
    <w:name w:val="_Style 1"/>
    <w:basedOn w:val="841"/>
    <w:uiPriority w:val="34"/>
    <w:qFormat/>
    <w:pPr>
      <w:ind w:firstLine="420"/>
    </w:pPr>
    <w:rPr>
      <w:rFonts w:ascii="Calibri" w:hAnsi="Calibri"/>
      <w:szCs w:val="20"/>
    </w:rPr>
  </w:style>
  <w:style w:type="character" w:styleId="1183" w:customStyle="1">
    <w:name w:val="font71"/>
    <w:basedOn w:val="851"/>
    <w:uiPriority w:val="0"/>
    <w:qFormat/>
    <w:rPr>
      <w:rFonts w:hint="default" w:ascii="仿宋_GB2312" w:eastAsia="仿宋_GB2312" w:cs="仿宋_GB2312"/>
      <w:color w:val="000000"/>
      <w:sz w:val="22"/>
      <w:szCs w:val="22"/>
      <w:u w:val="none"/>
    </w:rPr>
  </w:style>
  <w:style w:type="character" w:styleId="1184" w:customStyle="1">
    <w:name w:val="font112"/>
    <w:basedOn w:val="851"/>
    <w:uiPriority w:val="0"/>
    <w:qFormat/>
    <w:rPr>
      <w:rFonts w:hint="default" w:ascii="Times New Roman" w:hAnsi="Times New Roman" w:cs="Times New Roman"/>
      <w:color w:val="000000"/>
      <w:sz w:val="22"/>
      <w:szCs w:val="22"/>
      <w:u w:val="none"/>
    </w:rPr>
  </w:style>
  <w:style w:type="character" w:styleId="1185" w:customStyle="1">
    <w:name w:val="font81"/>
    <w:basedOn w:val="851"/>
    <w:uiPriority w:val="0"/>
    <w:qFormat/>
    <w:rPr>
      <w:rFonts w:hint="default" w:ascii="仿宋_GB2312" w:eastAsia="仿宋_GB2312" w:cs="仿宋_GB2312"/>
      <w:color w:val="000000"/>
      <w:sz w:val="22"/>
      <w:szCs w:val="22"/>
      <w:u w:val="none"/>
    </w:rPr>
  </w:style>
  <w:style w:type="character" w:styleId="1186" w:customStyle="1">
    <w:name w:val="font121"/>
    <w:basedOn w:val="851"/>
    <w:uiPriority w:val="0"/>
    <w:qFormat/>
    <w:rPr>
      <w:rFonts w:hint="default" w:ascii="Times New Roman" w:hAnsi="Times New Roman" w:cs="Times New Roman"/>
      <w:color w:val="000000"/>
      <w:sz w:val="22"/>
      <w:szCs w:val="22"/>
      <w:u w:val="none"/>
    </w:rPr>
  </w:style>
  <w:style w:type="numbering" w:styleId="1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jpg"/><Relationship Id="rId103" Type="http://schemas.openxmlformats.org/officeDocument/2006/relationships/image" Target="media/image85.jpg"/><Relationship Id="rId104" Type="http://schemas.openxmlformats.org/officeDocument/2006/relationships/image" Target="media/image86.jpg"/><Relationship Id="rId105" Type="http://schemas.openxmlformats.org/officeDocument/2006/relationships/image" Target="media/image87.jp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jp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张浩宇</cp:lastModifiedBy>
  <cp:revision>8</cp:revision>
  <dcterms:created xsi:type="dcterms:W3CDTF">2026-06-10T07:54:00Z</dcterms:created>
  <dcterms:modified xsi:type="dcterms:W3CDTF">2026-08-31T09:28:03Z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eyJoZGlkIjoiNmY0NDBlMjdlNDZmYmZmOTIxZmNjNWEyYmIzMDNkNTMiLCJ1c2VySWQiOiI3MzE1MTk2MjkifQ==</vt:lpwstr>
  </property>
  <property fmtid="{D5CDD505-2E9C-101B-9397-08002B2CF9AE}" pid="3" name="KSOProductBuildVer">
    <vt:lpwstr>2052-12.1.0.28043</vt:lpwstr>
  </property>
  <property fmtid="{D5CDD505-2E9C-101B-9397-08002B2CF9AE}" pid="4" name="ICV">
    <vt:lpwstr>002CDC354C9245CE9C518A7E7E4107E6_13</vt:lpwstr>
  </property>
</Properties>
</file>