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sz w:val="30"/>
          <w:szCs w:val="30"/>
          <w:highlight w:val="none"/>
        </w:rPr>
      </w:pPr>
      <w:r/>
      <w:bookmarkStart w:id="98" w:name="_GoBack"/>
      <w:r/>
      <w:bookmarkEnd w:id="98"/>
      <w:r/>
      <w:r/>
    </w:p>
    <w:p>
      <w:pPr>
        <w:pStyle w:val="926"/>
        <w:jc w:val="center"/>
        <w:rPr>
          <w:rFonts w:hint="eastAsia" w:ascii="宋体" w:hAnsi="宋体" w:eastAsia="宋体" w:cs="宋体"/>
          <w:b/>
          <w:bCs/>
          <w:color w:val="000000"/>
          <w:sz w:val="96"/>
          <w:szCs w:val="96"/>
          <w:highlight w:val="none"/>
        </w:rPr>
      </w:pPr>
      <w:r>
        <w:rPr>
          <w:rFonts w:hint="eastAsia" w:ascii="宋体" w:hAnsi="宋体" w:eastAsia="宋体" w:cs="宋体"/>
          <w:b/>
          <w:bCs/>
          <w:color w:val="000000"/>
          <w:sz w:val="96"/>
          <w:szCs w:val="96"/>
          <w:highlight w:val="none"/>
        </w:rPr>
      </w:r>
      <w:r/>
    </w:p>
    <w:p>
      <w:pPr>
        <w:pStyle w:val="926"/>
        <w:jc w:val="center"/>
        <w:rPr>
          <w:rFonts w:hint="eastAsia" w:ascii="宋体" w:hAnsi="宋体" w:eastAsia="宋体" w:cs="宋体"/>
          <w:b/>
          <w:bCs/>
          <w:color w:val="000000"/>
          <w:sz w:val="96"/>
          <w:szCs w:val="96"/>
          <w:highlight w:val="none"/>
        </w:rPr>
      </w:pPr>
      <w:r>
        <w:rPr>
          <w:rFonts w:hint="eastAsia" w:ascii="宋体" w:hAnsi="宋体" w:eastAsia="宋体" w:cs="宋体"/>
          <w:b/>
          <w:color w:val="000000"/>
          <w:sz w:val="96"/>
          <w:szCs w:val="96"/>
          <w:highlight w:val="none"/>
        </w:rPr>
        <w:t xml:space="preserve">锡山区政府采购</w:t>
      </w:r>
      <w:r/>
    </w:p>
    <w:p>
      <w:pPr>
        <w:pStyle w:val="9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6"/>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公开招标文件</w:t>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（全流程电子化）</w:t>
      </w:r>
      <w:r/>
    </w:p>
    <w:p>
      <w:pPr>
        <w:jc w:val="left"/>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7"/>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项目名称：</w:t>
      </w:r>
      <w:r>
        <w:rPr>
          <w:rFonts w:hint="eastAsia" w:ascii="宋体" w:hAnsi="宋体" w:eastAsia="宋体" w:cs="宋体"/>
          <w:b w:val="0"/>
          <w:bCs w:val="0"/>
          <w:color w:val="000000"/>
          <w:sz w:val="28"/>
          <w:szCs w:val="28"/>
          <w:highlight w:val="none"/>
          <w:lang w:eastAsia="zh-CN"/>
        </w:rPr>
        <w:t xml:space="preserve">2026-2027年空气质量改善第三方单位服务项目</w:t>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项目编号：</w:t>
      </w:r>
      <w:r>
        <w:rPr>
          <w:rFonts w:hint="eastAsia" w:ascii="宋体" w:hAnsi="宋体" w:eastAsia="宋体" w:cs="宋体"/>
          <w:b w:val="0"/>
          <w:bCs w:val="0"/>
          <w:color w:val="000000"/>
          <w:sz w:val="28"/>
          <w:szCs w:val="28"/>
          <w:highlight w:val="none"/>
          <w:lang w:eastAsia="zh-CN"/>
        </w:rPr>
        <w:t xml:space="preserve">JSZC-320205-JXXL-G2026-0010</w:t>
      </w:r>
      <w:r>
        <w:rPr>
          <w:rFonts w:hint="eastAsia" w:ascii="宋体" w:hAnsi="宋体" w:eastAsia="宋体" w:cs="宋体"/>
          <w:b w:val="0"/>
          <w:bCs w:val="0"/>
          <w:color w:val="000000"/>
          <w:sz w:val="28"/>
          <w:szCs w:val="28"/>
          <w:highlight w:val="none"/>
          <w:lang w:eastAsia="zh-CN"/>
        </w:rPr>
        <w:tab/>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采购单位：</w:t>
      </w:r>
      <w:r>
        <w:rPr>
          <w:rFonts w:hint="eastAsia" w:ascii="宋体" w:hAnsi="宋体" w:eastAsia="宋体" w:cs="宋体"/>
          <w:b w:val="0"/>
          <w:bCs w:val="0"/>
          <w:color w:val="000000"/>
          <w:sz w:val="28"/>
          <w:szCs w:val="28"/>
          <w:highlight w:val="none"/>
          <w:lang w:eastAsia="zh-CN"/>
        </w:rPr>
        <w:t xml:space="preserve">无锡市锡山生态环境局</w:t>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w:t>
      </w:r>
      <w:r>
        <w:rPr>
          <w:rFonts w:hint="eastAsia" w:ascii="宋体" w:hAnsi="宋体" w:eastAsia="宋体" w:cs="宋体"/>
          <w:b/>
          <w:bCs/>
          <w:color w:val="000000"/>
          <w:sz w:val="32"/>
          <w:szCs w:val="32"/>
          <w:highlight w:val="none"/>
          <w:lang w:eastAsia="zh-CN"/>
        </w:rPr>
        <w:t xml:space="preserve">代理</w:t>
      </w:r>
      <w:r>
        <w:rPr>
          <w:rFonts w:hint="eastAsia" w:ascii="宋体" w:hAnsi="宋体" w:eastAsia="宋体" w:cs="宋体"/>
          <w:b/>
          <w:bCs/>
          <w:color w:val="000000"/>
          <w:sz w:val="32"/>
          <w:szCs w:val="32"/>
          <w:highlight w:val="none"/>
        </w:rPr>
        <w:t xml:space="preserve">机构：</w:t>
      </w:r>
      <w:r>
        <w:rPr>
          <w:rFonts w:hint="eastAsia" w:ascii="宋体" w:hAnsi="宋体" w:eastAsia="宋体" w:cs="宋体"/>
          <w:b w:val="0"/>
          <w:bCs w:val="0"/>
          <w:color w:val="000000"/>
          <w:sz w:val="28"/>
          <w:szCs w:val="28"/>
          <w:highlight w:val="none"/>
          <w:lang w:eastAsia="zh-CN"/>
        </w:rPr>
        <w:t xml:space="preserve">江苏欣希联项目管理有限公司</w:t>
      </w:r>
      <w:r/>
    </w:p>
    <w:p>
      <w:pPr>
        <w:pStyle w:val="930"/>
        <w:ind w:firstLine="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lang w:eastAsia="zh-CN"/>
        </w:rPr>
        <w:t xml:space="preserve">二〇二六</w:t>
      </w:r>
      <w:r>
        <w:rPr>
          <w:rFonts w:hint="eastAsia" w:ascii="宋体" w:hAnsi="宋体" w:eastAsia="宋体" w:cs="宋体"/>
          <w:b/>
          <w:color w:val="000000"/>
          <w:sz w:val="40"/>
          <w:szCs w:val="40"/>
          <w:highlight w:val="none"/>
        </w:rPr>
        <w:t xml:space="preserve">年</w:t>
      </w:r>
      <w:r>
        <w:rPr>
          <w:rFonts w:hint="eastAsia" w:ascii="宋体" w:hAnsi="宋体" w:eastAsia="宋体" w:cs="宋体"/>
          <w:b/>
          <w:color w:val="000000"/>
          <w:sz w:val="40"/>
          <w:szCs w:val="40"/>
          <w:highlight w:val="none"/>
          <w:lang w:val="en-US" w:eastAsia="zh-CN"/>
        </w:rPr>
        <w:t xml:space="preserve">七</w:t>
      </w:r>
      <w:r>
        <w:rPr>
          <w:rFonts w:hint="eastAsia" w:ascii="宋体" w:hAnsi="宋体" w:eastAsia="宋体" w:cs="宋体"/>
          <w:b/>
          <w:color w:val="000000"/>
          <w:sz w:val="40"/>
          <w:szCs w:val="40"/>
          <w:highlight w:val="none"/>
        </w:rPr>
        <w:t xml:space="preserve">月</w:t>
      </w:r>
      <w:r/>
    </w:p>
    <w:p>
      <w:pP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br w:type="page" w:clear="all"/>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52"/>
          <w:szCs w:val="52"/>
          <w:highlight w:val="none"/>
        </w:rPr>
        <w:t xml:space="preserve">目    录</w:t>
      </w:r>
      <w:r/>
    </w:p>
    <w:p>
      <w:pPr>
        <w:pStyle w:val="9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2"/>
        <w:jc w:val="both"/>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40"/>
          <w:szCs w:val="44"/>
          <w:highlight w:val="none"/>
        </w:rPr>
        <w:fldChar w:fldCharType="begin"/>
      </w:r>
      <w:r>
        <w:rPr>
          <w:rFonts w:hint="eastAsia" w:ascii="宋体" w:hAnsi="宋体" w:eastAsia="宋体" w:cs="宋体"/>
          <w:bCs/>
          <w:color w:val="000000"/>
          <w:sz w:val="40"/>
          <w:szCs w:val="44"/>
          <w:highlight w:val="none"/>
        </w:rPr>
        <w:instrText xml:space="preserve">TOC \o "1-1" \h \u </w:instrText>
      </w:r>
      <w:r>
        <w:rPr>
          <w:rFonts w:hint="eastAsia" w:ascii="宋体" w:hAnsi="宋体" w:eastAsia="宋体" w:cs="宋体"/>
          <w:bCs/>
          <w:color w:val="000000"/>
          <w:sz w:val="40"/>
          <w:szCs w:val="44"/>
          <w:highlight w:val="none"/>
        </w:rPr>
        <w:fldChar w:fldCharType="separate"/>
      </w:r>
      <w:r>
        <w:rPr>
          <w:rFonts w:hint="eastAsia" w:ascii="宋体" w:hAnsi="宋体" w:eastAsia="宋体" w:cs="宋体"/>
          <w:bCs/>
          <w:color w:val="000000"/>
          <w:sz w:val="28"/>
          <w:szCs w:val="28"/>
          <w:highlight w:val="none"/>
          <w:lang w:val="en-US" w:eastAsia="zh-CN"/>
        </w:rPr>
        <w:t xml:space="preserve">投标邀请函................................................3</w:t>
      </w:r>
      <w:r/>
    </w:p>
    <w:p>
      <w:pPr>
        <w:pStyle w:val="932"/>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32"/>
        <w:jc w:val="both"/>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投标人须知................................................6</w:t>
      </w:r>
      <w:r/>
    </w:p>
    <w:p>
      <w:pPr>
        <w:pStyle w:val="932"/>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32"/>
        <w:jc w:val="both"/>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项目要求和有关说明.......................................19</w:t>
      </w:r>
      <w:r/>
    </w:p>
    <w:p>
      <w:pPr>
        <w:pStyle w:val="932"/>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32"/>
        <w:jc w:val="both"/>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合同书（格式）...........................................29</w:t>
      </w:r>
      <w:r/>
    </w:p>
    <w:p>
      <w:pPr>
        <w:pStyle w:val="932"/>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32"/>
        <w:jc w:val="both"/>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合同条款.................................................30</w:t>
      </w:r>
      <w:r/>
    </w:p>
    <w:p>
      <w:pPr>
        <w:pStyle w:val="932"/>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32"/>
        <w:jc w:val="both"/>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附件.....................................................34</w:t>
      </w:r>
      <w:r/>
    </w:p>
    <w:p>
      <w:pPr>
        <w:pStyle w:val="921"/>
        <w:spacing w:after="0" w:line="860" w:lineRule="exact"/>
        <w:tabs>
          <w:tab w:val="right" w:pos="8306" w:leader="dot"/>
        </w:tabs>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925"/>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925"/>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pStyle w:val="925"/>
        <w:rPr>
          <w:rFonts w:hint="eastAsia" w:ascii="宋体" w:hAnsi="宋体" w:eastAsia="宋体" w:cs="宋体"/>
          <w:color w:val="000000"/>
          <w:sz w:val="40"/>
          <w:szCs w:val="44"/>
          <w:highlight w:val="none"/>
        </w:rPr>
      </w:pPr>
      <w:r>
        <w:rPr>
          <w:rFonts w:hint="eastAsia" w:ascii="宋体" w:hAnsi="宋体" w:eastAsia="宋体" w:cs="宋体"/>
          <w:color w:val="000000"/>
          <w:sz w:val="40"/>
          <w:szCs w:val="4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2"/>
        <w:jc w:val="center"/>
        <w:spacing w:before="0" w:after="0" w:line="860" w:lineRule="exact"/>
        <w:rPr>
          <w:rFonts w:hint="eastAsia" w:ascii="宋体" w:hAnsi="宋体" w:eastAsia="宋体" w:cs="宋体"/>
          <w:color w:val="000000"/>
          <w:sz w:val="56"/>
          <w:szCs w:val="56"/>
          <w:highlight w:val="none"/>
        </w:rPr>
      </w:pPr>
      <w:r>
        <w:rPr>
          <w:rFonts w:hint="eastAsia" w:ascii="宋体" w:hAnsi="宋体" w:eastAsia="宋体" w:cs="宋体"/>
          <w:bCs/>
          <w:color w:val="000000"/>
          <w:sz w:val="56"/>
          <w:szCs w:val="56"/>
          <w:highlight w:val="none"/>
        </w:rPr>
        <w:fldChar w:fldCharType="end"/>
      </w:r>
      <w:r/>
    </w:p>
    <w:p>
      <w:pPr>
        <w:pStyle w:val="932"/>
        <w:jc w:val="center"/>
        <w:spacing w:before="0" w:after="0" w:line="860" w:lineRule="exact"/>
        <w:rPr>
          <w:rFonts w:hint="eastAsia" w:ascii="宋体" w:hAnsi="宋体" w:eastAsia="宋体" w:cs="宋体"/>
          <w:b/>
          <w:bCs/>
          <w:color w:val="000000"/>
          <w:sz w:val="32"/>
          <w:szCs w:val="32"/>
          <w:highlight w:val="none"/>
        </w:rPr>
      </w:pPr>
      <w:r/>
      <w:bookmarkStart w:id="0" w:name="_Toc8523"/>
      <w:r/>
      <w:bookmarkStart w:id="1" w:name="_Toc4535"/>
      <w:r/>
      <w:bookmarkStart w:id="2" w:name="_Toc2992"/>
      <w:r>
        <w:rPr>
          <w:rFonts w:hint="eastAsia" w:ascii="宋体" w:hAnsi="宋体" w:eastAsia="宋体" w:cs="宋体"/>
          <w:b/>
          <w:bCs/>
          <w:color w:val="000000"/>
          <w:sz w:val="32"/>
          <w:szCs w:val="32"/>
          <w:highlight w:val="none"/>
        </w:rPr>
        <w:t xml:space="preserve">一、投标邀请函</w:t>
      </w:r>
      <w:bookmarkEnd w:id="0"/>
      <w:r/>
      <w:bookmarkEnd w:id="1"/>
      <w:r/>
      <w:bookmarkEnd w:id="2"/>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受</w:t>
      </w:r>
      <w:r>
        <w:rPr>
          <w:rFonts w:hint="eastAsia" w:ascii="宋体" w:hAnsi="宋体" w:eastAsia="宋体" w:cs="宋体"/>
          <w:bCs/>
          <w:color w:val="000000"/>
          <w:sz w:val="24"/>
          <w:szCs w:val="24"/>
          <w:highlight w:val="none"/>
          <w:lang w:eastAsia="zh-CN"/>
        </w:rPr>
        <w:t xml:space="preserve">无锡市锡山生态环境局</w:t>
      </w:r>
      <w:r>
        <w:rPr>
          <w:rFonts w:hint="eastAsia" w:ascii="宋体" w:hAnsi="宋体" w:eastAsia="宋体" w:cs="宋体"/>
          <w:bCs/>
          <w:color w:val="000000"/>
          <w:sz w:val="24"/>
          <w:szCs w:val="24"/>
          <w:highlight w:val="none"/>
        </w:rPr>
        <w:t xml:space="preserve">委托，对</w:t>
      </w:r>
      <w:r>
        <w:rPr>
          <w:rFonts w:hint="eastAsia" w:ascii="宋体" w:hAnsi="宋体" w:eastAsia="宋体" w:cs="宋体"/>
          <w:bCs/>
          <w:color w:val="000000"/>
          <w:sz w:val="24"/>
          <w:szCs w:val="24"/>
          <w:highlight w:val="none"/>
          <w:lang w:eastAsia="zh-CN"/>
        </w:rPr>
        <w:t xml:space="preserve">无锡市锡山生态环境局2026-2027年空气质量改善第三方单位服务项目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（一）招标项目信息</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2026-2027年空气质量改善第三方单位服务项目</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2.项目编号：JSZC-320205-JXXL-G2026-0010</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3.项目预算：</w:t>
      </w:r>
      <w:r>
        <w:rPr>
          <w:rFonts w:hint="eastAsia" w:ascii="宋体" w:hAnsi="宋体" w:eastAsia="宋体" w:cs="宋体"/>
          <w:bCs/>
          <w:color w:val="000000"/>
          <w:sz w:val="24"/>
          <w:szCs w:val="24"/>
          <w:highlight w:val="none"/>
          <w:lang w:val="en-US" w:eastAsia="zh-CN"/>
        </w:rPr>
        <w:t xml:space="preserve">458</w:t>
      </w:r>
      <w:r>
        <w:rPr>
          <w:rFonts w:hint="eastAsia" w:ascii="宋体" w:hAnsi="宋体" w:eastAsia="宋体" w:cs="宋体"/>
          <w:bCs/>
          <w:color w:val="000000"/>
          <w:sz w:val="24"/>
          <w:szCs w:val="24"/>
          <w:highlight w:val="none"/>
        </w:rPr>
        <w:t xml:space="preserve">万元，投标最高限价为</w:t>
      </w:r>
      <w:r>
        <w:rPr>
          <w:rFonts w:hint="eastAsia" w:ascii="宋体" w:hAnsi="宋体" w:eastAsia="宋体" w:cs="宋体"/>
          <w:bCs/>
          <w:color w:val="000000"/>
          <w:sz w:val="24"/>
          <w:szCs w:val="24"/>
          <w:highlight w:val="none"/>
          <w:lang w:val="en-US" w:eastAsia="zh-CN"/>
        </w:rPr>
        <w:t xml:space="preserve">458</w:t>
      </w:r>
      <w:r>
        <w:rPr>
          <w:rFonts w:hint="eastAsia" w:ascii="宋体" w:hAnsi="宋体" w:eastAsia="宋体" w:cs="宋体"/>
          <w:bCs/>
          <w:color w:val="000000"/>
          <w:sz w:val="24"/>
          <w:szCs w:val="24"/>
          <w:highlight w:val="none"/>
        </w:rPr>
        <w:t xml:space="preserve">万元，投标报价不得超过最高限价，否则作无效投标文件处理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4.合同履约期限：</w:t>
      </w:r>
      <w:r>
        <w:rPr>
          <w:rFonts w:hint="eastAsia" w:ascii="宋体" w:hAnsi="宋体" w:eastAsia="宋体" w:cs="宋体"/>
          <w:bCs/>
          <w:color w:val="000000"/>
          <w:sz w:val="24"/>
          <w:szCs w:val="24"/>
          <w:highlight w:val="none"/>
          <w:lang w:eastAsia="zh-CN"/>
        </w:rPr>
        <w:t xml:space="preserve">一</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eastAsia="zh-CN"/>
        </w:rPr>
        <w:t xml:space="preserve">，具体以合同签订期限为准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5.采购方式：公开招标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6.采购人：无锡市锡山生态环境局</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.本项目标的所属行业：其他未列明行业。根据《关于印发中小企业划型标准规定的通知》工信部联企业〔2011〕300</w:t>
      </w:r>
      <w:r>
        <w:rPr>
          <w:rFonts w:hint="eastAsia" w:ascii="宋体" w:hAnsi="宋体" w:eastAsia="宋体" w:cs="宋体"/>
          <w:bCs/>
          <w:color w:val="000000"/>
          <w:sz w:val="24"/>
          <w:szCs w:val="24"/>
          <w:highlight w:val="none"/>
          <w:lang w:eastAsia="zh-CN"/>
        </w:rPr>
        <w:t xml:space="preserve">号</w:t>
      </w:r>
      <w:r>
        <w:rPr>
          <w:rFonts w:hint="eastAsia" w:ascii="宋体" w:hAnsi="宋体" w:eastAsia="宋体" w:cs="宋体"/>
          <w:bCs/>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eastAsia="zh-CN"/>
        </w:rPr>
        <w:t xml:space="preserve">是</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.本项目</w:t>
      </w:r>
      <w:r>
        <w:rPr>
          <w:rFonts w:hint="eastAsia" w:ascii="宋体" w:hAnsi="宋体" w:eastAsia="宋体" w:cs="宋体"/>
          <w:b/>
          <w:bCs w:val="0"/>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（二）供应商资格要求</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 满足《中华人民共和国政府采购法》第二十二条规定；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2.未被“信用中国”网站（</w:t>
      </w:r>
      <w:r>
        <w:rPr>
          <w:rFonts w:hint="eastAsia" w:ascii="宋体" w:hAnsi="宋体" w:eastAsia="宋体" w:cs="宋体"/>
          <w:bCs/>
          <w:color w:val="000000"/>
          <w:sz w:val="24"/>
          <w:szCs w:val="24"/>
          <w:highlight w:val="none"/>
          <w:lang w:val="en-US" w:eastAsia="zh-CN"/>
        </w:rPr>
        <w:fldChar w:fldCharType="begin"/>
      </w:r>
      <w:r>
        <w:rPr>
          <w:rFonts w:hint="eastAsia" w:ascii="宋体" w:hAnsi="宋体" w:eastAsia="宋体" w:cs="宋体"/>
          <w:bCs/>
          <w:color w:val="000000"/>
          <w:sz w:val="24"/>
          <w:szCs w:val="24"/>
          <w:highlight w:val="none"/>
          <w:lang w:val="en-US" w:eastAsia="zh-CN"/>
        </w:rPr>
        <w:instrText xml:space="preserve"> HYPERLINK "http://www.creditchina.gov.cn" </w:instrText>
      </w:r>
      <w:r>
        <w:rPr>
          <w:rFonts w:hint="eastAsia" w:ascii="宋体" w:hAnsi="宋体" w:eastAsia="宋体" w:cs="宋体"/>
          <w:bCs/>
          <w:color w:val="000000"/>
          <w:sz w:val="24"/>
          <w:szCs w:val="24"/>
          <w:highlight w:val="none"/>
          <w:lang w:val="en-US" w:eastAsia="zh-CN"/>
        </w:rPr>
        <w:fldChar w:fldCharType="separate"/>
      </w:r>
      <w:r>
        <w:rPr>
          <w:rFonts w:hint="eastAsia" w:ascii="宋体" w:hAnsi="宋体" w:eastAsia="宋体" w:cs="宋体"/>
          <w:bCs/>
          <w:color w:val="000000"/>
          <w:sz w:val="24"/>
          <w:szCs w:val="24"/>
          <w:highlight w:val="none"/>
          <w:lang w:val="en-US" w:eastAsia="zh-CN"/>
        </w:rPr>
        <w:t xml:space="preserve">www.creditchina.gov.cn</w:t>
      </w:r>
      <w:r>
        <w:rPr>
          <w:rFonts w:hint="eastAsia" w:ascii="宋体" w:hAnsi="宋体" w:eastAsia="宋体" w:cs="宋体"/>
          <w:bCs/>
          <w:color w:val="000000"/>
          <w:sz w:val="24"/>
          <w:szCs w:val="24"/>
          <w:highlight w:val="none"/>
          <w:lang w:val="en-US" w:eastAsia="zh-CN"/>
        </w:rPr>
        <w:fldChar w:fldCharType="end"/>
      </w:r>
      <w:r>
        <w:rPr>
          <w:rFonts w:hint="eastAsia" w:ascii="宋体" w:hAnsi="宋体" w:eastAsia="宋体" w:cs="宋体"/>
          <w:bCs/>
          <w:color w:val="000000"/>
          <w:sz w:val="24"/>
          <w:szCs w:val="24"/>
          <w:highlight w:val="none"/>
          <w:lang w:val="en-US" w:eastAsia="zh-CN"/>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3.落实政府采购政策需满足的资格要求：供应商为中型企业/小型企业/微型企业（监狱企业/残疾人福利性单位视同小微企业）。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4.本项目的特定资格要求：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（三）供应商主体信息库注册</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（1）点击“江苏省政府采购（苏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）平台”—“用户注册”按钮进入注册界面，也可以直接通过https://jszfcg.jsczt.cn/jszc/login进入注册界面。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（2）办理并领取CA和电子签章（办理地址：无锡市滨湖区观山路199号市民中心12号楼1楼政务服务大厅D区西侧CA认证（行政复议对面））。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”系统供应商操作手册链接：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完成注册的供应商方可绑定CA，并使用CA登录苏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未按上述要求操作，由此所产生的损失及风险由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自行承担。</w:t>
      </w:r>
      <w:r/>
    </w:p>
    <w:p>
      <w:pPr>
        <w:ind w:firstLine="480"/>
        <w:spacing w:line="360" w:lineRule="auto"/>
        <w:rPr>
          <w:rFonts w:hint="eastAsia" w:ascii="宋体" w:hAnsi="宋体" w:eastAsia="宋体" w:cs="宋体"/>
          <w:b/>
          <w:bCs w:val="0"/>
          <w:color w:val="000000"/>
          <w:sz w:val="24"/>
          <w:szCs w:val="24"/>
          <w:highlight w:val="none"/>
        </w:rPr>
      </w:pPr>
      <w:r/>
      <w:bookmarkStart w:id="3" w:name="_Toc112006902"/>
      <w:r>
        <w:rPr>
          <w:rFonts w:hint="eastAsia" w:ascii="宋体" w:hAnsi="宋体" w:eastAsia="宋体" w:cs="宋体"/>
          <w:b/>
          <w:bCs w:val="0"/>
          <w:color w:val="000000"/>
          <w:sz w:val="24"/>
          <w:szCs w:val="24"/>
          <w:highlight w:val="none"/>
        </w:rPr>
        <w:t xml:space="preserve">（四）获取采购文件</w:t>
      </w:r>
      <w:bookmarkEnd w:id="3"/>
      <w:r/>
      <w:r/>
    </w:p>
    <w:p>
      <w:pPr>
        <w:ind w:firstLine="72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4" w:name="_Toc112006903"/>
      <w:r>
        <w:rPr>
          <w:rFonts w:hint="eastAsia" w:ascii="宋体" w:hAnsi="宋体" w:eastAsia="宋体" w:cs="宋体"/>
          <w:color w:val="000000"/>
          <w:sz w:val="24"/>
          <w:szCs w:val="24"/>
          <w:highlight w:val="none"/>
        </w:rPr>
        <w:t xml:space="preserve">供应商可在</w:t>
      </w:r>
      <w:r>
        <w:rPr>
          <w:rFonts w:hint="eastAsia" w:ascii="宋体" w:hAnsi="宋体" w:eastAsia="宋体" w:cs="宋体"/>
          <w:color w:val="000000"/>
          <w:sz w:val="24"/>
          <w:szCs w:val="24"/>
          <w:highlight w:val="none"/>
          <w:lang w:val="en-US" w:eastAsia="zh-CN"/>
        </w:rPr>
        <w:t xml:space="preserve">财政部门指定媒体发布的公告</w:t>
      </w:r>
      <w:r>
        <w:rPr>
          <w:rFonts w:hint="eastAsia" w:ascii="宋体" w:hAnsi="宋体" w:eastAsia="宋体" w:cs="宋体"/>
          <w:color w:val="000000"/>
          <w:sz w:val="24"/>
          <w:szCs w:val="24"/>
          <w:highlight w:val="none"/>
        </w:rPr>
        <w:t xml:space="preserve">附件中查看公开招标文件，如确定参加本次采购活动，必须在苏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w:t>
      </w: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rPr>
        <w:t xml:space="preserve">（https://jszfcg.jsczt.cn/jszc/login）中免费下载公开招标文件“项目参与”——“采购项目”找到需要获取采购文件的项目，点击“我要参与”——“参与投标”——“下载文件”，完成项目参与，将苏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平台中下载的采购文件（后缀名为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rPr>
          <w:rFonts w:hint="eastAsia" w:ascii="宋体" w:hAnsi="宋体" w:eastAsia="宋体" w:cs="宋体"/>
          <w:color w:val="000000"/>
          <w:sz w:val="24"/>
          <w:szCs w:val="24"/>
          <w:highlight w:val="none"/>
          <w:lang w:eastAsia="zh-CN"/>
        </w:rPr>
        <w:t xml:space="preserve">导入</w:t>
      </w:r>
      <w:r>
        <w:rPr>
          <w:rFonts w:hint="eastAsia" w:ascii="宋体" w:hAnsi="宋体" w:eastAsia="宋体" w:cs="宋体"/>
          <w:color w:val="000000"/>
          <w:sz w:val="24"/>
          <w:szCs w:val="24"/>
          <w:highlight w:val="none"/>
        </w:rPr>
        <w:t xml:space="preserve">“政府采购客户端”，离线按要求编制并加密响应文件（使用“CA数字证书”），导出加密的响应文件（后缀名为zip，不得超过150M）并在苏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平台上传该加密的响应文件，对采购文件各项内容做出实质性响应，否则其响应文件无效。</w:t>
      </w:r>
      <w:r/>
    </w:p>
    <w:p>
      <w:pPr>
        <w:ind w:firstLine="48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请有投标意向的供应商在招标文件有效获取期内及时至“江苏省政府采购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w:t>
      </w:r>
      <w:r>
        <w:rPr>
          <w:rFonts w:hint="eastAsia" w:ascii="宋体" w:hAnsi="宋体" w:eastAsia="宋体" w:cs="宋体"/>
          <w:color w:val="000000"/>
          <w:sz w:val="24"/>
          <w:highlight w:val="none"/>
        </w:rPr>
        <w:t xml:space="preserve">获取。在招标文件有效获取期限内，从“江苏省政府采购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”平台获取的招标文件，视为依法获取的招标文件。</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（五）公开答疑时间、地点</w:t>
      </w:r>
      <w:bookmarkEnd w:id="4"/>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江苏欣希联项目管理有限公司</w:t>
      </w:r>
      <w:r>
        <w:rPr>
          <w:rFonts w:hint="eastAsia" w:ascii="宋体" w:hAnsi="宋体" w:eastAsia="宋体" w:cs="宋体"/>
          <w:color w:val="000000"/>
          <w:sz w:val="24"/>
          <w:szCs w:val="24"/>
          <w:highlight w:val="none"/>
        </w:rPr>
        <w:t xml:space="preserve">将以电话咨询、</w:t>
      </w:r>
      <w:r>
        <w:rPr>
          <w:rFonts w:hint="eastAsia" w:ascii="宋体" w:hAnsi="宋体" w:eastAsia="宋体" w:cs="宋体"/>
          <w:color w:val="000000"/>
          <w:sz w:val="24"/>
          <w:szCs w:val="24"/>
          <w:highlight w:val="none"/>
          <w:lang w:val="en-US" w:eastAsia="zh-CN"/>
        </w:rPr>
        <w:t xml:space="preserve">邮箱（785514711@qq.com）</w:t>
      </w:r>
      <w:r>
        <w:rPr>
          <w:rFonts w:hint="eastAsia" w:ascii="宋体" w:hAnsi="宋体" w:eastAsia="宋体" w:cs="宋体"/>
          <w:color w:val="000000"/>
          <w:sz w:val="24"/>
          <w:szCs w:val="24"/>
          <w:highlight w:val="none"/>
        </w:rPr>
        <w:t xml:space="preserve">等方式开展线上不见面答疑服务。</w:t>
      </w:r>
      <w:r>
        <w:rPr>
          <w:rFonts w:hint="eastAsia" w:ascii="宋体" w:hAnsi="宋体" w:eastAsia="宋体" w:cs="宋体"/>
          <w:color w:val="000000"/>
          <w:sz w:val="24"/>
          <w:szCs w:val="24"/>
          <w:highlight w:val="none"/>
          <w:lang w:eastAsia="zh-CN"/>
        </w:rPr>
        <w:t xml:space="preserve">截至2026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日10:</w:t>
      </w:r>
      <w:r>
        <w:rPr>
          <w:rFonts w:hint="eastAsia" w:ascii="宋体" w:hAnsi="宋体" w:eastAsia="宋体" w:cs="宋体"/>
          <w:color w:val="000000"/>
          <w:sz w:val="24"/>
          <w:szCs w:val="24"/>
          <w:highlight w:val="none"/>
          <w:lang w:eastAsia="zh-CN"/>
        </w:rPr>
        <w:t xml:space="preserve">00</w:t>
      </w:r>
      <w:r>
        <w:rPr>
          <w:rFonts w:hint="eastAsia" w:ascii="宋体" w:hAnsi="宋体" w:eastAsia="宋体" w:cs="宋体"/>
          <w:color w:val="000000"/>
          <w:sz w:val="24"/>
          <w:szCs w:val="24"/>
          <w:highlight w:val="none"/>
        </w:rPr>
        <w:t xml:space="preserve">，有关单位对于招标文件的相关事项如有疑问可通过上述方式咨询；</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如有需要对招标文件要求澄清的问题，请以书面形式（必须加盖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公章，也请务必留下联系方式，以便回复）提出“</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JSZC-320205-JXXL-G2026-0010项目需澄清问题”，</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并于答疑截止时间前</w:t>
      </w:r>
      <w:r>
        <w:rPr>
          <w:rFonts w:hint="eastAsia" w:ascii="宋体" w:hAnsi="宋体" w:eastAsia="宋体" w:cs="宋体"/>
          <w:color w:val="000000"/>
          <w:sz w:val="24"/>
          <w:szCs w:val="24"/>
          <w:highlight w:val="none"/>
          <w:lang w:val="en-US" w:eastAsia="zh-CN"/>
        </w:rPr>
        <w:t xml:space="preserve">邮箱（785514711@qq.com）发送给</w:t>
      </w:r>
      <w:r>
        <w:rPr>
          <w:rFonts w:hint="eastAsia" w:ascii="宋体" w:hAnsi="宋体" w:eastAsia="宋体" w:cs="宋体"/>
          <w:color w:val="000000"/>
          <w:sz w:val="24"/>
          <w:szCs w:val="24"/>
          <w:highlight w:val="none"/>
        </w:rPr>
        <w:t xml:space="preserve">项目联系人。若未在法定时间内提出澄清，由此造成的损失及风险由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fldChar w:fldCharType="end"/>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（六）现场踏勘：</w:t>
      </w:r>
      <w:r>
        <w:rPr>
          <w:rFonts w:hint="eastAsia" w:ascii="宋体" w:hAnsi="宋体" w:eastAsia="宋体" w:cs="宋体"/>
          <w:color w:val="000000"/>
          <w:sz w:val="24"/>
          <w:szCs w:val="24"/>
          <w:highlight w:val="none"/>
          <w:lang w:val="en-US" w:eastAsia="zh-CN"/>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p>
    <w:p>
      <w:pPr>
        <w:ind w:firstLine="480"/>
        <w:spacing w:line="360" w:lineRule="auto"/>
        <w:rPr>
          <w:rFonts w:hint="eastAsia" w:ascii="宋体" w:hAnsi="宋体" w:eastAsia="宋体" w:cs="宋体"/>
          <w:b/>
          <w:bCs w:val="0"/>
          <w:color w:val="000000"/>
          <w:sz w:val="24"/>
          <w:szCs w:val="24"/>
          <w:highlight w:val="none"/>
        </w:rPr>
      </w:pPr>
      <w:r/>
      <w:bookmarkStart w:id="5" w:name="_Toc112006904"/>
      <w:r>
        <w:rPr>
          <w:rFonts w:hint="eastAsia" w:ascii="宋体" w:hAnsi="宋体" w:eastAsia="宋体" w:cs="宋体"/>
          <w:b/>
          <w:bCs w:val="0"/>
          <w:color w:val="000000"/>
          <w:sz w:val="24"/>
          <w:szCs w:val="24"/>
          <w:highlight w:val="none"/>
        </w:rPr>
        <w:t xml:space="preserve">（七）投标及开标、定标时间、地点：</w:t>
      </w:r>
      <w:bookmarkEnd w:id="5"/>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本项目进行线上采购活动，供应商准备好制作标书的笔记本电脑、CA锁（政务CA），在投标截止时间前半小时，登录苏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网上开标大厅，在系统</w:t>
      </w:r>
      <w:r>
        <w:rPr>
          <w:rFonts w:hint="eastAsia" w:ascii="宋体" w:hAnsi="宋体" w:eastAsia="宋体" w:cs="宋体"/>
          <w:color w:val="000000"/>
          <w:sz w:val="24"/>
          <w:szCs w:val="24"/>
          <w:highlight w:val="none"/>
          <w:lang w:eastAsia="zh-CN"/>
        </w:rPr>
        <w:t xml:space="preserve">进入</w:t>
      </w:r>
      <w:r>
        <w:rPr>
          <w:rFonts w:hint="eastAsia" w:ascii="宋体" w:hAnsi="宋体" w:eastAsia="宋体" w:cs="宋体"/>
          <w:color w:val="000000"/>
          <w:sz w:val="24"/>
          <w:szCs w:val="24"/>
          <w:highlight w:val="none"/>
        </w:rPr>
        <w:t xml:space="preserve">标书解密环节后，方可解密，请在规定时间内登录网上开标大厅参与采购活动。</w:t>
      </w:r>
      <w:r/>
    </w:p>
    <w:p>
      <w:pPr>
        <w:ind w:left="0"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投标截止时间（网上投标截止时间苏采云投标客户端投标）：</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:30，投标截止时间后的投标文件恕不接受。</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投标及开标地点：江苏省政府采购（苏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定标地点：无锡市锡山区东亭迎宾南路21号二楼</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color w:val="000000"/>
          <w:sz w:val="24"/>
          <w:szCs w:val="24"/>
          <w:highlight w:val="none"/>
        </w:rPr>
        <w:t xml:space="preserve">投标文件份数</w:t>
      </w:r>
      <w:r>
        <w:rPr>
          <w:rFonts w:hint="eastAsia" w:ascii="宋体" w:hAnsi="宋体" w:eastAsia="宋体" w:cs="宋体"/>
          <w:b/>
          <w:bCs w:val="0"/>
          <w:color w:val="000000"/>
          <w:sz w:val="24"/>
          <w:szCs w:val="24"/>
          <w:highlight w:val="none"/>
        </w:rPr>
        <w:t xml:space="preserve">：</w:t>
      </w:r>
      <w:r>
        <w:rPr>
          <w:rFonts w:hint="eastAsia" w:ascii="宋体" w:hAnsi="宋体" w:eastAsia="宋体" w:cs="宋体"/>
          <w:color w:val="000000"/>
          <w:sz w:val="24"/>
          <w:szCs w:val="24"/>
          <w:highlight w:val="none"/>
        </w:rPr>
        <w:t xml:space="preserve">请按</w:t>
      </w:r>
      <w:r>
        <w:rPr>
          <w:rFonts w:hint="eastAsia" w:ascii="宋体" w:hAnsi="宋体" w:eastAsia="宋体" w:cs="宋体"/>
          <w:color w:val="000000"/>
          <w:sz w:val="24"/>
          <w:szCs w:val="24"/>
          <w:highlight w:val="none"/>
          <w:lang w:eastAsia="zh-CN"/>
        </w:rPr>
        <w:t xml:space="preserve">规定</w:t>
      </w:r>
      <w:r>
        <w:rPr>
          <w:rFonts w:hint="eastAsia" w:ascii="宋体" w:hAnsi="宋体" w:eastAsia="宋体" w:cs="宋体"/>
          <w:color w:val="000000"/>
          <w:sz w:val="24"/>
          <w:szCs w:val="24"/>
          <w:highlight w:val="none"/>
        </w:rPr>
        <w:t xml:space="preserve">上传电子响应文件，不接收纸质投标文件。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九</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color w:val="000000"/>
          <w:sz w:val="24"/>
          <w:szCs w:val="24"/>
          <w:highlight w:val="none"/>
        </w:rPr>
        <w:t xml:space="preserve">投标有效期</w:t>
      </w:r>
      <w:r>
        <w:rPr>
          <w:rFonts w:hint="eastAsia" w:ascii="宋体" w:hAnsi="宋体" w:eastAsia="宋体" w:cs="宋体"/>
          <w:b/>
          <w:bCs w:val="0"/>
          <w:color w:val="000000"/>
          <w:sz w:val="24"/>
          <w:szCs w:val="24"/>
          <w:highlight w:val="none"/>
        </w:rPr>
        <w:t xml:space="preserve">：</w:t>
      </w:r>
      <w:r>
        <w:rPr>
          <w:rFonts w:hint="eastAsia" w:ascii="宋体" w:hAnsi="宋体" w:eastAsia="宋体" w:cs="宋体"/>
          <w:color w:val="000000"/>
          <w:sz w:val="24"/>
          <w:szCs w:val="24"/>
          <w:highlight w:val="none"/>
        </w:rPr>
        <w:t xml:space="preserve">开标之日起90天</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十</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color w:val="000000"/>
          <w:sz w:val="24"/>
          <w:szCs w:val="24"/>
          <w:highlight w:val="none"/>
        </w:rPr>
        <w:t xml:space="preserve">采购方法</w:t>
      </w:r>
      <w:r>
        <w:rPr>
          <w:rFonts w:hint="eastAsia" w:ascii="宋体" w:hAnsi="宋体" w:eastAsia="宋体" w:cs="宋体"/>
          <w:b/>
          <w:bCs w:val="0"/>
          <w:color w:val="000000"/>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本次采购采用“江苏省政府采购（苏</w:t>
      </w:r>
      <w:r>
        <w:rPr>
          <w:rFonts w:hint="eastAsia" w:ascii="宋体" w:hAnsi="宋体" w:eastAsia="宋体" w:cs="宋体"/>
          <w:color w:val="000000"/>
          <w:sz w:val="24"/>
          <w:szCs w:val="24"/>
          <w:highlight w:val="none"/>
          <w:lang w:eastAsia="zh-CN"/>
        </w:rPr>
        <w:t xml:space="preserve">采云</w:t>
      </w:r>
      <w:r>
        <w:rPr>
          <w:rFonts w:hint="eastAsia" w:ascii="宋体" w:hAnsi="宋体" w:eastAsia="宋体" w:cs="宋体"/>
          <w:color w:val="000000"/>
          <w:sz w:val="24"/>
          <w:szCs w:val="24"/>
          <w:highlight w:val="none"/>
        </w:rPr>
        <w:t xml:space="preserve">）平台”进行招标投标活动，招标、投标、评标和中标结果发布全程电子化。</w:t>
      </w:r>
      <w:r/>
    </w:p>
    <w:p>
      <w:pPr>
        <w:ind w:firstLine="480"/>
        <w:spacing w:line="360" w:lineRule="auto"/>
        <w:rPr>
          <w:rFonts w:hint="eastAsia" w:ascii="宋体" w:hAnsi="宋体" w:eastAsia="宋体" w:cs="宋体"/>
          <w:b/>
          <w:bCs w:val="0"/>
          <w:color w:val="000000"/>
          <w:sz w:val="24"/>
          <w:szCs w:val="24"/>
          <w:highlight w:val="none"/>
        </w:rPr>
      </w:pPr>
      <w:r/>
      <w:bookmarkStart w:id="6" w:name="_Toc112006909"/>
      <w:r>
        <w:rPr>
          <w:rFonts w:hint="eastAsia" w:ascii="宋体" w:hAnsi="宋体" w:eastAsia="宋体" w:cs="宋体"/>
          <w:b/>
          <w:bCs w:val="0"/>
          <w:color w:val="000000"/>
          <w:sz w:val="24"/>
          <w:szCs w:val="24"/>
          <w:highlight w:val="none"/>
        </w:rPr>
        <w:t xml:space="preserve">（十一）</w:t>
      </w:r>
      <w:bookmarkEnd w:id="6"/>
      <w:r>
        <w:rPr>
          <w:rFonts w:hint="eastAsia" w:ascii="宋体" w:hAnsi="宋体" w:eastAsia="宋体" w:cs="宋体"/>
          <w:b/>
          <w:bCs/>
          <w:color w:val="000000"/>
          <w:sz w:val="24"/>
          <w:szCs w:val="24"/>
          <w:highlight w:val="none"/>
        </w:rPr>
        <w:t xml:space="preserve">对本次招标提出询问</w:t>
      </w:r>
      <w:r>
        <w:rPr>
          <w:rFonts w:hint="eastAsia" w:ascii="宋体" w:hAnsi="宋体" w:eastAsia="宋体" w:cs="宋体"/>
          <w:b/>
          <w:bCs w:val="0"/>
          <w:color w:val="000000"/>
          <w:sz w:val="24"/>
          <w:szCs w:val="24"/>
          <w:highlight w:val="none"/>
        </w:rPr>
        <w:t xml:space="preserve">，请按以下方式联系</w:t>
      </w:r>
      <w:r/>
    </w:p>
    <w:p>
      <w:pPr>
        <w:ind w:firstLine="480"/>
        <w:jc w:val="left"/>
        <w:spacing w:line="360" w:lineRule="auto"/>
        <w:shd w:val="clear" w:color="auto" w:fill="ffffff"/>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eastAsia="zh-CN"/>
        </w:rPr>
        <w:t xml:space="preserve">代理</w:t>
      </w:r>
      <w:r>
        <w:rPr>
          <w:rFonts w:hint="eastAsia" w:ascii="宋体" w:hAnsi="宋体" w:eastAsia="宋体" w:cs="宋体"/>
          <w:color w:val="000000"/>
          <w:sz w:val="24"/>
          <w:szCs w:val="24"/>
          <w:highlight w:val="none"/>
        </w:rPr>
        <w:t xml:space="preserve">机构：</w:t>
      </w:r>
      <w:r>
        <w:rPr>
          <w:rFonts w:hint="eastAsia" w:ascii="宋体" w:hAnsi="宋体" w:eastAsia="宋体" w:cs="宋体"/>
          <w:color w:val="000000"/>
          <w:sz w:val="24"/>
          <w:szCs w:val="24"/>
          <w:highlight w:val="none"/>
          <w:lang w:eastAsia="zh-CN"/>
        </w:rPr>
        <w:t xml:space="preserve">江苏欣希联项目管理有限公司</w:t>
      </w:r>
      <w:r/>
    </w:p>
    <w:p>
      <w:pPr>
        <w:ind w:firstLine="480"/>
        <w:jc w:val="left"/>
        <w:spacing w:line="360" w:lineRule="auto"/>
        <w:shd w:val="clear" w:color="auto" w:fill="ffffff"/>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无锡市锡山区赛维拉商业广场（先锋路北50米）2号楼308室</w:t>
      </w:r>
      <w:r/>
    </w:p>
    <w:p>
      <w:pPr>
        <w:ind w:firstLine="480"/>
        <w:jc w:val="left"/>
        <w:spacing w:line="360" w:lineRule="auto"/>
        <w:shd w:val="clear" w:color="auto" w:fill="ffffff"/>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周澄娇</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eastAsia="zh-CN"/>
        </w:rPr>
        <w:t xml:space="preserve">18068281042</w:t>
      </w:r>
      <w:r/>
    </w:p>
    <w:p>
      <w:pPr>
        <w:jc w:val="center"/>
        <w:widowControl/>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br w:type="page" w:clear="all"/>
      </w:r>
      <w:bookmarkStart w:id="7" w:name="_Toc765"/>
      <w:r/>
      <w:bookmarkStart w:id="8" w:name="_Toc20178"/>
      <w:r/>
      <w:bookmarkStart w:id="9" w:name="_Toc29486"/>
      <w:r>
        <w:rPr>
          <w:rFonts w:hint="eastAsia" w:ascii="宋体" w:hAnsi="宋体" w:eastAsia="宋体" w:cs="宋体"/>
          <w:b/>
          <w:bCs/>
          <w:color w:val="000000"/>
          <w:sz w:val="32"/>
          <w:szCs w:val="32"/>
          <w:highlight w:val="none"/>
        </w:rPr>
        <w:t xml:space="preserve">二、投标人须知</w:t>
      </w:r>
      <w:bookmarkEnd w:id="7"/>
      <w:r/>
      <w:bookmarkEnd w:id="8"/>
      <w:r/>
      <w:bookmarkEnd w:id="9"/>
      <w:r/>
      <w:r/>
    </w:p>
    <w:p>
      <w:pPr>
        <w:ind w:firstLine="482"/>
        <w:spacing w:line="360" w:lineRule="auto"/>
        <w:rPr>
          <w:rFonts w:hint="eastAsia" w:ascii="宋体" w:hAnsi="宋体" w:eastAsia="宋体" w:cs="宋体"/>
          <w:bCs/>
          <w:color w:val="000000"/>
          <w:sz w:val="24"/>
          <w:szCs w:val="24"/>
          <w:highlight w:val="none"/>
        </w:rPr>
      </w:pPr>
      <w:r/>
      <w:bookmarkStart w:id="10" w:name="_Toc112006911"/>
      <w:r>
        <w:rPr>
          <w:rFonts w:hint="eastAsia" w:ascii="宋体" w:hAnsi="宋体" w:eastAsia="宋体" w:cs="宋体"/>
          <w:b/>
          <w:color w:val="000000"/>
          <w:sz w:val="24"/>
          <w:szCs w:val="24"/>
          <w:highlight w:val="none"/>
        </w:rPr>
        <w:t xml:space="preserve">（一）遵循原则：</w:t>
      </w:r>
      <w:bookmarkEnd w:id="10"/>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000000"/>
          <w:sz w:val="24"/>
          <w:szCs w:val="24"/>
          <w:highlight w:val="none"/>
        </w:rPr>
      </w:pPr>
      <w:r/>
      <w:bookmarkStart w:id="11" w:name="_Toc112006912"/>
      <w:r>
        <w:rPr>
          <w:rFonts w:hint="eastAsia" w:ascii="宋体" w:hAnsi="宋体" w:eastAsia="宋体" w:cs="宋体"/>
          <w:b/>
          <w:color w:val="000000"/>
          <w:sz w:val="24"/>
          <w:szCs w:val="24"/>
          <w:highlight w:val="none"/>
        </w:rPr>
        <w:t xml:space="preserve">（二）招标文件：</w:t>
      </w:r>
      <w:bookmarkEnd w:id="11"/>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1.招标文件包括本文件目录所列全部内容，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2.供应商可在</w:t>
      </w:r>
      <w:r>
        <w:rPr>
          <w:rFonts w:hint="eastAsia" w:ascii="宋体" w:hAnsi="宋体" w:eastAsia="宋体" w:cs="宋体"/>
          <w:bCs/>
          <w:color w:val="000000"/>
          <w:sz w:val="24"/>
          <w:szCs w:val="24"/>
          <w:highlight w:val="none"/>
          <w:lang w:val="en-US" w:eastAsia="zh-CN"/>
        </w:rPr>
        <w:t xml:space="preserve">财政部门指定媒体发布的公告</w:t>
      </w:r>
      <w:r>
        <w:rPr>
          <w:rFonts w:hint="eastAsia" w:ascii="宋体" w:hAnsi="宋体" w:eastAsia="宋体" w:cs="宋体"/>
          <w:bCs/>
          <w:color w:val="000000"/>
          <w:sz w:val="24"/>
          <w:szCs w:val="24"/>
          <w:highlight w:val="none"/>
        </w:rPr>
        <w:t xml:space="preserve">附件中查看公开招标文件，如确定参加本次采购活动，必须在苏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w:t>
      </w: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rPr>
        <w:t xml:space="preserve">（https://jszfcg.jsczt.cn/jszc/login）中免费下载公开招标文件“项目参与”——“采购项目”找到需要获取采购文件的项目，点击“我要参与”——“参与投标”——“下载文件”，完成项目参与，将苏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平台中下载的采购文件（后缀名为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kedt”）</w:t>
      </w:r>
      <w:r>
        <w:rPr>
          <w:rFonts w:hint="eastAsia" w:ascii="宋体" w:hAnsi="宋体" w:eastAsia="宋体" w:cs="宋体"/>
          <w:bCs/>
          <w:color w:val="000000"/>
          <w:sz w:val="24"/>
          <w:szCs w:val="24"/>
          <w:highlight w:val="none"/>
          <w:lang w:eastAsia="zh-CN"/>
        </w:rPr>
        <w:t xml:space="preserve">导入</w:t>
      </w:r>
      <w:r>
        <w:rPr>
          <w:rFonts w:hint="eastAsia" w:ascii="宋体" w:hAnsi="宋体" w:eastAsia="宋体" w:cs="宋体"/>
          <w:bCs/>
          <w:color w:val="000000"/>
          <w:sz w:val="24"/>
          <w:szCs w:val="24"/>
          <w:highlight w:val="none"/>
        </w:rPr>
        <w:t xml:space="preserve">“政府采购客户端”，离线按要求编制并加密响应文件（使用“CA数字证书”），导出加密的响应文件（后缀名为zip，不得超过150M）并在苏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4.招标文件仅作为本次招投标使用。</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5.招标文件中的“法定代表人”是指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招标文件的解释：</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本文件的最终解释权归</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及</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招标文件的补充或修正：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2.如需对招标文件进行澄清或修正，</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将在江苏政府采购网发布更正公告，该澄清或修正的内容为招标文件的组成部分。</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应在投标截止时间前关注原招标公告媒体上发布的相关更正公告。因</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未尽注意义务，未及时全面地关注更正公告导致其提交的投标材料不符合</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要求，而造成的损失及风险（包括但不限于未中标）由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自行承担。</w:t>
      </w:r>
      <w:r/>
    </w:p>
    <w:p>
      <w:pPr>
        <w:ind w:firstLine="482"/>
        <w:spacing w:line="360" w:lineRule="auto"/>
        <w:rPr>
          <w:rFonts w:hint="eastAsia" w:ascii="宋体" w:hAnsi="宋体" w:eastAsia="宋体" w:cs="宋体"/>
          <w:bCs/>
          <w:color w:val="000000"/>
          <w:sz w:val="24"/>
          <w:szCs w:val="24"/>
          <w:highlight w:val="none"/>
        </w:rPr>
      </w:pPr>
      <w:r/>
      <w:bookmarkStart w:id="12" w:name="_Toc112006915"/>
      <w:r>
        <w:rPr>
          <w:rFonts w:hint="eastAsia" w:ascii="宋体" w:hAnsi="宋体" w:eastAsia="宋体" w:cs="宋体"/>
          <w:b/>
          <w:color w:val="000000"/>
          <w:sz w:val="24"/>
          <w:szCs w:val="24"/>
          <w:highlight w:val="none"/>
        </w:rPr>
        <w:t xml:space="preserve">（五）投标文件的组成：</w:t>
      </w:r>
      <w:bookmarkEnd w:id="12"/>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资格、资信证明文件：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（2）具有独立承担民事责任能力的供应商营业执照或相关部门的登记证明文件扫描件</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（3）供应商法定代表人授权委托书（法定代表人亲自参与投标的除外，格式见附件）；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（4）供应商法定代表人身份证扫描件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（5）供应商法定代表人授权代表身份证扫描件（正、反面，法定代表人亲自参加投标的除外）；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（7）供应商近一年中任意一个月份（不含开标当月）的依法缴纳税收的相关材料（提供相关主管部门证明或银行代扣证明）扫描件，成立不满三个自然月的公司（企业）除外；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（8）供应商近一年中任意一个月份（不含开标当月）的依法缴纳社会保障资金的相关材料（提供相关主管部门证明或银行代扣证明）扫描件，成立不满三个自然月的公司（企业）除外；</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（9）承诺书（格式见附件）；</w:t>
      </w:r>
      <w:r/>
    </w:p>
    <w:p>
      <w:pPr>
        <w:ind w:firstLine="480"/>
        <w:spacing w:line="360" w:lineRule="auto"/>
        <w:rPr>
          <w:rFonts w:hint="eastAsia" w:ascii="宋体" w:hAnsi="宋体" w:eastAsia="宋体" w:cs="宋体"/>
          <w:bCs/>
          <w:color w:val="000000"/>
          <w:sz w:val="24"/>
          <w:szCs w:val="24"/>
          <w:highlight w:val="none"/>
        </w:rPr>
      </w:pPr>
      <w:r/>
      <w:bookmarkStart w:id="13" w:name="_Hlk23510977"/>
      <w:r/>
      <w:bookmarkStart w:id="14" w:name="_Hlk529436263"/>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eastAsia="zh-CN"/>
        </w:rPr>
        <w:t xml:space="preserve">）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3.开标一览表</w:t>
      </w:r>
      <w:bookmarkEnd w:id="13"/>
      <w:r/>
      <w:bookmarkEnd w:id="14"/>
      <w:r>
        <w:rPr>
          <w:rFonts w:hint="eastAsia" w:ascii="宋体" w:hAnsi="宋体" w:eastAsia="宋体" w:cs="宋体"/>
          <w:bCs/>
          <w:color w:val="000000"/>
          <w:sz w:val="24"/>
          <w:szCs w:val="24"/>
          <w:highlight w:val="none"/>
        </w:rPr>
        <w:t xml:space="preserve">（本表无需上传，评审时以苏采云系统自带的开标一览表为准）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eastAsia="zh-CN"/>
        </w:rPr>
        <w:t xml:space="preserve">人员配备情况表</w:t>
      </w:r>
      <w:r>
        <w:rPr>
          <w:rFonts w:hint="eastAsia" w:ascii="宋体" w:hAnsi="宋体" w:eastAsia="宋体" w:cs="宋体"/>
          <w:bCs/>
          <w:color w:val="000000"/>
          <w:sz w:val="24"/>
          <w:szCs w:val="24"/>
          <w:highlight w:val="none"/>
        </w:rPr>
        <w:t xml:space="preserve">（格式见附件）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.提供第三章项目需求和有关要求需提供的相关证明材料</w:t>
      </w:r>
      <w:r>
        <w:rPr>
          <w:rFonts w:hint="eastAsia" w:ascii="宋体" w:hAnsi="宋体" w:eastAsia="宋体" w:cs="宋体"/>
          <w:bCs/>
          <w:color w:val="000000"/>
          <w:sz w:val="24"/>
          <w:szCs w:val="24"/>
          <w:highlight w:val="none"/>
          <w:lang w:eastAsia="zh-CN"/>
        </w:rPr>
        <w:t xml:space="preserve">（如有）</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12.关于符合本国产品标准的声明函（如有，格式见附件）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。如上述资格证明文件第（6）（7）（8）</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000000"/>
          <w:sz w:val="24"/>
          <w:szCs w:val="24"/>
          <w:highlight w:val="none"/>
        </w:rPr>
      </w:pPr>
      <w:r/>
      <w:bookmarkStart w:id="15" w:name="_Toc112006916"/>
      <w:r>
        <w:rPr>
          <w:rFonts w:hint="eastAsia" w:ascii="宋体" w:hAnsi="宋体" w:eastAsia="宋体" w:cs="宋体"/>
          <w:b/>
          <w:color w:val="000000"/>
          <w:sz w:val="24"/>
          <w:szCs w:val="24"/>
          <w:highlight w:val="none"/>
        </w:rPr>
        <w:t xml:space="preserve">（六）投标文件的要求：</w:t>
      </w:r>
      <w:bookmarkEnd w:id="15"/>
      <w:r/>
      <w:r/>
    </w:p>
    <w:p>
      <w:pPr>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按给定格式如实填写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编写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，须有法人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3.如无特别说明，</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报价一律以人民币为投标结算货币，结算单位为“元”。</w:t>
      </w:r>
      <w:r/>
    </w:p>
    <w:p>
      <w:pPr>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按给定格式提供，不得更改。</w:t>
      </w:r>
      <w:r/>
    </w:p>
    <w:p>
      <w:pPr>
        <w:ind w:firstLine="2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在制作电子投标文件时，请正确关联到对应</w:t>
      </w:r>
      <w:r>
        <w:rPr>
          <w:rFonts w:hint="eastAsia" w:ascii="宋体" w:hAnsi="宋体" w:eastAsia="宋体" w:cs="宋体"/>
          <w:bCs/>
          <w:color w:val="000000"/>
          <w:sz w:val="24"/>
          <w:szCs w:val="24"/>
          <w:highlight w:val="none"/>
          <w:lang w:eastAsia="zh-CN"/>
        </w:rPr>
        <w:t xml:space="preserve">页面</w:t>
      </w:r>
      <w:r>
        <w:rPr>
          <w:rFonts w:hint="eastAsia" w:ascii="宋体" w:hAnsi="宋体" w:eastAsia="宋体" w:cs="宋体"/>
          <w:bCs/>
          <w:color w:val="000000"/>
          <w:sz w:val="24"/>
          <w:szCs w:val="24"/>
          <w:highlight w:val="none"/>
        </w:rPr>
        <w:t xml:space="preserve">，在评审过程中，评审专家如因在相对应页面找不到该相关联的文件，由此产生的后果由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.投标费用自理。</w:t>
      </w:r>
      <w:r/>
    </w:p>
    <w:p>
      <w:pPr>
        <w:pStyle w:val="934"/>
        <w:ind w:firstLine="24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7.暗标编制要求如下：</w:t>
      </w:r>
      <w:r/>
    </w:p>
    <w:p>
      <w:pPr>
        <w:pStyle w:val="93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（1）暗标编制应按采购文件规定的格式制作，要求版面整洁、字迹清楚、不得涂改、不得标注。</w:t>
      </w:r>
      <w:r/>
    </w:p>
    <w:p>
      <w:pPr>
        <w:pStyle w:val="93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（2）暗标中所有正文中均不得出现可识别供应商身份的任何字符、徽标，包括文字、符号、图案、标识、标志、人员姓名、企业名称、以往项目名称、投标人独有的标准名称或编号、电子签章等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不得出现其他具有标识性作用的符号、图案等，也不得采用任何不符合常规、有别于其他供应商的特殊做法。</w:t>
      </w:r>
      <w:r/>
    </w:p>
    <w:p>
      <w:pPr>
        <w:pStyle w:val="93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字体、段落、页面布局的设置：</w:t>
      </w:r>
      <w:r/>
    </w:p>
    <w:p>
      <w:pPr>
        <w:pStyle w:val="93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字体：均采用宋体黑色小四号字体，不得出现手写。</w:t>
      </w:r>
      <w:r>
        <w:rPr>
          <w:rFonts w:hint="eastAsia" w:ascii="宋体" w:hAnsi="宋体" w:cs="Tahoma"/>
          <w:b/>
          <w:bCs/>
          <w:color w:val="000000"/>
          <w:sz w:val="24"/>
          <w:szCs w:val="24"/>
          <w:highlight w:val="none"/>
        </w:rPr>
        <w:t xml:space="preserve">如有必要，可配以图片、表格辅助说明（图片内字体</w:t>
      </w:r>
      <w:r>
        <w:rPr>
          <w:rFonts w:hint="eastAsia" w:ascii="宋体" w:hAnsi="宋体" w:cs="Tahoma"/>
          <w:b/>
          <w:bCs/>
          <w:color w:val="000000"/>
          <w:sz w:val="24"/>
          <w:szCs w:val="24"/>
          <w:highlight w:val="none"/>
          <w:lang w:eastAsia="zh-CN"/>
        </w:rPr>
        <w:t xml:space="preserve">、</w:t>
      </w:r>
      <w:r>
        <w:rPr>
          <w:rFonts w:hint="eastAsia" w:ascii="宋体" w:hAnsi="宋体" w:cs="Tahoma"/>
          <w:b/>
          <w:bCs/>
          <w:color w:val="000000"/>
          <w:sz w:val="24"/>
          <w:szCs w:val="24"/>
          <w:highlight w:val="none"/>
        </w:rPr>
        <w:t xml:space="preserve">字号及颜色不作限制，表格中字体为宋体，字号不作限制）</w:t>
      </w:r>
      <w:r/>
    </w:p>
    <w:p>
      <w:pPr>
        <w:pStyle w:val="93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段落：使用1.5倍行间距、字间距标准。</w:t>
      </w:r>
      <w:r/>
    </w:p>
    <w:p>
      <w:pPr>
        <w:pStyle w:val="934"/>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页面布局：纸张方向纵向、页面底色白色，分栏为一栏。</w:t>
      </w:r>
      <w:r/>
    </w:p>
    <w:p>
      <w:pPr>
        <w:ind w:firstLine="482"/>
        <w:spacing w:line="360" w:lineRule="auto"/>
        <w:rPr>
          <w:rFonts w:hint="eastAsia" w:ascii="宋体" w:hAnsi="宋体" w:eastAsia="宋体" w:cs="宋体"/>
          <w:b/>
          <w:bCs w:val="0"/>
          <w:color w:val="000000"/>
          <w:sz w:val="24"/>
          <w:szCs w:val="24"/>
          <w:highlight w:val="none"/>
        </w:rPr>
      </w:pPr>
      <w:r/>
      <w:bookmarkStart w:id="16" w:name="_Toc112006917"/>
      <w:r/>
      <w:bookmarkStart w:id="17" w:name="_Toc112006918"/>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七</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 网上投标</w:t>
      </w:r>
      <w:r/>
    </w:p>
    <w:p>
      <w:pPr>
        <w:ind w:firstLine="480"/>
        <w:spacing w:line="360" w:lineRule="auto"/>
        <w:rPr>
          <w:rFonts w:hint="eastAsia" w:ascii="宋体" w:hAnsi="宋体" w:eastAsia="宋体" w:cs="宋体"/>
          <w:color w:val="000000"/>
          <w:sz w:val="21"/>
          <w:szCs w:val="22"/>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应由其法定代表人或法定代表人授权代表在规定的网上投标时间内，凭CA数字证书登陆江苏省政府采购（苏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）平台获取招标文件，在苏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应对CA数字证书妥善保管，如被他人盗用投标，后果自负。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进行网上投标请参照《政府采购项目电子交易管理操作指南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w:t>
      </w:r>
      <w:r/>
    </w:p>
    <w:p>
      <w:pPr>
        <w:pStyle w:val="935"/>
        <w:ind w:firstLine="482"/>
        <w:spacing w:line="360" w:lineRule="auto"/>
        <w:rPr>
          <w:rFonts w:hint="eastAsia" w:ascii="宋体" w:hAnsi="宋体" w:eastAsia="宋体" w:cs="宋体"/>
          <w:color w:val="000000"/>
          <w:sz w:val="32"/>
          <w:szCs w:val="20"/>
          <w:highlight w:val="none"/>
        </w:rPr>
      </w:pPr>
      <w:r>
        <w:rPr>
          <w:rFonts w:hint="eastAsia" w:ascii="宋体" w:hAnsi="宋体" w:eastAsia="宋体" w:cs="宋体"/>
          <w:b/>
          <w:bCs/>
          <w:color w:val="000000"/>
          <w:sz w:val="24"/>
          <w:szCs w:val="24"/>
          <w:highlight w:val="none"/>
        </w:rPr>
        <w:t xml:space="preserve">特别提醒 ：开标后，</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须自行准备设备（包括但不限于笔记本电脑、无线网络）登录“江苏省政府采购（苏</w:t>
      </w:r>
      <w:r>
        <w:rPr>
          <w:rFonts w:hint="eastAsia" w:ascii="宋体" w:hAnsi="宋体" w:eastAsia="宋体" w:cs="宋体"/>
          <w:b/>
          <w:bCs/>
          <w:color w:val="000000"/>
          <w:sz w:val="24"/>
          <w:szCs w:val="24"/>
          <w:highlight w:val="none"/>
          <w:lang w:eastAsia="zh-CN"/>
        </w:rPr>
        <w:t xml:space="preserve">采云</w:t>
      </w:r>
      <w:r>
        <w:rPr>
          <w:rFonts w:hint="eastAsia" w:ascii="宋体" w:hAnsi="宋体" w:eastAsia="宋体" w:cs="宋体"/>
          <w:b/>
          <w:bCs/>
          <w:color w:val="000000"/>
          <w:sz w:val="24"/>
          <w:szCs w:val="24"/>
          <w:highlight w:val="none"/>
        </w:rPr>
        <w:t xml:space="preserve">）平台”，按招标文件规定时间解密后，在评标过程中保持在线，等待评标委员会的询标和评标结果，中途不得离开。</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如未按要求应答，由此所产生的损失及风险由</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自行承担。</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八</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无效投标文件的确认：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有下列情况之一者，投标文件无效：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电子投标文件未按规定期限投标的；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电子投标文件未按招标文件要求签章</w:t>
      </w:r>
      <w:r>
        <w:rPr>
          <w:rFonts w:hint="eastAsia" w:ascii="宋体" w:hAnsi="宋体" w:eastAsia="宋体" w:cs="宋体"/>
          <w:bCs/>
          <w:color w:val="000000"/>
          <w:sz w:val="24"/>
          <w:szCs w:val="24"/>
          <w:highlight w:val="none"/>
          <w:lang w:val="en-US" w:eastAsia="zh-CN"/>
        </w:rPr>
        <w:t xml:space="preserve">和签字</w:t>
      </w:r>
      <w:r>
        <w:rPr>
          <w:rFonts w:hint="eastAsia" w:ascii="宋体" w:hAnsi="宋体" w:eastAsia="宋体" w:cs="宋体"/>
          <w:bCs/>
          <w:color w:val="000000"/>
          <w:sz w:val="24"/>
          <w:szCs w:val="24"/>
          <w:highlight w:val="none"/>
        </w:rPr>
        <w:t xml:space="preserve">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未按招标文件要求解密电子投标文件的；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的法定代表人授权代表，无法定代表人授权委托书的；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的法定代表人或被授权代表，未准时参加开标会议的；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HYPERLINK "http://www.creditchina.gov.cn"</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投标文件未按招标文件规定的内容和要求填写的；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投标文件书写潦草、字迹模糊不清、无法辨认的；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投标文件中有招标文件未允许提供的选择性内容；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委托同一单位或者个人办理投标事宜的；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的单位负责人为同一人或者存在直接控股、管理关系的；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的投标资料相互混装、不同</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17.</w:t>
      </w:r>
      <w:r>
        <w:rPr>
          <w:rFonts w:hint="eastAsia" w:ascii="宋体" w:hAnsi="宋体" w:eastAsia="宋体" w:cs="宋体"/>
          <w:bCs/>
          <w:color w:val="000000"/>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t xml:space="preserve">投标文件含有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不能接受的附加条件的；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19.</w:t>
      </w:r>
      <w:r>
        <w:rPr>
          <w:rFonts w:hint="eastAsia" w:ascii="宋体" w:hAnsi="宋体" w:eastAsia="宋体" w:cs="宋体"/>
          <w:bCs/>
          <w:color w:val="000000"/>
          <w:sz w:val="24"/>
          <w:szCs w:val="24"/>
          <w:highlight w:val="none"/>
        </w:rPr>
        <w:t xml:space="preserve">评标委员会认定</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的报价明显低于其他通过符合性审查</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的报价，有可能影响产品质量或者不能诚信履约，且</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不能应评标委员会要求在评标现场合理的时间内提供书面说明（必要时评标委员会可要求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提交相关证明材料）证明其报价合理性的；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未通过符合性审查的；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22.</w:t>
      </w:r>
      <w:r>
        <w:rPr>
          <w:rFonts w:hint="eastAsia" w:ascii="宋体" w:hAnsi="宋体" w:eastAsia="宋体" w:cs="宋体"/>
          <w:bCs/>
          <w:color w:val="000000"/>
          <w:sz w:val="24"/>
          <w:szCs w:val="24"/>
          <w:highlight w:val="none"/>
        </w:rPr>
        <w:t xml:space="preserve">投标文件内容不全或不符合招标文件中规定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实质性要求的；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rPr>
        <w:t xml:space="preserve">未按要求提供第三章项目要求和有关说明中</w:t>
      </w:r>
      <w:r>
        <w:rPr>
          <w:rFonts w:hint="eastAsia" w:ascii="宋体" w:hAnsi="宋体" w:eastAsia="宋体" w:cs="宋体"/>
          <w:bCs/>
          <w:color w:val="000000"/>
          <w:sz w:val="24"/>
          <w:szCs w:val="24"/>
          <w:highlight w:val="none"/>
          <w:lang w:eastAsia="zh-CN"/>
        </w:rPr>
        <w:t xml:space="preserve">需</w:t>
      </w:r>
      <w:r>
        <w:rPr>
          <w:rFonts w:hint="eastAsia" w:ascii="宋体" w:hAnsi="宋体" w:eastAsia="宋体" w:cs="宋体"/>
          <w:bCs/>
          <w:color w:val="000000"/>
          <w:sz w:val="24"/>
          <w:szCs w:val="24"/>
          <w:highlight w:val="none"/>
        </w:rPr>
        <w:t xml:space="preserve">提供的相关证明材料的；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.暗标未按招标文件要求编制的</w:t>
      </w:r>
      <w:r>
        <w:rPr>
          <w:rFonts w:hint="eastAsia" w:ascii="宋体" w:hAnsi="宋体" w:eastAsia="宋体" w:cs="宋体"/>
          <w:bCs/>
          <w:color w:val="000000"/>
          <w:sz w:val="24"/>
          <w:szCs w:val="24"/>
          <w:highlight w:val="none"/>
          <w:lang w:val="en-US" w:eastAsia="zh-CN"/>
        </w:rPr>
        <w:t xml:space="preserve">；</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rPr>
        <w:t xml:space="preserve">.法律法规和招标文件规定</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无效情形。</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九</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开标、评标：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所有投标单位在招标文件规定的时间内解密各自投标文件。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2.投标截止时间后参加投标的供应商或解密投标文件的供应商不足三家的，不开标；开标后，所有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可在线上开标大厅中看到所有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的投标报价。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投标文件的审查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投标文件报价出现前后不一致的，按照下列规定修正：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作出必要的澄清、说明或者补正，经</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确认后产生约束力，</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不确认的，其投标无效。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未参加开标的，视同认可开标结果。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4.</w:t>
      </w:r>
      <w:r>
        <w:rPr>
          <w:rFonts w:hint="eastAsia" w:ascii="宋体" w:hAnsi="宋体" w:eastAsia="宋体" w:cs="宋体"/>
          <w:bCs/>
          <w:color w:val="000000"/>
          <w:sz w:val="24"/>
          <w:szCs w:val="24"/>
          <w:highlight w:val="none"/>
        </w:rPr>
        <w:t xml:space="preserve">评标程序</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评标工作由</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是否具备投标资格。信用查询结果以网页打印的形式留存并归档。</w:t>
      </w:r>
      <w:bookmarkEnd w:id="16"/>
      <w:r/>
      <w:bookmarkEnd w:id="17"/>
      <w:r/>
      <w:r/>
    </w:p>
    <w:p>
      <w:pPr>
        <w:jc w:val="center"/>
        <w:spacing w:line="440" w:lineRule="exact"/>
        <w:tabs>
          <w:tab w:val="left" w:pos="480" w:leader="none"/>
        </w:tabs>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资格性审查表</w:t>
      </w:r>
      <w:r/>
    </w:p>
    <w:tbl>
      <w:tblPr>
        <w:tblStyle w:val="699"/>
        <w:tblW w:w="9615" w:type="dxa"/>
        <w:tblInd w:w="-54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trHeight w:val="567"/>
        </w:trPr>
        <w:tc>
          <w:tcPr>
            <w:tcW w:w="840" w:type="dxa"/>
            <w:vAlign w:val="center"/>
            <w:textDirection w:val="lrTb"/>
            <w:noWrap w:val="false"/>
          </w:tcPr>
          <w:p>
            <w:pPr>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p>
        </w:tc>
        <w:tc>
          <w:tcPr>
            <w:gridSpan w:val="2"/>
            <w:tcW w:w="8775" w:type="dxa"/>
            <w:vAlign w:val="center"/>
            <w:textDirection w:val="lrTb"/>
            <w:noWrap w:val="false"/>
          </w:tcPr>
          <w:p>
            <w:pPr>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资格审查内容</w:t>
            </w:r>
            <w:r/>
          </w:p>
        </w:tc>
      </w:tr>
      <w:tr>
        <w:trPr>
          <w:trHeight w:val="502"/>
        </w:trPr>
        <w:tc>
          <w:tcPr>
            <w:tcW w:w="840"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32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关于资格的声明函</w:t>
            </w:r>
            <w:r/>
          </w:p>
        </w:tc>
        <w:tc>
          <w:tcPr>
            <w:tcW w:w="5566"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格式见附件</w:t>
            </w:r>
            <w:r/>
          </w:p>
        </w:tc>
      </w:tr>
      <w:tr>
        <w:trPr>
          <w:trHeight w:val="682"/>
        </w:trPr>
        <w:tc>
          <w:tcPr>
            <w:tcW w:w="840"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32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具有独立承担民事责任的能力</w:t>
            </w:r>
            <w:r/>
          </w:p>
        </w:tc>
        <w:tc>
          <w:tcPr>
            <w:tcW w:w="5566" w:type="dxa"/>
            <w:vAlign w:val="center"/>
            <w:textDirection w:val="lrTb"/>
            <w:noWrap w:val="false"/>
          </w:tcPr>
          <w:p>
            <w:pPr>
              <w:jc w:val="lef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具有独立承担民事责任能力的供应商营业执照或相关部门的登记证明文件扫描件</w:t>
            </w:r>
            <w:r/>
          </w:p>
        </w:tc>
      </w:tr>
      <w:tr>
        <w:trPr>
          <w:trHeight w:val="487"/>
        </w:trPr>
        <w:tc>
          <w:tcPr>
            <w:tcW w:w="840"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32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供应商法定代表人授权委托书</w:t>
            </w:r>
            <w:r/>
          </w:p>
        </w:tc>
        <w:tc>
          <w:tcPr>
            <w:tcW w:w="5566" w:type="dxa"/>
            <w:vAlign w:val="center"/>
            <w:textDirection w:val="lrTb"/>
            <w:noWrap w:val="false"/>
          </w:tcPr>
          <w:p>
            <w:pPr>
              <w:tabs>
                <w:tab w:val="left" w:pos="105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法定代表人亲自参与投标的除外，格式见附件</w:t>
            </w:r>
            <w:r/>
          </w:p>
        </w:tc>
      </w:tr>
      <w:tr>
        <w:trPr>
          <w:trHeight w:val="502"/>
        </w:trPr>
        <w:tc>
          <w:tcPr>
            <w:tcW w:w="840"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32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供应商法定代表人身份证扫描件</w:t>
            </w:r>
            <w:r/>
          </w:p>
        </w:tc>
        <w:tc>
          <w:tcPr>
            <w:tcW w:w="5566" w:type="dxa"/>
            <w:vAlign w:val="center"/>
            <w:textDirection w:val="lrTb"/>
            <w:noWrap w:val="false"/>
          </w:tcPr>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身份证应为正、反面</w:t>
            </w:r>
            <w:r/>
          </w:p>
        </w:tc>
      </w:tr>
      <w:tr>
        <w:trPr>
          <w:trHeight w:val="485"/>
        </w:trPr>
        <w:tc>
          <w:tcPr>
            <w:tcW w:w="840"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32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法定代表人授权代表身份证扫描件</w:t>
            </w:r>
            <w:r/>
          </w:p>
        </w:tc>
        <w:tc>
          <w:tcPr>
            <w:tcW w:w="5566" w:type="dxa"/>
            <w:vAlign w:val="center"/>
            <w:textDirection w:val="lrTb"/>
            <w:noWrap w:val="false"/>
          </w:tcPr>
          <w:p>
            <w:pPr>
              <w:rPr>
                <w:rFonts w:hint="eastAsia" w:ascii="宋体" w:hAnsi="宋体" w:eastAsia="宋体" w:cs="宋体"/>
                <w:bCs/>
                <w:color w:val="000000"/>
                <w:szCs w:val="21"/>
                <w:highlight w:val="none"/>
              </w:rPr>
            </w:pPr>
            <w:r>
              <w:rPr>
                <w:rFonts w:hint="eastAsia" w:ascii="宋体" w:hAnsi="宋体" w:eastAsia="宋体" w:cs="宋体"/>
                <w:bCs/>
                <w:color w:val="000000"/>
                <w:sz w:val="21"/>
                <w:szCs w:val="21"/>
                <w:highlight w:val="none"/>
              </w:rPr>
              <w:t xml:space="preserve">身份证应为正、反面，法定代表人亲自参加投标的除外</w:t>
            </w:r>
            <w:r/>
          </w:p>
        </w:tc>
      </w:tr>
      <w:tr>
        <w:trPr>
          <w:trHeight w:val="1215"/>
        </w:trPr>
        <w:tc>
          <w:tcPr>
            <w:tcW w:w="840"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32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具有良好的商业信誉和健全的财务会计制度</w:t>
            </w:r>
            <w:r/>
          </w:p>
        </w:tc>
        <w:tc>
          <w:tcPr>
            <w:tcW w:w="5566" w:type="dxa"/>
            <w:vAlign w:val="center"/>
            <w:textDirection w:val="lrTb"/>
            <w:noWrap w:val="false"/>
          </w:tcPr>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tc>
      </w:tr>
      <w:tr>
        <w:trPr>
          <w:trHeight w:val="951"/>
        </w:trPr>
        <w:tc>
          <w:tcPr>
            <w:tcW w:w="840"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W w:w="32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具有依法缴纳税收的良好记录</w:t>
            </w:r>
            <w:r/>
          </w:p>
        </w:tc>
        <w:tc>
          <w:tcPr>
            <w:tcW w:w="5566" w:type="dxa"/>
            <w:vAlign w:val="center"/>
            <w:textDirection w:val="lrTb"/>
            <w:noWrap w:val="false"/>
          </w:tcPr>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供应商近一年中任意一个月份（不含开标当月）的依法缴纳税收的相关材料（提供相关主管部门证明或银行代扣证明）扫描件，成立不满三个自然月的公司（企业）除外</w:t>
            </w:r>
            <w:r/>
          </w:p>
        </w:tc>
      </w:tr>
      <w:tr>
        <w:trPr>
          <w:trHeight w:val="1204"/>
        </w:trPr>
        <w:tc>
          <w:tcPr>
            <w:tcW w:w="840"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tcW w:w="32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具有依法缴纳社会保障资金的良好记录</w:t>
            </w:r>
            <w:r/>
          </w:p>
        </w:tc>
        <w:tc>
          <w:tcPr>
            <w:tcW w:w="5566" w:type="dxa"/>
            <w:vAlign w:val="center"/>
            <w:textDirection w:val="lrTb"/>
            <w:noWrap w:val="false"/>
          </w:tcPr>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供应商近一年中任意一个月份（不含开标当月）的依法缴纳社会保障资金的相关材料（提供相关主管部门证明或银行代扣证明）扫描件，成立不满三个自然月的公司（企业）除外</w:t>
            </w:r>
            <w:r/>
          </w:p>
        </w:tc>
      </w:tr>
      <w:tr>
        <w:trPr>
          <w:trHeight w:val="602"/>
        </w:trPr>
        <w:tc>
          <w:tcPr>
            <w:tcW w:w="840"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p>
        </w:tc>
        <w:tc>
          <w:tcPr>
            <w:tcW w:w="32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承诺书</w:t>
            </w:r>
            <w:r/>
          </w:p>
        </w:tc>
        <w:tc>
          <w:tcPr>
            <w:tcW w:w="5566" w:type="dxa"/>
            <w:vAlign w:val="center"/>
            <w:textDirection w:val="lrTb"/>
            <w:noWrap w:val="false"/>
          </w:tcPr>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格式见附件</w:t>
            </w:r>
            <w:r/>
          </w:p>
        </w:tc>
      </w:tr>
      <w:tr>
        <w:trPr>
          <w:trHeight w:val="352"/>
        </w:trPr>
        <w:tc>
          <w:tcPr>
            <w:tcW w:w="840"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p>
        </w:tc>
        <w:tc>
          <w:tcPr>
            <w:tcW w:w="32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落实政府采购政策需满足的资格要求</w:t>
            </w:r>
            <w:r/>
          </w:p>
        </w:tc>
        <w:tc>
          <w:tcPr>
            <w:tcW w:w="5566" w:type="dxa"/>
            <w:vAlign w:val="center"/>
            <w:textDirection w:val="lrTb"/>
            <w:noWrap w:val="false"/>
          </w:tcPr>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为中小微企业/监狱企业/残疾人福利企业，中小微企业须符合中小微企业划分标准（《工信部联企业〔2011〕300号》）规定，提供《中小企业声明函》，残疾人福利企业提供《残疾人福利性单位声明函》（格式详见格式）</w:t>
            </w:r>
            <w:r/>
          </w:p>
        </w:tc>
      </w:tr>
      <w:tr>
        <w:trPr>
          <w:trHeight w:val="602"/>
        </w:trPr>
        <w:tc>
          <w:tcPr>
            <w:tcW w:w="840"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p>
        </w:tc>
        <w:tc>
          <w:tcPr>
            <w:tcW w:w="32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特定资格要求</w:t>
            </w:r>
            <w:r/>
          </w:p>
        </w:tc>
        <w:tc>
          <w:tcPr>
            <w:tcW w:w="5566" w:type="dxa"/>
            <w:vAlign w:val="center"/>
            <w:textDirection w:val="lrTb"/>
            <w:noWrap w:val="false"/>
          </w:tcPr>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w:t>
            </w:r>
            <w:r/>
          </w:p>
        </w:tc>
      </w:tr>
      <w:tr>
        <w:trPr>
          <w:trHeight w:val="314"/>
        </w:trPr>
        <w:tc>
          <w:tcPr>
            <w:tcW w:w="840"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p>
        </w:tc>
        <w:tc>
          <w:tcPr>
            <w:tcW w:w="32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信用记录</w:t>
            </w:r>
            <w:r/>
          </w:p>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（由网上直接查询，无需提供证明材料）</w:t>
            </w:r>
            <w:r/>
          </w:p>
        </w:tc>
        <w:tc>
          <w:tcPr>
            <w:tcW w:w="5566"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bCs w:val="0"/>
                <w:color w:val="000000"/>
                <w:sz w:val="21"/>
                <w:szCs w:val="21"/>
                <w:highlight w:val="none"/>
              </w:rPr>
              <w:t xml:space="preserve">供应商未被列入“信用中国”网站</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www.creditchina.gov.cn</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“失信被执行人或重大税收违法失信主体或政府采购严重违法失信行为”记录名单；不处于中国政府采购网</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www.ccgp.gov.cn</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“政府采购严重违法失信行为信息记录”中的禁止参加政府采购活动期间。（有上述处罚记录但处罚期已届满的，视为无记录，以代理机构评标当日查询结果为准）</w:t>
            </w:r>
            <w:r/>
          </w:p>
        </w:tc>
      </w:tr>
      <w:tr>
        <w:trPr>
          <w:trHeight w:val="627"/>
        </w:trPr>
        <w:tc>
          <w:tcPr>
            <w:tcW w:w="840"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p>
        </w:tc>
        <w:tc>
          <w:tcPr>
            <w:tcW w:w="32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关于联合体投标</w:t>
            </w:r>
            <w:r/>
          </w:p>
        </w:tc>
        <w:tc>
          <w:tcPr>
            <w:tcW w:w="5566"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本项目不接受联合体投标；不允许分包、转包</w:t>
            </w:r>
            <w:r/>
          </w:p>
        </w:tc>
      </w:tr>
    </w:tbl>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highlight w:val="none"/>
        </w:rPr>
        <w:outlineLvl w:val="1"/>
      </w:pPr>
      <w:r/>
      <w:bookmarkStart w:id="18" w:name="_Toc116946315"/>
      <w:r>
        <w:rPr>
          <w:rFonts w:hint="eastAsia" w:ascii="宋体" w:hAnsi="宋体" w:eastAsia="宋体" w:cs="宋体"/>
          <w:b/>
          <w:color w:val="000000"/>
          <w:sz w:val="24"/>
          <w:szCs w:val="24"/>
          <w:highlight w:val="none"/>
        </w:rPr>
        <w:t xml:space="preserve">符合性审查表</w:t>
      </w:r>
      <w:bookmarkEnd w:id="18"/>
      <w:r/>
      <w:r/>
    </w:p>
    <w:tbl>
      <w:tblPr>
        <w:tblStyle w:val="699"/>
        <w:tblW w:w="8918" w:type="dxa"/>
        <w:tblInd w:w="-32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19" w:name="_Toc4591"/>
            <w:r/>
            <w:bookmarkStart w:id="20" w:name="_Toc15735"/>
            <w:r/>
            <w:bookmarkStart w:id="21" w:name="_Toc20004"/>
            <w:r>
              <w:rPr>
                <w:rFonts w:hint="eastAsia" w:ascii="宋体" w:hAnsi="宋体" w:eastAsia="宋体" w:cs="宋体"/>
                <w:bCs/>
                <w:color w:val="000000"/>
                <w:sz w:val="24"/>
                <w:szCs w:val="24"/>
                <w:highlight w:val="none"/>
              </w:rPr>
              <w:t xml:space="preserve">序号</w:t>
            </w:r>
            <w:bookmarkEnd w:id="19"/>
            <w:r/>
            <w:bookmarkEnd w:id="20"/>
            <w:r/>
            <w:bookmarkEnd w:id="21"/>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22" w:name="_Toc15954"/>
            <w:r/>
            <w:bookmarkStart w:id="23" w:name="_Toc5626"/>
            <w:r/>
            <w:bookmarkStart w:id="24" w:name="_Toc29021"/>
            <w:r>
              <w:rPr>
                <w:rFonts w:hint="eastAsia" w:ascii="宋体" w:hAnsi="宋体" w:eastAsia="宋体" w:cs="宋体"/>
                <w:bCs/>
                <w:color w:val="000000"/>
                <w:sz w:val="24"/>
                <w:szCs w:val="24"/>
                <w:highlight w:val="none"/>
              </w:rPr>
              <w:t xml:space="preserve">评审点要求概况</w:t>
            </w:r>
            <w:bookmarkEnd w:id="22"/>
            <w:r/>
            <w:bookmarkEnd w:id="23"/>
            <w:r/>
            <w:bookmarkEnd w:id="24"/>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25" w:name="_Toc7772"/>
            <w:r/>
            <w:bookmarkStart w:id="26" w:name="_Toc11172"/>
            <w:r/>
            <w:bookmarkStart w:id="27" w:name="_Toc20936"/>
            <w:r>
              <w:rPr>
                <w:rFonts w:hint="eastAsia" w:ascii="宋体" w:hAnsi="宋体" w:eastAsia="宋体" w:cs="宋体"/>
                <w:bCs/>
                <w:color w:val="000000"/>
                <w:sz w:val="24"/>
                <w:szCs w:val="24"/>
                <w:highlight w:val="none"/>
              </w:rPr>
              <w:t xml:space="preserve">评审点具体描述</w:t>
            </w:r>
            <w:bookmarkEnd w:id="25"/>
            <w:r/>
            <w:bookmarkEnd w:id="26"/>
            <w:r/>
            <w:bookmarkEnd w:id="27"/>
            <w:r/>
            <w:r/>
          </w:p>
        </w:tc>
      </w:tr>
      <w:tr>
        <w:trPr>
          <w:trHeight w:val="564"/>
        </w:trPr>
        <w:tc>
          <w:tcPr>
            <w:tcW w:w="645"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28" w:name="_Toc9400"/>
            <w:r/>
            <w:bookmarkStart w:id="29" w:name="_Toc10234"/>
            <w:r/>
            <w:bookmarkStart w:id="30" w:name="_Toc30166"/>
            <w:r>
              <w:rPr>
                <w:rFonts w:hint="eastAsia" w:ascii="宋体" w:hAnsi="宋体" w:eastAsia="宋体" w:cs="宋体"/>
                <w:bCs/>
                <w:color w:val="000000"/>
                <w:sz w:val="24"/>
                <w:szCs w:val="24"/>
                <w:highlight w:val="none"/>
              </w:rPr>
              <w:t xml:space="preserve">1</w:t>
            </w:r>
            <w:bookmarkEnd w:id="28"/>
            <w:r/>
            <w:bookmarkEnd w:id="29"/>
            <w:r/>
            <w:bookmarkEnd w:id="30"/>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31" w:name="_Toc29519"/>
            <w:r/>
            <w:bookmarkStart w:id="32" w:name="_Toc3851"/>
            <w:r/>
            <w:bookmarkStart w:id="33" w:name="_Toc21225"/>
            <w:r>
              <w:rPr>
                <w:rFonts w:hint="eastAsia" w:ascii="宋体" w:hAnsi="宋体" w:eastAsia="宋体" w:cs="宋体"/>
                <w:bCs/>
                <w:color w:val="000000"/>
                <w:sz w:val="24"/>
                <w:szCs w:val="24"/>
                <w:highlight w:val="none"/>
              </w:rPr>
              <w:t xml:space="preserve">投标函</w:t>
            </w:r>
            <w:bookmarkEnd w:id="31"/>
            <w:r/>
            <w:bookmarkEnd w:id="32"/>
            <w:r/>
            <w:bookmarkEnd w:id="33"/>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34" w:name="_Toc10875"/>
            <w:r/>
            <w:bookmarkStart w:id="35" w:name="_Toc1397"/>
            <w:r/>
            <w:bookmarkStart w:id="36" w:name="_Toc4416"/>
            <w:r>
              <w:rPr>
                <w:rFonts w:hint="eastAsia" w:ascii="宋体" w:hAnsi="宋体" w:eastAsia="宋体" w:cs="宋体"/>
                <w:bCs/>
                <w:color w:val="000000"/>
                <w:sz w:val="24"/>
                <w:szCs w:val="24"/>
                <w:highlight w:val="none"/>
              </w:rPr>
              <w:t xml:space="preserve">按招标文件填写，格式见附件</w:t>
            </w:r>
            <w:bookmarkEnd w:id="34"/>
            <w:r/>
            <w:bookmarkEnd w:id="35"/>
            <w:r/>
            <w:bookmarkEnd w:id="36"/>
            <w:r/>
            <w:r/>
          </w:p>
        </w:tc>
      </w:tr>
      <w:tr>
        <w:trP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37" w:name="_Toc11377"/>
            <w:r/>
            <w:bookmarkStart w:id="38" w:name="_Toc18261"/>
            <w:r/>
            <w:bookmarkStart w:id="39" w:name="_Toc12823"/>
            <w:r>
              <w:rPr>
                <w:rFonts w:hint="eastAsia" w:ascii="宋体" w:hAnsi="宋体" w:eastAsia="宋体" w:cs="宋体"/>
                <w:bCs/>
                <w:color w:val="000000"/>
                <w:sz w:val="24"/>
                <w:szCs w:val="24"/>
                <w:highlight w:val="none"/>
              </w:rPr>
              <w:t xml:space="preserve">2</w:t>
            </w:r>
            <w:bookmarkEnd w:id="37"/>
            <w:r/>
            <w:bookmarkEnd w:id="38"/>
            <w:r/>
            <w:bookmarkEnd w:id="39"/>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40" w:name="_Toc27131"/>
            <w:r/>
            <w:bookmarkStart w:id="41" w:name="_Toc15463"/>
            <w:r/>
            <w:bookmarkStart w:id="42" w:name="_Toc22953"/>
            <w:r>
              <w:rPr>
                <w:rFonts w:hint="eastAsia" w:ascii="宋体" w:hAnsi="宋体" w:eastAsia="宋体" w:cs="宋体"/>
                <w:bCs/>
                <w:color w:val="000000"/>
                <w:sz w:val="24"/>
                <w:szCs w:val="24"/>
                <w:highlight w:val="none"/>
              </w:rPr>
              <w:t xml:space="preserve">开标一览表</w:t>
            </w:r>
            <w:bookmarkEnd w:id="40"/>
            <w:r/>
            <w:bookmarkEnd w:id="41"/>
            <w:r/>
            <w:bookmarkEnd w:id="42"/>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43" w:name="_Toc31786"/>
            <w:r/>
            <w:bookmarkStart w:id="44" w:name="_Toc28395"/>
            <w:r/>
            <w:bookmarkStart w:id="45" w:name="_Toc10519"/>
            <w:r>
              <w:rPr>
                <w:rFonts w:hint="eastAsia" w:ascii="宋体" w:hAnsi="宋体" w:eastAsia="宋体" w:cs="宋体"/>
                <w:bCs/>
                <w:color w:val="000000"/>
                <w:sz w:val="24"/>
                <w:szCs w:val="24"/>
                <w:highlight w:val="none"/>
              </w:rPr>
              <w:t xml:space="preserve">本表无需上传，评审时以苏采云系统自带的开标一览表为准</w:t>
            </w:r>
            <w:bookmarkEnd w:id="43"/>
            <w:r/>
            <w:bookmarkEnd w:id="44"/>
            <w:r/>
            <w:bookmarkEnd w:id="45"/>
            <w:r/>
            <w:r/>
          </w:p>
        </w:tc>
      </w:tr>
      <w:tr>
        <w:trPr>
          <w:trHeight w:val="646"/>
        </w:trPr>
        <w:tc>
          <w:tcPr>
            <w:tcW w:w="645"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46" w:name="_Toc9240"/>
            <w:r/>
            <w:bookmarkStart w:id="47" w:name="_Toc23330"/>
            <w:r/>
            <w:bookmarkStart w:id="48" w:name="_Toc32411"/>
            <w:r>
              <w:rPr>
                <w:rFonts w:hint="eastAsia" w:ascii="宋体" w:hAnsi="宋体" w:eastAsia="宋体" w:cs="宋体"/>
                <w:bCs/>
                <w:color w:val="000000"/>
                <w:sz w:val="24"/>
                <w:szCs w:val="24"/>
                <w:highlight w:val="none"/>
              </w:rPr>
              <w:t xml:space="preserve">3</w:t>
            </w:r>
            <w:bookmarkEnd w:id="46"/>
            <w:r/>
            <w:bookmarkEnd w:id="47"/>
            <w:r/>
            <w:bookmarkEnd w:id="48"/>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49" w:name="_Toc5167"/>
            <w:r/>
            <w:bookmarkStart w:id="50" w:name="_Toc8290"/>
            <w:r/>
            <w:bookmarkStart w:id="51" w:name="_Toc12278"/>
            <w:r>
              <w:rPr>
                <w:rFonts w:hint="eastAsia" w:ascii="宋体" w:hAnsi="宋体" w:eastAsia="宋体" w:cs="宋体"/>
                <w:bCs/>
                <w:color w:val="000000"/>
                <w:sz w:val="24"/>
                <w:szCs w:val="24"/>
                <w:highlight w:val="none"/>
              </w:rPr>
              <w:t xml:space="preserve">报价明细表</w:t>
            </w:r>
            <w:bookmarkEnd w:id="49"/>
            <w:r/>
            <w:bookmarkEnd w:id="50"/>
            <w:r/>
            <w:bookmarkEnd w:id="51"/>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52" w:name="_Toc13154"/>
            <w:r/>
            <w:bookmarkStart w:id="53" w:name="_Toc2488"/>
            <w:r/>
            <w:bookmarkStart w:id="54" w:name="_Toc1757"/>
            <w:r>
              <w:rPr>
                <w:rFonts w:hint="eastAsia" w:ascii="宋体" w:hAnsi="宋体" w:eastAsia="宋体" w:cs="宋体"/>
                <w:bCs/>
                <w:color w:val="000000"/>
                <w:sz w:val="24"/>
                <w:szCs w:val="24"/>
                <w:highlight w:val="none"/>
              </w:rPr>
              <w:t xml:space="preserve">按招标文件填写，格式见附件</w:t>
            </w:r>
            <w:bookmarkEnd w:id="52"/>
            <w:r/>
            <w:bookmarkEnd w:id="53"/>
            <w:r/>
            <w:bookmarkEnd w:id="54"/>
            <w:r/>
            <w:r/>
          </w:p>
        </w:tc>
      </w:tr>
      <w:tr>
        <w:trPr>
          <w:trHeight w:val="548"/>
        </w:trPr>
        <w:tc>
          <w:tcPr>
            <w:tcW w:w="645"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55" w:name="_Toc4307"/>
            <w:r/>
            <w:bookmarkStart w:id="56" w:name="_Toc8033"/>
            <w:r/>
            <w:bookmarkStart w:id="57" w:name="_Toc32563"/>
            <w:r>
              <w:rPr>
                <w:rFonts w:hint="eastAsia" w:ascii="宋体" w:hAnsi="宋体" w:eastAsia="宋体" w:cs="宋体"/>
                <w:bCs/>
                <w:color w:val="000000"/>
                <w:sz w:val="24"/>
                <w:szCs w:val="24"/>
                <w:highlight w:val="none"/>
              </w:rPr>
              <w:t xml:space="preserve">4</w:t>
            </w:r>
            <w:bookmarkEnd w:id="55"/>
            <w:r/>
            <w:bookmarkEnd w:id="56"/>
            <w:r/>
            <w:bookmarkEnd w:id="57"/>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58" w:name="_Toc25734"/>
            <w:r/>
            <w:bookmarkStart w:id="59" w:name="_Toc9534"/>
            <w:r/>
            <w:bookmarkStart w:id="60" w:name="_Toc14625"/>
            <w:r>
              <w:rPr>
                <w:rFonts w:hint="eastAsia" w:ascii="宋体" w:hAnsi="宋体" w:eastAsia="宋体" w:cs="宋体"/>
                <w:bCs/>
                <w:color w:val="000000"/>
                <w:sz w:val="24"/>
                <w:szCs w:val="24"/>
                <w:highlight w:val="none"/>
              </w:rPr>
              <w:t xml:space="preserve">服务保障承诺书</w:t>
            </w:r>
            <w:bookmarkEnd w:id="58"/>
            <w:r/>
            <w:bookmarkEnd w:id="59"/>
            <w:r/>
            <w:bookmarkEnd w:id="60"/>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61" w:name="_Toc2026"/>
            <w:r/>
            <w:bookmarkStart w:id="62" w:name="_Toc13158"/>
            <w:r/>
            <w:bookmarkStart w:id="63" w:name="_Toc12935"/>
            <w:r>
              <w:rPr>
                <w:rFonts w:hint="eastAsia" w:ascii="宋体" w:hAnsi="宋体" w:eastAsia="宋体" w:cs="宋体"/>
                <w:bCs/>
                <w:color w:val="000000"/>
                <w:sz w:val="24"/>
                <w:szCs w:val="24"/>
                <w:highlight w:val="none"/>
              </w:rPr>
              <w:t xml:space="preserve">按招标文件填写 ，格式见附件</w:t>
            </w:r>
            <w:bookmarkEnd w:id="61"/>
            <w:r/>
            <w:bookmarkEnd w:id="62"/>
            <w:r/>
            <w:bookmarkEnd w:id="63"/>
            <w:r/>
            <w:r/>
          </w:p>
        </w:tc>
      </w:tr>
      <w:tr>
        <w:trPr>
          <w:trHeight w:val="548"/>
        </w:trPr>
        <w:tc>
          <w:tcPr>
            <w:tcW w:w="645"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64" w:name="_Toc4816"/>
            <w:r/>
            <w:bookmarkStart w:id="65" w:name="_Toc30137"/>
            <w:r/>
            <w:bookmarkStart w:id="66" w:name="_Toc16319"/>
            <w:r>
              <w:rPr>
                <w:rFonts w:hint="eastAsia" w:ascii="宋体" w:hAnsi="宋体" w:eastAsia="宋体" w:cs="宋体"/>
                <w:bCs/>
                <w:color w:val="000000"/>
                <w:sz w:val="24"/>
                <w:szCs w:val="24"/>
                <w:highlight w:val="none"/>
              </w:rPr>
              <w:t xml:space="preserve">5</w:t>
            </w:r>
            <w:bookmarkEnd w:id="64"/>
            <w:r/>
            <w:bookmarkEnd w:id="65"/>
            <w:r/>
            <w:bookmarkEnd w:id="66"/>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67" w:name="_Toc25144"/>
            <w:r/>
            <w:bookmarkStart w:id="68" w:name="_Toc21255"/>
            <w:r/>
            <w:bookmarkStart w:id="69" w:name="_Toc3888"/>
            <w:r>
              <w:rPr>
                <w:rFonts w:hint="eastAsia" w:ascii="宋体" w:hAnsi="宋体" w:eastAsia="宋体" w:cs="宋体"/>
                <w:bCs/>
                <w:color w:val="000000"/>
                <w:sz w:val="24"/>
                <w:szCs w:val="24"/>
                <w:highlight w:val="none"/>
              </w:rPr>
              <w:t xml:space="preserve">投标偏离表</w:t>
            </w:r>
            <w:bookmarkEnd w:id="67"/>
            <w:r/>
            <w:bookmarkEnd w:id="68"/>
            <w:r/>
            <w:bookmarkEnd w:id="69"/>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70" w:name="_Toc14491"/>
            <w:r/>
            <w:bookmarkStart w:id="71" w:name="_Toc31450"/>
            <w:r/>
            <w:bookmarkStart w:id="72" w:name="_Toc25126"/>
            <w:r>
              <w:rPr>
                <w:rFonts w:hint="eastAsia" w:ascii="宋体" w:hAnsi="宋体" w:eastAsia="宋体" w:cs="宋体"/>
                <w:bCs/>
                <w:color w:val="000000"/>
                <w:sz w:val="24"/>
                <w:szCs w:val="24"/>
                <w:highlight w:val="none"/>
              </w:rPr>
              <w:t xml:space="preserve">按招标文件填写 ，格式见附件</w:t>
            </w:r>
            <w:bookmarkEnd w:id="70"/>
            <w:r/>
            <w:bookmarkEnd w:id="71"/>
            <w:r/>
            <w:bookmarkEnd w:id="72"/>
            <w:r/>
            <w:r/>
          </w:p>
        </w:tc>
      </w:tr>
      <w:tr>
        <w:trPr>
          <w:trHeight w:val="582"/>
        </w:trPr>
        <w:tc>
          <w:tcPr>
            <w:tcW w:w="645"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lang w:eastAsia="zh-CN"/>
              </w:rPr>
              <w:outlineLvl w:val="0"/>
            </w:pPr>
            <w:r/>
            <w:bookmarkStart w:id="73" w:name="_Toc14483"/>
            <w:r/>
            <w:bookmarkStart w:id="74" w:name="_Toc8499"/>
            <w:r/>
            <w:bookmarkStart w:id="75" w:name="_Toc22335"/>
            <w:r>
              <w:rPr>
                <w:rFonts w:hint="eastAsia" w:ascii="宋体" w:hAnsi="宋体" w:eastAsia="宋体" w:cs="宋体"/>
                <w:bCs/>
                <w:color w:val="000000"/>
                <w:sz w:val="24"/>
                <w:szCs w:val="24"/>
                <w:highlight w:val="none"/>
                <w:lang w:val="en-US" w:eastAsia="zh-CN"/>
              </w:rPr>
              <w:t xml:space="preserve">6</w:t>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eastAsia="zh-CN"/>
              </w:rPr>
              <w:t xml:space="preserve">人员配备情况表</w:t>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color w:val="000000"/>
                <w:sz w:val="24"/>
                <w:szCs w:val="24"/>
                <w:highlight w:val="none"/>
              </w:rPr>
              <w:t xml:space="preserve">按招标文件填写 ，格式见附件</w:t>
            </w:r>
            <w:bookmarkEnd w:id="73"/>
            <w:r/>
            <w:bookmarkEnd w:id="74"/>
            <w:r/>
            <w:bookmarkEnd w:id="75"/>
            <w:r/>
            <w:r/>
          </w:p>
        </w:tc>
      </w:tr>
      <w:tr>
        <w:trPr>
          <w:trHeight w:val="582"/>
        </w:trPr>
        <w:tc>
          <w:tcPr>
            <w:tcW w:w="645"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76" w:name="_Toc15864"/>
            <w:r/>
            <w:bookmarkStart w:id="77" w:name="_Toc28584"/>
            <w:r/>
            <w:bookmarkStart w:id="78" w:name="_Toc6467"/>
            <w:r>
              <w:rPr>
                <w:rFonts w:hint="eastAsia" w:ascii="宋体" w:hAnsi="宋体" w:eastAsia="宋体" w:cs="宋体"/>
                <w:bCs/>
                <w:color w:val="000000"/>
                <w:sz w:val="24"/>
                <w:szCs w:val="24"/>
                <w:highlight w:val="none"/>
              </w:rPr>
              <w:t xml:space="preserve">投标文件内容</w:t>
            </w:r>
            <w:bookmarkEnd w:id="76"/>
            <w:r/>
            <w:bookmarkEnd w:id="77"/>
            <w:r/>
            <w:bookmarkEnd w:id="78"/>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bookmarkStart w:id="79" w:name="_Toc20382"/>
            <w:r/>
            <w:bookmarkStart w:id="80" w:name="_Toc21519"/>
            <w:r/>
            <w:bookmarkStart w:id="81" w:name="_Toc26307"/>
            <w:r>
              <w:rPr>
                <w:rFonts w:hint="eastAsia" w:ascii="宋体" w:hAnsi="宋体" w:eastAsia="宋体" w:cs="宋体"/>
                <w:bCs/>
                <w:color w:val="000000"/>
                <w:sz w:val="24"/>
                <w:szCs w:val="24"/>
                <w:highlight w:val="none"/>
              </w:rPr>
              <w:t xml:space="preserve">不存在供应商须知第八条中的情形</w:t>
            </w:r>
            <w:bookmarkEnd w:id="79"/>
            <w:r/>
            <w:bookmarkEnd w:id="80"/>
            <w:r/>
            <w:bookmarkEnd w:id="81"/>
            <w:r/>
            <w:r/>
          </w:p>
        </w:tc>
      </w:tr>
    </w:tbl>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sz w:val="21"/>
          <w:szCs w:val="22"/>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）平台发起答疑澄清，要求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作出必要的澄清、说明或者纠正。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的澄清、说明或者补正应当通过江苏省政府采购（苏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rPr>
        <w:t xml:space="preserve">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6.</w:t>
      </w:r>
      <w:r>
        <w:rPr>
          <w:rFonts w:hint="eastAsia" w:ascii="宋体" w:hAnsi="宋体" w:eastAsia="宋体" w:cs="宋体"/>
          <w:bCs/>
          <w:color w:val="000000"/>
          <w:sz w:val="24"/>
          <w:szCs w:val="24"/>
          <w:highlight w:val="none"/>
        </w:rPr>
        <w:t xml:space="preserve">评标标准：详见附件。</w:t>
      </w:r>
      <w:r/>
    </w:p>
    <w:p>
      <w:pPr>
        <w:ind w:firstLine="482"/>
        <w:spacing w:line="360" w:lineRule="auto"/>
        <w:rPr>
          <w:rFonts w:hint="eastAsia" w:ascii="宋体" w:hAnsi="宋体" w:eastAsia="宋体" w:cs="宋体"/>
          <w:b/>
          <w:bCs w:val="0"/>
          <w:color w:val="000000"/>
          <w:sz w:val="24"/>
          <w:szCs w:val="24"/>
          <w:highlight w:val="none"/>
        </w:rPr>
      </w:pPr>
      <w:r/>
      <w:bookmarkStart w:id="82" w:name="_Toc112006920"/>
      <w:r/>
      <w:bookmarkStart w:id="83" w:name="_Toc112006921"/>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定标：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招标文件未规定的，采取随机抽取的方式确定。</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和评标委员会对未中标原因不</w:t>
      </w:r>
      <w:r>
        <w:rPr>
          <w:rFonts w:hint="eastAsia" w:ascii="宋体" w:hAnsi="宋体" w:eastAsia="宋体" w:cs="宋体"/>
          <w:bCs/>
          <w:color w:val="000000"/>
          <w:sz w:val="24"/>
          <w:szCs w:val="24"/>
          <w:highlight w:val="none"/>
          <w:lang w:eastAsia="zh-CN"/>
        </w:rPr>
        <w:t xml:space="preserve">作解释</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在发布中标公告的同时，</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将向中标供应商</w:t>
      </w:r>
      <w:r>
        <w:rPr>
          <w:rFonts w:hint="eastAsia" w:ascii="宋体" w:hAnsi="宋体" w:eastAsia="宋体" w:cs="宋体"/>
          <w:bCs/>
          <w:color w:val="000000"/>
          <w:sz w:val="24"/>
          <w:szCs w:val="24"/>
          <w:highlight w:val="none"/>
          <w:lang w:eastAsia="zh-CN"/>
        </w:rPr>
        <w:t xml:space="preserve">发出</w:t>
      </w:r>
      <w:r>
        <w:rPr>
          <w:rFonts w:hint="eastAsia" w:ascii="宋体" w:hAnsi="宋体" w:eastAsia="宋体" w:cs="宋体"/>
          <w:bCs/>
          <w:color w:val="000000"/>
          <w:sz w:val="24"/>
          <w:szCs w:val="24"/>
          <w:highlight w:val="none"/>
        </w:rPr>
        <w:t xml:space="preserve">中标通知书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请中标人在中标结果公告届满之日起30日内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使用CA数字证书登录“苏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”系统及时下载中标通知书。因系统存储空间有限，自中标结果公告届满之日起30日后，“苏</w:t>
      </w:r>
      <w:r>
        <w:rPr>
          <w:rFonts w:hint="eastAsia" w:ascii="宋体" w:hAnsi="宋体" w:eastAsia="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”系统不再保证提供下载中标通知书服务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投标供应商电子投标文件将作为电子档案保存。</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十一</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废标的确认：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符合专业条件的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或者对招标文件作出实质性响应的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不足三家；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出现影响采购公正的违法、违规行为；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3.供应商</w:t>
      </w:r>
      <w:r>
        <w:rPr>
          <w:rFonts w:hint="eastAsia" w:ascii="宋体" w:hAnsi="宋体" w:eastAsia="宋体" w:cs="宋体"/>
          <w:bCs/>
          <w:color w:val="000000"/>
          <w:sz w:val="24"/>
          <w:szCs w:val="24"/>
          <w:highlight w:val="none"/>
        </w:rPr>
        <w:t xml:space="preserve">的报价均超过采购预算，</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不能支付的；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4.</w:t>
      </w:r>
      <w:r>
        <w:rPr>
          <w:rFonts w:hint="eastAsia" w:ascii="宋体" w:hAnsi="宋体" w:eastAsia="宋体" w:cs="宋体"/>
          <w:bCs/>
          <w:color w:val="000000"/>
          <w:sz w:val="24"/>
          <w:szCs w:val="24"/>
          <w:highlight w:val="none"/>
        </w:rPr>
        <w:t xml:space="preserve">因重大变故，采购任务取消。</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十二</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中标无效的确认：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提供虚假材料谋取中标的；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采取不正当手段诋毁、排挤其他</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与招标采购单位、其他</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恶意串通的；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向招标采购单位行贿或者提供其他不正当利益的；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拒绝有关部门监督检查或者提供虚假情况的。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有上述1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至</w:t>
      </w: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项情形之一的，中标无效。有上述</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至</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有下列情形之一的，视为投标人串通投标，投标无效：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.1不同投标人的投标文件由同一单位或者个人编制。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.2不同投标人委托同一单位或者个人办理投标事宜。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签订、履行合同：</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2.本项目不收取</w:t>
      </w:r>
      <w:r>
        <w:rPr>
          <w:rFonts w:hint="eastAsia" w:ascii="宋体" w:hAnsi="宋体" w:eastAsia="宋体" w:cs="宋体"/>
          <w:bCs/>
          <w:color w:val="000000"/>
          <w:sz w:val="24"/>
          <w:szCs w:val="24"/>
          <w:highlight w:val="none"/>
          <w:lang w:val="zh-CN"/>
        </w:rPr>
        <w:t xml:space="preserve">履约保证金。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中标供应商非因不可抗力未履行招、投标文件和合同规定的义务，一经查实，</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将根据具体情况提请政府采购管理部门作出相应处理。</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注意事项：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（1）中标后无正当理由不与</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签订合同的；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（2）将中标项目转让给他人，或者在投标文件中未说明，且未经过</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同意，将中标项目分包给他人的；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（3）拒绝履行合同义务的。</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质疑处理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提出质疑的供应商应当是参与所</w:t>
      </w:r>
      <w:r>
        <w:rPr>
          <w:rFonts w:hint="eastAsia" w:ascii="宋体" w:hAnsi="宋体" w:eastAsia="宋体" w:cs="宋体"/>
          <w:bCs/>
          <w:color w:val="000000"/>
          <w:sz w:val="24"/>
          <w:szCs w:val="24"/>
          <w:highlight w:val="none"/>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采购人、代理机构只接收以纸质原件形式送达的质疑，质疑供应商可通过面交或邮寄方式送达（采购人和代理机构不接受未填写快递运单的快件）。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采购人、代理机构联系人、联系方式、通信地址见招标文件第一章。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5.2 超出政府采购法定期限的质疑。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（十</w:t>
      </w: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lang w:eastAsia="zh-CN"/>
        </w:rPr>
        <w:t xml:space="preserve">中标服务费：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本次招标，中标服务费由中标供应商支付。</w:t>
      </w:r>
      <w:r>
        <w:rPr>
          <w:rFonts w:hint="eastAsia" w:ascii="宋体" w:hAnsi="宋体" w:eastAsia="宋体" w:cs="宋体"/>
          <w:bCs/>
          <w:color w:val="000000"/>
          <w:sz w:val="24"/>
          <w:szCs w:val="24"/>
          <w:highlight w:val="none"/>
          <w:lang w:val="en-US" w:eastAsia="zh-CN"/>
        </w:rPr>
        <w:t xml:space="preserve">供应商的投标报价应当包含本项目中标服务费。中标服务费</w:t>
      </w:r>
      <w:r>
        <w:rPr>
          <w:rFonts w:hint="eastAsia" w:ascii="宋体" w:hAnsi="宋体" w:eastAsia="宋体" w:cs="宋体"/>
          <w:bCs/>
          <w:color w:val="000000"/>
          <w:sz w:val="24"/>
          <w:szCs w:val="24"/>
          <w:highlight w:val="none"/>
          <w:lang w:val="zh-CN"/>
        </w:rPr>
        <w:t xml:space="preserve">按累进制计算，</w:t>
      </w:r>
      <w:r>
        <w:rPr>
          <w:rFonts w:hint="eastAsia" w:ascii="宋体" w:hAnsi="宋体" w:eastAsia="宋体" w:cs="宋体"/>
          <w:bCs/>
          <w:color w:val="000000"/>
          <w:sz w:val="24"/>
          <w:szCs w:val="24"/>
          <w:highlight w:val="none"/>
          <w:lang w:val="zh-CN" w:eastAsia="zh-CN"/>
        </w:rPr>
        <w:t xml:space="preserve">中标金额100万元以下</w:t>
      </w:r>
      <w:r>
        <w:rPr>
          <w:rFonts w:hint="eastAsia" w:ascii="宋体" w:hAnsi="宋体" w:eastAsia="宋体" w:cs="宋体"/>
          <w:bCs/>
          <w:color w:val="000000"/>
          <w:sz w:val="24"/>
          <w:szCs w:val="24"/>
          <w:highlight w:val="none"/>
          <w:lang w:val="zh-CN"/>
        </w:rPr>
        <w:t xml:space="preserve">乘以1.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eastAsia="zh-CN"/>
        </w:rPr>
        <w:t xml:space="preserve">，100万—500万</w:t>
      </w:r>
      <w:r>
        <w:rPr>
          <w:rFonts w:hint="eastAsia" w:ascii="宋体" w:hAnsi="宋体" w:eastAsia="宋体" w:cs="宋体"/>
          <w:bCs/>
          <w:color w:val="000000"/>
          <w:sz w:val="24"/>
          <w:szCs w:val="24"/>
          <w:highlight w:val="none"/>
          <w:lang w:val="en-US" w:eastAsia="zh-CN"/>
        </w:rPr>
        <w:t xml:space="preserve">乘以0.64%，5</w:t>
      </w:r>
      <w:r>
        <w:rPr>
          <w:rFonts w:hint="eastAsia" w:ascii="宋体" w:hAnsi="宋体" w:eastAsia="宋体" w:cs="宋体"/>
          <w:bCs/>
          <w:color w:val="000000"/>
          <w:sz w:val="24"/>
          <w:szCs w:val="24"/>
          <w:highlight w:val="none"/>
          <w:lang w:val="zh-CN" w:eastAsia="zh-CN"/>
        </w:rPr>
        <w:t xml:space="preserve">00万—</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zh-CN" w:eastAsia="zh-CN"/>
        </w:rPr>
        <w:t xml:space="preserve">00万</w:t>
      </w:r>
      <w:r>
        <w:rPr>
          <w:rFonts w:hint="eastAsia" w:ascii="宋体" w:hAnsi="宋体" w:eastAsia="宋体" w:cs="宋体"/>
          <w:bCs/>
          <w:color w:val="000000"/>
          <w:sz w:val="24"/>
          <w:szCs w:val="24"/>
          <w:highlight w:val="none"/>
          <w:lang w:val="en-US" w:eastAsia="zh-CN"/>
        </w:rPr>
        <w:t xml:space="preserve">乘以0.36%，</w:t>
      </w:r>
      <w:r>
        <w:rPr>
          <w:rFonts w:hint="eastAsia" w:ascii="宋体" w:hAnsi="宋体" w:eastAsia="宋体" w:cs="宋体"/>
          <w:bCs/>
          <w:color w:val="000000"/>
          <w:sz w:val="24"/>
          <w:szCs w:val="24"/>
          <w:highlight w:val="none"/>
          <w:lang w:val="zh-CN"/>
        </w:rPr>
        <w:t xml:space="preserve">由中标供应商支付。</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2.支付采购代理服务费的时间：发布中标通知书后一次性支付。</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（十七）服务（包含与服务相关的货物）的追加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bookmarkEnd w:id="82"/>
      <w:r/>
      <w:bookmarkEnd w:id="83"/>
      <w:r/>
      <w:r/>
    </w:p>
    <w:p>
      <w:pPr>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6"/>
          <w:szCs w:val="36"/>
          <w:highlight w:val="none"/>
          <w:lang w:bidi="ar"/>
        </w:rPr>
        <w:br w:type="page" w:clear="all"/>
      </w:r>
      <w:bookmarkStart w:id="84" w:name="_Toc18280"/>
      <w:r/>
      <w:bookmarkStart w:id="85" w:name="_Toc19279"/>
      <w:r/>
      <w:bookmarkStart w:id="86" w:name="_Toc23785"/>
      <w:r>
        <w:rPr>
          <w:rFonts w:hint="eastAsia" w:ascii="宋体" w:hAnsi="宋体" w:eastAsia="宋体" w:cs="宋体"/>
          <w:b/>
          <w:bCs/>
          <w:color w:val="000000"/>
          <w:sz w:val="32"/>
          <w:szCs w:val="32"/>
          <w:highlight w:val="none"/>
        </w:rPr>
        <w:t xml:space="preserve">三、项目要求和有关说明</w:t>
      </w:r>
      <w:bookmarkEnd w:id="84"/>
      <w:r/>
      <w:bookmarkEnd w:id="85"/>
      <w:r/>
      <w:bookmarkEnd w:id="86"/>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项目概况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本项目立足于锡山区当前大气污染防治需求，切实做好202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大气污染防治工作，以推动空气质量持续改善为目标，拟通过聘请第三方团队在锡山区继续开展大气精准治理服务工作，依托第三方专家驻场团队，强化科技监测，持续开展污染精细化溯源，深入大气精细化管控方向，优化作战方案，科学支撑锡山区大气污染防治工作。</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服务期：</w:t>
      </w:r>
      <w:r>
        <w:rPr>
          <w:rFonts w:hint="eastAsia" w:ascii="宋体" w:hAnsi="宋体" w:eastAsia="宋体" w:cs="宋体"/>
          <w:color w:val="auto"/>
          <w:sz w:val="24"/>
          <w:szCs w:val="24"/>
          <w:highlight w:val="none"/>
        </w:rPr>
        <w:t xml:space="preserve">1年。</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项目最高限价：</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8万元。</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付款方式：</w:t>
      </w:r>
      <w:r>
        <w:rPr>
          <w:rFonts w:hint="eastAsia" w:ascii="宋体" w:hAnsi="宋体" w:eastAsia="宋体" w:cs="宋体"/>
          <w:color w:val="auto"/>
          <w:sz w:val="24"/>
          <w:szCs w:val="24"/>
          <w:highlight w:val="none"/>
        </w:rPr>
        <w:t xml:space="preserve">签订合同且采购人收到足额发票后10日内付至合同价的30%；服务期满6个月，且采购人收到足额发票后支付至合同价的70%；服务期结束，且采购人</w:t>
      </w:r>
      <w:r>
        <w:rPr>
          <w:rFonts w:hint="eastAsia" w:ascii="宋体" w:hAnsi="宋体" w:eastAsia="宋体" w:cs="宋体"/>
          <w:color w:val="auto"/>
          <w:sz w:val="24"/>
          <w:szCs w:val="24"/>
          <w:highlight w:val="none"/>
          <w:lang w:val="en-US" w:eastAsia="zh-CN"/>
        </w:rPr>
        <w:t xml:space="preserve">验收后，</w:t>
      </w:r>
      <w:r>
        <w:rPr>
          <w:rFonts w:hint="eastAsia" w:ascii="宋体" w:hAnsi="宋体" w:eastAsia="宋体" w:cs="宋体"/>
          <w:color w:val="auto"/>
          <w:sz w:val="24"/>
          <w:szCs w:val="24"/>
          <w:highlight w:val="none"/>
        </w:rPr>
        <w:t xml:space="preserve">收到足额发票后付清余款。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服务内容</w:t>
      </w:r>
      <w:r/>
    </w:p>
    <w:tbl>
      <w:tblPr>
        <w:tblStyle w:val="699"/>
        <w:tblW w:w="81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4197"/>
        <w:gridCol w:w="2448"/>
      </w:tblGrid>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VOCs在线源解析分析服务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单颗粒质谱源解析分析服务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VOCs走航监测服务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服务期内累计2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次</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尘负荷走航评估服务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服务期内累计</w:t>
            </w:r>
            <w:r>
              <w:rPr>
                <w:rFonts w:hint="eastAsia" w:ascii="宋体" w:hAnsi="宋体" w:eastAsia="宋体" w:cs="宋体"/>
                <w:color w:val="auto"/>
                <w:sz w:val="24"/>
                <w:szCs w:val="24"/>
                <w:highlight w:val="none"/>
                <w:lang w:val="en-US" w:eastAsia="zh-CN"/>
              </w:rPr>
              <w:t xml:space="preserve">12次</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颗粒物雷达</w:t>
            </w:r>
            <w:r>
              <w:rPr>
                <w:rFonts w:ascii="宋体" w:hAnsi="宋体" w:eastAsia="宋体" w:cs="宋体"/>
                <w:color w:val="auto"/>
                <w:sz w:val="24"/>
                <w:szCs w:val="24"/>
                <w:highlight w:val="none"/>
              </w:rPr>
              <w:t xml:space="preserve">走航</w:t>
            </w:r>
            <w:r>
              <w:rPr>
                <w:rFonts w:hint="eastAsia" w:ascii="宋体" w:hAnsi="宋体" w:eastAsia="宋体" w:cs="宋体"/>
                <w:color w:val="auto"/>
                <w:sz w:val="24"/>
                <w:szCs w:val="24"/>
                <w:highlight w:val="none"/>
              </w:rPr>
              <w:t xml:space="preserve">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服务期内累计2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次</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工地视频监管</w:t>
            </w:r>
            <w:r>
              <w:rPr>
                <w:rFonts w:hint="eastAsia" w:ascii="宋体" w:hAnsi="宋体" w:eastAsia="宋体" w:cs="宋体"/>
                <w:color w:val="auto"/>
                <w:sz w:val="24"/>
                <w:szCs w:val="24"/>
                <w:highlight w:val="none"/>
              </w:rPr>
              <w:t xml:space="preserve">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专项巡查取证服务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企业专项整治服务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重点污染源专项评估服务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无组织监测服务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第三方驻场服务</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41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环境大数据综合管控平台</w:t>
            </w:r>
            <w:r/>
          </w:p>
        </w:tc>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、服务要求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（一）总体要求</w:t>
      </w:r>
      <w:r/>
    </w:p>
    <w:p>
      <w:pPr>
        <w:ind w:firstLine="482"/>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1服务方式</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通过高科技设备，依托环境大数据综合管控平台，驻场服务团队跟踪研究，配合环保部门分析污染成因、明确污染来源、制定达标路径、监控污染热点、指导污染管控、评估措施效果，更好地推动生态环境执法和生态环境质量改善，提高区域环境质量评价和污染源管控的科学性和靶向性。</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2工作模式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通过本地化的专业服务团队的驻场服务、远程监控、问题咨询和专项建议等管控方式，建立大气污染防治运行机制，形成“目标—措施—执行—评估”的动态闭环工作流程，有力支持政府大气污染治理，推动措施有效落实。</w:t>
      </w:r>
      <w:r/>
    </w:p>
    <w:p>
      <w:pPr>
        <w:pStyle w:val="702"/>
        <w:ind w:firstLine="482"/>
        <w:spacing w:line="360" w:lineRule="auto"/>
        <w:rPr>
          <w:rFonts w:hint="eastAsia"/>
          <w:color w:val="auto"/>
          <w:highlight w:val="none"/>
        </w:rPr>
      </w:pPr>
      <w:r>
        <w:rPr>
          <w:rFonts w:hint="eastAsia" w:ascii="宋体" w:hAnsi="宋体" w:eastAsia="宋体" w:cs="宋体"/>
          <w:b/>
          <w:color w:val="auto"/>
          <w:sz w:val="24"/>
          <w:szCs w:val="24"/>
          <w:highlight w:val="none"/>
        </w:rPr>
        <w:t xml:space="preserve">（二）</w:t>
      </w:r>
      <w:r>
        <w:rPr>
          <w:rFonts w:hint="eastAsia" w:ascii="Times New Roman" w:hAnsi="宋体" w:eastAsia="宋体"/>
          <w:b/>
          <w:color w:val="auto"/>
          <w:sz w:val="24"/>
          <w:szCs w:val="24"/>
          <w:highlight w:val="none"/>
        </w:rPr>
        <w:t xml:space="preserve">VOCs在线源解析分析报告</w:t>
      </w:r>
      <w:r/>
    </w:p>
    <w:p>
      <w:pPr>
        <w:pStyle w:val="716"/>
        <w:ind w:left="0" w:firstLine="480"/>
        <w:spacing w:line="360" w:lineRule="auto"/>
        <w:rPr>
          <w:rFonts w:eastAsia="宋体"/>
          <w:color w:val="auto"/>
          <w:sz w:val="24"/>
          <w:szCs w:val="24"/>
          <w:highlight w:val="none"/>
        </w:rPr>
      </w:pPr>
      <w:r>
        <w:rPr>
          <w:rFonts w:hint="eastAsia" w:eastAsia="宋体"/>
          <w:color w:val="auto"/>
          <w:sz w:val="24"/>
          <w:szCs w:val="24"/>
          <w:highlight w:val="none"/>
        </w:rPr>
        <w:t xml:space="preserve">（1）日报：监测区域VOCs浓度分布，特征组分浓度分布，异常点位筛查及分析等；</w:t>
      </w:r>
      <w:r/>
    </w:p>
    <w:p>
      <w:pPr>
        <w:pStyle w:val="716"/>
        <w:ind w:left="0" w:firstLine="480"/>
        <w:spacing w:line="360" w:lineRule="auto"/>
        <w:rPr>
          <w:rFonts w:eastAsia="宋体"/>
          <w:color w:val="auto"/>
          <w:sz w:val="24"/>
          <w:szCs w:val="24"/>
          <w:highlight w:val="none"/>
        </w:rPr>
      </w:pPr>
      <w:r>
        <w:rPr>
          <w:rFonts w:hint="eastAsia" w:eastAsia="宋体"/>
          <w:color w:val="auto"/>
          <w:sz w:val="24"/>
          <w:szCs w:val="24"/>
          <w:highlight w:val="none"/>
        </w:rPr>
        <w:t xml:space="preserve">（2）日报形式，非正式群报；</w:t>
      </w:r>
      <w:r/>
    </w:p>
    <w:p>
      <w:pPr>
        <w:pStyle w:val="716"/>
        <w:ind w:left="0" w:firstLine="480"/>
        <w:spacing w:line="360" w:lineRule="auto"/>
        <w:rPr>
          <w:rFonts w:eastAsia="宋体"/>
          <w:color w:val="auto"/>
          <w:sz w:val="24"/>
          <w:szCs w:val="24"/>
          <w:highlight w:val="none"/>
        </w:rPr>
      </w:pPr>
      <w:r>
        <w:rPr>
          <w:rFonts w:hint="eastAsia" w:eastAsia="宋体"/>
          <w:color w:val="auto"/>
          <w:sz w:val="24"/>
          <w:szCs w:val="24"/>
          <w:highlight w:val="none"/>
        </w:rPr>
        <w:t xml:space="preserve">（3）总结报告：完成10天监测后，出具总体分析报告，包括空气质量分析，VOCs组分分析，不同污染等级的有机组分变化、臭氧来源解析，不同污染等级源解析变化分析，典型重污染过程天气过程分析，特殊污染事件分析，防控工作建议等。</w:t>
      </w:r>
      <w:r/>
    </w:p>
    <w:p>
      <w:pPr>
        <w:pStyle w:val="702"/>
        <w:ind w:firstLine="482"/>
        <w:spacing w:line="360" w:lineRule="auto"/>
        <w:rPr>
          <w:rFonts w:hint="eastAsia"/>
          <w:color w:val="auto"/>
          <w:highlight w:val="none"/>
        </w:rPr>
      </w:pPr>
      <w:r>
        <w:rPr>
          <w:rFonts w:hint="eastAsia" w:ascii="宋体" w:hAnsi="宋体" w:eastAsia="宋体" w:cs="宋体"/>
          <w:b/>
          <w:color w:val="auto"/>
          <w:sz w:val="24"/>
          <w:szCs w:val="24"/>
          <w:highlight w:val="none"/>
        </w:rPr>
        <w:t xml:space="preserve">（三）</w:t>
      </w:r>
      <w:r>
        <w:rPr>
          <w:rFonts w:hint="eastAsia" w:ascii="Times New Roman" w:hAnsi="宋体" w:eastAsia="宋体"/>
          <w:b/>
          <w:color w:val="auto"/>
          <w:sz w:val="24"/>
          <w:szCs w:val="24"/>
          <w:highlight w:val="none"/>
        </w:rPr>
        <w:t xml:space="preserve">单颗粒质谱在线源解析分析报告</w:t>
      </w:r>
      <w:r/>
    </w:p>
    <w:p>
      <w:pPr>
        <w:pStyle w:val="716"/>
        <w:ind w:left="0" w:firstLine="480"/>
        <w:spacing w:line="360" w:lineRule="auto"/>
        <w:rPr>
          <w:rFonts w:eastAsia="宋体"/>
          <w:color w:val="auto"/>
          <w:sz w:val="24"/>
          <w:szCs w:val="24"/>
          <w:highlight w:val="none"/>
        </w:rPr>
      </w:pPr>
      <w:r>
        <w:rPr>
          <w:rFonts w:hint="eastAsia" w:eastAsia="宋体"/>
          <w:color w:val="auto"/>
          <w:sz w:val="24"/>
          <w:szCs w:val="24"/>
          <w:highlight w:val="none"/>
        </w:rPr>
        <w:t xml:space="preserve">（1）日报：监测区域颗粒物浓度分布，特征组分浓度分布，异常点位筛查及分析等；</w:t>
      </w:r>
      <w:r/>
    </w:p>
    <w:p>
      <w:pPr>
        <w:pStyle w:val="716"/>
        <w:ind w:left="0" w:firstLine="480"/>
        <w:spacing w:line="360" w:lineRule="auto"/>
        <w:rPr>
          <w:rFonts w:eastAsia="宋体"/>
          <w:color w:val="auto"/>
          <w:sz w:val="24"/>
          <w:szCs w:val="24"/>
          <w:highlight w:val="none"/>
        </w:rPr>
      </w:pPr>
      <w:r>
        <w:rPr>
          <w:rFonts w:hint="eastAsia" w:eastAsia="宋体"/>
          <w:color w:val="auto"/>
          <w:sz w:val="24"/>
          <w:szCs w:val="24"/>
          <w:highlight w:val="none"/>
        </w:rPr>
        <w:t xml:space="preserve">（2）日报形式，非正式群报；</w:t>
      </w:r>
      <w:r/>
    </w:p>
    <w:p>
      <w:pPr>
        <w:pStyle w:val="716"/>
        <w:ind w:left="0" w:firstLine="480"/>
        <w:spacing w:line="360" w:lineRule="auto"/>
        <w:rPr>
          <w:rFonts w:eastAsia="宋体"/>
          <w:color w:val="auto"/>
          <w:sz w:val="24"/>
          <w:szCs w:val="24"/>
          <w:highlight w:val="none"/>
        </w:rPr>
      </w:pPr>
      <w:r>
        <w:rPr>
          <w:rFonts w:hint="eastAsia" w:eastAsia="宋体"/>
          <w:color w:val="auto"/>
          <w:sz w:val="24"/>
          <w:szCs w:val="24"/>
          <w:highlight w:val="none"/>
        </w:rPr>
        <w:t xml:space="preserve">（3）总结报告：完成10天监测后，出具总体分析报告，包括空气质量分析，颗粒物组分分析，不同污染等级的有机组分变化、颗粒物来源解析，不同污染等级源解析变化分析，典型重污染过程天气过程分析，特殊污染事件分析，防控工作建议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（四）VOCs走航监测服务</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1服务要求</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（1）运用VOCs走航监测系统在主城区范围内重点区域开展走航监测，实现区域VOCs排放快速筛查。服务期内需累计走航</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4次</w:t>
      </w:r>
      <w:r>
        <w:rPr>
          <w:rFonts w:hint="eastAsia" w:ascii="宋体" w:hAnsi="宋体" w:eastAsia="宋体" w:cs="宋体"/>
          <w:bCs/>
          <w:color w:val="auto"/>
          <w:sz w:val="24"/>
          <w:szCs w:val="24"/>
          <w:highlight w:val="none"/>
          <w:lang w:val="zh-CN"/>
        </w:rPr>
        <w:t xml:space="preserve">。</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（2）VOCs走航监测系统具备走航模式，可边走边测。</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（3）系统走航监测能够自动记录GIS位置坐标信息、监测因子信息、因子浓度信息、定性定量</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（4）分析结果，实时显示“地图－因子－浓度”，实时走航监测数据可视化结果。</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（5）空气中VOCs组分复杂，设备须能够区分相同分子量污染物种，并给出确定的定性结果。</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（五）尘负荷走航服务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运用道路尘负荷监测系统对主城区道路尘负荷监测获取道路积尘负荷分布，用于主城区道路尘污染的评价，为管理部门考核和管理道路扬尘提供依据。服务期内累计走航</w:t>
      </w:r>
      <w:r>
        <w:rPr>
          <w:rFonts w:hint="eastAsia" w:ascii="宋体" w:hAnsi="宋体" w:eastAsia="宋体" w:cs="宋体"/>
          <w:bCs/>
          <w:color w:val="auto"/>
          <w:sz w:val="24"/>
          <w:szCs w:val="24"/>
          <w:highlight w:val="none"/>
          <w:lang w:val="en-US" w:eastAsia="zh-CN"/>
        </w:rPr>
        <w:t xml:space="preserve">12次</w:t>
      </w:r>
      <w:r>
        <w:rPr>
          <w:rFonts w:hint="eastAsia" w:ascii="宋体" w:hAnsi="宋体" w:eastAsia="宋体" w:cs="宋体"/>
          <w:bCs/>
          <w:color w:val="auto"/>
          <w:sz w:val="24"/>
          <w:szCs w:val="24"/>
          <w:highlight w:val="none"/>
          <w:lang w:val="zh-CN"/>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（六）颗粒物雷达</w:t>
      </w:r>
      <w:r>
        <w:rPr>
          <w:rFonts w:ascii="宋体" w:hAnsi="宋体" w:eastAsia="宋体" w:cs="宋体"/>
          <w:b/>
          <w:color w:val="auto"/>
          <w:sz w:val="24"/>
          <w:szCs w:val="24"/>
          <w:highlight w:val="none"/>
        </w:rPr>
        <w:t xml:space="preserve">走航</w:t>
      </w:r>
      <w:r>
        <w:rPr>
          <w:rFonts w:hint="eastAsia" w:ascii="宋体" w:hAnsi="宋体" w:eastAsia="宋体" w:cs="宋体"/>
          <w:b/>
          <w:color w:val="auto"/>
          <w:sz w:val="24"/>
          <w:szCs w:val="24"/>
          <w:highlight w:val="none"/>
        </w:rPr>
        <w:t xml:space="preserve">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颗粒物雷达</w:t>
      </w:r>
      <w:r>
        <w:rPr>
          <w:rFonts w:ascii="宋体" w:hAnsi="宋体" w:eastAsia="宋体" w:cs="宋体"/>
          <w:bCs/>
          <w:color w:val="auto"/>
          <w:sz w:val="24"/>
          <w:szCs w:val="24"/>
          <w:highlight w:val="none"/>
        </w:rPr>
        <w:t xml:space="preserve">走航</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zh-CN"/>
        </w:rPr>
        <w:t xml:space="preserve">服务期内累计走航</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4次</w:t>
      </w:r>
      <w:r>
        <w:rPr>
          <w:rFonts w:hint="eastAsia" w:ascii="宋体" w:hAnsi="宋体" w:eastAsia="宋体" w:cs="宋体"/>
          <w:bCs/>
          <w:color w:val="auto"/>
          <w:sz w:val="24"/>
          <w:szCs w:val="24"/>
          <w:highlight w:val="none"/>
          <w:lang w:val="zh-CN"/>
        </w:rPr>
        <w:t xml:space="preserve">。具体范围及要求以采购人要求为准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w:t>
      </w:r>
      <w:r>
        <w:rPr>
          <w:rFonts w:ascii="宋体" w:hAnsi="宋体" w:eastAsia="宋体" w:cs="宋体"/>
          <w:b/>
          <w:color w:val="auto"/>
          <w:sz w:val="24"/>
          <w:szCs w:val="24"/>
          <w:highlight w:val="none"/>
        </w:rPr>
        <w:t xml:space="preserve">工地视频监管</w:t>
      </w:r>
      <w:r>
        <w:rPr>
          <w:rFonts w:hint="eastAsia" w:ascii="宋体" w:hAnsi="宋体" w:eastAsia="宋体" w:cs="宋体"/>
          <w:b/>
          <w:color w:val="auto"/>
          <w:sz w:val="24"/>
          <w:szCs w:val="24"/>
          <w:highlight w:val="none"/>
        </w:rPr>
        <w:t xml:space="preserve">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服务期内对10处工地进行视频监管服务，具体要求以采购人要求为准。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（八）专项巡查取证服务</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1便携式六参数监测服务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（1）运用便携式六参数监测仪可搭载无人机上，对走航高值区域巡查监测，对高值点位进行定点趋势观测。</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（2）监测参数：PM</w:t>
      </w:r>
      <w:r>
        <w:rPr>
          <w:rFonts w:hint="eastAsia" w:ascii="宋体" w:hAnsi="宋体" w:eastAsia="宋体" w:cs="宋体"/>
          <w:bCs/>
          <w:color w:val="auto"/>
          <w:sz w:val="24"/>
          <w:szCs w:val="24"/>
          <w:highlight w:val="none"/>
          <w:vertAlign w:val="subscript"/>
          <w:lang w:val="zh-CN"/>
        </w:rPr>
        <w:t xml:space="preserve">2.5</w:t>
      </w:r>
      <w:r>
        <w:rPr>
          <w:rFonts w:hint="eastAsia" w:ascii="宋体" w:hAnsi="宋体" w:eastAsia="宋体" w:cs="宋体"/>
          <w:bCs/>
          <w:color w:val="auto"/>
          <w:sz w:val="24"/>
          <w:szCs w:val="24"/>
          <w:highlight w:val="none"/>
          <w:lang w:val="zh-CN"/>
        </w:rPr>
        <w:t xml:space="preserve">、PM</w:t>
      </w:r>
      <w:r>
        <w:rPr>
          <w:rFonts w:hint="eastAsia" w:ascii="宋体" w:hAnsi="宋体" w:eastAsia="宋体" w:cs="宋体"/>
          <w:bCs/>
          <w:color w:val="auto"/>
          <w:sz w:val="24"/>
          <w:szCs w:val="24"/>
          <w:highlight w:val="none"/>
          <w:vertAlign w:val="subscript"/>
          <w:lang w:val="zh-CN"/>
        </w:rPr>
        <w:t xml:space="preserve">10</w:t>
      </w:r>
      <w:r>
        <w:rPr>
          <w:rFonts w:hint="eastAsia" w:ascii="宋体" w:hAnsi="宋体" w:eastAsia="宋体" w:cs="宋体"/>
          <w:bCs/>
          <w:color w:val="auto"/>
          <w:sz w:val="24"/>
          <w:szCs w:val="24"/>
          <w:highlight w:val="none"/>
          <w:lang w:val="zh-CN"/>
        </w:rPr>
        <w:t xml:space="preserve">、SO</w:t>
      </w:r>
      <w:r>
        <w:rPr>
          <w:rFonts w:hint="eastAsia" w:ascii="宋体" w:hAnsi="宋体" w:eastAsia="宋体" w:cs="宋体"/>
          <w:bCs/>
          <w:color w:val="auto"/>
          <w:sz w:val="24"/>
          <w:szCs w:val="24"/>
          <w:highlight w:val="none"/>
          <w:vertAlign w:val="subscript"/>
          <w:lang w:val="zh-CN"/>
        </w:rPr>
        <w:t xml:space="preserve">2</w:t>
      </w:r>
      <w:r>
        <w:rPr>
          <w:rFonts w:hint="eastAsia" w:ascii="宋体" w:hAnsi="宋体" w:eastAsia="宋体" w:cs="宋体"/>
          <w:bCs/>
          <w:color w:val="auto"/>
          <w:sz w:val="24"/>
          <w:szCs w:val="24"/>
          <w:highlight w:val="none"/>
          <w:lang w:val="zh-CN"/>
        </w:rPr>
        <w:t xml:space="preserve">、CO、NO</w:t>
      </w:r>
      <w:r>
        <w:rPr>
          <w:rFonts w:hint="eastAsia" w:ascii="宋体" w:hAnsi="宋体" w:eastAsia="宋体" w:cs="宋体"/>
          <w:bCs/>
          <w:color w:val="auto"/>
          <w:sz w:val="24"/>
          <w:szCs w:val="24"/>
          <w:highlight w:val="none"/>
          <w:vertAlign w:val="subscript"/>
          <w:lang w:val="zh-CN"/>
        </w:rPr>
        <w:t xml:space="preserve">2</w:t>
      </w:r>
      <w:r>
        <w:rPr>
          <w:rFonts w:hint="eastAsia" w:ascii="宋体" w:hAnsi="宋体" w:eastAsia="宋体" w:cs="宋体"/>
          <w:bCs/>
          <w:color w:val="auto"/>
          <w:sz w:val="24"/>
          <w:szCs w:val="24"/>
          <w:highlight w:val="none"/>
          <w:lang w:val="zh-CN"/>
        </w:rPr>
        <w:t xml:space="preserve">、O</w:t>
      </w:r>
      <w:r>
        <w:rPr>
          <w:rFonts w:hint="eastAsia" w:ascii="宋体" w:hAnsi="宋体" w:eastAsia="宋体" w:cs="宋体"/>
          <w:bCs/>
          <w:color w:val="auto"/>
          <w:sz w:val="24"/>
          <w:szCs w:val="24"/>
          <w:highlight w:val="none"/>
          <w:vertAlign w:val="subscript"/>
          <w:lang w:val="zh-CN"/>
        </w:rPr>
        <w:t xml:space="preserve">3</w:t>
      </w:r>
      <w:r>
        <w:rPr>
          <w:rFonts w:hint="eastAsia" w:ascii="宋体" w:hAnsi="宋体" w:eastAsia="宋体" w:cs="宋体"/>
          <w:bCs/>
          <w:color w:val="auto"/>
          <w:sz w:val="24"/>
          <w:szCs w:val="24"/>
          <w:highlight w:val="none"/>
          <w:lang w:val="zh-CN"/>
        </w:rPr>
        <w:t xml:space="preserve">。</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无人机飞行器服务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可</w:t>
      </w:r>
      <w:r>
        <w:rPr>
          <w:rFonts w:hint="eastAsia" w:ascii="宋体" w:hAnsi="宋体" w:eastAsia="宋体" w:cs="宋体"/>
          <w:bCs/>
          <w:color w:val="auto"/>
          <w:sz w:val="24"/>
          <w:szCs w:val="24"/>
          <w:highlight w:val="none"/>
          <w:lang w:val="zh-CN"/>
        </w:rPr>
        <w:t xml:space="preserve">对长期、多次出现热点区域及管理措施缺失、扬尘肆意排放工地或堆场高空</w:t>
      </w:r>
      <w:r>
        <w:rPr>
          <w:rFonts w:hint="eastAsia" w:ascii="宋体" w:hAnsi="宋体" w:eastAsia="宋体" w:cs="宋体"/>
          <w:bCs/>
          <w:color w:val="auto"/>
          <w:sz w:val="24"/>
          <w:szCs w:val="24"/>
          <w:highlight w:val="none"/>
        </w:rPr>
        <w:t xml:space="preserve">进行</w:t>
      </w:r>
      <w:r>
        <w:rPr>
          <w:rFonts w:hint="eastAsia" w:ascii="宋体" w:hAnsi="宋体" w:eastAsia="宋体" w:cs="宋体"/>
          <w:bCs/>
          <w:color w:val="auto"/>
          <w:sz w:val="24"/>
          <w:szCs w:val="24"/>
          <w:highlight w:val="none"/>
          <w:lang w:val="zh-CN"/>
        </w:rPr>
        <w:t xml:space="preserve">取证。</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3便携式VOCs监测服务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（1）对区域涉VOCs气体企业进行巡查监测，对高值区域进行定点趋势监测。</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（2）监测参数：VOCs。</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（九）企业专项整治服务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围绕锡山区重点涉VOCs排放企业，选取30家企业开展企业专项整治服务，从VOCs物料、无组织排放、在线监测合规等环节开展VOCs排放重点企业现场核查工作，指出企业存在的问题，制定完善措施。</w:t>
      </w:r>
      <w:r/>
    </w:p>
    <w:p>
      <w:pPr>
        <w:ind w:firstLine="480"/>
        <w:jc w:val="left"/>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1.原辅料VOCs含量达标评估：评估企业使用的涂料是否符合国家《工业防护涂料中有害物质限量》（GB30981-2020）和《低挥发性有机化合物含量涂料产品技术要求（GB/T 38597-2020）》中的VOCs含量限值要求，并估算低VOCs含量原辅材料替代率，以此积极推进符合《低挥发性有机化合物含量涂料产品技术要求（GB/T 38597-2020）》的涂料使用。</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2.VOCs无组织排放对标评估：对照《挥发性有机物无组织排放控制标准（GB 37822-2019）》，从V0Cs物料的存储过程、V0Cs物料转移和输送过程、化工生产过程、产品使用过程、设备与管件泄漏过程、废水和循环水逸散过程，以及VOCs无组织排放废气收集处理系统、企业厂区及周边污染监控方面评估企业对标准的执行情况。</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3.在线监测运维排查服务：利用各类监测监控系统，对锡山区部分企业开展入户排查，协助企业对自身污染源监测监控设备运行情况开展违法和风险排查，并指导企业整改到位。</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（十）重点污染源专项评估服务</w:t>
      </w:r>
      <w:r/>
    </w:p>
    <w:p>
      <w:pPr>
        <w:pStyle w:val="93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利用模型反向溯源，锁定对锡山区影响较大的重点污染源，并通过源强削减设置不同减排情景，评估对应污染源在不同减排措施情况下对</w:t>
      </w:r>
      <w:r>
        <w:rPr>
          <w:rFonts w:hint="eastAsia" w:ascii="宋体" w:hAnsi="宋体" w:cs="宋体"/>
          <w:color w:val="auto"/>
          <w:sz w:val="24"/>
          <w:szCs w:val="24"/>
          <w:highlight w:val="none"/>
        </w:rPr>
        <w:t xml:space="preserve">锡山区</w:t>
      </w:r>
      <w:r>
        <w:rPr>
          <w:rFonts w:hint="eastAsia" w:ascii="宋体" w:hAnsi="宋体" w:cs="宋体"/>
          <w:color w:val="auto"/>
          <w:sz w:val="24"/>
          <w:szCs w:val="24"/>
          <w:highlight w:val="none"/>
        </w:rPr>
        <w:t xml:space="preserve">的影响。</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（十一）无组织在线监测服务</w:t>
      </w:r>
      <w:r/>
    </w:p>
    <w:p>
      <w:pPr>
        <w:pStyle w:val="93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在VOCs和颗粒物高值高发区域</w:t>
      </w:r>
      <w:r>
        <w:rPr>
          <w:rFonts w:hint="eastAsia" w:ascii="宋体" w:hAnsi="宋体" w:cs="宋体"/>
          <w:color w:val="auto"/>
          <w:sz w:val="24"/>
          <w:szCs w:val="24"/>
          <w:highlight w:val="none"/>
        </w:rPr>
        <w:t xml:space="preserve">强化</w:t>
      </w:r>
      <w:r>
        <w:rPr>
          <w:rFonts w:hint="eastAsia" w:ascii="宋体" w:hAnsi="宋体" w:cs="宋体"/>
          <w:color w:val="auto"/>
          <w:sz w:val="24"/>
          <w:szCs w:val="24"/>
          <w:highlight w:val="none"/>
        </w:rPr>
        <w:t xml:space="preserve">监测，监测区域内TVOC/颗粒物排放情况。结合TVOC/颗粒物高值、风向、风速等要素开展精准溯源。</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（十二）第三方驻场服务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组织9名技术骨干（1名项目经理，2名数据分析人员，6名现场巡查人员）支撑我区空气质量管控服务，驻点锡山区，基于现有的工作组织架构，优化运行机制、完善工作内容、明确责任分工，全方位多手段深层次协助开展各项工作。</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1.工作机制建立与优化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为健全锡山区大气污染防治工作制度、运行机制、考核机制提供建议，形成各项保障机制，确保大气污染防治措施能够在健全的组织架构下得到落实。</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2.空气质量研判分析</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开展空气环境质量的分析研判，分析现状和演变趋势，研究明确针对性的措施，为大气污染防治提供技术支持，提高科学治气、精准治气水平，持续有效改善空气质量</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日常推送：服务期间第三方团队需基于本地各类型空气质量监测数据、统计预报预测结果等信息，对当日空气质量情况、污染物浓度、首要污染物等内容进行推送，推送至微信交流群，指挥调度本地职能部门进行污染问题监管。</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数据分析报告：服务期间第三方团队需围绕本地各项监测数据、污染问题等开展证据链智能关联分析，说清污染成因，指明污染来源。提供空气质量月报（12份）、总结分析报告（1份）以及污染专项分析报告（至少10份）撰写。通过对前一月、污染过程以及近期存在的典型问题进行及时分析和总结，并结合现场巡查情况，抓住主要矛盾，提出科学性、可行性强的管控建议。</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3.溯源巡查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r>
      <w:r>
        <w:rPr>
          <w:rFonts w:ascii="SimSun" w:hAnsi="SimSun" w:eastAsia="SimSun" w:cs="SimSun"/>
          <w:color w:val="000000"/>
          <w:sz w:val="24"/>
        </w:rPr>
        <w:t xml:space="preserve">在我区范围内</w:t>
      </w:r>
      <w:r>
        <w:rPr>
          <w:rFonts w:hint="eastAsia" w:ascii="宋体" w:hAnsi="宋体" w:eastAsia="宋体" w:cs="宋体"/>
          <w:bCs/>
          <w:color w:val="auto"/>
          <w:sz w:val="24"/>
          <w:szCs w:val="24"/>
          <w:highlight w:val="none"/>
          <w:lang w:val="zh-CN"/>
        </w:rPr>
        <w:t xml:space="preserve">开展日常污染巡查，结合走航等监测数据，进行分析，识别制约空气质量目标完成的重点时段、重点区域、重点因子和重点对象，并配备便携式六参监测仪、便携式VOCs监测仪辅助开展工作，通过现场调研和无人机巡航的方式开展巡查，查找管控措施不到位的点位，滚动排查解决散、乱、污问题，明确异常污染源点位和具体的整改管控措施，形成污染台账、及时交办、跟进落实、着重通报，并进行监管交办，交由本地职能部门进行执法管控，推动管控措施落实落细，实现臭氧和颗粒物浓度有效削减。</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4.污染高值应对</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针对突发高值问题，建立完善应对分析思路，依托环境大数据综合管控平台系统进行高值报警与推动，针对高值现象及时开展成因分析与现场溯源巡查，发现高值问题，制定解决方案，建立我区“第一时间发现问题、第一时间分析问题、第一时间解决问题”的良性应对机制。</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（十二）环境大数据综合管控平台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1总体要求</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数据融合：平台系统可实现国控、省控、市控、区控、微型站、VOC组分站等一系列环境空气质量监测点位数据、气象场数据（包括但不限于风、温、湿、气压）等自动采集、存储、上传及展示功能，所有数据结果可用于电子地图展示。</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（2）高值预警：针对目标区域内环境空气质量点位监测数据异常高值/超标的情况，自动生成报警事件，并通过短信推送等手段通知用户。</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（3）平台系统可根据环境空气质量（PM</w:t>
      </w:r>
      <w:r>
        <w:rPr>
          <w:rFonts w:hint="eastAsia" w:ascii="宋体" w:hAnsi="宋体" w:eastAsia="宋体" w:cs="宋体"/>
          <w:bCs/>
          <w:color w:val="auto"/>
          <w:sz w:val="24"/>
          <w:szCs w:val="24"/>
          <w:highlight w:val="none"/>
          <w:vertAlign w:val="subscript"/>
          <w:lang w:val="zh-CN"/>
        </w:rPr>
        <w:t xml:space="preserve">2.5</w:t>
      </w:r>
      <w:r>
        <w:rPr>
          <w:rFonts w:hint="eastAsia" w:ascii="宋体" w:hAnsi="宋体" w:eastAsia="宋体" w:cs="宋体"/>
          <w:bCs/>
          <w:color w:val="auto"/>
          <w:sz w:val="24"/>
          <w:szCs w:val="24"/>
          <w:highlight w:val="none"/>
          <w:lang w:val="zh-CN"/>
        </w:rPr>
        <w:t xml:space="preserve">、PM</w:t>
      </w:r>
      <w:r>
        <w:rPr>
          <w:rFonts w:hint="eastAsia" w:ascii="宋体" w:hAnsi="宋体" w:eastAsia="宋体" w:cs="宋体"/>
          <w:bCs/>
          <w:color w:val="auto"/>
          <w:sz w:val="24"/>
          <w:szCs w:val="24"/>
          <w:highlight w:val="none"/>
          <w:vertAlign w:val="subscript"/>
          <w:lang w:val="zh-CN"/>
        </w:rPr>
        <w:t xml:space="preserve">10</w:t>
      </w:r>
      <w:r>
        <w:rPr>
          <w:rFonts w:hint="eastAsia" w:ascii="宋体" w:hAnsi="宋体" w:eastAsia="宋体" w:cs="宋体"/>
          <w:bCs/>
          <w:color w:val="auto"/>
          <w:sz w:val="24"/>
          <w:szCs w:val="24"/>
          <w:highlight w:val="none"/>
          <w:lang w:val="zh-CN"/>
        </w:rPr>
        <w:t xml:space="preserve">、SO</w:t>
      </w:r>
      <w:r>
        <w:rPr>
          <w:rFonts w:hint="eastAsia" w:ascii="宋体" w:hAnsi="宋体" w:eastAsia="宋体" w:cs="宋体"/>
          <w:bCs/>
          <w:color w:val="auto"/>
          <w:sz w:val="24"/>
          <w:szCs w:val="24"/>
          <w:highlight w:val="none"/>
          <w:vertAlign w:val="subscript"/>
          <w:lang w:val="zh-CN"/>
        </w:rPr>
        <w:t xml:space="preserve">2</w:t>
      </w:r>
      <w:r>
        <w:rPr>
          <w:rFonts w:hint="eastAsia" w:ascii="宋体" w:hAnsi="宋体" w:eastAsia="宋体" w:cs="宋体"/>
          <w:bCs/>
          <w:color w:val="auto"/>
          <w:sz w:val="24"/>
          <w:szCs w:val="24"/>
          <w:highlight w:val="none"/>
          <w:lang w:val="zh-CN"/>
        </w:rPr>
        <w:t xml:space="preserve">、CO、NO</w:t>
      </w:r>
      <w:r>
        <w:rPr>
          <w:rFonts w:hint="eastAsia" w:ascii="宋体" w:hAnsi="宋体" w:eastAsia="宋体" w:cs="宋体"/>
          <w:bCs/>
          <w:color w:val="auto"/>
          <w:sz w:val="24"/>
          <w:szCs w:val="24"/>
          <w:highlight w:val="none"/>
          <w:vertAlign w:val="subscript"/>
          <w:lang w:val="zh-CN"/>
        </w:rPr>
        <w:t xml:space="preserve">2</w:t>
      </w:r>
      <w:r>
        <w:rPr>
          <w:rFonts w:hint="eastAsia" w:ascii="宋体" w:hAnsi="宋体" w:eastAsia="宋体" w:cs="宋体"/>
          <w:bCs/>
          <w:color w:val="auto"/>
          <w:sz w:val="24"/>
          <w:szCs w:val="24"/>
          <w:highlight w:val="none"/>
          <w:lang w:val="zh-CN"/>
        </w:rPr>
        <w:t xml:space="preserve">、O</w:t>
      </w:r>
      <w:r>
        <w:rPr>
          <w:rFonts w:hint="eastAsia" w:ascii="宋体" w:hAnsi="宋体" w:eastAsia="宋体" w:cs="宋体"/>
          <w:bCs/>
          <w:color w:val="auto"/>
          <w:sz w:val="24"/>
          <w:szCs w:val="24"/>
          <w:highlight w:val="none"/>
          <w:vertAlign w:val="subscript"/>
          <w:lang w:val="zh-CN"/>
        </w:rPr>
        <w:t xml:space="preserve">3</w:t>
      </w:r>
      <w:r>
        <w:rPr>
          <w:rFonts w:hint="eastAsia" w:ascii="宋体" w:hAnsi="宋体" w:eastAsia="宋体" w:cs="宋体"/>
          <w:bCs/>
          <w:color w:val="auto"/>
          <w:sz w:val="24"/>
          <w:szCs w:val="24"/>
          <w:highlight w:val="none"/>
          <w:lang w:val="zh-CN"/>
        </w:rPr>
        <w:t xml:space="preserve">等）进行统计分析，统计分析的方法包括但不限于区域排名分析、单站刷色分析、多站趋势分析、统计报表、VOCs组分分析、余量分析（根据当天达标目标自动计算剩余容量，智能化辅助实现达标路径和余量预测）、质量日历等，同时支持时间、因子、考核站点、参考站点、区域等自由选择。平台系统可实现自动报告功能。</w:t>
      </w:r>
      <w:r/>
    </w:p>
    <w:p>
      <w:pPr>
        <w:jc w:val="left"/>
        <w:spacing w:line="360" w:lineRule="auto"/>
        <w:rPr>
          <w:rStyle w:val="950"/>
          <w:rFonts w:hint="eastAsia"/>
          <w:color w:val="auto"/>
          <w:highlight w:val="none"/>
        </w:rPr>
      </w:pPr>
      <w:r>
        <w:rPr>
          <w:rStyle w:val="950"/>
          <w:rFonts w:hint="eastAsia" w:eastAsia="宋体"/>
          <w:color w:val="auto"/>
          <w:highlight w:val="none"/>
          <w:lang w:eastAsia="zh-CN"/>
        </w:rPr>
        <w:t xml:space="preserve">四</w:t>
      </w:r>
      <w:r>
        <w:rPr>
          <w:rStyle w:val="950"/>
          <w:rFonts w:hint="eastAsia"/>
          <w:color w:val="auto"/>
          <w:highlight w:val="none"/>
        </w:rPr>
        <w:t xml:space="preserve">、考核方案</w:t>
      </w:r>
      <w:r/>
    </w:p>
    <w:p>
      <w:pPr>
        <w:pStyle w:val="934"/>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以中标合同中第三方驻场服务金额的10%作为总考核费用。</w:t>
      </w:r>
      <w:r/>
    </w:p>
    <w:p>
      <w:pPr>
        <w:pStyle w:val="934"/>
        <w:ind w:firstLine="422"/>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cs="宋体"/>
          <w:bCs/>
          <w:color w:val="auto"/>
          <w:sz w:val="24"/>
          <w:szCs w:val="24"/>
          <w:highlight w:val="none"/>
        </w:rPr>
        <w:t xml:space="preserve">团队工作管理考核（该项考核费用占总考核费</w:t>
      </w:r>
      <w:r>
        <w:rPr>
          <w:rFonts w:hint="eastAsia" w:ascii="宋体" w:hAnsi="宋体" w:cs="宋体"/>
          <w:bCs/>
          <w:color w:val="auto"/>
          <w:sz w:val="24"/>
          <w:szCs w:val="24"/>
          <w:highlight w:val="none"/>
          <w:lang w:eastAsia="zh-CN"/>
        </w:rPr>
        <w:t xml:space="preserve">用的</w:t>
      </w:r>
      <w:r>
        <w:rPr>
          <w:rFonts w:hint="eastAsia" w:ascii="宋体" w:hAnsi="宋体" w:cs="宋体"/>
          <w:bCs/>
          <w:color w:val="auto"/>
          <w:sz w:val="24"/>
          <w:szCs w:val="24"/>
          <w:highlight w:val="none"/>
        </w:rPr>
        <w:t xml:space="preserve">30%）</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考核内容：甲方对乙方日常工作完成情况按照日常工作考核表进行打分，分数不低于85分（含85分）甲方付该项考核全部费用，分数在75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85分（含75分，不含85分）甲方付该项考核60%费用，分数在65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75分（含65分，不含75分）甲方付该项考核25%费用，低于65分（不含65）甲方不支付该项考核费用。</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6"/>
        <w:gridCol w:w="1216"/>
        <w:gridCol w:w="4554"/>
        <w:gridCol w:w="1377"/>
      </w:tblGrid>
      <w:tr>
        <w:trPr>
          <w:jc w:val="center"/>
        </w:trPr>
        <w:tc>
          <w:tcPr>
            <w:tcW w:w="0" w:type="auto"/>
            <w:vAlign w:val="center"/>
            <w:textDirection w:val="lrTb"/>
            <w:noWrap w:val="false"/>
          </w:tcPr>
          <w:p>
            <w:pPr>
              <w:pStyle w:val="934"/>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考核内容</w:t>
            </w:r>
            <w:r/>
          </w:p>
        </w:tc>
        <w:tc>
          <w:tcPr>
            <w:tcW w:w="1216" w:type="dxa"/>
            <w:vAlign w:val="center"/>
            <w:textDirection w:val="lrTb"/>
            <w:noWrap w:val="false"/>
          </w:tcPr>
          <w:p>
            <w:pPr>
              <w:pStyle w:val="934"/>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考核占比</w:t>
            </w:r>
            <w:r/>
          </w:p>
        </w:tc>
        <w:tc>
          <w:tcPr>
            <w:tcW w:w="4554" w:type="dxa"/>
            <w:vAlign w:val="center"/>
            <w:textDirection w:val="lrTb"/>
            <w:noWrap w:val="false"/>
          </w:tcPr>
          <w:p>
            <w:pPr>
              <w:pStyle w:val="934"/>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考核标准</w:t>
            </w:r>
            <w:r/>
          </w:p>
        </w:tc>
        <w:tc>
          <w:tcPr>
            <w:tcW w:w="1377" w:type="dxa"/>
            <w:vAlign w:val="center"/>
            <w:textDirection w:val="lrTb"/>
            <w:noWrap w:val="false"/>
          </w:tcPr>
          <w:p>
            <w:pPr>
              <w:pStyle w:val="934"/>
              <w:ind w:firstLine="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考核得分</w:t>
            </w:r>
            <w:r/>
          </w:p>
        </w:tc>
      </w:tr>
      <w:tr>
        <w:trPr>
          <w:jc w:val="center"/>
        </w:trPr>
        <w:tc>
          <w:tcPr>
            <w:tcW w:w="0" w:type="auto"/>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团队工作内容</w:t>
            </w:r>
            <w:r/>
          </w:p>
        </w:tc>
        <w:tc>
          <w:tcPr>
            <w:tcW w:w="1216" w:type="dxa"/>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25%</w:t>
            </w:r>
            <w:r/>
          </w:p>
        </w:tc>
        <w:tc>
          <w:tcPr>
            <w:tcW w:w="4554" w:type="dxa"/>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完成第三方驻场服务要求的各项工作内容</w:t>
            </w:r>
            <w:r/>
          </w:p>
        </w:tc>
        <w:tc>
          <w:tcPr>
            <w:tcW w:w="1377" w:type="dxa"/>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Pr>
        <w:tc>
          <w:tcPr>
            <w:tcW w:w="0" w:type="auto"/>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团队工作质量</w:t>
            </w:r>
            <w:r/>
          </w:p>
        </w:tc>
        <w:tc>
          <w:tcPr>
            <w:tcW w:w="1216" w:type="dxa"/>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25%</w:t>
            </w:r>
            <w:r/>
          </w:p>
        </w:tc>
        <w:tc>
          <w:tcPr>
            <w:tcW w:w="4554" w:type="dxa"/>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第三方驻场服务要求的各项工作内容符合甲方工作质量要求</w:t>
            </w:r>
            <w:r/>
          </w:p>
        </w:tc>
        <w:tc>
          <w:tcPr>
            <w:tcW w:w="1377" w:type="dxa"/>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Pr>
        <w:tc>
          <w:tcPr>
            <w:tcW w:w="0" w:type="auto"/>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团队响应效率</w:t>
            </w:r>
            <w:r/>
          </w:p>
        </w:tc>
        <w:tc>
          <w:tcPr>
            <w:tcW w:w="1216" w:type="dxa"/>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25%</w:t>
            </w:r>
            <w:r/>
          </w:p>
        </w:tc>
        <w:tc>
          <w:tcPr>
            <w:tcW w:w="4554" w:type="dxa"/>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第三方驻场服务团队及时、有效响应甲方工作需求</w:t>
            </w:r>
            <w:r/>
          </w:p>
        </w:tc>
        <w:tc>
          <w:tcPr>
            <w:tcW w:w="1377" w:type="dxa"/>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jc w:val="center"/>
        </w:trPr>
        <w:tc>
          <w:tcPr>
            <w:tcW w:w="0" w:type="auto"/>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团队出勤管理</w:t>
            </w:r>
            <w:r/>
          </w:p>
        </w:tc>
        <w:tc>
          <w:tcPr>
            <w:tcW w:w="1216" w:type="dxa"/>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25%</w:t>
            </w:r>
            <w:r/>
          </w:p>
        </w:tc>
        <w:tc>
          <w:tcPr>
            <w:tcW w:w="4554" w:type="dxa"/>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第三方驻场服务团队按工作排班出勤，无无故旷工现象</w:t>
            </w:r>
            <w:r/>
          </w:p>
        </w:tc>
        <w:tc>
          <w:tcPr>
            <w:tcW w:w="1377" w:type="dxa"/>
            <w:textDirection w:val="lrTb"/>
            <w:noWrap w:val="false"/>
          </w:tcPr>
          <w:p>
            <w:pPr>
              <w:pStyle w:val="934"/>
              <w:ind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注：该项考核在服务到期后，由甲方针对第三方团队工作管理进行考核打分，依据最终得分按比例进行考核。</w:t>
      </w:r>
      <w:r/>
    </w:p>
    <w:p>
      <w:pPr>
        <w:pStyle w:val="934"/>
        <w:ind w:firstLine="422"/>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二</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rPr>
        <w:t xml:space="preserve">绩效指标任务考核（该项考核费用占总考核费用的70%）</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PM</w:t>
      </w:r>
      <w:r>
        <w:rPr>
          <w:rFonts w:hint="eastAsia" w:ascii="宋体" w:hAnsi="宋体" w:eastAsia="宋体" w:cs="宋体"/>
          <w:bCs/>
          <w:color w:val="auto"/>
          <w:sz w:val="24"/>
          <w:szCs w:val="24"/>
          <w:highlight w:val="none"/>
          <w:vertAlign w:val="subscript"/>
        </w:rPr>
        <w:t xml:space="preserve">2.5</w:t>
      </w:r>
      <w:r>
        <w:rPr>
          <w:rFonts w:hint="eastAsia" w:ascii="宋体" w:hAnsi="宋体" w:eastAsia="宋体" w:cs="宋体"/>
          <w:bCs/>
          <w:color w:val="auto"/>
          <w:sz w:val="24"/>
          <w:szCs w:val="24"/>
          <w:highlight w:val="none"/>
        </w:rPr>
        <w:t xml:space="preserve">年均浓度考核</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考核费用：该项考核费用占绩效指标任务考核费用70%。</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考核内容：若</w:t>
      </w:r>
      <w:r>
        <w:rPr>
          <w:rFonts w:hint="eastAsia" w:ascii="宋体" w:hAnsi="宋体" w:eastAsia="宋体" w:cs="宋体"/>
          <w:bCs/>
          <w:color w:val="auto"/>
          <w:sz w:val="24"/>
          <w:szCs w:val="24"/>
          <w:highlight w:val="none"/>
          <w:lang w:eastAsia="zh-CN"/>
        </w:rPr>
        <w:t xml:space="preserve">2026</w:t>
      </w:r>
      <w:r>
        <w:rPr>
          <w:rFonts w:hint="eastAsia" w:ascii="宋体" w:hAnsi="宋体" w:eastAsia="宋体" w:cs="宋体"/>
          <w:bCs/>
          <w:color w:val="auto"/>
          <w:sz w:val="24"/>
          <w:szCs w:val="24"/>
          <w:highlight w:val="none"/>
        </w:rPr>
        <w:t xml:space="preserve">年锡山区PM</w:t>
      </w:r>
      <w:r>
        <w:rPr>
          <w:rFonts w:hint="eastAsia" w:ascii="宋体" w:hAnsi="宋体" w:eastAsia="宋体" w:cs="宋体"/>
          <w:bCs/>
          <w:color w:val="auto"/>
          <w:sz w:val="24"/>
          <w:szCs w:val="24"/>
          <w:highlight w:val="none"/>
          <w:vertAlign w:val="subscript"/>
        </w:rPr>
        <w:t xml:space="preserve">2.5</w:t>
      </w:r>
      <w:r>
        <w:rPr>
          <w:rFonts w:hint="eastAsia" w:ascii="宋体" w:hAnsi="宋体" w:eastAsia="宋体" w:cs="宋体"/>
          <w:bCs/>
          <w:color w:val="auto"/>
          <w:sz w:val="24"/>
          <w:szCs w:val="24"/>
          <w:highlight w:val="none"/>
        </w:rPr>
        <w:t xml:space="preserve">年均浓度绝对值排名在</w:t>
      </w:r>
      <w:r>
        <w:rPr>
          <w:rFonts w:hint="eastAsia" w:ascii="宋体" w:hAnsi="宋体" w:eastAsia="宋体" w:cs="宋体"/>
          <w:bCs/>
          <w:color w:val="auto"/>
          <w:sz w:val="24"/>
          <w:szCs w:val="24"/>
          <w:highlight w:val="none"/>
          <w:lang w:eastAsia="zh-CN"/>
        </w:rPr>
        <w:t xml:space="preserve">五</w:t>
      </w:r>
      <w:r>
        <w:rPr>
          <w:rFonts w:hint="eastAsia" w:ascii="宋体" w:hAnsi="宋体" w:eastAsia="宋体" w:cs="宋体"/>
          <w:bCs/>
          <w:color w:val="auto"/>
          <w:sz w:val="24"/>
          <w:szCs w:val="24"/>
          <w:highlight w:val="none"/>
        </w:rPr>
        <w:t xml:space="preserve">城区中位列前三，则支付该项考核费用，</w:t>
      </w:r>
      <w:r>
        <w:rPr>
          <w:rFonts w:hint="eastAsia" w:ascii="宋体" w:hAnsi="宋体" w:eastAsia="宋体" w:cs="宋体"/>
          <w:bCs/>
          <w:color w:val="auto"/>
          <w:sz w:val="24"/>
          <w:szCs w:val="24"/>
          <w:highlight w:val="none"/>
          <w:lang w:eastAsia="zh-CN"/>
        </w:rPr>
        <w:t xml:space="preserve">否</w:t>
      </w:r>
      <w:r>
        <w:rPr>
          <w:rFonts w:hint="eastAsia" w:ascii="宋体" w:hAnsi="宋体" w:eastAsia="宋体" w:cs="宋体"/>
          <w:bCs/>
          <w:color w:val="auto"/>
          <w:sz w:val="24"/>
          <w:szCs w:val="24"/>
          <w:highlight w:val="none"/>
        </w:rPr>
        <w:t xml:space="preserve">则甲方不支付该项考核费用。</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优良天数比率考核</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考核费用：该项考核费用占绩效指标任务考核费用30%。</w:t>
      </w:r>
      <w:r/>
    </w:p>
    <w:p>
      <w:pPr>
        <w:ind w:firstLine="48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考核内容：若</w:t>
      </w:r>
      <w:r>
        <w:rPr>
          <w:rFonts w:hint="eastAsia" w:ascii="宋体" w:hAnsi="宋体" w:eastAsia="宋体" w:cs="宋体"/>
          <w:bCs/>
          <w:color w:val="auto"/>
          <w:sz w:val="24"/>
          <w:szCs w:val="24"/>
          <w:highlight w:val="none"/>
          <w:lang w:eastAsia="zh-CN"/>
        </w:rPr>
        <w:t xml:space="preserve">2026</w:t>
      </w:r>
      <w:r>
        <w:rPr>
          <w:rFonts w:hint="eastAsia" w:ascii="宋体" w:hAnsi="宋体" w:eastAsia="宋体" w:cs="宋体"/>
          <w:bCs/>
          <w:color w:val="auto"/>
          <w:sz w:val="24"/>
          <w:szCs w:val="24"/>
          <w:highlight w:val="none"/>
        </w:rPr>
        <w:t xml:space="preserve">年锡山区优良天数比率绝对值排名在</w:t>
      </w:r>
      <w:r>
        <w:rPr>
          <w:rFonts w:hint="eastAsia" w:ascii="宋体" w:hAnsi="宋体" w:eastAsia="宋体" w:cs="宋体"/>
          <w:bCs/>
          <w:color w:val="auto"/>
          <w:sz w:val="24"/>
          <w:szCs w:val="24"/>
          <w:highlight w:val="none"/>
          <w:lang w:eastAsia="zh-CN"/>
        </w:rPr>
        <w:t xml:space="preserve">五</w:t>
      </w:r>
      <w:r>
        <w:rPr>
          <w:rFonts w:hint="eastAsia" w:ascii="宋体" w:hAnsi="宋体" w:eastAsia="宋体" w:cs="宋体"/>
          <w:bCs/>
          <w:color w:val="auto"/>
          <w:sz w:val="24"/>
          <w:szCs w:val="24"/>
          <w:highlight w:val="none"/>
        </w:rPr>
        <w:t xml:space="preserve">城区中位列前三，则支付该项考核费用，</w:t>
      </w:r>
      <w:r>
        <w:rPr>
          <w:rFonts w:hint="eastAsia" w:ascii="宋体" w:hAnsi="宋体" w:eastAsia="宋体" w:cs="宋体"/>
          <w:bCs/>
          <w:color w:val="auto"/>
          <w:sz w:val="24"/>
          <w:szCs w:val="24"/>
          <w:highlight w:val="none"/>
          <w:lang w:eastAsia="zh-CN"/>
        </w:rPr>
        <w:t xml:space="preserve">否</w:t>
      </w:r>
      <w:r>
        <w:rPr>
          <w:rFonts w:hint="eastAsia" w:ascii="宋体" w:hAnsi="宋体" w:eastAsia="宋体" w:cs="宋体"/>
          <w:bCs/>
          <w:color w:val="auto"/>
          <w:sz w:val="24"/>
          <w:szCs w:val="24"/>
          <w:highlight w:val="none"/>
        </w:rPr>
        <w:t xml:space="preserve">则甲方不支付该项考核费用。</w:t>
      </w:r>
      <w:r/>
    </w:p>
    <w:p>
      <w:pPr>
        <w:pStyle w:val="934"/>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以上考核办法解释权归无锡市锡山生态环境局。</w:t>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p>
    <w:p>
      <w:pPr>
        <w:ind w:firstLine="480"/>
        <w:spacing w:line="360" w:lineRule="auto"/>
        <w:rPr>
          <w:rFonts w:ascii="宋体" w:hAnsi="宋体" w:eastAsia="宋体" w:cs="宋体"/>
          <w:b/>
          <w:bCs/>
          <w:color w:val="000000"/>
          <w:sz w:val="30"/>
          <w:szCs w:val="30"/>
          <w:highlight w:val="none"/>
        </w:rPr>
      </w:pPr>
      <w:r>
        <w:rPr>
          <w:rFonts w:hint="eastAsia" w:ascii="宋体" w:hAnsi="宋体" w:eastAsia="宋体" w:cs="宋体"/>
          <w:b/>
          <w:color w:val="000000"/>
          <w:sz w:val="30"/>
          <w:szCs w:val="30"/>
          <w:highlight w:val="none"/>
        </w:rPr>
        <w:t xml:space="preserve">附：政府采购政策（包括但不限于下列具体政策要求）</w:t>
      </w:r>
      <w:r/>
    </w:p>
    <w:p>
      <w:pPr>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eastAsia="宋体" w:cs="宋体"/>
          <w:b/>
          <w:color w:val="000000"/>
          <w:sz w:val="32"/>
          <w:szCs w:val="32"/>
          <w:highlight w:val="none"/>
        </w:rPr>
      </w:pPr>
      <w:r>
        <w:rPr>
          <w:rFonts w:hint="eastAsia" w:ascii="宋体" w:hAnsi="宋体" w:eastAsia="宋体" w:cs="宋体"/>
          <w:color w:val="000000"/>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sz w:val="24"/>
          <w:szCs w:val="24"/>
          <w:highlight w:val="none"/>
          <w:lang w:val="en" w:eastAsia="zh-CN"/>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lang w:val="en" w:eastAsia="zh-CN"/>
        </w:rPr>
        <w:t xml:space="preserve">。</w:t>
      </w:r>
      <w:r/>
    </w:p>
    <w:p>
      <w:pPr>
        <w:contextualSpacing/>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lang w:val="en"/>
        </w:rPr>
        <w:t xml:space="preserve">。</w:t>
      </w:r>
      <w:r/>
    </w:p>
    <w:p>
      <w:pPr>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jc w:val="center"/>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br w:type="page" w:clear="all"/>
      </w:r>
      <w:bookmarkStart w:id="87" w:name="_Toc29508"/>
      <w:r/>
      <w:bookmarkStart w:id="88" w:name="_Toc9024"/>
      <w:r/>
      <w:bookmarkStart w:id="89" w:name="_Toc7186"/>
      <w:r>
        <w:rPr>
          <w:rFonts w:hint="eastAsia" w:ascii="宋体" w:hAnsi="宋体" w:eastAsia="宋体" w:cs="宋体"/>
          <w:b/>
          <w:bCs/>
          <w:color w:val="000000"/>
          <w:sz w:val="32"/>
          <w:szCs w:val="32"/>
          <w:highlight w:val="none"/>
        </w:rPr>
        <w:t xml:space="preserve">四、合同书（格式）</w:t>
      </w:r>
      <w:bookmarkEnd w:id="87"/>
      <w:r/>
      <w:bookmarkEnd w:id="88"/>
      <w:r/>
      <w:bookmarkEnd w:id="89"/>
      <w:r/>
      <w:r/>
    </w:p>
    <w:p>
      <w:pPr>
        <w:pStyle w:val="917"/>
        <w:rPr>
          <w:color w:val="000000"/>
          <w:highlight w:val="none"/>
          <w:lang w:val="en" w:eastAsia="zh-CN"/>
        </w:rPr>
      </w:pPr>
      <w:r>
        <w:rPr>
          <w:color w:val="000000"/>
          <w:highlight w:val="none"/>
          <w:lang w:val="en" w:eastAsia="zh-CN"/>
        </w:rPr>
      </w:r>
      <w:r/>
    </w:p>
    <w:p>
      <w:pPr>
        <w:spacing w:line="360" w:lineRule="auto"/>
        <w:rPr>
          <w:rFonts w:ascii="Times New Roman" w:hAnsi="Times New Roman" w:eastAsia="宋体"/>
          <w:bCs/>
          <w:color w:val="auto"/>
          <w:sz w:val="24"/>
          <w:szCs w:val="24"/>
          <w:highlight w:val="none"/>
          <w:u w:val="single"/>
        </w:rPr>
      </w:pPr>
      <w:r>
        <w:rPr>
          <w:rFonts w:hint="eastAsia" w:ascii="Times New Roman" w:hAnsi="Times New Roman" w:eastAsia="宋体"/>
          <w:bCs/>
          <w:color w:val="auto"/>
          <w:sz w:val="24"/>
          <w:szCs w:val="24"/>
          <w:highlight w:val="none"/>
        </w:rPr>
        <w:t xml:space="preserve">甲方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采购人</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w:t>
      </w:r>
      <w:r/>
    </w:p>
    <w:p>
      <w:pPr>
        <w:spacing w:line="360" w:lineRule="auto"/>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乙方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中标方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一、政府采购编号：</w:t>
      </w:r>
      <w:r/>
    </w:p>
    <w:p>
      <w:pPr>
        <w:ind w:firstLine="480"/>
        <w:spacing w:line="360" w:lineRule="auto"/>
        <w:tabs>
          <w:tab w:val="left" w:pos="840" w:leader="none"/>
          <w:tab w:val="left" w:pos="1155" w:leader="none"/>
        </w:tabs>
        <w:rPr>
          <w:bCs/>
          <w:color w:val="auto"/>
          <w:sz w:val="24"/>
          <w:szCs w:val="24"/>
          <w:highlight w:val="none"/>
        </w:rPr>
      </w:pPr>
      <w:r>
        <w:rPr>
          <w:rFonts w:hint="eastAsia" w:ascii="Times New Roman" w:hAnsi="Times New Roman" w:eastAsia="宋体"/>
          <w:bCs/>
          <w:color w:val="auto"/>
          <w:sz w:val="24"/>
          <w:szCs w:val="24"/>
          <w:highlight w:val="none"/>
        </w:rPr>
        <w:t xml:space="preserve">二、采购内容：</w:t>
      </w:r>
      <w:bookmarkStart w:id="90" w:name="_Hlk2066327"/>
      <w:r/>
      <w:bookmarkEnd w:id="90"/>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三、中标总金额：人民币</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大写</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；人民币</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小写</w:t>
      </w:r>
      <w:r>
        <w:rPr>
          <w:rFonts w:hint="eastAsia" w:ascii="Times New Roman" w:hAnsi="Times New Roman" w:eastAsia="宋体"/>
          <w:bCs/>
          <w:color w:val="auto"/>
          <w:sz w:val="24"/>
          <w:szCs w:val="24"/>
          <w:highlight w:val="none"/>
          <w:lang w:eastAsia="zh-CN"/>
        </w:rPr>
        <w:t xml:space="preserve">）</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四、质量标准及验收标准：</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五、服务期：</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六、服务地点和方式：</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七、合同款支付步骤和办法：</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八、违约责任：</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九、解决争议的方式：</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Times New Roman" w:hAnsi="Times New Roman" w:eastAsia="宋体"/>
          <w:bCs/>
          <w:color w:val="auto"/>
          <w:sz w:val="24"/>
          <w:szCs w:val="24"/>
          <w:highlight w:val="none"/>
        </w:rPr>
        <w:t xml:space="preserve">十、</w:t>
      </w:r>
      <w:r>
        <w:rPr>
          <w:rFonts w:hint="eastAsia" w:ascii="Times New Roman" w:hAnsi="Times New Roman" w:eastAsia="宋体"/>
          <w:bCs/>
          <w:color w:val="auto"/>
          <w:sz w:val="24"/>
          <w:szCs w:val="24"/>
          <w:highlight w:val="none"/>
          <w:lang w:eastAsia="zh-CN"/>
        </w:rPr>
        <w:t xml:space="preserve">其他</w:t>
      </w:r>
      <w:r>
        <w:rPr>
          <w:rFonts w:hint="eastAsia" w:ascii="Times New Roman" w:hAnsi="Times New Roman" w:eastAsia="宋体"/>
          <w:bCs/>
          <w:color w:val="auto"/>
          <w:sz w:val="24"/>
          <w:szCs w:val="24"/>
          <w:highlight w:val="none"/>
        </w:rPr>
        <w:t xml:space="preserve">事项：</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十一、合同不可分割部分：采购文件、投标文件、合同条款及中标通知书，供方在投标、评标过程中所作</w:t>
      </w:r>
      <w:r>
        <w:rPr>
          <w:rFonts w:hint="eastAsia" w:ascii="Times New Roman" w:hAnsi="Times New Roman" w:eastAsia="宋体"/>
          <w:bCs/>
          <w:color w:val="auto"/>
          <w:sz w:val="24"/>
          <w:szCs w:val="24"/>
          <w:highlight w:val="none"/>
          <w:lang w:eastAsia="zh-CN"/>
        </w:rPr>
        <w:t xml:space="preserve">其他有关</w:t>
      </w:r>
      <w:r>
        <w:rPr>
          <w:rFonts w:hint="eastAsia" w:ascii="Times New Roman" w:hAnsi="Times New Roman" w:eastAsia="宋体"/>
          <w:bCs/>
          <w:color w:val="auto"/>
          <w:sz w:val="24"/>
          <w:szCs w:val="24"/>
          <w:highlight w:val="none"/>
        </w:rPr>
        <w:t xml:space="preserve">承诺、声明、书面澄清等均为合同不可分割的部分，与主合同具有同等法律效力。</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十二、合同备案：</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合同一式</w:t>
      </w:r>
      <w:r>
        <w:rPr>
          <w:rFonts w:hint="eastAsia" w:ascii="Times New Roman" w:hAnsi="Times New Roman" w:eastAsia="宋体"/>
          <w:bCs/>
          <w:color w:val="auto"/>
          <w:sz w:val="24"/>
          <w:szCs w:val="24"/>
          <w:highlight w:val="none"/>
          <w:lang w:eastAsia="zh-CN"/>
        </w:rPr>
        <w:t xml:space="preserve">四</w:t>
      </w:r>
      <w:r>
        <w:rPr>
          <w:rFonts w:hint="eastAsia" w:ascii="Times New Roman" w:hAnsi="Times New Roman" w:eastAsia="宋体"/>
          <w:bCs/>
          <w:color w:val="auto"/>
          <w:sz w:val="24"/>
          <w:szCs w:val="24"/>
          <w:highlight w:val="none"/>
        </w:rPr>
        <w:t xml:space="preserve">份，</w:t>
      </w:r>
      <w:r>
        <w:rPr>
          <w:rFonts w:hint="eastAsia" w:ascii="Times New Roman" w:hAnsi="Times New Roman" w:eastAsia="宋体"/>
          <w:bCs/>
          <w:color w:val="auto"/>
          <w:sz w:val="24"/>
          <w:szCs w:val="24"/>
          <w:highlight w:val="none"/>
          <w:lang w:eastAsia="zh-CN"/>
        </w:rPr>
        <w:t xml:space="preserve">甲乙双方各执两份</w:t>
      </w:r>
      <w:r>
        <w:rPr>
          <w:rFonts w:hint="eastAsia" w:ascii="Times New Roman" w:hAnsi="Times New Roman" w:eastAsia="宋体"/>
          <w:bCs/>
          <w:color w:val="auto"/>
          <w:sz w:val="24"/>
          <w:szCs w:val="24"/>
          <w:highlight w:val="none"/>
        </w:rPr>
        <w:t xml:space="preserve">。</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十三、合同生效：本合同由</w:t>
      </w:r>
      <w:r>
        <w:rPr>
          <w:rFonts w:hint="eastAsia" w:ascii="Times New Roman" w:hAnsi="Times New Roman" w:eastAsia="宋体"/>
          <w:bCs/>
          <w:color w:val="auto"/>
          <w:sz w:val="24"/>
          <w:szCs w:val="24"/>
          <w:highlight w:val="none"/>
          <w:lang w:val="en-US" w:eastAsia="zh-CN"/>
        </w:rPr>
        <w:t xml:space="preserve">甲乙</w:t>
      </w:r>
      <w:r>
        <w:rPr>
          <w:rFonts w:hint="eastAsia" w:ascii="Times New Roman" w:hAnsi="Times New Roman" w:eastAsia="宋体"/>
          <w:bCs/>
          <w:color w:val="auto"/>
          <w:sz w:val="24"/>
          <w:szCs w:val="24"/>
          <w:highlight w:val="none"/>
        </w:rPr>
        <w:t xml:space="preserve">双方签字、盖章后生效。</w:t>
      </w:r>
      <w:r/>
    </w:p>
    <w:p>
      <w:pPr>
        <w:ind w:firstLine="480"/>
        <w:spacing w:line="360" w:lineRule="auto"/>
        <w:tabs>
          <w:tab w:val="left" w:pos="840" w:leader="none"/>
          <w:tab w:val="left" w:pos="115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w:t>
      </w:r>
      <w:r>
        <w:rPr>
          <w:rFonts w:hint="eastAsia" w:ascii="宋体" w:hAnsi="宋体" w:eastAsia="宋体" w:cs="宋体"/>
          <w:bCs/>
          <w:color w:val="auto"/>
          <w:sz w:val="24"/>
          <w:szCs w:val="24"/>
          <w:highlight w:val="none"/>
          <w:lang w:eastAsia="zh-CN"/>
        </w:rPr>
        <w:t xml:space="preserve">、合</w:t>
      </w:r>
      <w:r>
        <w:rPr>
          <w:rFonts w:hint="eastAsia" w:ascii="宋体" w:hAnsi="宋体" w:eastAsia="宋体" w:cs="宋体"/>
          <w:bCs/>
          <w:color w:val="auto"/>
          <w:sz w:val="24"/>
          <w:szCs w:val="24"/>
          <w:highlight w:val="none"/>
        </w:rPr>
        <w:t xml:space="preserve">同</w:t>
      </w:r>
      <w:r>
        <w:rPr>
          <w:rFonts w:hint="eastAsia" w:ascii="宋体" w:hAnsi="宋体" w:eastAsia="宋体" w:cs="宋体"/>
          <w:bCs/>
          <w:color w:val="auto"/>
          <w:sz w:val="24"/>
          <w:highlight w:val="none"/>
        </w:rPr>
        <w:t xml:space="preserve">签订</w:t>
      </w:r>
      <w:r>
        <w:rPr>
          <w:rFonts w:hint="eastAsia" w:ascii="宋体" w:hAnsi="宋体" w:eastAsia="宋体" w:cs="宋体"/>
          <w:bCs/>
          <w:color w:val="auto"/>
          <w:sz w:val="24"/>
          <w:szCs w:val="24"/>
          <w:highlight w:val="none"/>
        </w:rPr>
        <w:t xml:space="preserve">地点</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840" w:leader="none"/>
          <w:tab w:val="left" w:pos="115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本合同在签订</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甲方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采购人</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盖章</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                    乙方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中标方</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盖章</w:t>
      </w:r>
      <w:r>
        <w:rPr>
          <w:rFonts w:hint="eastAsia" w:ascii="Times New Roman" w:hAnsi="Times New Roman" w:eastAsia="宋体"/>
          <w:bCs/>
          <w:color w:val="auto"/>
          <w:sz w:val="24"/>
          <w:szCs w:val="24"/>
          <w:highlight w:val="none"/>
          <w:lang w:eastAsia="zh-CN"/>
        </w:rPr>
        <w:t xml:space="preserve">）</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法定</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授权</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代表人：                        法定</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授权</w:t>
      </w:r>
      <w:r>
        <w:rPr>
          <w:rFonts w:hint="eastAsia" w:ascii="Times New Roman" w:hAnsi="Times New Roman" w:eastAsia="宋体"/>
          <w:bCs/>
          <w:color w:val="auto"/>
          <w:sz w:val="24"/>
          <w:szCs w:val="24"/>
          <w:highlight w:val="none"/>
          <w:lang w:eastAsia="zh-CN"/>
        </w:rPr>
        <w:t xml:space="preserve">）</w:t>
      </w:r>
      <w:r>
        <w:rPr>
          <w:rFonts w:hint="eastAsia" w:ascii="Times New Roman" w:hAnsi="Times New Roman" w:eastAsia="宋体"/>
          <w:bCs/>
          <w:color w:val="auto"/>
          <w:sz w:val="24"/>
          <w:szCs w:val="24"/>
          <w:highlight w:val="none"/>
        </w:rPr>
        <w:t xml:space="preserve">代表人：</w:t>
      </w:r>
      <w:r/>
    </w:p>
    <w:p>
      <w:pPr>
        <w:ind w:firstLine="48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年  月  日                                  年  月  日</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Times New Roman" w:hAnsi="Times New Roman" w:eastAsia="宋体"/>
          <w:bCs/>
          <w:color w:val="auto"/>
          <w:sz w:val="24"/>
          <w:szCs w:val="24"/>
          <w:highlight w:val="none"/>
        </w:rPr>
        <w:t xml:space="preserve">乙方</w:t>
      </w:r>
      <w:r>
        <w:rPr>
          <w:rFonts w:hint="eastAsia" w:ascii="宋体" w:hAnsi="宋体" w:eastAsia="宋体" w:cs="宋体"/>
          <w:bCs/>
          <w:color w:val="auto"/>
          <w:sz w:val="24"/>
          <w:szCs w:val="24"/>
          <w:highlight w:val="none"/>
        </w:rPr>
        <w:t xml:space="preserve">户名：</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Times New Roman" w:hAnsi="Times New Roman" w:eastAsia="宋体"/>
          <w:bCs/>
          <w:color w:val="auto"/>
          <w:sz w:val="24"/>
          <w:szCs w:val="24"/>
          <w:highlight w:val="none"/>
        </w:rPr>
        <w:t xml:space="preserve">乙方</w:t>
      </w:r>
      <w:r>
        <w:rPr>
          <w:rFonts w:hint="eastAsia" w:ascii="宋体" w:hAnsi="宋体" w:eastAsia="宋体" w:cs="宋体"/>
          <w:bCs/>
          <w:color w:val="auto"/>
          <w:sz w:val="24"/>
          <w:szCs w:val="24"/>
          <w:highlight w:val="none"/>
        </w:rPr>
        <w:t xml:space="preserve">开户银行：</w:t>
      </w:r>
      <w:r/>
    </w:p>
    <w:p>
      <w:pPr>
        <w:ind w:firstLine="480"/>
        <w:spacing w:line="4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Times New Roman" w:hAnsi="Times New Roman" w:eastAsia="宋体"/>
          <w:bCs/>
          <w:color w:val="auto"/>
          <w:sz w:val="24"/>
          <w:szCs w:val="24"/>
          <w:highlight w:val="none"/>
        </w:rPr>
        <w:t xml:space="preserve">乙方</w:t>
      </w:r>
      <w:r>
        <w:rPr>
          <w:rFonts w:hint="eastAsia" w:ascii="宋体" w:hAnsi="宋体" w:eastAsia="宋体" w:cs="宋体"/>
          <w:bCs/>
          <w:color w:val="auto"/>
          <w:sz w:val="24"/>
          <w:szCs w:val="24"/>
          <w:highlight w:val="none"/>
        </w:rPr>
        <w:t xml:space="preserve">账号：</w:t>
      </w:r>
      <w:r/>
    </w:p>
    <w:p>
      <w:pPr>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宋体" w:hAnsi="宋体" w:eastAsia="宋体"/>
          <w:b/>
          <w:bCs/>
          <w:color w:val="auto"/>
          <w:sz w:val="24"/>
          <w:szCs w:val="24"/>
          <w:highlight w:val="none"/>
        </w:rPr>
        <w:t xml:space="preserve">备注：</w:t>
      </w:r>
      <w:r>
        <w:rPr>
          <w:rFonts w:hint="eastAsia" w:ascii="Times New Roman" w:hAnsi="Times New Roman" w:eastAsia="宋体"/>
          <w:bCs/>
          <w:color w:val="auto"/>
          <w:sz w:val="24"/>
          <w:szCs w:val="24"/>
          <w:highlight w:val="none"/>
        </w:rPr>
        <w:t xml:space="preserve">（1）</w:t>
      </w:r>
      <w:r>
        <w:rPr>
          <w:rFonts w:hint="eastAsia" w:ascii="Times New Roman" w:hAnsi="Times New Roman" w:eastAsia="宋体"/>
          <w:bCs/>
          <w:color w:val="auto"/>
          <w:sz w:val="24"/>
          <w:szCs w:val="24"/>
          <w:highlight w:val="none"/>
          <w:lang w:val="en-US" w:eastAsia="zh-CN"/>
        </w:rPr>
        <w:t xml:space="preserve">甲乙</w:t>
      </w:r>
      <w:r>
        <w:rPr>
          <w:rFonts w:hint="eastAsia" w:ascii="Times New Roman" w:hAnsi="Times New Roman" w:eastAsia="宋体"/>
          <w:bCs/>
          <w:color w:val="auto"/>
          <w:sz w:val="24"/>
          <w:szCs w:val="24"/>
          <w:highlight w:val="none"/>
        </w:rPr>
        <w:t xml:space="preserve">双方以本格式文本拟订合同</w:t>
      </w:r>
      <w:r>
        <w:rPr>
          <w:rFonts w:hint="eastAsia" w:ascii="Times New Roman" w:hAnsi="Times New Roman" w:eastAsia="宋体"/>
          <w:bCs/>
          <w:color w:val="auto"/>
          <w:sz w:val="24"/>
          <w:szCs w:val="24"/>
          <w:highlight w:val="none"/>
          <w:lang w:eastAsia="zh-CN"/>
        </w:rPr>
        <w:t xml:space="preserve">。</w:t>
      </w:r>
      <w:r/>
    </w:p>
    <w:p>
      <w:pPr>
        <w:ind w:firstLine="720"/>
        <w:spacing w:line="360" w:lineRule="auto"/>
        <w:tabs>
          <w:tab w:val="left" w:pos="840" w:leader="none"/>
          <w:tab w:val="left" w:pos="1155" w:leader="none"/>
        </w:tabs>
        <w:rPr>
          <w:rFonts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rPr>
        <w:t xml:space="preserve">（2）本项目不收取履约保证金。</w:t>
      </w:r>
      <w:r/>
    </w:p>
    <w:p>
      <w:pPr>
        <w:jc w:val="center"/>
        <w:tabs>
          <w:tab w:val="left" w:pos="675"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五、合同条款</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keepLines w:val="0"/>
        <w:keepNext w:val="0"/>
        <w:pageBreakBefore w:val="0"/>
        <w:spacing w:before="181" w:line="360" w:lineRule="auto"/>
        <w:widowControl w:val="off"/>
        <w:rPr>
          <w:rFonts w:hAnsi="宋体"/>
          <w:color w:val="auto"/>
          <w:sz w:val="24"/>
          <w:highlight w:val="none"/>
          <w:lang w:val="zh-CN"/>
        </w:rPr>
      </w:pPr>
      <w:r>
        <w:rPr>
          <w:rFonts w:hint="eastAsia" w:ascii="Times New Roman" w:hAnsi="Times New Roman" w:eastAsia="宋体" w:cs="Times New Roman"/>
          <w:bCs/>
          <w:color w:val="auto"/>
          <w:sz w:val="24"/>
          <w:szCs w:val="24"/>
          <w:highlight w:val="none"/>
          <w:lang w:val="zh-CN"/>
        </w:rPr>
        <w:t xml:space="preserve">甲方</w:t>
      </w:r>
      <w:r>
        <w:rPr>
          <w:rFonts w:hint="eastAsia" w:ascii="宋体" w:hAnsi="宋体" w:eastAsia="宋体" w:cs="宋体"/>
          <w:color w:val="auto"/>
          <w:sz w:val="24"/>
          <w:szCs w:val="24"/>
          <w:highlight w:val="none"/>
          <w:lang w:val="zh-CN"/>
        </w:rPr>
        <w:t xml:space="preserve">（采购单位）：（以下简称甲方）</w:t>
      </w:r>
      <w:r/>
    </w:p>
    <w:p>
      <w:pPr>
        <w:spacing w:line="360" w:lineRule="auto"/>
        <w:rPr>
          <w:rFonts w:hAnsi="宋体"/>
          <w:color w:val="auto"/>
          <w:sz w:val="24"/>
          <w:highlight w:val="none"/>
          <w:lang w:val="zh-CN"/>
        </w:rPr>
      </w:pPr>
      <w:r>
        <w:rPr>
          <w:rFonts w:hint="eastAsia" w:ascii="宋体" w:hAnsi="宋体" w:eastAsia="宋体" w:cs="宋体"/>
          <w:color w:val="auto"/>
          <w:sz w:val="24"/>
          <w:szCs w:val="24"/>
          <w:highlight w:val="none"/>
          <w:lang w:val="zh-CN"/>
        </w:rPr>
        <w:t xml:space="preserve">乙方（中标单位）：（以下简称乙方）</w:t>
      </w:r>
      <w:r/>
    </w:p>
    <w:p>
      <w:pPr>
        <w:ind w:firstLine="480"/>
        <w:spacing w:line="360" w:lineRule="auto"/>
        <w:rPr>
          <w:rFonts w:hAnsi="宋体"/>
          <w:color w:val="auto"/>
          <w:sz w:val="24"/>
          <w:highlight w:val="none"/>
          <w:lang w:val="zh-CN"/>
        </w:rPr>
      </w:pPr>
      <w:r>
        <w:rPr>
          <w:rFonts w:hint="eastAsia" w:ascii="Times New Roman" w:hAnsi="宋体" w:eastAsia="宋体"/>
          <w:color w:val="auto"/>
          <w:sz w:val="24"/>
          <w:szCs w:val="20"/>
          <w:highlight w:val="none"/>
          <w:lang w:val="zh-CN"/>
        </w:rPr>
        <w:t xml:space="preserve">根据</w:t>
      </w: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u w:val="single"/>
          <w:lang w:val="en-US" w:eastAsia="zh-CN"/>
        </w:rPr>
        <w:t xml:space="preserve">        </w:t>
      </w:r>
      <w:r>
        <w:rPr>
          <w:rFonts w:hint="eastAsia" w:ascii="Times New Roman" w:hAnsi="宋体" w:eastAsia="宋体"/>
          <w:color w:val="auto"/>
          <w:sz w:val="24"/>
          <w:szCs w:val="20"/>
          <w:highlight w:val="none"/>
          <w:lang w:val="zh-CN"/>
        </w:rPr>
        <w:t xml:space="preserve">的招标文件及乙方的投标文件和中标通知书，甲乙双方就</w:t>
      </w:r>
      <w:r>
        <w:rPr>
          <w:rFonts w:hint="eastAsia" w:ascii="Times New Roman" w:hAnsi="宋体" w:eastAsia="宋体"/>
          <w:color w:val="auto"/>
          <w:sz w:val="24"/>
          <w:szCs w:val="20"/>
          <w:highlight w:val="none"/>
          <w:u w:val="single"/>
          <w:lang w:val="en-US" w:eastAsia="zh-CN"/>
        </w:rPr>
        <w:t xml:space="preserve">       </w:t>
      </w:r>
      <w:r>
        <w:rPr>
          <w:rFonts w:hint="eastAsia" w:ascii="Times New Roman" w:hAnsi="宋体" w:eastAsia="宋体"/>
          <w:color w:val="auto"/>
          <w:sz w:val="24"/>
          <w:szCs w:val="20"/>
          <w:highlight w:val="none"/>
          <w:lang w:val="zh-CN"/>
        </w:rPr>
        <w:t xml:space="preserve">的服务工作，签订本合同书。</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一、合同内容：</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乙方负责本次招标的服务，项目服务内容及项目成果要求按采购文件第三章项目要求和有关说明及乙方的其他承诺。</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二、下列文件为本合同不可分割部分：</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① 中标通知书；</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② 采购招标文件及其附件；</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③ 乙方的投标文件；</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④ 乙方在招投标过程中所作的其他承诺、声明、书面澄清等；</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⑤ 合同附件（如有）。</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以上与本合同具有同等法律效力</w:t>
      </w:r>
      <w:r/>
    </w:p>
    <w:p>
      <w:pPr>
        <w:spacing w:line="360" w:lineRule="auto"/>
        <w:rPr>
          <w:rFonts w:ascii="Times New Roman" w:hAnsi="宋体" w:eastAsia="宋体"/>
          <w:color w:val="auto"/>
          <w:sz w:val="24"/>
          <w:szCs w:val="20"/>
          <w:highlight w:val="none"/>
          <w:lang w:val="zh-CN"/>
        </w:rPr>
      </w:pPr>
      <w:r>
        <w:rPr>
          <w:rFonts w:hint="eastAsia" w:ascii="Times New Roman" w:hAnsi="宋体" w:eastAsia="宋体"/>
          <w:b/>
          <w:bCs/>
          <w:color w:val="auto"/>
          <w:sz w:val="24"/>
          <w:szCs w:val="20"/>
          <w:highlight w:val="none"/>
          <w:lang w:val="zh-CN"/>
        </w:rPr>
        <w:t xml:space="preserve">三、乙方的服务人员情况表：</w:t>
      </w:r>
      <w:r>
        <w:rPr>
          <w:rFonts w:hint="eastAsia" w:ascii="Times New Roman" w:hAnsi="宋体" w:eastAsia="宋体"/>
          <w:color w:val="auto"/>
          <w:sz w:val="24"/>
          <w:szCs w:val="20"/>
          <w:highlight w:val="none"/>
          <w:lang w:val="zh-CN"/>
        </w:rPr>
        <w:t xml:space="preserve">按甲方要求和乙方的投标方案。</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四、服务方案：根据乙方投标提供的投标方案，甲方进行审批修改后执行。</w:t>
      </w:r>
      <w:r/>
    </w:p>
    <w:p>
      <w:pPr>
        <w:spacing w:line="360" w:lineRule="auto"/>
        <w:rPr>
          <w:rFonts w:hAnsi="宋体"/>
          <w:b/>
          <w:bCs/>
          <w:color w:val="auto"/>
          <w:sz w:val="24"/>
          <w:highlight w:val="none"/>
          <w:lang w:val="zh-CN"/>
        </w:rPr>
      </w:pPr>
      <w:r>
        <w:rPr>
          <w:rFonts w:hint="eastAsia" w:ascii="Times New Roman" w:hAnsi="宋体" w:eastAsia="宋体"/>
          <w:b/>
          <w:bCs/>
          <w:color w:val="auto"/>
          <w:sz w:val="24"/>
          <w:szCs w:val="20"/>
          <w:highlight w:val="none"/>
          <w:lang w:val="zh-CN"/>
        </w:rPr>
        <w:t xml:space="preserve">五、违约责任：</w:t>
      </w:r>
      <w:r>
        <w:rPr>
          <w:rFonts w:hint="eastAsia" w:ascii="Times New Roman" w:hAnsi="宋体" w:eastAsia="宋体"/>
          <w:color w:val="auto"/>
          <w:sz w:val="24"/>
          <w:szCs w:val="20"/>
          <w:highlight w:val="none"/>
          <w:lang w:val="zh-CN"/>
        </w:rPr>
        <w:t xml:space="preserve">甲、乙双方应严格履行本协议，如有违约，参照服务考核标准执行。</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六、费用及结算：</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lang w:val="zh-CN"/>
        </w:rPr>
        <w:t xml:space="preserve">1.合同总价</w:t>
      </w:r>
      <w:r>
        <w:rPr>
          <w:rFonts w:hint="eastAsia" w:ascii="Times New Roman" w:hAnsi="宋体" w:eastAsia="宋体"/>
          <w:color w:val="auto"/>
          <w:sz w:val="24"/>
          <w:szCs w:val="20"/>
          <w:highlight w:val="none"/>
        </w:rPr>
        <w:t xml:space="preserve">包含人员费用、交通费用、设施设备费、培训费、监管核查相关费用、管理费及税金等从项目中标起到项目完结所发生的一切费用。</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eastAsia="zh-CN"/>
        </w:rPr>
        <w:t xml:space="preserve">2.</w:t>
      </w:r>
      <w:r>
        <w:rPr>
          <w:rFonts w:hint="eastAsia" w:ascii="Times New Roman" w:hAnsi="宋体" w:eastAsia="宋体"/>
          <w:color w:val="auto"/>
          <w:sz w:val="24"/>
          <w:szCs w:val="20"/>
          <w:highlight w:val="none"/>
          <w:lang w:val="zh-CN"/>
        </w:rPr>
        <w:t xml:space="preserve">付款方式：签订合同且采购人收到足额发票后10日内付至合同价的30%；服务期满6个月，且采购人收到足额发票后支付至合同价的70%；服务期结束，经采购人考核且采购人收到足额发票后付清余款。</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eastAsia="zh-CN"/>
        </w:rPr>
        <w:t xml:space="preserve">3.</w:t>
      </w:r>
      <w:r>
        <w:rPr>
          <w:rFonts w:hint="eastAsia" w:ascii="Times New Roman" w:hAnsi="宋体" w:eastAsia="宋体"/>
          <w:color w:val="auto"/>
          <w:sz w:val="24"/>
          <w:szCs w:val="20"/>
          <w:highlight w:val="none"/>
          <w:lang w:val="zh-CN"/>
        </w:rPr>
        <w:t xml:space="preserve">甲方支付此项费用外不再承担其他任何费用（包括个人），乙方人员的薪金、福利、休假日补贴等由乙方付给，与甲方无关。</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eastAsia="zh-CN"/>
        </w:rPr>
        <w:t xml:space="preserve">4.</w:t>
      </w:r>
      <w:r>
        <w:rPr>
          <w:rFonts w:hint="eastAsia" w:ascii="Times New Roman" w:hAnsi="宋体" w:eastAsia="宋体"/>
          <w:color w:val="auto"/>
          <w:sz w:val="24"/>
          <w:szCs w:val="20"/>
          <w:highlight w:val="none"/>
          <w:lang w:val="zh-CN"/>
        </w:rPr>
        <w:t xml:space="preserve">确因甲方工作需要，乙方应无条件配合甲方完成一些突击工作。如：安排服务人员临时加班。</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eastAsia="zh-CN"/>
        </w:rPr>
        <w:t xml:space="preserve">5.</w:t>
      </w:r>
      <w:r>
        <w:rPr>
          <w:rFonts w:hint="eastAsia" w:ascii="Times New Roman" w:hAnsi="宋体" w:eastAsia="宋体"/>
          <w:color w:val="auto"/>
          <w:sz w:val="24"/>
          <w:szCs w:val="20"/>
          <w:highlight w:val="none"/>
          <w:lang w:val="zh-CN"/>
        </w:rPr>
        <w:t xml:space="preserve">若遇国家或地方政府政策性调整，双方另行协商。</w:t>
      </w:r>
      <w:r>
        <w:rPr>
          <w:rFonts w:hint="eastAsia" w:ascii="Times New Roman" w:hAnsi="宋体" w:eastAsia="宋体"/>
          <w:color w:val="auto"/>
          <w:sz w:val="24"/>
          <w:szCs w:val="20"/>
          <w:highlight w:val="none"/>
        </w:rPr>
        <w:t xml:space="preserve">如遇服务范围内有大的调整等重大情况，甲方将提前告知乙方，合同内容经双方协商调整。</w:t>
      </w:r>
      <w:r/>
    </w:p>
    <w:p>
      <w:pPr>
        <w:ind w:right="-161"/>
        <w:spacing w:line="360" w:lineRule="auto"/>
        <w:rPr>
          <w:rFonts w:ascii="Times New Roman" w:hAnsi="宋体" w:eastAsia="宋体"/>
          <w:b/>
          <w:color w:val="auto"/>
          <w:sz w:val="24"/>
          <w:szCs w:val="20"/>
          <w:highlight w:val="none"/>
          <w:lang w:val="zh-CN"/>
        </w:rPr>
      </w:pPr>
      <w:r>
        <w:rPr>
          <w:rFonts w:hint="eastAsia" w:ascii="Times New Roman" w:hAnsi="宋体" w:eastAsia="宋体"/>
          <w:b/>
          <w:color w:val="auto"/>
          <w:sz w:val="24"/>
          <w:szCs w:val="20"/>
          <w:highlight w:val="none"/>
          <w:lang w:val="zh-CN"/>
        </w:rPr>
        <w:t xml:space="preserve">七、质量与验收：</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lang w:eastAsia="zh-CN"/>
        </w:rPr>
        <w:t xml:space="preserve">1.</w:t>
      </w:r>
      <w:r>
        <w:rPr>
          <w:rFonts w:hint="eastAsia" w:ascii="Times New Roman" w:hAnsi="宋体" w:eastAsia="宋体"/>
          <w:color w:val="auto"/>
          <w:sz w:val="24"/>
          <w:szCs w:val="20"/>
          <w:highlight w:val="none"/>
        </w:rPr>
        <w:t xml:space="preserve">乙方应保证所提供服务</w:t>
      </w:r>
      <w:r>
        <w:rPr>
          <w:rFonts w:hint="eastAsia" w:ascii="Times New Roman" w:hAnsi="宋体" w:eastAsia="宋体"/>
          <w:color w:val="auto"/>
          <w:sz w:val="24"/>
          <w:szCs w:val="20"/>
          <w:highlight w:val="none"/>
          <w:lang w:eastAsia="zh-CN"/>
        </w:rPr>
        <w:t xml:space="preserve">涉及的</w:t>
      </w:r>
      <w:r>
        <w:rPr>
          <w:rFonts w:hint="eastAsia" w:ascii="Times New Roman" w:hAnsi="宋体" w:eastAsia="宋体"/>
          <w:color w:val="auto"/>
          <w:sz w:val="24"/>
          <w:szCs w:val="20"/>
          <w:highlight w:val="none"/>
        </w:rPr>
        <w:t xml:space="preserve">知识产权和技术资料是合法取得，并享有完整的知识产权，不会因为甲方的使用而被责令停止使用、追偿或要求赔偿损失，如出现此情况，一切经济和法律责任均由乙方承担。</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lang w:eastAsia="zh-CN"/>
        </w:rPr>
        <w:t xml:space="preserve">2.</w:t>
      </w:r>
      <w:r>
        <w:rPr>
          <w:rFonts w:hint="eastAsia" w:ascii="Times New Roman" w:hAnsi="宋体" w:eastAsia="宋体"/>
          <w:color w:val="auto"/>
          <w:sz w:val="24"/>
          <w:szCs w:val="20"/>
          <w:highlight w:val="none"/>
        </w:rPr>
        <w:t xml:space="preserve">乙方需在规定的时间内完成项目服务工作，甲方将组织对成果进行确认、验收，如发现与要求不符等问题，应</w:t>
      </w:r>
      <w:r>
        <w:rPr>
          <w:rFonts w:hint="eastAsia" w:ascii="Times New Roman" w:hAnsi="宋体" w:eastAsia="宋体"/>
          <w:color w:val="auto"/>
          <w:sz w:val="24"/>
          <w:szCs w:val="20"/>
          <w:highlight w:val="none"/>
          <w:lang w:eastAsia="zh-CN"/>
        </w:rPr>
        <w:t xml:space="preserve">做</w:t>
      </w:r>
      <w:r>
        <w:rPr>
          <w:rFonts w:hint="eastAsia" w:ascii="Times New Roman" w:hAnsi="宋体" w:eastAsia="宋体"/>
          <w:color w:val="auto"/>
          <w:sz w:val="24"/>
          <w:szCs w:val="20"/>
          <w:highlight w:val="none"/>
        </w:rPr>
        <w:t xml:space="preserve">详细记录，甲方有权要求终止服务，由此造成的各种费用损失均由乙方承担。</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lang w:eastAsia="zh-CN"/>
        </w:rPr>
        <w:t xml:space="preserve">3.</w:t>
      </w:r>
      <w:r>
        <w:rPr>
          <w:rFonts w:hint="eastAsia" w:ascii="Times New Roman" w:hAnsi="宋体" w:eastAsia="宋体"/>
          <w:color w:val="auto"/>
          <w:sz w:val="24"/>
          <w:szCs w:val="20"/>
          <w:highlight w:val="none"/>
          <w:lang w:val="zh-CN"/>
        </w:rPr>
        <w:t xml:space="preserve">项目</w:t>
      </w:r>
      <w:r>
        <w:rPr>
          <w:rFonts w:hint="eastAsia" w:ascii="Times New Roman" w:hAnsi="宋体" w:eastAsia="宋体"/>
          <w:color w:val="auto"/>
          <w:sz w:val="24"/>
          <w:szCs w:val="20"/>
          <w:highlight w:val="none"/>
        </w:rPr>
        <w:t xml:space="preserve">保密要求</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（1）乙方及其工作人员需遵守甲方的保密规定，不以任何形式将收集的所有资料、数据等进行</w:t>
      </w:r>
      <w:r>
        <w:rPr>
          <w:rFonts w:hint="eastAsia" w:ascii="Times New Roman" w:hAnsi="宋体" w:eastAsia="宋体"/>
          <w:color w:val="auto"/>
          <w:sz w:val="24"/>
          <w:szCs w:val="20"/>
          <w:highlight w:val="none"/>
          <w:lang w:eastAsia="zh-CN"/>
        </w:rPr>
        <w:t xml:space="preserve">泄露</w:t>
      </w:r>
      <w:r>
        <w:rPr>
          <w:rFonts w:hint="eastAsia" w:ascii="Times New Roman" w:hAnsi="宋体" w:eastAsia="宋体"/>
          <w:color w:val="auto"/>
          <w:sz w:val="24"/>
          <w:szCs w:val="20"/>
          <w:highlight w:val="none"/>
        </w:rPr>
        <w:t xml:space="preserve">、传播；</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（2）项目服务人员需签署相关保密协议，承担工作中接触相关内容的保密义务；</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（3）项目成果最终所有权属甲方，在项目完成时编制单位必须全部移交；</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（4）乙方须维护项目服务成果，不得转让给第三方重复使用。</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（5）以上保密规定如有违反，采购单位有权追究乙方相关法律责任。</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lang w:eastAsia="zh-CN"/>
        </w:rPr>
        <w:t xml:space="preserve">4.</w:t>
      </w:r>
      <w:r>
        <w:rPr>
          <w:rFonts w:hint="eastAsia" w:ascii="Times New Roman" w:hAnsi="宋体" w:eastAsia="宋体"/>
          <w:color w:val="auto"/>
          <w:sz w:val="24"/>
          <w:szCs w:val="20"/>
          <w:highlight w:val="none"/>
        </w:rPr>
        <w:t xml:space="preserve">安全：乙方在项目服务期间应制定项目安全实施管理措施，并严格遵守安全管理要求，乙方在项目服务过程中因管理不当、维护措施不当等因素或不按安全管理要求，造成安全或财产损失事故的，其责任均由乙方承担，甲方不承担责任。</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lang w:eastAsia="zh-CN"/>
        </w:rPr>
        <w:t xml:space="preserve">5.</w:t>
      </w:r>
      <w:r>
        <w:rPr>
          <w:rFonts w:hint="eastAsia" w:ascii="Times New Roman" w:hAnsi="宋体" w:eastAsia="宋体"/>
          <w:color w:val="auto"/>
          <w:sz w:val="24"/>
          <w:szCs w:val="20"/>
          <w:highlight w:val="none"/>
        </w:rPr>
        <w:t xml:space="preserve">其他要求按采购文件规定。</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lang w:eastAsia="zh-CN"/>
        </w:rPr>
        <w:t xml:space="preserve">6.</w:t>
      </w:r>
      <w:r>
        <w:rPr>
          <w:rFonts w:hint="eastAsia" w:ascii="Times New Roman" w:hAnsi="宋体" w:eastAsia="宋体"/>
          <w:color w:val="auto"/>
          <w:sz w:val="24"/>
          <w:szCs w:val="20"/>
          <w:highlight w:val="none"/>
        </w:rPr>
        <w:t xml:space="preserve">验收标准：</w:t>
      </w:r>
      <w:r>
        <w:rPr>
          <w:rFonts w:hint="eastAsia" w:ascii="Times New Roman" w:hAnsi="宋体" w:eastAsia="宋体"/>
          <w:color w:val="auto"/>
          <w:sz w:val="24"/>
          <w:szCs w:val="20"/>
          <w:highlight w:val="none"/>
          <w:lang w:eastAsia="zh-CN"/>
        </w:rPr>
        <w:t xml:space="preserve">按照</w:t>
      </w:r>
      <w:r>
        <w:rPr>
          <w:rFonts w:hint="eastAsia" w:ascii="Times New Roman" w:hAnsi="宋体" w:eastAsia="宋体"/>
          <w:color w:val="auto"/>
          <w:sz w:val="24"/>
          <w:szCs w:val="20"/>
          <w:highlight w:val="none"/>
        </w:rPr>
        <w:t xml:space="preserve">采购文件的规定。</w:t>
      </w:r>
      <w:r/>
    </w:p>
    <w:p>
      <w:pPr>
        <w:spacing w:line="360" w:lineRule="auto"/>
        <w:rPr>
          <w:rFonts w:ascii="Times New Roman" w:hAnsi="宋体" w:eastAsia="宋体"/>
          <w:color w:val="auto"/>
          <w:sz w:val="24"/>
          <w:szCs w:val="20"/>
          <w:highlight w:val="none"/>
        </w:rPr>
        <w:outlineLvl w:val="0"/>
      </w:pPr>
      <w:r>
        <w:rPr>
          <w:rFonts w:hint="eastAsia" w:ascii="Times New Roman" w:hAnsi="宋体" w:eastAsia="宋体"/>
          <w:b/>
          <w:bCs/>
          <w:color w:val="auto"/>
          <w:sz w:val="24"/>
          <w:szCs w:val="20"/>
          <w:highlight w:val="none"/>
          <w:lang w:val="zh-CN"/>
        </w:rPr>
        <w:t xml:space="preserve">八、</w:t>
      </w:r>
      <w:r>
        <w:rPr>
          <w:rFonts w:hint="eastAsia" w:ascii="Times New Roman" w:hAnsi="宋体" w:eastAsia="宋体"/>
          <w:color w:val="auto"/>
          <w:sz w:val="24"/>
          <w:szCs w:val="20"/>
          <w:highlight w:val="none"/>
        </w:rPr>
        <w:t xml:space="preserve">完成服务期限：    年    月   日至    年   月   日，具体按采购单位要求。</w:t>
      </w:r>
      <w:r/>
    </w:p>
    <w:p>
      <w:pPr>
        <w:ind w:firstLine="47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项目地点：无锡市锡山区范围内。</w:t>
      </w:r>
      <w:r/>
    </w:p>
    <w:p>
      <w:pPr>
        <w:spacing w:line="360" w:lineRule="auto"/>
        <w:tabs>
          <w:tab w:val="left" w:pos="0" w:leader="none"/>
        </w:tabs>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九、其他</w:t>
      </w:r>
      <w:r/>
    </w:p>
    <w:p>
      <w:pPr>
        <w:ind w:firstLine="420"/>
        <w:spacing w:line="360" w:lineRule="auto"/>
        <w:tabs>
          <w:tab w:val="left" w:pos="0" w:leader="none"/>
        </w:tabs>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1.乙方除应为其人员提供必要的劳动保护条件外，还应为其办理作业时的人身安全保险和意外伤害险。一切安全责任事故均由乙方负责（保险种类由乙方自行选择）。</w:t>
      </w:r>
      <w:r/>
    </w:p>
    <w:p>
      <w:pPr>
        <w:ind w:firstLine="420"/>
        <w:spacing w:line="360" w:lineRule="auto"/>
        <w:tabs>
          <w:tab w:val="left" w:pos="0" w:leader="none"/>
        </w:tabs>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2.本合同之附件均为合同有效组成部分，与本合同具有同等法律效力。</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十、合同的生效</w:t>
      </w:r>
      <w:r/>
    </w:p>
    <w:p>
      <w:pPr>
        <w:ind w:firstLine="425"/>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rPr>
        <w:t xml:space="preserve">本合同经甲乙双方签字盖章后生效。</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十一、合同的解除和转让</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（一）合同的解除</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1.甲方和乙方协商一致，可以解除合同；</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2.有下列情形之一，合同一方可以解除合同：</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2.1因不可抗力致使不能实现合同目的，未受不可抗力影响的一方有权解除合同；</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2.2因合同一方违约导致合同不能履行，另一方有权解除合同；</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3.有权解除合同的一方，应当在违约事实或不可抗力发生之后三十天内书面通知对方以主张解除合同，合同在书面通知到达对方时解除。</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eastAsia="zh-CN"/>
        </w:rPr>
        <w:t xml:space="preserve">4.</w:t>
      </w:r>
      <w:r>
        <w:rPr>
          <w:rFonts w:hint="eastAsia" w:hAnsi="宋体" w:eastAsia="宋体" w:cs="宋体"/>
          <w:color w:val="auto"/>
          <w:sz w:val="24"/>
          <w:szCs w:val="24"/>
          <w:highlight w:val="none"/>
        </w:rPr>
        <w:t xml:space="preserve">当乙方出现下列</w:t>
      </w:r>
      <w:r>
        <w:rPr>
          <w:rFonts w:hint="eastAsia" w:ascii="Times New Roman" w:hAnsi="宋体" w:eastAsia="宋体"/>
          <w:color w:val="auto"/>
          <w:sz w:val="24"/>
          <w:szCs w:val="20"/>
          <w:highlight w:val="none"/>
          <w:lang w:val="zh-CN"/>
        </w:rPr>
        <w:t xml:space="preserve">情况之一，甲方有权终止合同：</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（1）乙方在服务过程中，存在违法违规情况的；</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（2）乙方</w:t>
      </w:r>
      <w:r>
        <w:rPr>
          <w:rFonts w:hint="eastAsia" w:ascii="Times New Roman" w:hAnsi="Times New Roman" w:eastAsia="宋体"/>
          <w:color w:val="auto"/>
          <w:sz w:val="24"/>
          <w:szCs w:val="24"/>
          <w:highlight w:val="none"/>
        </w:rPr>
        <w:t xml:space="preserve">因自身原因无法及时按要求完成任务或按指令要求开展相关工作，书面警告一次，两次书面警告则视为违约；如造成本项目工作不能继续并造成较大影响的，</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（3）锡山生态环境局对乙方</w:t>
      </w:r>
      <w:r>
        <w:rPr>
          <w:rFonts w:hint="eastAsia" w:ascii="Times New Roman" w:hAnsi="宋体" w:eastAsia="宋体"/>
          <w:color w:val="auto"/>
          <w:sz w:val="24"/>
          <w:szCs w:val="20"/>
          <w:highlight w:val="none"/>
        </w:rPr>
        <w:t xml:space="preserve">的服务质量</w:t>
      </w:r>
      <w:r>
        <w:rPr>
          <w:rFonts w:hint="eastAsia" w:ascii="Times New Roman" w:hAnsi="宋体" w:eastAsia="宋体"/>
          <w:color w:val="auto"/>
          <w:sz w:val="24"/>
          <w:szCs w:val="20"/>
          <w:highlight w:val="none"/>
          <w:lang w:val="zh-CN"/>
        </w:rPr>
        <w:t xml:space="preserve">进行综合考核，考核结果将作为下一轮选择供应商的重要依据。考核结果不</w:t>
      </w:r>
      <w:r>
        <w:rPr>
          <w:rFonts w:hint="eastAsia" w:ascii="Times New Roman" w:hAnsi="宋体" w:eastAsia="宋体"/>
          <w:color w:val="auto"/>
          <w:sz w:val="24"/>
          <w:szCs w:val="20"/>
          <w:highlight w:val="none"/>
        </w:rPr>
        <w:t xml:space="preserve">满意</w:t>
      </w:r>
      <w:r>
        <w:rPr>
          <w:rFonts w:hint="eastAsia" w:ascii="Times New Roman" w:hAnsi="宋体" w:eastAsia="宋体"/>
          <w:color w:val="auto"/>
          <w:sz w:val="24"/>
          <w:szCs w:val="20"/>
          <w:highlight w:val="none"/>
          <w:lang w:val="zh-CN"/>
        </w:rPr>
        <w:t xml:space="preserve">的供应商，有权终止合同，在其后两年内不接受其报名参与相关招投标。</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6）当乙方出现下列情况之一，锡山生态环境局可以终止合同，并将其列入不合格供应商名单，在其后两年内不接受其报名，全部赔偿责任由乙方承担，同时锡山生态环境局将依法追究其单位和个人的法律责任：</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1）未经许可擅自将合同内容部分或全部转给其他单位的；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2）受到2次书面警告的；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3）提供虚假数据的；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4）未经同意擅自向外提供合同内容数据和结果的；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5）合同有效期内，被行业主管部门警告或取消相关资质的；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6）不如实反映情况，提供虚假材料的；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7）未及时发现、纠正被查单位重大偏离，导致严重后果的；</w:t>
      </w:r>
      <w:r/>
    </w:p>
    <w:p>
      <w:pPr>
        <w:ind w:firstLine="720"/>
        <w:spacing w:line="360" w:lineRule="auto"/>
        <w:tabs>
          <w:tab w:val="left" w:pos="945" w:leader="none"/>
        </w:tabs>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8）未履行投标时所作相应承诺的。</w:t>
      </w:r>
      <w:r/>
    </w:p>
    <w:p>
      <w:pPr>
        <w:ind w:firstLine="720"/>
        <w:spacing w:line="360" w:lineRule="auto"/>
        <w:rPr>
          <w:rFonts w:ascii="Times New Roman" w:hAnsi="宋体" w:eastAsia="宋体"/>
          <w:color w:val="auto"/>
          <w:sz w:val="24"/>
          <w:szCs w:val="20"/>
          <w:highlight w:val="none"/>
          <w:lang w:val="zh-CN"/>
        </w:rPr>
      </w:pPr>
      <w:r>
        <w:rPr>
          <w:rFonts w:hint="eastAsia" w:ascii="Times New Roman" w:hAnsi="Times New Roman" w:eastAsia="宋体"/>
          <w:color w:val="auto"/>
          <w:sz w:val="24"/>
          <w:szCs w:val="24"/>
          <w:highlight w:val="none"/>
        </w:rPr>
        <w:t xml:space="preserve">9）其他严重违反</w:t>
      </w:r>
      <w:r>
        <w:rPr>
          <w:rFonts w:hint="eastAsia" w:ascii="Times New Roman" w:hAnsi="Times New Roman" w:eastAsia="宋体"/>
          <w:color w:val="auto"/>
          <w:sz w:val="24"/>
          <w:szCs w:val="24"/>
          <w:highlight w:val="none"/>
          <w:lang w:eastAsia="zh-CN"/>
        </w:rPr>
        <w:t xml:space="preserve">法律法规</w:t>
      </w:r>
      <w:r>
        <w:rPr>
          <w:rFonts w:hint="eastAsia" w:ascii="Times New Roman" w:hAnsi="Times New Roman" w:eastAsia="宋体"/>
          <w:color w:val="auto"/>
          <w:sz w:val="24"/>
          <w:szCs w:val="24"/>
          <w:highlight w:val="none"/>
        </w:rPr>
        <w:t xml:space="preserve">、政策及合同的相关情况。</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lang w:eastAsia="zh-CN"/>
        </w:rPr>
        <w:t xml:space="preserve">5.</w:t>
      </w:r>
      <w:r>
        <w:rPr>
          <w:rFonts w:hint="eastAsia" w:ascii="Times New Roman" w:hAnsi="宋体" w:eastAsia="宋体"/>
          <w:color w:val="auto"/>
          <w:sz w:val="24"/>
          <w:szCs w:val="20"/>
          <w:highlight w:val="none"/>
        </w:rPr>
        <w:t xml:space="preserve">合同履行过程中发生下列情形的，甲方有权变更、中止或终止合同，乙方应当予以配合，但甲方应当在发生相应情形后及时通知乙方，并组织双方协商确定解决方案，甲方应当按</w:t>
      </w:r>
      <w:r>
        <w:rPr>
          <w:rFonts w:hint="eastAsia" w:ascii="Times New Roman" w:hAnsi="宋体" w:eastAsia="宋体"/>
          <w:color w:val="auto"/>
          <w:sz w:val="24"/>
          <w:szCs w:val="20"/>
          <w:highlight w:val="none"/>
          <w:lang w:eastAsia="zh-CN"/>
        </w:rPr>
        <w:t xml:space="preserve">约定</w:t>
      </w:r>
      <w:r>
        <w:rPr>
          <w:rFonts w:hint="eastAsia" w:ascii="Times New Roman" w:hAnsi="宋体" w:eastAsia="宋体"/>
          <w:color w:val="auto"/>
          <w:sz w:val="24"/>
          <w:szCs w:val="20"/>
          <w:highlight w:val="none"/>
        </w:rPr>
        <w:t xml:space="preserve">支付乙方已经完成的服务对应的合同价款，并补偿因合同变更、中止或终止而引发的乙方直接损失：</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（1）甲方内部工作安排、计划调整等自身原因；</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（2）中央、省、市、区级政策变动，以及规划、计划调整等外部原因；</w:t>
      </w:r>
      <w:r/>
    </w:p>
    <w:p>
      <w:pPr>
        <w:ind w:firstLine="480"/>
        <w:spacing w:line="360" w:lineRule="auto"/>
        <w:rPr>
          <w:rFonts w:ascii="Times New Roman" w:hAnsi="宋体" w:eastAsia="宋体"/>
          <w:color w:val="auto"/>
          <w:sz w:val="24"/>
          <w:szCs w:val="20"/>
          <w:highlight w:val="none"/>
        </w:rPr>
      </w:pPr>
      <w:r>
        <w:rPr>
          <w:rFonts w:hint="eastAsia" w:ascii="Times New Roman" w:hAnsi="宋体" w:eastAsia="宋体"/>
          <w:color w:val="auto"/>
          <w:sz w:val="24"/>
          <w:szCs w:val="20"/>
          <w:highlight w:val="none"/>
        </w:rPr>
        <w:t xml:space="preserve">（3）其他甲方原因。</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rPr>
        <w:t xml:space="preserve">本合同对合同变更、中止或终止合同有其他特殊约定的，按该特殊约定执行</w:t>
      </w:r>
      <w:r>
        <w:rPr>
          <w:rFonts w:hint="eastAsia" w:ascii="Times New Roman" w:hAnsi="宋体" w:eastAsia="宋体"/>
          <w:color w:val="auto"/>
          <w:sz w:val="24"/>
          <w:szCs w:val="20"/>
          <w:highlight w:val="none"/>
          <w:lang w:val="zh-CN"/>
        </w:rPr>
        <w:t xml:space="preserve">。</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（二）合同的转让</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合同的部分和全部都不得转让。</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十二、争议解决</w:t>
      </w:r>
      <w:r/>
    </w:p>
    <w:p>
      <w:pPr>
        <w:ind w:firstLine="480"/>
        <w:spacing w:line="360" w:lineRule="auto"/>
        <w:rPr>
          <w:rFonts w:ascii="Times New Roman" w:hAnsi="宋体" w:eastAsia="宋体"/>
          <w:color w:val="auto"/>
          <w:sz w:val="24"/>
          <w:szCs w:val="20"/>
          <w:highlight w:val="none"/>
          <w:lang w:val="zh-CN"/>
        </w:rPr>
      </w:pPr>
      <w:r>
        <w:rPr>
          <w:rFonts w:hint="eastAsia" w:ascii="Times New Roman" w:hAnsi="宋体" w:eastAsia="宋体"/>
          <w:color w:val="auto"/>
          <w:sz w:val="24"/>
          <w:szCs w:val="20"/>
          <w:highlight w:val="none"/>
          <w:lang w:val="zh-CN"/>
        </w:rPr>
        <w:t xml:space="preserve">甲乙双方因合同发生争议，应在招标方的主持下进行调解，协商不成，任何一方可以向甲方所在地人民法院起诉。</w:t>
      </w:r>
      <w:r/>
    </w:p>
    <w:p>
      <w:pPr>
        <w:spacing w:line="360" w:lineRule="auto"/>
        <w:rPr>
          <w:rFonts w:ascii="Times New Roman" w:hAnsi="宋体" w:eastAsia="宋体"/>
          <w:b/>
          <w:bCs/>
          <w:color w:val="auto"/>
          <w:sz w:val="24"/>
          <w:szCs w:val="20"/>
          <w:highlight w:val="none"/>
          <w:lang w:val="zh-CN"/>
        </w:rPr>
      </w:pPr>
      <w:r>
        <w:rPr>
          <w:rFonts w:hint="eastAsia" w:ascii="Times New Roman" w:hAnsi="宋体" w:eastAsia="宋体"/>
          <w:b/>
          <w:bCs/>
          <w:color w:val="auto"/>
          <w:sz w:val="24"/>
          <w:szCs w:val="20"/>
          <w:highlight w:val="none"/>
          <w:lang w:val="zh-CN"/>
        </w:rPr>
        <w:t xml:space="preserve">十三、附则</w:t>
      </w:r>
      <w:r/>
    </w:p>
    <w:p>
      <w:pPr>
        <w:ind w:firstLine="420"/>
        <w:spacing w:line="360" w:lineRule="auto"/>
        <w:rPr>
          <w:rFonts w:ascii="Times New Roman" w:hAnsi="Times New Roman" w:eastAsia="宋体"/>
          <w:bCs/>
          <w:color w:val="auto"/>
          <w:sz w:val="24"/>
          <w:szCs w:val="20"/>
          <w:highlight w:val="none"/>
          <w:lang w:val="zh-CN"/>
        </w:rPr>
      </w:pPr>
      <w:r>
        <w:rPr>
          <w:rFonts w:hint="eastAsia" w:ascii="Times New Roman" w:hAnsi="Times New Roman" w:eastAsia="宋体"/>
          <w:bCs/>
          <w:color w:val="auto"/>
          <w:sz w:val="24"/>
          <w:szCs w:val="20"/>
          <w:highlight w:val="none"/>
          <w:lang w:val="zh-CN"/>
        </w:rPr>
        <w:t xml:space="preserve">1.合同份数</w:t>
      </w:r>
      <w:r/>
    </w:p>
    <w:p>
      <w:pPr>
        <w:ind w:firstLine="420"/>
        <w:spacing w:line="360" w:lineRule="auto"/>
        <w:rPr>
          <w:rFonts w:ascii="Times New Roman" w:hAnsi="Times New Roman" w:eastAsia="宋体"/>
          <w:bCs/>
          <w:color w:val="auto"/>
          <w:sz w:val="24"/>
          <w:szCs w:val="20"/>
          <w:highlight w:val="none"/>
          <w:lang w:val="zh-CN"/>
        </w:rPr>
      </w:pPr>
      <w:r>
        <w:rPr>
          <w:rFonts w:hint="eastAsia" w:ascii="Times New Roman" w:hAnsi="Times New Roman" w:eastAsia="宋体"/>
          <w:bCs/>
          <w:color w:val="auto"/>
          <w:sz w:val="24"/>
          <w:szCs w:val="20"/>
          <w:highlight w:val="none"/>
        </w:rPr>
        <w:t xml:space="preserve">本</w:t>
      </w:r>
      <w:r>
        <w:rPr>
          <w:rFonts w:ascii="Times New Roman" w:hAnsi="Times New Roman" w:eastAsia="宋体"/>
          <w:bCs/>
          <w:color w:val="auto"/>
          <w:sz w:val="24"/>
          <w:szCs w:val="20"/>
          <w:highlight w:val="none"/>
        </w:rPr>
        <w:t xml:space="preserve">合同一式</w:t>
      </w:r>
      <w:r>
        <w:rPr>
          <w:rFonts w:hint="eastAsia" w:ascii="Times New Roman" w:hAnsi="Times New Roman" w:eastAsia="宋体"/>
          <w:bCs/>
          <w:color w:val="auto"/>
          <w:sz w:val="24"/>
          <w:szCs w:val="20"/>
          <w:highlight w:val="none"/>
          <w:lang w:eastAsia="zh-CN"/>
        </w:rPr>
        <w:t xml:space="preserve">四</w:t>
      </w:r>
      <w:r>
        <w:rPr>
          <w:rFonts w:ascii="Times New Roman" w:hAnsi="Times New Roman" w:eastAsia="宋体"/>
          <w:bCs/>
          <w:color w:val="auto"/>
          <w:sz w:val="24"/>
          <w:szCs w:val="20"/>
          <w:highlight w:val="none"/>
        </w:rPr>
        <w:t xml:space="preserve">份，</w:t>
      </w:r>
      <w:r>
        <w:rPr>
          <w:rFonts w:hint="eastAsia" w:ascii="Times New Roman" w:hAnsi="Times New Roman" w:eastAsia="宋体"/>
          <w:bCs/>
          <w:color w:val="auto"/>
          <w:sz w:val="24"/>
          <w:szCs w:val="20"/>
          <w:highlight w:val="none"/>
          <w:lang w:eastAsia="zh-CN"/>
        </w:rPr>
        <w:t xml:space="preserve">甲乙双方各执两份</w:t>
      </w:r>
      <w:r>
        <w:rPr>
          <w:rFonts w:ascii="Times New Roman" w:hAnsi="Times New Roman" w:eastAsia="宋体"/>
          <w:bCs/>
          <w:color w:val="auto"/>
          <w:sz w:val="24"/>
          <w:szCs w:val="20"/>
          <w:highlight w:val="none"/>
        </w:rPr>
        <w:t xml:space="preserve">。</w:t>
      </w:r>
      <w:r/>
    </w:p>
    <w:p>
      <w:pPr>
        <w:ind w:firstLine="420"/>
        <w:spacing w:line="360" w:lineRule="auto"/>
        <w:rPr>
          <w:rFonts w:ascii="Times New Roman" w:hAnsi="Times New Roman" w:eastAsia="宋体"/>
          <w:bCs/>
          <w:color w:val="auto"/>
          <w:sz w:val="24"/>
          <w:szCs w:val="20"/>
          <w:highlight w:val="none"/>
          <w:lang w:val="zh-CN"/>
        </w:rPr>
      </w:pPr>
      <w:r>
        <w:rPr>
          <w:rFonts w:hint="eastAsia" w:ascii="Times New Roman" w:hAnsi="Times New Roman" w:eastAsia="宋体"/>
          <w:bCs/>
          <w:color w:val="auto"/>
          <w:sz w:val="24"/>
          <w:szCs w:val="20"/>
          <w:highlight w:val="none"/>
          <w:lang w:val="zh-CN"/>
        </w:rPr>
        <w:t xml:space="preserve">2.未尽事宜</w:t>
      </w:r>
      <w:r/>
    </w:p>
    <w:p>
      <w:pPr>
        <w:ind w:firstLine="420"/>
        <w:spacing w:line="360" w:lineRule="auto"/>
        <w:rPr>
          <w:rFonts w:ascii="Times New Roman" w:hAnsi="Times New Roman" w:eastAsia="宋体"/>
          <w:bCs/>
          <w:color w:val="auto"/>
          <w:sz w:val="24"/>
          <w:szCs w:val="20"/>
          <w:highlight w:val="none"/>
          <w:lang w:val="zh-CN"/>
        </w:rPr>
      </w:pPr>
      <w:r>
        <w:rPr>
          <w:rFonts w:hint="eastAsia" w:ascii="Times New Roman" w:hAnsi="Times New Roman" w:eastAsia="宋体"/>
          <w:bCs/>
          <w:color w:val="auto"/>
          <w:sz w:val="24"/>
          <w:szCs w:val="20"/>
          <w:highlight w:val="none"/>
          <w:lang w:val="zh-CN"/>
        </w:rPr>
        <w:t xml:space="preserve">合同在执行过程中出现的未尽事宜，双方在不违背本合同和招标文件的原则下协商解决，协商结果以书面形式盖章记录在案，作为本合同的附件，与本合同具有同等效力。</w:t>
      </w:r>
      <w:r/>
    </w:p>
    <w:p>
      <w:pPr>
        <w:ind w:firstLine="420"/>
        <w:spacing w:line="360" w:lineRule="auto"/>
        <w:rPr>
          <w:rFonts w:ascii="Times New Roman" w:hAnsi="Times New Roman" w:eastAsia="宋体"/>
          <w:bCs/>
          <w:color w:val="auto"/>
          <w:sz w:val="24"/>
          <w:szCs w:val="20"/>
          <w:highlight w:val="none"/>
          <w:lang w:val="zh-CN"/>
        </w:rPr>
      </w:pPr>
      <w:r>
        <w:rPr>
          <w:rFonts w:ascii="Times New Roman" w:hAnsi="Times New Roman" w:eastAsia="宋体"/>
          <w:bCs/>
          <w:color w:val="auto"/>
          <w:sz w:val="24"/>
          <w:szCs w:val="20"/>
          <w:highlight w:val="none"/>
          <w:lang w:val="zh-CN"/>
        </w:rPr>
      </w:r>
      <w:r/>
    </w:p>
    <w:p>
      <w:pPr>
        <w:ind w:firstLine="420"/>
        <w:spacing w:line="360" w:lineRule="auto"/>
        <w:rPr>
          <w:rFonts w:ascii="Times New Roman" w:hAnsi="Times New Roman" w:eastAsia="宋体"/>
          <w:bCs/>
          <w:color w:val="auto"/>
          <w:sz w:val="24"/>
          <w:szCs w:val="20"/>
          <w:highlight w:val="none"/>
          <w:lang w:val="zh-CN"/>
        </w:rPr>
      </w:pPr>
      <w:r>
        <w:rPr>
          <w:rFonts w:hint="eastAsia" w:ascii="Times New Roman" w:hAnsi="Times New Roman" w:eastAsia="宋体"/>
          <w:bCs/>
          <w:color w:val="auto"/>
          <w:sz w:val="24"/>
          <w:szCs w:val="20"/>
          <w:highlight w:val="none"/>
          <w:lang w:val="zh-CN"/>
        </w:rPr>
        <w:t xml:space="preserve">甲方（公章）：                      </w:t>
      </w:r>
      <w:r>
        <w:rPr>
          <w:rFonts w:hint="eastAsia" w:ascii="Times New Roman" w:hAnsi="Times New Roman" w:eastAsia="宋体"/>
          <w:bCs/>
          <w:color w:val="auto"/>
          <w:sz w:val="24"/>
          <w:szCs w:val="20"/>
          <w:highlight w:val="none"/>
        </w:rPr>
        <w:t xml:space="preserve">  </w:t>
      </w:r>
      <w:r>
        <w:rPr>
          <w:rFonts w:hint="eastAsia" w:ascii="Times New Roman" w:hAnsi="Times New Roman" w:eastAsia="宋体"/>
          <w:bCs/>
          <w:color w:val="auto"/>
          <w:sz w:val="24"/>
          <w:szCs w:val="20"/>
          <w:highlight w:val="none"/>
          <w:lang w:val="zh-CN"/>
        </w:rPr>
        <w:t xml:space="preserve">乙方（公章）：</w:t>
      </w:r>
      <w:r/>
    </w:p>
    <w:p>
      <w:pPr>
        <w:ind w:firstLine="420"/>
        <w:spacing w:line="360" w:lineRule="auto"/>
        <w:rPr>
          <w:rFonts w:ascii="Times New Roman" w:hAnsi="Times New Roman" w:eastAsia="宋体"/>
          <w:bCs/>
          <w:color w:val="auto"/>
          <w:sz w:val="24"/>
          <w:szCs w:val="20"/>
          <w:highlight w:val="none"/>
          <w:lang w:val="zh-CN"/>
        </w:rPr>
      </w:pPr>
      <w:r>
        <w:rPr>
          <w:rFonts w:hint="eastAsia" w:ascii="Times New Roman" w:hAnsi="Times New Roman" w:eastAsia="宋体"/>
          <w:bCs/>
          <w:color w:val="auto"/>
          <w:sz w:val="24"/>
          <w:szCs w:val="20"/>
          <w:highlight w:val="none"/>
          <w:lang w:val="zh-CN"/>
        </w:rPr>
        <w:t xml:space="preserve">法人代表（签章）：</w:t>
      </w:r>
      <w:r>
        <w:rPr>
          <w:rFonts w:ascii="Times New Roman" w:hAnsi="Times New Roman" w:eastAsia="宋体"/>
          <w:bCs/>
          <w:color w:val="auto"/>
          <w:sz w:val="24"/>
          <w:szCs w:val="20"/>
          <w:highlight w:val="none"/>
          <w:lang w:val="zh-CN"/>
        </w:rPr>
        <w:tab/>
      </w:r>
      <w:r>
        <w:rPr>
          <w:rFonts w:hint="eastAsia" w:ascii="Times New Roman" w:hAnsi="Times New Roman" w:eastAsia="宋体"/>
          <w:bCs/>
          <w:color w:val="auto"/>
          <w:sz w:val="24"/>
          <w:szCs w:val="20"/>
          <w:highlight w:val="none"/>
        </w:rPr>
        <w:t xml:space="preserve">                 </w:t>
      </w:r>
      <w:r>
        <w:rPr>
          <w:rFonts w:hint="eastAsia" w:ascii="Times New Roman" w:hAnsi="Times New Roman" w:eastAsia="宋体"/>
          <w:bCs/>
          <w:color w:val="auto"/>
          <w:sz w:val="24"/>
          <w:szCs w:val="20"/>
          <w:highlight w:val="none"/>
          <w:lang w:val="zh-CN"/>
        </w:rPr>
        <w:t xml:space="preserve">法人代表（签章）：</w:t>
      </w:r>
      <w:r/>
    </w:p>
    <w:p>
      <w:pPr>
        <w:ind w:firstLine="420"/>
        <w:spacing w:line="360" w:lineRule="auto"/>
        <w:rPr>
          <w:rFonts w:ascii="Times New Roman" w:hAnsi="Times New Roman" w:eastAsia="宋体"/>
          <w:bCs/>
          <w:color w:val="auto"/>
          <w:sz w:val="24"/>
          <w:szCs w:val="20"/>
          <w:highlight w:val="none"/>
          <w:lang w:val="zh-CN"/>
        </w:rPr>
      </w:pPr>
      <w:r>
        <w:rPr>
          <w:rFonts w:hint="eastAsia" w:ascii="Times New Roman" w:hAnsi="Times New Roman" w:eastAsia="宋体"/>
          <w:bCs/>
          <w:color w:val="auto"/>
          <w:sz w:val="24"/>
          <w:szCs w:val="20"/>
          <w:highlight w:val="none"/>
          <w:lang w:val="zh-CN"/>
        </w:rPr>
        <w:t xml:space="preserve">或其授权代理人（签章或签字）：</w:t>
      </w:r>
      <w:r>
        <w:rPr>
          <w:rFonts w:hint="eastAsia" w:ascii="Times New Roman" w:hAnsi="Times New Roman" w:eastAsia="宋体"/>
          <w:bCs/>
          <w:color w:val="auto"/>
          <w:sz w:val="24"/>
          <w:szCs w:val="20"/>
          <w:highlight w:val="none"/>
        </w:rPr>
        <w:t xml:space="preserve">        </w:t>
      </w:r>
      <w:r>
        <w:rPr>
          <w:rFonts w:hint="eastAsia" w:ascii="Times New Roman" w:hAnsi="Times New Roman" w:eastAsia="宋体"/>
          <w:bCs/>
          <w:color w:val="auto"/>
          <w:sz w:val="24"/>
          <w:szCs w:val="20"/>
          <w:highlight w:val="none"/>
          <w:lang w:val="zh-CN"/>
        </w:rPr>
        <w:t xml:space="preserve">或其授权代理人（签章或签字）：</w:t>
      </w:r>
      <w:r/>
    </w:p>
    <w:p>
      <w:pPr>
        <w:ind w:firstLine="420"/>
        <w:spacing w:line="360" w:lineRule="auto"/>
        <w:rPr>
          <w:rFonts w:ascii="Times New Roman" w:hAnsi="Times New Roman" w:eastAsia="宋体"/>
          <w:bCs/>
          <w:color w:val="auto"/>
          <w:sz w:val="24"/>
          <w:szCs w:val="20"/>
          <w:highlight w:val="none"/>
        </w:rPr>
      </w:pPr>
      <w:r>
        <w:rPr>
          <w:rFonts w:hint="eastAsia" w:ascii="Times New Roman" w:hAnsi="Times New Roman" w:eastAsia="宋体"/>
          <w:bCs/>
          <w:color w:val="auto"/>
          <w:sz w:val="24"/>
          <w:szCs w:val="20"/>
          <w:highlight w:val="none"/>
          <w:lang w:val="zh-CN"/>
        </w:rPr>
        <w:t xml:space="preserve">年月日</w:t>
      </w:r>
      <w:r>
        <w:rPr>
          <w:rFonts w:hint="eastAsia" w:ascii="Times New Roman" w:hAnsi="Times New Roman" w:eastAsia="宋体"/>
          <w:bCs/>
          <w:color w:val="auto"/>
          <w:sz w:val="24"/>
          <w:szCs w:val="20"/>
          <w:highlight w:val="none"/>
        </w:rPr>
        <w:t xml:space="preserve">                                     </w:t>
      </w:r>
      <w:r>
        <w:rPr>
          <w:rFonts w:hint="eastAsia" w:ascii="Times New Roman" w:hAnsi="Times New Roman" w:eastAsia="宋体"/>
          <w:bCs/>
          <w:color w:val="auto"/>
          <w:sz w:val="24"/>
          <w:szCs w:val="20"/>
          <w:highlight w:val="none"/>
          <w:lang w:val="zh-CN"/>
        </w:rPr>
        <w:t xml:space="preserve">年月日</w:t>
      </w:r>
      <w:r/>
    </w:p>
    <w:p>
      <w:pPr>
        <w:jc w:val="center"/>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五</w:t>
      </w:r>
      <w:r>
        <w:rPr>
          <w:rFonts w:hint="eastAsia" w:ascii="宋体" w:hAnsi="宋体" w:eastAsia="宋体" w:cs="宋体"/>
          <w:b/>
          <w:bCs/>
          <w:color w:val="000000"/>
          <w:sz w:val="36"/>
          <w:szCs w:val="36"/>
          <w:highlight w:val="none"/>
        </w:rPr>
        <w:t xml:space="preserve">、附件</w:t>
      </w:r>
      <w:r/>
    </w:p>
    <w:p>
      <w:pPr>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附件一：评分标准（100分）</w:t>
      </w:r>
      <w:r/>
    </w:p>
    <w:p>
      <w:pPr>
        <w:ind w:firstLine="480"/>
        <w:spacing w:line="360" w:lineRule="auto"/>
        <w:tabs>
          <w:tab w:val="left" w:pos="945" w:leader="none"/>
          <w:tab w:val="left" w:pos="1146"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0"/>
          <w:highlight w:val="none"/>
        </w:rPr>
        <w:t xml:space="preserve">比较与评价采用综合评分法（计分均保留2位小数），评标委员会遵循公平、公正、择</w:t>
      </w:r>
      <w:r>
        <w:rPr>
          <w:rFonts w:hint="eastAsia" w:ascii="宋体" w:hAnsi="宋体" w:eastAsia="宋体" w:cs="宋体"/>
          <w:bCs/>
          <w:color w:val="000000"/>
          <w:sz w:val="24"/>
          <w:szCs w:val="24"/>
          <w:highlight w:val="none"/>
        </w:rPr>
        <w:t xml:space="preserve">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具体评分标准如下：</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一、评分项目及分值</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（一）报价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25</w:t>
      </w:r>
      <w:r>
        <w:rPr>
          <w:rFonts w:hint="eastAsia" w:ascii="宋体" w:hAnsi="宋体" w:eastAsia="宋体" w:cs="宋体"/>
          <w:b/>
          <w:color w:val="000000"/>
          <w:sz w:val="24"/>
          <w:highlight w:val="none"/>
        </w:rPr>
        <w:t xml:space="preserve">分</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明标：</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（二）投标人综合评价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 20</w:t>
      </w:r>
      <w:r>
        <w:rPr>
          <w:rFonts w:hint="eastAsia" w:ascii="宋体" w:hAnsi="宋体" w:eastAsia="宋体" w:cs="宋体"/>
          <w:b/>
          <w:color w:val="000000"/>
          <w:sz w:val="24"/>
          <w:highlight w:val="none"/>
        </w:rPr>
        <w:t xml:space="preserve">分</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暗标：</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（三）服务方案                                       </w:t>
      </w:r>
      <w:r>
        <w:rPr>
          <w:rFonts w:hint="eastAsia" w:ascii="宋体" w:hAnsi="宋体" w:eastAsia="宋体" w:cs="宋体"/>
          <w:b/>
          <w:color w:val="000000"/>
          <w:sz w:val="24"/>
          <w:highlight w:val="none"/>
          <w:lang w:val="en-US" w:eastAsia="zh-CN"/>
        </w:rPr>
        <w:t xml:space="preserve">55</w:t>
      </w:r>
      <w:r>
        <w:rPr>
          <w:rFonts w:hint="eastAsia" w:ascii="宋体" w:hAnsi="宋体" w:eastAsia="宋体" w:cs="宋体"/>
          <w:b/>
          <w:color w:val="000000"/>
          <w:sz w:val="24"/>
          <w:highlight w:val="none"/>
        </w:rPr>
        <w:t xml:space="preserve">分</w:t>
      </w:r>
      <w:r/>
    </w:p>
    <w:p>
      <w:pPr>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二、各项评分标准</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t xml:space="preserve">（一）</w:t>
      </w:r>
      <w:r>
        <w:rPr>
          <w:rFonts w:hint="eastAsia" w:ascii="宋体" w:hAnsi="宋体" w:eastAsia="宋体" w:cs="宋体"/>
          <w:b/>
          <w:color w:val="000000"/>
          <w:sz w:val="24"/>
          <w:szCs w:val="24"/>
          <w:highlight w:val="none"/>
        </w:rPr>
        <w:t xml:space="preserve">报价（</w:t>
      </w:r>
      <w:r>
        <w:rPr>
          <w:rFonts w:hint="eastAsia" w:ascii="宋体" w:hAnsi="宋体" w:eastAsia="宋体" w:cs="宋体"/>
          <w:b/>
          <w:color w:val="000000"/>
          <w:sz w:val="24"/>
          <w:szCs w:val="24"/>
          <w:highlight w:val="none"/>
          <w:lang w:val="en-US" w:eastAsia="zh-CN"/>
        </w:rPr>
        <w:t xml:space="preserve">25</w:t>
      </w:r>
      <w:r>
        <w:rPr>
          <w:rFonts w:hint="eastAsia" w:ascii="宋体" w:hAnsi="宋体" w:eastAsia="宋体" w:cs="宋体"/>
          <w:b/>
          <w:color w:val="000000"/>
          <w:sz w:val="24"/>
          <w:szCs w:val="24"/>
          <w:highlight w:val="none"/>
        </w:rPr>
        <w:t xml:space="preserve">分）</w:t>
      </w:r>
      <w:r/>
    </w:p>
    <w:p>
      <w:pPr>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采用低价优先法计算，即满足招标文件要求且投标价格最低的投标报价为评标基准价，其价格</w:t>
      </w:r>
      <w:r>
        <w:rPr>
          <w:rFonts w:hint="eastAsia" w:ascii="宋体" w:hAnsi="宋体" w:eastAsia="宋体" w:cs="宋体"/>
          <w:color w:val="000000"/>
          <w:sz w:val="24"/>
          <w:highlight w:val="none"/>
          <w:lang w:eastAsia="zh-CN"/>
        </w:rPr>
        <w:t xml:space="preserve">分为</w:t>
      </w:r>
      <w:r>
        <w:rPr>
          <w:rFonts w:hint="eastAsia" w:ascii="宋体" w:hAnsi="宋体" w:eastAsia="宋体" w:cs="宋体"/>
          <w:color w:val="000000"/>
          <w:sz w:val="24"/>
          <w:szCs w:val="20"/>
          <w:highlight w:val="none"/>
        </w:rPr>
        <w:t xml:space="preserve">满分。其他投标人的价格分统一按照下列公式计算：</w:t>
      </w:r>
      <w:r/>
    </w:p>
    <w:p>
      <w:pPr>
        <w:ind w:firstLine="480"/>
        <w:spacing w:line="360" w:lineRule="auto"/>
        <w:tabs>
          <w:tab w:val="left" w:pos="945" w:leader="none"/>
          <w:tab w:val="left" w:pos="1146"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投标报价得分=评标基准价／投标报价×价格权值×100。</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（一）评审过程中出现下列情形之一的，评审委员会应当启动异常低价投标（响应）审查程序：</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全部通过符合性审查供应商投标（响应）报价平均值×50%； </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通过符合性审查的次低报价供应商投标（响应）报价×50%； </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采购项目最高限价×45%； </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 </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采购人可以结合具体项目实际情况，提高上述第1项至第3项中启动异常低价投标（响应）审查的数值标准，但是最高不得超过65%。 </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价格扣除：</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本项目专门面向中小企业采购，不再执行价格评审优惠的扶持政策</w:t>
      </w:r>
      <w:r>
        <w:rPr>
          <w:rFonts w:hint="eastAsia" w:ascii="宋体" w:hAnsi="宋体" w:eastAsia="宋体" w:cs="宋体"/>
          <w:b/>
          <w:color w:val="000000"/>
          <w:sz w:val="24"/>
          <w:szCs w:val="24"/>
          <w:highlight w:val="none"/>
          <w:lang w:eastAsia="zh-CN"/>
        </w:rPr>
        <w:t xml:space="preserve">。</w:t>
      </w:r>
      <w:r/>
    </w:p>
    <w:p>
      <w:pPr>
        <w:ind w:firstLine="482"/>
        <w:spacing w:line="360" w:lineRule="auto"/>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2.本项目为空气污染治理服务项目，不适用本国产品标准及相关政策。</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highlight w:val="none"/>
        </w:rPr>
        <w:t xml:space="preserve">（二）</w:t>
      </w:r>
      <w:r>
        <w:rPr>
          <w:rFonts w:hint="eastAsia" w:ascii="宋体" w:hAnsi="宋体" w:eastAsia="宋体" w:cs="宋体"/>
          <w:b/>
          <w:color w:val="000000"/>
          <w:sz w:val="24"/>
          <w:szCs w:val="24"/>
          <w:highlight w:val="none"/>
        </w:rPr>
        <w:t xml:space="preserve">投标人综合评价（</w:t>
      </w: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（1）类似</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经验（</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：投标人近三年（从采购公告发布首日向前推算）以来承担过类似项目的，有一个得2分，本项最高得6分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以合同签订时间为准，提供合同原件扫描件加盖公章放入电子标书内，未按要求提供不得分</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（2）投标人提供有效期内的质量管理体系认证证书、环境管理体系认证证书、职业健康管理体系认证证书，每提供1个得1分，本项最高得3分。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提供证书原件扫描件加盖公章放入电子标书内，未按要求提供不得分</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）团队实力（</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①项目负责人（3分）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项目负责人具备本科学历的得1分，硕士研究生学历的得2分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具备环境类相关专业中级及以上工程师职称证书得1分；本项最高得3分。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提供身份证、学历证书、相关专业职称证书、投标人为其缴纳的近三个月任意一个月份（不含投标当月）社保缴纳证明；提供上述资料扫描件加盖公章放入电子标书内，未按要求提供不得分</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②项目驻场人员（8分）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项目驻场人员（除项目负责人）具有环境类相关专业中级及以上工程师职称证书</w:t>
      </w:r>
      <w:r>
        <w:rPr>
          <w:rFonts w:hint="eastAsia" w:ascii="宋体" w:hAnsi="宋体" w:eastAsia="宋体" w:cs="宋体"/>
          <w:color w:val="auto"/>
          <w:sz w:val="24"/>
          <w:szCs w:val="24"/>
          <w:highlight w:val="none"/>
          <w:lang w:eastAsia="zh-CN"/>
        </w:rPr>
        <w:t xml:space="preserve">且具备本科及以上学历</w:t>
      </w:r>
      <w:r>
        <w:rPr>
          <w:rFonts w:hint="eastAsia" w:ascii="宋体" w:hAnsi="宋体" w:eastAsia="宋体" w:cs="宋体"/>
          <w:color w:val="auto"/>
          <w:sz w:val="24"/>
          <w:szCs w:val="24"/>
          <w:highlight w:val="none"/>
        </w:rPr>
        <w:t xml:space="preserve">的，有1</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得1分，最高得2分；具备中国环境监测总站颁发的空气自动监测运维与质控培训合格证的，有1人得1.5分，最高得3分；具备中国环境监测总站颁发的</w:t>
      </w:r>
      <w:r>
        <w:rPr>
          <w:rFonts w:hint="eastAsia" w:ascii="宋体" w:hAnsi="宋体" w:eastAsia="宋体" w:cs="宋体"/>
          <w:color w:val="auto"/>
          <w:sz w:val="24"/>
          <w:szCs w:val="24"/>
          <w:highlight w:val="none"/>
          <w:lang w:eastAsia="zh-CN"/>
        </w:rPr>
        <w:t xml:space="preserve">挥发性有机物监测技术</w:t>
      </w:r>
      <w:r>
        <w:rPr>
          <w:rFonts w:hint="eastAsia" w:ascii="宋体" w:hAnsi="宋体" w:eastAsia="宋体" w:cs="宋体"/>
          <w:color w:val="auto"/>
          <w:sz w:val="24"/>
          <w:szCs w:val="24"/>
          <w:highlight w:val="none"/>
        </w:rPr>
        <w:t xml:space="preserve">培训合格证的，有1人得1.5分，最高得3分；本项最高得8分。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同一人员不重复得分，提供以上人员相关证书及投标人为其缴纳的近三个月任意一个月份（不含投标当月）社保缴纳证明；提供上述资料扫描件加盖公章放入电子标书内，未按要求提供不得分</w:t>
      </w:r>
      <w:r>
        <w:rPr>
          <w:rFonts w:hint="eastAsia" w:ascii="宋体" w:hAnsi="宋体" w:eastAsia="宋体" w:cs="宋体"/>
          <w:color w:val="auto"/>
          <w:sz w:val="24"/>
          <w:szCs w:val="24"/>
          <w:highlight w:val="none"/>
          <w:lang w:eastAsia="zh-CN"/>
        </w:rPr>
        <w:t xml:space="preserve">）</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w:t>
      </w:r>
      <w:r>
        <w:rPr>
          <w:rFonts w:hint="eastAsia" w:ascii="宋体" w:hAnsi="宋体" w:eastAsia="宋体" w:cs="宋体"/>
          <w:b/>
          <w:bCs/>
          <w:color w:val="auto"/>
          <w:sz w:val="24"/>
          <w:szCs w:val="24"/>
          <w:highlight w:val="none"/>
        </w:rPr>
        <w:t xml:space="preserve">服务方案</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55</w:t>
      </w:r>
      <w:r>
        <w:rPr>
          <w:rFonts w:hint="eastAsia" w:ascii="宋体" w:hAnsi="宋体" w:eastAsia="宋体" w:cs="宋体"/>
          <w:b/>
          <w:bCs/>
          <w:color w:val="auto"/>
          <w:sz w:val="24"/>
          <w:szCs w:val="24"/>
          <w:highlight w:val="none"/>
          <w:lang w:val="zh-CN"/>
        </w:rPr>
        <w:t xml:space="preserve">分，暗标，请投标人根据暗标编制要求进行编制）</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（1）项目认识理解（</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针对本项目的整体认识、需求理解、关键技术等方面开展整体方案设计，对项目实施过程中的目标认知和重难点进行分析。</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①整体认识、需求理解（</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②关键技术等（</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③目标认知和重难点分析（</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投标人针对上述内容进行阐述，要求阐述内容完整合理、满足项目需求、可行性强。以上内容不存在瑕疵的该条得4分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以上内容存在1处瑕的该条得3分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以上内容存在2处瑕疵的该条得2分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以上内容存在3处瑕疵的该条得1分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未提供方案或不满足项目需求书要求或内容存在4处及以上瑕疵的该条得0分。本项最高得12分。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（2）项目服务设计（</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投标人须结合本地实际大气污染防治与达标需要进行阐述，充分体现科学治污、精准治污。阐述内容包括：</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①提供科学、细致、合理、清晰的服务保障体系（</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②服务流程（</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③技术路线（</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投标人针对上述内容进行阐述，要求阐述内容完整合理、满足项目需求、可行性强。以上内容不存在瑕疵的该条得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处瑕的该条得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）项目现状分析方案（1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需提供针对本项目制定本地情况方案，包括：</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①近几年大气环境质量现状及排名（4分）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②大气扩散条件分析（4分）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③本地污染成因解析（4分）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④污染源分布及贡献评估（4分）</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投标人针对上述内容进行阐述，要求阐述内容完整合理、满足项目需求、可行性强。以上内容不存在瑕疵的该条得4分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以上内容存在1处瑕的该条得3分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以上内容存在2处瑕疵的该条得2分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以上内容存在3处瑕疵的该条得1分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未提供方案或不满足项目需求书要求或内容存在4处及以上瑕疵的该条得0分。本项最高得1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技术装备</w:t>
      </w:r>
      <w:r>
        <w:rPr>
          <w:rFonts w:hint="eastAsia" w:ascii="宋体" w:hAnsi="宋体" w:eastAsia="宋体" w:cs="宋体"/>
          <w:color w:val="auto"/>
          <w:sz w:val="24"/>
          <w:szCs w:val="24"/>
          <w:highlight w:val="none"/>
        </w:rPr>
        <w:t xml:space="preserve">支撑能力（</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zh-CN"/>
        </w:rPr>
        <w:t xml:space="preserve">根据本项目采购需求中的装备支撑情况，形成装备支撑方案。阐述内容包括：</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①装备技术</w:t>
      </w:r>
      <w:r>
        <w:rPr>
          <w:rFonts w:hint="eastAsia" w:ascii="宋体" w:hAnsi="宋体" w:eastAsia="宋体" w:cs="宋体"/>
          <w:color w:val="auto"/>
          <w:sz w:val="24"/>
          <w:szCs w:val="24"/>
          <w:highlight w:val="none"/>
          <w:lang w:val="en-US" w:eastAsia="zh-CN"/>
        </w:rPr>
        <w:t xml:space="preserve">及应用</w:t>
      </w:r>
      <w:r>
        <w:rPr>
          <w:rFonts w:hint="eastAsia" w:ascii="宋体" w:hAnsi="宋体" w:eastAsia="宋体" w:cs="宋体"/>
          <w:color w:val="auto"/>
          <w:sz w:val="24"/>
          <w:szCs w:val="24"/>
          <w:highlight w:val="none"/>
        </w:rPr>
        <w:t xml:space="preserve">能力评价（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②技术先进性说明（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异常数据判断与处理方案（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投标人针对上述内容进行阐述，要求阐述内容完整合理、满足项目需求、可行性强。以上内容不存在瑕疵的该条得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处瑕的该条得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）项目实施保障（</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投标人针对本项目采购需求中的实施保障能力部分进行应答，形成实施保障方案，阐述内容包括：</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①实施计划、组织人员管理方案（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②项目进度保障、主要支撑装备的运行维护方案（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③技术培训方案（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投标人针对上述内容进行阐述，要求阐述内容完整合理、满足项目需求、可行性强。以上内容不存在瑕疵的该条得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以上内容存在1处瑕的该条得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处瑕的该条得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未提供方案或不满足项目需求书要求或内容存在</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spacing w:line="360" w:lineRule="auto"/>
        <w:rPr>
          <w:rFonts w:hint="eastAsia" w:ascii="Times New Roman" w:hAnsi="Times New Roman" w:eastAsia="宋体"/>
          <w:b/>
          <w:color w:val="auto"/>
          <w:sz w:val="24"/>
          <w:szCs w:val="20"/>
          <w:highlight w:val="none"/>
          <w:lang w:val="en-US" w:eastAsia="zh-CN"/>
        </w:rPr>
      </w:pPr>
      <w:r>
        <w:rPr>
          <w:rFonts w:hint="eastAsia" w:ascii="Times New Roman" w:hAnsi="Times New Roman" w:eastAsia="宋体"/>
          <w:b/>
          <w:color w:val="auto"/>
          <w:sz w:val="24"/>
          <w:szCs w:val="20"/>
          <w:highlight w:val="none"/>
        </w:rPr>
        <w:t xml:space="preserve">注：</w:t>
      </w:r>
      <w:r>
        <w:rPr>
          <w:rFonts w:hint="eastAsia" w:ascii="Times New Roman" w:hAnsi="Times New Roman" w:eastAsia="宋体"/>
          <w:b/>
          <w:color w:val="auto"/>
          <w:sz w:val="24"/>
          <w:szCs w:val="20"/>
          <w:highlight w:val="none"/>
          <w:lang w:val="en-US" w:eastAsia="zh-CN"/>
        </w:rPr>
        <w:t xml:space="preserve">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附件二：投标文件格式</w:t>
      </w:r>
      <w:r/>
    </w:p>
    <w:p>
      <w:pP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p>
    <w:p>
      <w:pPr>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p>
    <w:p>
      <w:pPr>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jc w:val="center"/>
        <w:rPr>
          <w:rFonts w:hint="eastAsia" w:ascii="宋体" w:hAnsi="宋体" w:eastAsia="宋体" w:cs="宋体"/>
          <w:bCs/>
          <w:color w:val="000000"/>
          <w:sz w:val="72"/>
          <w:highlight w:val="none"/>
        </w:rPr>
      </w:pPr>
      <w:r>
        <w:rPr>
          <w:rFonts w:hint="eastAsia" w:ascii="宋体" w:hAnsi="宋体" w:eastAsia="宋体" w:cs="宋体"/>
          <w:bCs/>
          <w:color w:val="000000"/>
          <w:sz w:val="52"/>
          <w:szCs w:val="52"/>
          <w:highlight w:val="none"/>
        </w:rPr>
        <w:t xml:space="preserve">件</w:t>
      </w:r>
      <w:r/>
    </w:p>
    <w:p>
      <w:pPr>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916"/>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916"/>
        <w:ind w:left="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356" w:hanging="1960"/>
        <w:spacing w:line="360" w:lineRule="auto"/>
        <w:rPr>
          <w:rFonts w:hint="eastAsia" w:ascii="宋体" w:hAnsi="宋体" w:eastAsia="宋体" w:cs="宋体"/>
          <w:color w:val="000000"/>
          <w:sz w:val="30"/>
          <w:szCs w:val="30"/>
          <w:highlight w:val="none"/>
          <w:u w:val="single"/>
        </w:rPr>
      </w:pPr>
      <w:r>
        <w:rPr>
          <w:rFonts w:hint="eastAsia" w:ascii="宋体" w:hAnsi="宋体" w:eastAsia="宋体" w:cs="宋体"/>
          <w:bCs/>
          <w:color w:val="000000"/>
          <w:sz w:val="28"/>
          <w:szCs w:val="28"/>
          <w:highlight w:val="none"/>
        </w:rPr>
        <w:t xml:space="preserve">采购项目编号：</w:t>
      </w:r>
      <w:r>
        <w:rPr>
          <w:rFonts w:hint="eastAsia" w:ascii="宋体" w:hAnsi="宋体" w:eastAsia="宋体" w:cs="宋体"/>
          <w:color w:val="000000"/>
          <w:sz w:val="30"/>
          <w:szCs w:val="30"/>
          <w:highlight w:val="none"/>
          <w:u w:val="single"/>
          <w:lang w:eastAsia="zh-CN"/>
        </w:rPr>
        <w:t xml:space="preserve">JSZC-320205-JXXL-G2026-0010</w:t>
      </w:r>
      <w:r>
        <w:rPr>
          <w:rFonts w:hint="eastAsia" w:ascii="宋体" w:hAnsi="宋体" w:eastAsia="宋体" w:cs="宋体"/>
          <w:color w:val="000000"/>
          <w:sz w:val="30"/>
          <w:szCs w:val="30"/>
          <w:highlight w:val="none"/>
          <w:u w:val="single"/>
          <w:lang w:eastAsia="zh-CN"/>
        </w:rPr>
        <w:tab/>
      </w:r>
      <w:r/>
    </w:p>
    <w:p>
      <w:pPr>
        <w:ind w:left="3356" w:hanging="1960"/>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b w:val="0"/>
          <w:bCs w:val="0"/>
          <w:color w:val="000000"/>
          <w:sz w:val="28"/>
          <w:szCs w:val="28"/>
          <w:highlight w:val="none"/>
          <w:lang w:eastAsia="zh-CN"/>
        </w:rPr>
        <w:t xml:space="preserve">2026-2027年空气质量改善第三方单位服务项目</w:t>
      </w:r>
      <w:r/>
    </w:p>
    <w:p>
      <w:pPr>
        <w:ind w:left="3356" w:hanging="19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供应商：</w:t>
      </w:r>
      <w:r/>
    </w:p>
    <w:p>
      <w:pPr>
        <w:pStyle w:val="916"/>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16"/>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16"/>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lang w:eastAsia="zh-CN"/>
        </w:rPr>
        <w:t xml:space="preserve">二〇二六</w:t>
      </w:r>
      <w:r>
        <w:rPr>
          <w:rFonts w:hint="eastAsia" w:ascii="宋体" w:hAnsi="宋体" w:eastAsia="宋体" w:cs="宋体"/>
          <w:bCs/>
          <w:color w:val="000000"/>
          <w:sz w:val="36"/>
          <w:szCs w:val="36"/>
          <w:highlight w:val="none"/>
        </w:rPr>
        <w:t xml:space="preserve">年  月  日</w:t>
      </w:r>
      <w:r/>
    </w:p>
    <w:p>
      <w:pPr>
        <w:pStyle w:val="934"/>
        <w:ind w:firstLine="0"/>
        <w:rPr>
          <w:rFonts w:hint="eastAsia" w:ascii="宋体" w:hAnsi="宋体" w:eastAsia="宋体" w:cs="宋体"/>
          <w:color w:val="000000"/>
          <w:highlight w:val="none"/>
        </w:rPr>
      </w:pPr>
      <w:r/>
      <w:bookmarkStart w:id="94" w:name="一．报价函（格式）"/>
      <w:r/>
      <w:bookmarkEnd w:id="94"/>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（一）投标函（格式）：</w:t>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  标  函</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p>
    <w:p>
      <w:pPr>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u w:val="single"/>
          <w:lang w:eastAsia="zh-CN"/>
        </w:rPr>
        <w:t xml:space="preserve">JSZC-320205-JXXL-G2026-0010</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780"/>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二、我方愿意提供</w:t>
      </w: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五、我方愿意遵守《中华人民共和国政府采购法》，并</w:t>
      </w:r>
      <w:r>
        <w:rPr>
          <w:rFonts w:hint="eastAsia" w:ascii="宋体" w:hAnsi="宋体" w:eastAsia="宋体" w:cs="宋体"/>
          <w:bCs/>
          <w:color w:val="000000"/>
          <w:sz w:val="24"/>
          <w:szCs w:val="24"/>
          <w:highlight w:val="none"/>
          <w:lang w:eastAsia="zh-CN"/>
        </w:rPr>
        <w:t xml:space="preserve">按照《中华人民共和国</w:t>
      </w:r>
      <w:r>
        <w:rPr>
          <w:rFonts w:hint="eastAsia" w:ascii="宋体" w:hAnsi="宋体" w:eastAsia="宋体" w:cs="宋体"/>
          <w:bCs/>
          <w:color w:val="000000"/>
          <w:sz w:val="24"/>
          <w:szCs w:val="24"/>
          <w:highlight w:val="none"/>
        </w:rPr>
        <w:t xml:space="preserve">民法典》、财政部《政府采购货物和服务招标投标管理办法》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十一、我方承诺不非法转包、分包。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十三、我方绝不提供虚假材料谋取中标、绝不采取不正当手段诋毁、排挤其他供应商、绝不与采购人、其他供应商或者采购中心恶意串通、绝不向采购人、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以上条款，如有违反，愿依照国家相关法律处理，并承担由此给采购人带来的损失</w:t>
      </w:r>
      <w:r>
        <w:rPr>
          <w:rFonts w:hint="eastAsia" w:ascii="宋体" w:hAnsi="宋体" w:eastAsia="宋体" w:cs="宋体"/>
          <w:bCs/>
          <w:color w:val="000000"/>
          <w:sz w:val="24"/>
          <w:highlight w:val="none"/>
        </w:rPr>
        <w:t xml:space="preserve">。</w:t>
      </w:r>
      <w:r/>
    </w:p>
    <w:p>
      <w:pPr>
        <w:pStyle w:val="928"/>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     </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                          邮编：</w:t>
      </w:r>
      <w:r/>
    </w:p>
    <w:p>
      <w:pPr>
        <w:pStyle w:val="928"/>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（二）（供应商）关于资格的声明函（格式）：</w:t>
      </w:r>
      <w:r/>
    </w:p>
    <w:p>
      <w:pPr>
        <w:ind w:firstLine="720"/>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ind w:firstLine="560"/>
        <w:jc w:val="center"/>
        <w:spacing w:line="360" w:lineRule="auto"/>
        <w:rPr>
          <w:rFonts w:hint="eastAsia" w:ascii="宋体" w:hAnsi="宋体" w:eastAsia="宋体" w:cs="宋体"/>
          <w:bCs/>
          <w:color w:val="000000"/>
          <w:sz w:val="28"/>
          <w:szCs w:val="28"/>
          <w:highlight w:val="none"/>
        </w:rPr>
      </w:pPr>
      <w:r/>
      <w:bookmarkStart w:id="95" w:name="报价方关于资格的声明函（格式）"/>
      <w:r/>
      <w:bookmarkEnd w:id="95"/>
      <w:r>
        <w:rPr>
          <w:rFonts w:hint="eastAsia" w:ascii="宋体" w:hAnsi="宋体" w:eastAsia="宋体" w:cs="宋体"/>
          <w:bCs/>
          <w:color w:val="000000"/>
          <w:sz w:val="28"/>
          <w:szCs w:val="28"/>
          <w:highlight w:val="none"/>
        </w:rPr>
        <w:t xml:space="preserve">关于资格的声明函</w:t>
      </w:r>
      <w:r/>
    </w:p>
    <w:p>
      <w:pP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60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lang w:eastAsia="zh-CN"/>
        </w:rPr>
        <w:t xml:space="preserve">JSZC-320205-JXXL-G2026-0010</w:t>
      </w:r>
      <w:r>
        <w:rPr>
          <w:rFonts w:hint="eastAsia" w:ascii="宋体" w:hAnsi="宋体" w:eastAsia="宋体" w:cs="宋体"/>
          <w:bCs/>
          <w:color w:val="000000"/>
          <w:sz w:val="24"/>
          <w:szCs w:val="24"/>
          <w:highlight w:val="none"/>
        </w:rPr>
        <w:tab/>
      </w:r>
      <w:r/>
    </w:p>
    <w:p>
      <w:pPr>
        <w:ind w:firstLine="480"/>
        <w:jc w:val="center"/>
        <w:spacing w:line="360" w:lineRule="auto"/>
        <w:tabs>
          <w:tab w:val="left" w:pos="63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p>
    <w:p>
      <w:pPr>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ab/>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我公司（单位）愿针对本次</w:t>
      </w:r>
      <w:r>
        <w:rPr>
          <w:rFonts w:hint="eastAsia" w:ascii="宋体" w:hAnsi="宋体" w:eastAsia="宋体" w:cs="宋体"/>
          <w:b w:val="0"/>
          <w:bCs w:val="0"/>
          <w:color w:val="000000"/>
          <w:sz w:val="24"/>
          <w:szCs w:val="24"/>
          <w:highlight w:val="none"/>
          <w:u w:val="single"/>
          <w:lang w:eastAsia="zh-CN"/>
        </w:rPr>
        <w:t xml:space="preserve">2026-2027年空气质量改善第三方单位服务项目</w:t>
      </w:r>
      <w:r>
        <w:rPr>
          <w:rFonts w:hint="eastAsia" w:ascii="宋体" w:hAnsi="宋体" w:eastAsia="宋体" w:cs="宋体"/>
          <w:bCs/>
          <w:color w:val="000000"/>
          <w:sz w:val="24"/>
          <w:szCs w:val="24"/>
          <w:highlight w:val="none"/>
        </w:rPr>
        <w:t xml:space="preserve">进行投标。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（一）具有独立承担民事责任的能力；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（二）具有良好的商业信誉和健全的财务会计制度；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（三）具有履行合同所必需的设备和专业技术能力；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（四）有依法缴纳税收和社会保障资金的良好记录；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（五）近三年内，在经营活动中没有重大违法记录；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若有违背，我公司（单位）愿意承担由此而产生的一切后果。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供应商（盖章）：</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sz w:val="22"/>
          <w:szCs w:val="24"/>
          <w:highlight w:val="none"/>
        </w:rPr>
      </w:pPr>
      <w:r>
        <w:rPr>
          <w:rFonts w:hint="eastAsia" w:ascii="宋体" w:hAnsi="宋体" w:eastAsia="宋体" w:cs="宋体"/>
          <w:bCs/>
          <w:color w:val="000000"/>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val="0"/>
          <w:bCs w:val="0"/>
          <w:color w:val="000000"/>
          <w:sz w:val="24"/>
          <w:szCs w:val="24"/>
          <w:highlight w:val="none"/>
          <w:lang w:val="en-US" w:eastAsia="zh-CN" w:bidi="ar-SA"/>
        </w:rPr>
        <w:t xml:space="preserve">（三）（供应商）法定代表人授权委托书（格式）：</w:t>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法定代表人授权委托书</w:t>
      </w:r>
      <w:r/>
    </w:p>
    <w:p>
      <w:pPr>
        <w:jc w:val="center"/>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ind w:left="6300" w:hanging="630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lang w:eastAsia="zh-CN"/>
        </w:rPr>
        <w:t xml:space="preserve">JSZC-320205-JXXL-G2026-0010</w:t>
      </w:r>
      <w:r>
        <w:rPr>
          <w:rFonts w:hint="eastAsia" w:ascii="宋体" w:hAnsi="宋体" w:eastAsia="宋体" w:cs="宋体"/>
          <w:bCs/>
          <w:color w:val="000000"/>
          <w:sz w:val="24"/>
          <w:szCs w:val="24"/>
          <w:highlight w:val="none"/>
        </w:rPr>
        <w:tab/>
      </w:r>
      <w:r/>
    </w:p>
    <w:p>
      <w:pPr>
        <w:ind w:left="6404" w:hanging="144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p>
    <w:p>
      <w:pPr>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江苏欣希联项目管理有限公司</w:t>
      </w:r>
      <w:r>
        <w:rPr>
          <w:rFonts w:hint="eastAsia" w:ascii="宋体" w:hAnsi="宋体" w:eastAsia="宋体" w:cs="宋体"/>
          <w:bCs/>
          <w:color w:val="000000"/>
          <w:sz w:val="24"/>
          <w:szCs w:val="24"/>
          <w:highlight w:val="none"/>
        </w:rPr>
        <w:t xml:space="preserve">：</w:t>
      </w:r>
      <w:r/>
    </w:p>
    <w:p>
      <w:pPr>
        <w:ind w:firstLine="48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w:t>
      </w:r>
      <w:r>
        <w:rPr>
          <w:rFonts w:hint="eastAsia" w:ascii="宋体" w:hAnsi="宋体" w:eastAsia="宋体" w:cs="宋体"/>
          <w:bCs/>
          <w:color w:val="000000"/>
          <w:sz w:val="24"/>
          <w:szCs w:val="24"/>
          <w:highlight w:val="none"/>
          <w:lang w:eastAsia="zh-CN"/>
        </w:rPr>
        <w:t xml:space="preserve">2026-2027年空气质量改善第三方单位服务项目</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p>
    <w:p>
      <w:pPr>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p>
    <w:p>
      <w:pPr>
        <w:ind w:firstLine="40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p>
    <w:p>
      <w:pPr>
        <w:ind w:firstLine="42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v:textbox>
              </v:shape>
            </w:pict>
          </mc:Fallback>
        </mc:AlternateContent>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v:textbox>
              </v:shape>
            </w:pict>
          </mc:Fallback>
        </mc:AlternateContent>
      </w:r>
      <w:r>
        <w:rPr>
          <w:rFonts w:hint="eastAsia" w:ascii="宋体" w:hAnsi="宋体" w:eastAsia="宋体" w:cs="宋体"/>
          <w:bCs/>
          <w:color w:val="000000"/>
          <w:sz w:val="24"/>
          <w:szCs w:val="24"/>
          <w:highlight w:val="none"/>
        </w:rPr>
        <w:t xml:space="preserve">       </w:t>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法定代表人授权代表</w:t>
      </w:r>
      <w:r>
        <w:rPr>
          <w:rFonts w:hint="eastAsia" w:ascii="宋体" w:hAnsi="宋体" w:eastAsia="宋体" w:cs="宋体"/>
          <w:b/>
          <w:bCs/>
          <w:color w:val="000000"/>
          <w:sz w:val="24"/>
          <w:szCs w:val="24"/>
          <w:highlight w:val="none"/>
        </w:rPr>
        <w:t xml:space="preserve">人</w:t>
      </w:r>
      <w:r/>
    </w:p>
    <w:p>
      <w:pPr>
        <w:rPr>
          <w:rFonts w:hint="eastAsia" w:ascii="宋体" w:hAnsi="宋体" w:eastAsia="宋体" w:cs="宋体"/>
          <w:color w:val="000000"/>
          <w:sz w:val="32"/>
          <w:szCs w:val="32"/>
          <w:highlight w:val="none"/>
        </w:rPr>
      </w:pPr>
      <w:r>
        <w:rPr>
          <w:rFonts w:hint="eastAsia" w:ascii="宋体" w:hAnsi="宋体" w:eastAsia="宋体" w:cs="宋体"/>
          <w:bCs/>
          <w:color w:val="000000"/>
          <w:sz w:val="24"/>
          <w:szCs w:val="24"/>
          <w:highlight w:val="none"/>
        </w:rPr>
        <w:t xml:space="preserve"> </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8"/>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法定代表人授权代表身份证扫描件：（法定代表人亲自参与投标的除外）</w:t>
      </w:r>
      <w:r/>
    </w:p>
    <w:p>
      <w:pPr>
        <w:pStyle w:val="9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rPr>
          <w:rFonts w:hint="eastAsia" w:ascii="宋体" w:hAnsi="宋体" w:eastAsia="宋体" w:cs="宋体"/>
          <w:bCs w:val="0"/>
          <w:color w:val="000000"/>
          <w:sz w:val="24"/>
          <w:szCs w:val="24"/>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v:textbox>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v:textbox>
              </v:shape>
            </w:pict>
          </mc:Fallback>
        </mc:AlternateContent>
      </w:r>
      <w:r/>
    </w:p>
    <w:p>
      <w:pPr>
        <w:pStyle w:val="928"/>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8"/>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8"/>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8"/>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8"/>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8"/>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8"/>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8"/>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8"/>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28"/>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9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0"/>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val="0"/>
          <w:bCs w:val="0"/>
          <w:color w:val="000000"/>
          <w:sz w:val="24"/>
          <w:szCs w:val="24"/>
          <w:highlight w:val="none"/>
          <w:lang w:val="en-US" w:eastAsia="zh-CN" w:bidi="ar-SA"/>
        </w:rPr>
        <w:t xml:space="preserve">（四）承诺书（格式）：</w:t>
      </w:r>
      <w:r/>
    </w:p>
    <w:p>
      <w:pPr>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承诺书</w:t>
      </w:r>
      <w:r/>
    </w:p>
    <w:p>
      <w:pPr>
        <w:pStyle w:val="778"/>
        <w:ind w:left="12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szCs w:val="24"/>
          <w:highlight w:val="none"/>
        </w:rPr>
        <w:t xml:space="preserve">名称）在此承诺：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JSZC-320205-JXXL-G2026-0010</w:t>
      </w:r>
      <w:r>
        <w:rPr>
          <w:rFonts w:hint="eastAsia" w:ascii="宋体" w:hAnsi="宋体" w:eastAsia="宋体" w:cs="宋体"/>
          <w:bCs/>
          <w:color w:val="000000"/>
          <w:sz w:val="24"/>
          <w:szCs w:val="24"/>
          <w:highlight w:val="none"/>
          <w:u w:val="single"/>
        </w:rPr>
        <w:tab/>
      </w:r>
      <w:r>
        <w:rPr>
          <w:rFonts w:hint="eastAsia" w:ascii="宋体" w:hAnsi="宋体" w:eastAsia="宋体" w:cs="宋体"/>
          <w:bCs/>
          <w:color w:val="000000"/>
          <w:sz w:val="24"/>
          <w:szCs w:val="24"/>
          <w:highlight w:val="none"/>
        </w:rPr>
        <w:t xml:space="preserve">）</w:t>
      </w:r>
      <w:r>
        <w:rPr>
          <w:rFonts w:hint="eastAsia" w:ascii="宋体" w:hAnsi="宋体" w:eastAsia="宋体"/>
          <w:bCs/>
          <w:color w:val="000000"/>
          <w:sz w:val="24"/>
          <w:szCs w:val="20"/>
          <w:highlight w:val="none"/>
          <w:lang w:eastAsia="zh-CN"/>
        </w:rPr>
        <w:t xml:space="preserve">提供符合采购要求的产品和服务；</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eastAsia="zh-CN"/>
        </w:rPr>
        <w:t xml:space="preserve">2.本公司（单位）完全响应采购文件“三、项目要求和有关说明”中的要求。对采购文件中提及的各项要求，本公司（单位）均予以认可，并保证严格遵照执行；</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eastAsia="zh-CN"/>
        </w:rPr>
        <w:t xml:space="preserve">3.本公司（单位）具备履行合同所必需的服务和专业技术能力；</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val="en-US" w:eastAsia="zh-CN"/>
        </w:rPr>
        <w:t xml:space="preserve">4</w:t>
      </w:r>
      <w:r>
        <w:rPr>
          <w:rFonts w:hint="eastAsia" w:ascii="宋体" w:hAnsi="宋体" w:eastAsia="宋体"/>
          <w:bCs/>
          <w:color w:val="000000"/>
          <w:sz w:val="24"/>
          <w:szCs w:val="20"/>
          <w:highlight w:val="none"/>
          <w:lang w:eastAsia="zh-CN"/>
        </w:rPr>
        <w:t xml:space="preserve">.本公司未被“信用中国”网站（www.creditchina.gov.cn）、中国政府采购网（www.ccgp.gov.cn）列入失信被执行人、重大税收违法案件当事人名单、政府采购严重违法失信行为记录名单。</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bCs/>
          <w:color w:val="000000"/>
          <w:sz w:val="24"/>
          <w:szCs w:val="20"/>
          <w:highlight w:val="none"/>
        </w:rPr>
      </w:pPr>
      <w:r>
        <w:rPr>
          <w:rFonts w:hint="eastAsia" w:ascii="宋体" w:hAnsi="宋体" w:eastAsia="宋体"/>
          <w:bCs/>
          <w:color w:val="000000"/>
          <w:sz w:val="24"/>
          <w:szCs w:val="20"/>
          <w:highlight w:val="none"/>
          <w:lang w:eastAsia="zh-CN"/>
        </w:rPr>
        <w:t xml:space="preserve">5.本公司与其他投标供应商之间不存在单位负责人为同一人或者存在直接控股、管理关系的情况。</w:t>
      </w:r>
      <w:r/>
    </w:p>
    <w:p>
      <w:p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4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9"/>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（五）开标一览表（格式）：</w:t>
      </w:r>
      <w:r/>
    </w:p>
    <w:p>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采购项目编号：</w:t>
      </w:r>
      <w:r>
        <w:rPr>
          <w:rFonts w:hint="eastAsia" w:ascii="宋体" w:hAnsi="宋体" w:eastAsia="宋体" w:cs="宋体"/>
          <w:b w:val="0"/>
          <w:bCs/>
          <w:color w:val="000000"/>
          <w:sz w:val="24"/>
          <w:szCs w:val="24"/>
          <w:highlight w:val="none"/>
          <w:lang w:eastAsia="zh-CN"/>
        </w:rPr>
        <w:t xml:space="preserve">JSZC-320205-JXXL-G2026-0010</w:t>
      </w:r>
      <w:r>
        <w:rPr>
          <w:rFonts w:hint="eastAsia" w:ascii="宋体" w:hAnsi="宋体" w:eastAsia="宋体" w:cs="宋体"/>
          <w:b w:val="0"/>
          <w:bCs/>
          <w:color w:val="000000"/>
          <w:sz w:val="24"/>
          <w:szCs w:val="24"/>
          <w:highlight w:val="none"/>
        </w:rPr>
        <w:tab/>
      </w:r>
      <w:r/>
    </w:p>
    <w:p>
      <w:pPr>
        <w:spacing w:line="360" w:lineRule="auto"/>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lang w:val="en-US" w:eastAsia="zh-CN"/>
        </w:rPr>
        <w:t xml:space="preserve">货币单位：人民币元</w:t>
      </w:r>
      <w:r/>
    </w:p>
    <w:p>
      <w:pPr>
        <w:spacing w:line="360" w:lineRule="auto"/>
        <w:rPr>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u w:val="none"/>
        </w:rPr>
      </w:r>
      <w:r/>
    </w:p>
    <w:tbl>
      <w:tblPr>
        <w:tblStyle w:val="699"/>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bCs/>
                <w:color w:val="000000"/>
                <w:sz w:val="24"/>
                <w:szCs w:val="24"/>
                <w:highlight w:val="none"/>
                <w:u w:val="none"/>
                <w:lang w:val="en-US" w:eastAsia="zh-CN"/>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bCs/>
                <w:color w:val="000000"/>
                <w:sz w:val="24"/>
                <w:szCs w:val="24"/>
                <w:highlight w:val="none"/>
                <w:u w:val="none"/>
                <w:lang w:val="en-US" w:eastAsia="zh-CN"/>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bl>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p>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ind w:firstLine="472"/>
        <w:spacing w:line="46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填写说明：</w:t>
      </w:r>
      <w:r/>
    </w:p>
    <w:p>
      <w:pPr>
        <w:numPr>
          <w:ilvl w:val="0"/>
          <w:numId w:val="1"/>
        </w:numPr>
        <w:ind w:firstLine="47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2"/>
          <w:highlight w:val="none"/>
        </w:rPr>
        <w:t xml:space="preserve">评标时一律按</w:t>
      </w:r>
      <w:r>
        <w:rPr>
          <w:rFonts w:hint="eastAsia" w:ascii="宋体" w:hAnsi="宋体" w:eastAsia="宋体" w:cs="宋体"/>
          <w:bCs/>
          <w:color w:val="000000"/>
          <w:sz w:val="24"/>
          <w:szCs w:val="22"/>
          <w:highlight w:val="none"/>
          <w:lang w:val="en-US" w:eastAsia="zh-CN"/>
        </w:rPr>
        <w:t xml:space="preserve">苏采云系统自带的</w:t>
      </w:r>
      <w:r>
        <w:rPr>
          <w:rFonts w:hint="eastAsia" w:ascii="宋体" w:hAnsi="宋体" w:eastAsia="宋体" w:cs="宋体"/>
          <w:bCs/>
          <w:color w:val="000000"/>
          <w:sz w:val="24"/>
          <w:szCs w:val="22"/>
          <w:highlight w:val="none"/>
        </w:rPr>
        <w:t xml:space="preserve">开标一览表中内容为准，开标一览表中必须盖章。</w:t>
      </w:r>
      <w:r/>
    </w:p>
    <w:p>
      <w:pPr>
        <w:pStyle w:val="916"/>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7"/>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917"/>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917"/>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917"/>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917"/>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val="0"/>
          <w:bCs w:val="0"/>
          <w:color w:val="000000"/>
          <w:sz w:val="24"/>
          <w:szCs w:val="24"/>
          <w:highlight w:val="none"/>
          <w:lang w:val="en-US" w:eastAsia="zh-CN" w:bidi="ar-SA"/>
        </w:rPr>
        <w:t xml:space="preserve">（六）报价明细表（格式）：</w:t>
      </w:r>
      <w:r/>
    </w:p>
    <w:p>
      <w:pPr>
        <w:jc w:val="center"/>
        <w:spacing w:line="24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报价明细表</w:t>
      </w:r>
      <w:r/>
    </w:p>
    <w:p>
      <w:pP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政府采购编号：JSZC-320205-JXXL-G2026-</w:t>
      </w:r>
      <w:r>
        <w:rPr>
          <w:rFonts w:hint="eastAsia" w:ascii="宋体" w:hAnsi="宋体" w:eastAsia="宋体" w:cs="宋体"/>
          <w:bCs/>
          <w:color w:val="000000"/>
          <w:sz w:val="24"/>
          <w:szCs w:val="24"/>
          <w:highlight w:val="none"/>
          <w:lang w:eastAsia="zh-CN"/>
        </w:rPr>
        <w:t xml:space="preserve">0010</w:t>
      </w:r>
      <w:r/>
    </w:p>
    <w:tbl>
      <w:tblPr>
        <w:tblStyle w:val="699"/>
        <w:tblW w:w="9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7"/>
        <w:gridCol w:w="2041"/>
        <w:gridCol w:w="2172"/>
        <w:gridCol w:w="1647"/>
        <w:gridCol w:w="2161"/>
      </w:tblGrid>
      <w:tr>
        <w:trPr>
          <w:trHeight w:val="624"/>
        </w:trPr>
        <w:tc>
          <w:tcPr>
            <w:tcW w:w="1157" w:type="dxa"/>
            <w:vAlign w:val="center"/>
            <w:textDirection w:val="lrTb"/>
            <w:noWrap/>
          </w:tcPr>
          <w:p>
            <w:pPr>
              <w:jc w:val="center"/>
              <w:spacing w:line="6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2041" w:type="dxa"/>
            <w:vAlign w:val="center"/>
            <w:textDirection w:val="lrTb"/>
            <w:noWrap/>
          </w:tcPr>
          <w:p>
            <w:pPr>
              <w:jc w:val="center"/>
              <w:spacing w:line="6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项目内容</w:t>
            </w:r>
            <w:r/>
          </w:p>
        </w:tc>
        <w:tc>
          <w:tcPr>
            <w:tcBorders>
              <w:bottom w:val="single" w:color="auto" w:sz="4" w:space="0"/>
            </w:tcBorders>
            <w:tcW w:w="2172" w:type="dxa"/>
            <w:vAlign w:val="center"/>
            <w:textDirection w:val="lrTb"/>
            <w:noWrap/>
          </w:tcPr>
          <w:p>
            <w:pPr>
              <w:jc w:val="center"/>
              <w:spacing w:line="6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tcBorders>
              <w:bottom w:val="single" w:color="auto" w:sz="4" w:space="0"/>
            </w:tcBorders>
            <w:tcW w:w="1647" w:type="dxa"/>
            <w:vAlign w:val="center"/>
            <w:textDirection w:val="lrTb"/>
            <w:noWrap/>
          </w:tcPr>
          <w:p>
            <w:pPr>
              <w:jc w:val="center"/>
              <w:spacing w:line="6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单报价（元）</w:t>
            </w:r>
            <w:r/>
          </w:p>
        </w:tc>
        <w:tc>
          <w:tcPr>
            <w:tcBorders>
              <w:bottom w:val="single" w:color="auto" w:sz="4" w:space="0"/>
            </w:tcBorders>
            <w:tcW w:w="2161" w:type="dxa"/>
            <w:vAlign w:val="center"/>
            <w:textDirection w:val="lrTb"/>
            <w:noWrap/>
          </w:tcPr>
          <w:p>
            <w:pPr>
              <w:jc w:val="center"/>
              <w:spacing w:line="6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总报价（元）</w:t>
            </w:r>
            <w:r/>
          </w:p>
        </w:tc>
      </w:tr>
      <w:tr>
        <w:trPr>
          <w:trHeight w:val="604"/>
        </w:trPr>
        <w:tc>
          <w:tcPr>
            <w:tcW w:w="1157" w:type="dxa"/>
            <w:vAlign w:val="center"/>
            <w:textDirection w:val="lrTb"/>
            <w:noWrap/>
          </w:tcPr>
          <w:p>
            <w:pPr>
              <w:jc w:val="center"/>
              <w:spacing w:line="600" w:lineRule="exact"/>
              <w:rPr>
                <w:rFonts w:ascii="宋体" w:hAnsi="宋体" w:cs="宋体"/>
                <w:bCs/>
                <w:color w:val="auto"/>
                <w:spacing w:val="2"/>
                <w:szCs w:val="21"/>
                <w:highlight w:val="none"/>
              </w:rPr>
            </w:pPr>
            <w:r>
              <w:rPr>
                <w:rFonts w:hint="eastAsia" w:ascii="宋体" w:hAnsi="宋体" w:cs="宋体"/>
                <w:bCs/>
                <w:color w:val="auto"/>
                <w:spacing w:val="2"/>
                <w:szCs w:val="21"/>
                <w:highlight w:val="none"/>
              </w:rPr>
              <w:t xml:space="preserve">1</w:t>
            </w:r>
            <w:r/>
          </w:p>
        </w:tc>
        <w:tc>
          <w:tcPr>
            <w:tcW w:w="2041" w:type="dxa"/>
            <w:vAlign w:val="center"/>
            <w:textDirection w:val="lrTb"/>
            <w:noWrap/>
          </w:tcPr>
          <w:p>
            <w:pPr>
              <w:jc w:val="center"/>
              <w:spacing w:line="600" w:lineRule="exact"/>
              <w:rPr>
                <w:rFonts w:ascii="宋体" w:hAnsi="宋体" w:cs="宋体"/>
                <w:bCs/>
                <w:color w:val="auto"/>
                <w:spacing w:val="2"/>
                <w:szCs w:val="21"/>
                <w:highlight w:val="none"/>
              </w:rPr>
            </w:pPr>
            <w:r>
              <w:rPr>
                <w:rFonts w:ascii="宋体" w:hAnsi="宋体" w:cs="宋体"/>
                <w:bCs/>
                <w:color w:val="auto"/>
                <w:spacing w:val="2"/>
                <w:szCs w:val="21"/>
                <w:highlight w:val="none"/>
              </w:rPr>
            </w:r>
            <w:r/>
          </w:p>
        </w:tc>
        <w:tc>
          <w:tcPr>
            <w:tcBorders>
              <w:top w:val="single" w:color="auto" w:sz="4" w:space="0"/>
            </w:tcBorders>
            <w:tcW w:w="2172"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1647"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6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r>
      <w:tr>
        <w:trPr>
          <w:trHeight w:val="604"/>
        </w:trPr>
        <w:tc>
          <w:tcPr>
            <w:tcW w:w="1157" w:type="dxa"/>
            <w:vAlign w:val="center"/>
            <w:textDirection w:val="lrTb"/>
            <w:noWrap/>
          </w:tcPr>
          <w:p>
            <w:pPr>
              <w:jc w:val="center"/>
              <w:spacing w:line="600" w:lineRule="exact"/>
              <w:rPr>
                <w:rFonts w:ascii="宋体" w:hAnsi="宋体" w:cs="宋体"/>
                <w:bCs/>
                <w:color w:val="auto"/>
                <w:spacing w:val="2"/>
                <w:szCs w:val="21"/>
                <w:highlight w:val="none"/>
              </w:rPr>
            </w:pPr>
            <w:r>
              <w:rPr>
                <w:rFonts w:hint="eastAsia" w:ascii="宋体" w:hAnsi="宋体" w:cs="宋体"/>
                <w:bCs/>
                <w:color w:val="auto"/>
                <w:spacing w:val="2"/>
                <w:szCs w:val="21"/>
                <w:highlight w:val="none"/>
              </w:rPr>
              <w:t xml:space="preserve">2</w:t>
            </w:r>
            <w:r/>
          </w:p>
        </w:tc>
        <w:tc>
          <w:tcPr>
            <w:tcW w:w="2041" w:type="dxa"/>
            <w:vAlign w:val="center"/>
            <w:textDirection w:val="lrTb"/>
            <w:noWrap/>
          </w:tcPr>
          <w:p>
            <w:pPr>
              <w:jc w:val="center"/>
              <w:spacing w:line="600" w:lineRule="exact"/>
              <w:rPr>
                <w:rFonts w:ascii="宋体" w:hAnsi="宋体" w:cs="宋体"/>
                <w:bCs/>
                <w:color w:val="auto"/>
                <w:spacing w:val="2"/>
                <w:szCs w:val="21"/>
                <w:highlight w:val="none"/>
              </w:rPr>
            </w:pPr>
            <w:r>
              <w:rPr>
                <w:rFonts w:ascii="宋体" w:hAnsi="宋体" w:cs="宋体"/>
                <w:bCs/>
                <w:color w:val="auto"/>
                <w:spacing w:val="2"/>
                <w:szCs w:val="21"/>
                <w:highlight w:val="none"/>
              </w:rPr>
            </w:r>
            <w:r/>
          </w:p>
        </w:tc>
        <w:tc>
          <w:tcPr>
            <w:tcBorders>
              <w:top w:val="single" w:color="auto" w:sz="4" w:space="0"/>
            </w:tcBorders>
            <w:tcW w:w="2172"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1647"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6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r>
      <w:tr>
        <w:trPr>
          <w:trHeight w:val="604"/>
        </w:trPr>
        <w:tc>
          <w:tcPr>
            <w:tcW w:w="1157" w:type="dxa"/>
            <w:vAlign w:val="center"/>
            <w:textDirection w:val="lrTb"/>
            <w:noWrap/>
          </w:tcPr>
          <w:p>
            <w:pPr>
              <w:jc w:val="center"/>
              <w:spacing w:line="600" w:lineRule="exact"/>
              <w:rPr>
                <w:rFonts w:ascii="宋体" w:hAnsi="宋体" w:cs="宋体"/>
                <w:bCs/>
                <w:color w:val="auto"/>
                <w:spacing w:val="2"/>
                <w:szCs w:val="21"/>
                <w:highlight w:val="none"/>
              </w:rPr>
            </w:pPr>
            <w:r>
              <w:rPr>
                <w:rFonts w:hint="eastAsia" w:ascii="宋体" w:hAnsi="宋体" w:cs="宋体"/>
                <w:bCs/>
                <w:color w:val="auto"/>
                <w:spacing w:val="2"/>
                <w:szCs w:val="21"/>
                <w:highlight w:val="none"/>
              </w:rPr>
              <w:t xml:space="preserve">3</w:t>
            </w:r>
            <w:r/>
          </w:p>
        </w:tc>
        <w:tc>
          <w:tcPr>
            <w:tcW w:w="204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72"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1647"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6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r>
      <w:tr>
        <w:trPr>
          <w:trHeight w:val="604"/>
        </w:trPr>
        <w:tc>
          <w:tcPr>
            <w:tcW w:w="1157" w:type="dxa"/>
            <w:vAlign w:val="center"/>
            <w:textDirection w:val="lrTb"/>
            <w:noWrap/>
          </w:tcPr>
          <w:p>
            <w:pPr>
              <w:jc w:val="center"/>
              <w:spacing w:line="600" w:lineRule="exact"/>
              <w:rPr>
                <w:rFonts w:ascii="宋体" w:hAnsi="宋体" w:cs="宋体"/>
                <w:bCs/>
                <w:color w:val="auto"/>
                <w:spacing w:val="2"/>
                <w:szCs w:val="21"/>
                <w:highlight w:val="none"/>
              </w:rPr>
            </w:pPr>
            <w:r>
              <w:rPr>
                <w:rFonts w:hint="eastAsia" w:ascii="宋体" w:hAnsi="宋体" w:cs="宋体"/>
                <w:bCs/>
                <w:color w:val="auto"/>
                <w:spacing w:val="2"/>
                <w:szCs w:val="21"/>
                <w:highlight w:val="none"/>
              </w:rPr>
              <w:t xml:space="preserve">...</w:t>
            </w:r>
            <w:r/>
          </w:p>
        </w:tc>
        <w:tc>
          <w:tcPr>
            <w:tcW w:w="204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72"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1647"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6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r>
      <w:tr>
        <w:trPr>
          <w:trHeight w:val="604"/>
        </w:trPr>
        <w:tc>
          <w:tcPr>
            <w:tcW w:w="1157" w:type="dxa"/>
            <w:vAlign w:val="center"/>
            <w:textDirection w:val="lrTb"/>
            <w:noWrap/>
          </w:tcPr>
          <w:p>
            <w:pPr>
              <w:jc w:val="center"/>
              <w:spacing w:line="600" w:lineRule="exact"/>
              <w:rPr>
                <w:rFonts w:ascii="宋体" w:hAnsi="宋体" w:cs="宋体"/>
                <w:bCs/>
                <w:color w:val="auto"/>
                <w:spacing w:val="2"/>
                <w:szCs w:val="21"/>
                <w:highlight w:val="none"/>
              </w:rPr>
            </w:pPr>
            <w:r>
              <w:rPr>
                <w:rFonts w:ascii="宋体" w:hAnsi="宋体" w:cs="宋体"/>
                <w:bCs/>
                <w:color w:val="auto"/>
                <w:spacing w:val="2"/>
                <w:szCs w:val="21"/>
                <w:highlight w:val="none"/>
              </w:rPr>
            </w:r>
            <w:r/>
          </w:p>
        </w:tc>
        <w:tc>
          <w:tcPr>
            <w:tcW w:w="204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72"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1647"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tcBorders>
            <w:tcW w:w="2161"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r>
      <w:tr>
        <w:trPr>
          <w:trHeight w:val="614"/>
        </w:trPr>
        <w:tc>
          <w:tcPr>
            <w:gridSpan w:val="3"/>
            <w:tcW w:w="5370" w:type="dxa"/>
            <w:vAlign w:val="center"/>
            <w:textDirection w:val="lrTb"/>
            <w:noWrap/>
          </w:tcPr>
          <w:p>
            <w:pPr>
              <w:jc w:val="center"/>
              <w:spacing w:line="600" w:lineRule="exact"/>
              <w:rPr>
                <w:rFonts w:ascii="宋体" w:hAnsi="宋体" w:cs="宋体"/>
                <w:bCs/>
                <w:color w:val="auto"/>
                <w:szCs w:val="21"/>
                <w:highlight w:val="none"/>
              </w:rPr>
            </w:pPr>
            <w:r>
              <w:rPr>
                <w:rFonts w:hint="eastAsia" w:ascii="宋体" w:hAnsi="宋体" w:cs="宋体"/>
                <w:bCs/>
                <w:color w:val="auto"/>
                <w:szCs w:val="21"/>
                <w:highlight w:val="none"/>
              </w:rPr>
              <w:t xml:space="preserve">合计</w:t>
            </w:r>
            <w:r/>
          </w:p>
        </w:tc>
        <w:tc>
          <w:tcPr>
            <w:gridSpan w:val="2"/>
            <w:tcBorders>
              <w:top w:val="single" w:color="auto" w:sz="4" w:space="0"/>
              <w:bottom w:val="single" w:color="auto" w:sz="4" w:space="0"/>
              <w:right w:val="single" w:color="auto" w:sz="4" w:space="0"/>
            </w:tcBorders>
            <w:tcW w:w="3808" w:type="dxa"/>
            <w:vAlign w:val="center"/>
            <w:textDirection w:val="lrTb"/>
            <w:noWrap/>
          </w:tcPr>
          <w:p>
            <w:pPr>
              <w:jc w:val="center"/>
              <w:spacing w:line="600" w:lineRule="exact"/>
              <w:rPr>
                <w:rFonts w:ascii="宋体" w:hAnsi="宋体" w:cs="宋体"/>
                <w:bCs/>
                <w:color w:val="auto"/>
                <w:szCs w:val="21"/>
                <w:highlight w:val="none"/>
              </w:rPr>
            </w:pPr>
            <w:r>
              <w:rPr>
                <w:rFonts w:ascii="宋体" w:hAnsi="宋体" w:cs="宋体"/>
                <w:bCs/>
                <w:color w:val="auto"/>
                <w:szCs w:val="21"/>
                <w:highlight w:val="none"/>
              </w:rPr>
            </w:r>
            <w:r/>
          </w:p>
        </w:tc>
      </w:tr>
    </w:tbl>
    <w:p>
      <w:pPr>
        <w:spacing w:line="240" w:lineRule="exact"/>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spacing w:line="24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法定代表人或法定代表人授权代表签字或盖章：</w:t>
      </w:r>
      <w:r/>
    </w:p>
    <w:p>
      <w:pPr>
        <w:spacing w:before="5" w:line="240" w:lineRule="auto"/>
        <w:rPr>
          <w:rFonts w:hint="eastAsia" w:ascii="宋体" w:hAnsi="宋体" w:eastAsia="宋体" w:cs="宋体"/>
          <w:b/>
          <w:color w:val="000000"/>
          <w:szCs w:val="21"/>
          <w:highlight w:val="none"/>
        </w:rPr>
      </w:pPr>
      <w:r>
        <w:rPr>
          <w:rFonts w:hint="eastAsia" w:ascii="宋体" w:hAnsi="宋体" w:eastAsia="宋体" w:cs="宋体"/>
          <w:b/>
          <w:bCs/>
          <w:color w:val="000000"/>
          <w:sz w:val="24"/>
          <w:szCs w:val="24"/>
          <w:highlight w:val="none"/>
        </w:rPr>
        <w:t xml:space="preserve">日期：</w:t>
      </w:r>
      <w:r/>
    </w:p>
    <w:p>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注：（1）供应商应当根据“项目技术要求和有关说明”的内容在上表中详细填写；供应商报价时应充分考虑服务期内所有可能</w:t>
      </w:r>
      <w:r>
        <w:rPr>
          <w:rFonts w:hint="eastAsia" w:ascii="宋体" w:hAnsi="宋体" w:eastAsia="宋体" w:cs="宋体"/>
          <w:color w:val="000000"/>
          <w:szCs w:val="21"/>
          <w:highlight w:val="none"/>
          <w:lang w:eastAsia="zh-CN"/>
        </w:rPr>
        <w:t xml:space="preserve">影响</w:t>
      </w:r>
      <w:r>
        <w:rPr>
          <w:rFonts w:hint="eastAsia" w:ascii="宋体" w:hAnsi="宋体" w:eastAsia="宋体" w:cs="宋体"/>
          <w:color w:val="000000"/>
          <w:szCs w:val="21"/>
          <w:highlight w:val="none"/>
        </w:rPr>
        <w:t xml:space="preserve">报价的因素，一旦投标结束最终中标，总价将包定，不予调整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政策性调整除外</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。如发生漏、缺、少项，都将被认为是</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的报价让利行为，损失自负。</w:t>
      </w:r>
      <w:r/>
    </w:p>
    <w:p>
      <w:pPr>
        <w:numPr>
          <w:ilvl w:val="0"/>
          <w:numId w:val="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上述报价表由供应商参照，不限于此，可根据采购需求自行添加条目进行投报。</w:t>
      </w:r>
      <w:r/>
    </w:p>
    <w:p>
      <w:pPr>
        <w:pStyle w:val="925"/>
        <w:numPr>
          <w:ilvl w:val="0"/>
          <w:numId w:val="0"/>
        </w:numPr>
        <w:jc w:val="both"/>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（七）服务保障承诺书（格式）：</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val="en-US" w:eastAsia="zh-CN"/>
        </w:rPr>
        <w:t xml:space="preserve">2026-2027年空气质量改善第三方单位服务项目</w:t>
      </w:r>
      <w:r>
        <w:rPr>
          <w:rFonts w:hint="eastAsia" w:ascii="宋体" w:hAnsi="宋体" w:eastAsia="宋体" w:cs="宋体"/>
          <w:color w:val="000000"/>
          <w:sz w:val="24"/>
          <w:szCs w:val="24"/>
          <w:highlight w:val="none"/>
        </w:rPr>
        <w:t xml:space="preserve">在此承诺：</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7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ind w:firstLine="42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930"/>
        <w:ind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30"/>
        <w:ind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（八）投标偏离表（格式）：</w:t>
      </w:r>
      <w:r/>
    </w:p>
    <w:p>
      <w:pPr>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rPr>
        <w:t xml:space="preserve">偏离表</w:t>
      </w:r>
      <w:r/>
    </w:p>
    <w:p>
      <w:pPr>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名称（盖章）           采购项目编号：JSZC-320205-JXXL-G2026-</w:t>
      </w:r>
      <w:r>
        <w:rPr>
          <w:rFonts w:hint="eastAsia" w:ascii="宋体" w:hAnsi="宋体" w:eastAsia="宋体" w:cs="宋体"/>
          <w:bCs/>
          <w:color w:val="000000"/>
          <w:sz w:val="24"/>
          <w:szCs w:val="24"/>
          <w:highlight w:val="none"/>
          <w:lang w:eastAsia="zh-CN"/>
        </w:rPr>
        <w:t xml:space="preserve">0010</w:t>
      </w:r>
      <w:r>
        <w:rPr>
          <w:rFonts w:hint="eastAsia" w:ascii="宋体" w:hAnsi="宋体" w:eastAsia="宋体" w:cs="宋体"/>
          <w:bCs/>
          <w:color w:val="000000"/>
          <w:sz w:val="24"/>
          <w:szCs w:val="24"/>
          <w:highlight w:val="none"/>
        </w:rPr>
        <w:tab/>
      </w:r>
      <w:r/>
    </w:p>
    <w:tbl>
      <w:tblPr>
        <w:tblStyle w:val="699"/>
        <w:tblW w:w="9337" w:type="dxa"/>
        <w:tblInd w:w="-4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sz w:val="21"/>
                <w:szCs w:val="22"/>
                <w:highlight w:val="none"/>
              </w:rPr>
            </w:pPr>
            <w:r>
              <w:rPr>
                <w:rFonts w:hint="eastAsia" w:ascii="宋体" w:hAnsi="宋体" w:eastAsia="宋体" w:cs="宋体"/>
                <w:color w:val="000000"/>
                <w:sz w:val="21"/>
                <w:szCs w:val="22"/>
                <w:highlight w:val="none"/>
              </w:rPr>
              <w:t xml:space="preserve">响应</w:t>
            </w:r>
            <w:r>
              <w:rPr>
                <w:rFonts w:hint="eastAsia" w:ascii="宋体" w:hAnsi="宋体" w:eastAsia="宋体" w:cs="宋体"/>
                <w:color w:val="000000"/>
                <w:sz w:val="21"/>
                <w:szCs w:val="22"/>
                <w:highlight w:val="none"/>
                <w:lang w:eastAsia="zh-CN"/>
              </w:rPr>
              <w:t xml:space="preserve">采购文件</w:t>
            </w:r>
            <w:r>
              <w:rPr>
                <w:rFonts w:hint="eastAsia" w:ascii="宋体" w:hAnsi="宋体" w:eastAsia="宋体" w:cs="宋体"/>
                <w:color w:val="000000"/>
                <w:sz w:val="21"/>
                <w:szCs w:val="22"/>
                <w:highlight w:val="none"/>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sz w:val="21"/>
                <w:szCs w:val="22"/>
                <w:highlight w:val="none"/>
              </w:rPr>
            </w:pPr>
            <w:r>
              <w:rPr>
                <w:rFonts w:hint="eastAsia" w:ascii="宋体" w:hAnsi="宋体" w:eastAsia="宋体" w:cs="宋体"/>
                <w:color w:val="000000"/>
                <w:sz w:val="21"/>
                <w:szCs w:val="22"/>
                <w:highlight w:val="none"/>
              </w:rPr>
              <w:t xml:space="preserve">响应</w:t>
            </w:r>
            <w:r>
              <w:rPr>
                <w:rFonts w:hint="eastAsia" w:ascii="宋体" w:hAnsi="宋体" w:eastAsia="宋体" w:cs="宋体"/>
                <w:color w:val="000000"/>
                <w:sz w:val="21"/>
                <w:szCs w:val="22"/>
                <w:highlight w:val="none"/>
                <w:lang w:eastAsia="zh-CN"/>
              </w:rPr>
              <w:t xml:space="preserve">采购文件</w:t>
            </w:r>
            <w:r>
              <w:rPr>
                <w:rFonts w:hint="eastAsia" w:ascii="宋体" w:hAnsi="宋体" w:eastAsia="宋体" w:cs="宋体"/>
                <w:color w:val="000000"/>
                <w:sz w:val="21"/>
                <w:szCs w:val="22"/>
                <w:highlight w:val="none"/>
              </w:rPr>
              <w:t xml:space="preserve">中</w:t>
            </w:r>
            <w:r>
              <w:rPr>
                <w:rFonts w:hint="eastAsia" w:ascii="宋体" w:hAnsi="宋体" w:eastAsia="宋体" w:cs="宋体"/>
                <w:color w:val="000000"/>
                <w:sz w:val="21"/>
                <w:szCs w:val="22"/>
                <w:highlight w:val="none"/>
                <w:lang w:eastAsia="zh-CN"/>
              </w:rPr>
              <w:t xml:space="preserve">其他相关</w:t>
            </w:r>
            <w:r>
              <w:rPr>
                <w:rFonts w:hint="eastAsia" w:ascii="宋体" w:hAnsi="宋体" w:eastAsia="宋体" w:cs="宋体"/>
                <w:color w:val="000000"/>
                <w:sz w:val="21"/>
                <w:szCs w:val="22"/>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sz w:val="21"/>
                <w:szCs w:val="22"/>
                <w:highlight w:val="none"/>
              </w:rPr>
            </w:pPr>
            <w:r>
              <w:rPr>
                <w:rFonts w:hint="eastAsia" w:ascii="宋体" w:hAnsi="宋体" w:eastAsia="宋体" w:cs="宋体"/>
                <w:bCs/>
                <w:color w:val="000000"/>
                <w:sz w:val="21"/>
                <w:szCs w:val="22"/>
                <w:highlight w:val="none"/>
              </w:rPr>
            </w:r>
            <w:r/>
          </w:p>
        </w:tc>
      </w:tr>
    </w:tbl>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（1）本表不得删除；</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（2）如无任何服务偏离，请于本表 “偏离说明”中注明“无偏离”；</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（3）如有服务偏离项，请于本表中列明偏离内容，如需要可自行延长，其余无偏离内容不须赘述。</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940"/>
        <w:ind w:left="0" w:firstLine="480"/>
        <w:jc w:val="both"/>
        <w:spacing w:before="0" w:after="0" w:line="440" w:lineRule="exact"/>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（5）表格不够可自行延长，但不得改变文本格式；</w:t>
      </w:r>
      <w:r/>
    </w:p>
    <w:p>
      <w:pPr>
        <w:rPr>
          <w:rFonts w:hint="eastAsia" w:ascii="宋体" w:hAnsi="宋体" w:eastAsia="宋体" w:cs="宋体"/>
          <w:b w:val="0"/>
          <w:bCs w:val="0"/>
          <w:color w:val="000000"/>
          <w:sz w:val="24"/>
          <w:szCs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（九）</w:t>
      </w:r>
      <w:bookmarkStart w:id="96" w:name="_Toc112006946"/>
      <w:r>
        <w:rPr>
          <w:rFonts w:hint="eastAsia" w:ascii="宋体" w:hAnsi="宋体" w:eastAsia="宋体" w:cs="宋体"/>
          <w:color w:val="000000"/>
          <w:sz w:val="24"/>
          <w:szCs w:val="24"/>
          <w:highlight w:val="none"/>
          <w:lang w:val="en-US" w:eastAsia="zh-CN"/>
        </w:rPr>
        <w:t xml:space="preserve">（供应商）中小企业声明函（格式）</w:t>
      </w:r>
      <w:bookmarkEnd w:id="96"/>
      <w:r/>
      <w:r/>
    </w:p>
    <w:p>
      <w:pPr>
        <w:jc w:val="center"/>
        <w:rPr>
          <w:rFonts w:hint="eastAsia" w:ascii="宋体" w:hAnsi="宋体" w:eastAsia="宋体" w:cs="宋体"/>
          <w:b/>
          <w:bCs w:val="0"/>
          <w:color w:val="000000"/>
          <w:sz w:val="36"/>
          <w:szCs w:val="36"/>
          <w:highlight w:val="none"/>
        </w:rPr>
      </w:pPr>
      <w:r/>
      <w:bookmarkStart w:id="97" w:name="_Toc112006947"/>
      <w:r>
        <w:rPr>
          <w:rFonts w:hint="eastAsia" w:ascii="宋体" w:hAnsi="宋体" w:eastAsia="宋体" w:cs="宋体"/>
          <w:b/>
          <w:bCs w:val="0"/>
          <w:color w:val="000000"/>
          <w:sz w:val="36"/>
          <w:szCs w:val="36"/>
          <w:highlight w:val="none"/>
        </w:rPr>
        <w:t xml:space="preserve">中小企业声明函（服务）</w:t>
      </w:r>
      <w:r/>
    </w:p>
    <w:p>
      <w:pPr>
        <w:pStyle w:val="922"/>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本公司（联合体）郑重声明，根据《政府采购促进中小企业发展管理办法》（财库﹝2020﹞46 号）的规定，</w:t>
      </w:r>
      <w:r>
        <w:rPr>
          <w:rFonts w:hint="eastAsia" w:ascii="宋体" w:hAnsi="宋体" w:eastAsia="宋体" w:cs="宋体"/>
          <w:color w:val="000000"/>
          <w:sz w:val="24"/>
          <w:szCs w:val="24"/>
          <w:highlight w:val="none"/>
          <w:u w:val="single"/>
        </w:rPr>
        <w:t xml:space="preserve">本公司（联合体）</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w:t>
      </w:r>
      <w:r>
        <w:rPr>
          <w:rStyle w:val="924"/>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Style w:val="924"/>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p>
    <w:p>
      <w:pPr>
        <w:pStyle w:val="922"/>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u w:val="single"/>
        </w:rPr>
        <w:t xml:space="preserve">（</w:t>
      </w:r>
      <w:r>
        <w:rPr>
          <w:rStyle w:val="924"/>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Style w:val="924"/>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w:t>
      </w:r>
      <w:r>
        <w:rPr>
          <w:rStyle w:val="924"/>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Style w:val="924"/>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pStyle w:val="922"/>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u w:val="single"/>
        </w:rPr>
        <w:t xml:space="preserve">（</w:t>
      </w:r>
      <w:r>
        <w:rPr>
          <w:rStyle w:val="924"/>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Style w:val="924"/>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w:t>
      </w:r>
      <w:r>
        <w:rPr>
          <w:rStyle w:val="924"/>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w:t>
      </w:r>
      <w:r>
        <w:rPr>
          <w:rFonts w:hint="eastAsia" w:ascii="宋体" w:hAnsi="宋体" w:eastAsia="宋体" w:cs="宋体"/>
          <w:color w:val="000000"/>
          <w:sz w:val="24"/>
          <w:szCs w:val="24"/>
          <w:highlight w:val="none"/>
          <w:lang w:eastAsia="zh-CN"/>
        </w:rPr>
        <w:t xml:space="preserve">总额</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Style w:val="924"/>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pStyle w:val="922"/>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pStyle w:val="922"/>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以上企业，不属于大企业的分支机构，不存在控股股东为大企业的情形，也不存在与大企业的负责人为同一人的情形。</w:t>
      </w:r>
      <w:r/>
    </w:p>
    <w:p>
      <w:pPr>
        <w:pStyle w:val="922"/>
        <w:ind w:firstLine="388"/>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本企业对上述声明内容的真实性负责。如有虚假，将依法承担相应责任。</w:t>
      </w:r>
      <w:r/>
    </w:p>
    <w:p>
      <w:pPr>
        <w:pStyle w:val="922"/>
        <w:ind w:firstLine="388"/>
        <w:jc w:val="right"/>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p>
    <w:p>
      <w:pPr>
        <w:ind w:firstLine="4800"/>
        <w:jc w:val="right"/>
        <w:spacing w:before="120" w:after="120"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日期：</w:t>
      </w:r>
      <w:r/>
    </w:p>
    <w:p>
      <w:pPr>
        <w:ind w:firstLine="48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注：1.从业人员、营业收入、资产总额填报上一年度数据，无上一年度数据的新成立企业可不填报。</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2.中标供应商的《中小企业声明函》将随中标公告进行公示。供应商按照本办法规定提供声明函内容不实的，属于提供虚假材料谋取中标、成交</w:t>
      </w:r>
      <w:r>
        <w:rPr>
          <w:rFonts w:hint="eastAsia" w:ascii="宋体" w:hAnsi="宋体" w:eastAsia="宋体" w:cs="宋体"/>
          <w:color w:val="000000"/>
          <w:sz w:val="24"/>
          <w:szCs w:val="24"/>
          <w:highlight w:val="none"/>
          <w:lang w:eastAsia="zh-CN"/>
        </w:rPr>
        <w:t xml:space="preserve">，可</w:t>
      </w:r>
      <w:r>
        <w:rPr>
          <w:rFonts w:hint="eastAsia" w:ascii="宋体" w:hAnsi="宋体" w:eastAsia="宋体" w:cs="宋体"/>
          <w:color w:val="000000"/>
          <w:sz w:val="24"/>
          <w:szCs w:val="24"/>
          <w:highlight w:val="none"/>
        </w:rPr>
        <w:t xml:space="preserve">依照《中华人民共和国政府采购法》等国家有关规定追究相应责任。</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9"/>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（十）（供应商）残疾人福利性单位声明函（格式）：</w:t>
      </w:r>
      <w:bookmarkEnd w:id="97"/>
      <w:r/>
      <w:r/>
    </w:p>
    <w:p>
      <w:pPr>
        <w:spacing w:line="588" w:lineRule="exact"/>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单位的</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十一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人员配备情况表</w:t>
      </w:r>
      <w:r>
        <w:rPr>
          <w:rFonts w:hint="eastAsia" w:ascii="宋体" w:hAnsi="宋体" w:eastAsia="宋体" w:cs="宋体"/>
          <w:color w:val="000000"/>
          <w:sz w:val="24"/>
          <w:szCs w:val="24"/>
          <w:highlight w:val="none"/>
        </w:rPr>
        <w:t xml:space="preserve">（格式）</w:t>
      </w:r>
      <w:r/>
    </w:p>
    <w:p>
      <w:pP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rPr>
          <w:rFonts w:eastAsia="黑体"/>
          <w:bCs/>
          <w:color w:val="auto"/>
          <w:sz w:val="28"/>
          <w:szCs w:val="28"/>
          <w:highlight w:val="none"/>
        </w:rPr>
      </w:pPr>
      <w:r>
        <w:rPr>
          <w:rFonts w:hint="eastAsia" w:eastAsia="黑体"/>
          <w:bCs/>
          <w:color w:val="auto"/>
          <w:sz w:val="28"/>
          <w:szCs w:val="28"/>
          <w:highlight w:val="none"/>
        </w:rPr>
        <w:t xml:space="preserve">人员配备情况表</w:t>
      </w:r>
      <w:r/>
    </w:p>
    <w:p>
      <w:pPr>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 w:val="24"/>
          <w:szCs w:val="24"/>
          <w:highlight w:val="none"/>
        </w:rPr>
        <w:t xml:space="preserve">供应商名称（盖章）           采购项目编号：JSZC-320205-JXXL-G2026-</w:t>
      </w:r>
      <w:r>
        <w:rPr>
          <w:rFonts w:hint="eastAsia" w:ascii="宋体" w:hAnsi="宋体" w:eastAsia="宋体" w:cs="宋体"/>
          <w:bCs/>
          <w:color w:val="000000"/>
          <w:sz w:val="24"/>
          <w:szCs w:val="24"/>
          <w:highlight w:val="none"/>
          <w:lang w:eastAsia="zh-CN"/>
        </w:rPr>
        <w:t xml:space="preserve">0010</w:t>
      </w:r>
      <w:r>
        <w:rPr>
          <w:rFonts w:hint="eastAsia" w:ascii="宋体" w:hAnsi="宋体" w:eastAsia="宋体" w:cs="宋体"/>
          <w:bCs/>
          <w:color w:val="000000"/>
          <w:sz w:val="24"/>
          <w:szCs w:val="24"/>
          <w:highlight w:val="none"/>
        </w:rPr>
        <w:tab/>
      </w:r>
      <w:r/>
    </w:p>
    <w:tbl>
      <w:tblPr>
        <w:tblStyle w:val="699"/>
        <w:tblW w:w="876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696"/>
        <w:gridCol w:w="696"/>
        <w:gridCol w:w="696"/>
        <w:gridCol w:w="696"/>
        <w:gridCol w:w="696"/>
        <w:gridCol w:w="1296"/>
        <w:gridCol w:w="696"/>
        <w:gridCol w:w="1176"/>
        <w:gridCol w:w="1416"/>
      </w:tblGrid>
      <w:tr>
        <w:trPr>
          <w:jc w:val="center"/>
          <w:trHeight w:val="763"/>
        </w:trPr>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性别</w:t>
            </w:r>
            <w:r/>
          </w:p>
        </w:tc>
        <w:tc>
          <w:tcPr>
            <w:tcW w:w="696" w:type="dxa"/>
            <w:vAlign w:val="center"/>
            <w:textDirection w:val="lrTb"/>
            <w:noWrap/>
          </w:tcPr>
          <w:p>
            <w:pPr>
              <w:rPr>
                <w:rFonts w:ascii="宋体" w:hAnsi="宋体"/>
                <w:color w:val="auto"/>
                <w:sz w:val="24"/>
                <w:szCs w:val="24"/>
                <w:highlight w:val="none"/>
              </w:rPr>
            </w:pPr>
            <w:r>
              <w:rPr>
                <w:rFonts w:hint="eastAsia" w:ascii="宋体" w:hAnsi="宋体"/>
                <w:color w:val="auto"/>
                <w:sz w:val="24"/>
                <w:szCs w:val="24"/>
                <w:highlight w:val="none"/>
              </w:rPr>
              <w:t xml:space="preserve">年龄</w:t>
            </w:r>
            <w:r/>
          </w:p>
        </w:tc>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学历</w:t>
            </w:r>
            <w:r/>
          </w:p>
        </w:tc>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职称</w:t>
            </w:r>
            <w:r/>
          </w:p>
        </w:tc>
        <w:tc>
          <w:tcPr>
            <w:tcW w:w="12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注册证书</w:t>
            </w:r>
            <w:r/>
          </w:p>
        </w:tc>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专业</w:t>
            </w:r>
            <w:r/>
          </w:p>
        </w:tc>
        <w:tc>
          <w:tcPr>
            <w:tcW w:w="117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经验年限</w:t>
            </w:r>
            <w:r/>
          </w:p>
        </w:tc>
        <w:tc>
          <w:tcPr>
            <w:tcW w:w="1416" w:type="dxa"/>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拟担任职务</w:t>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00"/>
        </w:trPr>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29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69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176"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141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951"/>
        <w:spacing w:line="360" w:lineRule="auto"/>
        <w:rPr>
          <w:rFonts w:hAnsi="宋体"/>
          <w:color w:val="auto"/>
          <w:highlight w:val="none"/>
        </w:rPr>
      </w:pPr>
      <w:r>
        <w:rPr>
          <w:rFonts w:hint="eastAsia" w:hAnsi="宋体"/>
          <w:color w:val="auto"/>
          <w:highlight w:val="none"/>
        </w:rPr>
        <w:t xml:space="preserve">注：表格内容及格式可调，人员相关证明材料附后，具体要求详见评分标准。</w:t>
      </w:r>
      <w:r/>
    </w:p>
    <w:p>
      <w:pPr>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ind w:right="153"/>
        <w:spacing w:after="120" w:line="420" w:lineRule="exact"/>
        <w:tabs>
          <w:tab w:val="left" w:pos="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sectPr>
          <w:headerReference w:type="default" r:id="rId9"/>
          <w:footerReference w:type="default" r:id="rId11"/>
          <w:footnotePr/>
          <w:endnotePr/>
          <w:type w:val="nextPage"/>
          <w:pgSz w:w="11906" w:h="16838" w:orient="portrait"/>
          <w:pgMar w:top="1440" w:right="1587" w:bottom="1440" w:left="1644" w:header="851" w:footer="992" w:gutter="0"/>
          <w:cols w:num="1" w:sep="0" w:space="1701" w:equalWidth="1"/>
          <w:docGrid w:linePitch="360"/>
        </w:sectPr>
        <w:outlineLvl w:val="0"/>
      </w:pPr>
      <w:r>
        <w:rPr>
          <w:rFonts w:hint="eastAsia" w:ascii="宋体" w:hAnsi="宋体" w:eastAsia="宋体" w:cs="宋体"/>
          <w:b/>
          <w:bCs w:val="0"/>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）服务方案（格式）</w:t>
      </w:r>
      <w:r>
        <w:rPr>
          <w:rFonts w:hint="eastAsia" w:ascii="宋体" w:hAnsi="宋体" w:eastAsia="宋体" w:cs="宋体"/>
          <w:color w:val="000000"/>
          <w:sz w:val="24"/>
          <w:szCs w:val="24"/>
          <w:highlight w:val="none"/>
          <w:lang w:eastAsia="zh-CN"/>
        </w:rPr>
        <w:t xml:space="preserve">：</w:t>
      </w:r>
      <w:r/>
    </w:p>
    <w:p>
      <w:pPr>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应按评分标准中的顺序编制完整的服务方案，以便评审。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Times New Roman" w:hAnsi="Times New Roman" w:eastAsia="黑体" w:cs="Times New Roman"/>
          <w:bCs/>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（十三）关于符合本国产品标准的声明函</w:t>
      </w:r>
      <w:r/>
    </w:p>
    <w:p>
      <w:pPr>
        <w:pStyle w:val="768"/>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黑体" w:cs="Times New Roman"/>
          <w:bCs/>
          <w:color w:val="000000"/>
          <w:sz w:val="28"/>
          <w:szCs w:val="28"/>
          <w:highlight w:val="none"/>
        </w:rPr>
        <w:t xml:space="preserve">关于符合本国产品标准的声明函</w:t>
      </w:r>
      <w:r/>
    </w:p>
    <w:p>
      <w:pPr>
        <w:pStyle w:val="768"/>
        <w:ind w:left="0" w:firstLine="0"/>
        <w:jc w:val="center"/>
        <w:keepLines w:val="0"/>
        <w:keepNext w:val="0"/>
        <w:spacing w:before="0" w:beforeAutospacing="0" w:after="0" w:afterAutospacing="0" w:line="360" w:lineRule="auto"/>
        <w:widowControl/>
        <w:rPr>
          <w:rFonts w:hint="eastAsia" w:ascii="Times New Roman" w:hAnsi="Times New Roman" w:eastAsia="黑体" w:cs="Times New Roman"/>
          <w:bCs/>
          <w:color w:val="000000"/>
          <w:sz w:val="28"/>
          <w:szCs w:val="28"/>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黑体" w:cs="Times New Roman"/>
          <w:bCs/>
          <w:color w:val="000000"/>
          <w:sz w:val="28"/>
          <w:szCs w:val="28"/>
          <w:highlight w:val="none"/>
          <w:u w:val="single"/>
        </w:rPr>
        <w:t xml:space="preserve">本项目不适用本国产品标准及相关政策，无需填写此声明函。</w:t>
      </w:r>
      <w:r/>
    </w:p>
    <w:p>
      <w:pPr>
        <w:pStyle w:val="768"/>
        <w:ind w:left="0" w:firstLine="420"/>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768"/>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768"/>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768"/>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768"/>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768"/>
        <w:jc w:val="right"/>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768"/>
        <w:jc w:val="center"/>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768"/>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768"/>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768"/>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768"/>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768"/>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768"/>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768"/>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768"/>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pStyle w:val="768"/>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p>
      <w:pPr>
        <w:ind w:firstLine="480"/>
        <w:rPr>
          <w:rFonts w:ascii="宋体" w:hAnsi="宋体"/>
          <w:bCs/>
          <w:color w:val="000000"/>
          <w:sz w:val="24"/>
          <w:szCs w:val="24"/>
          <w:highlight w:val="none"/>
        </w:rPr>
      </w:pPr>
      <w:r>
        <w:rPr>
          <w:rFonts w:ascii="宋体" w:hAnsi="宋体"/>
          <w:bCs/>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）（供应商）其他材料：</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供应商名称（公章）：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法定代表人或授权委托人（签字）：</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                             日期：     年    月   日</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楷体_GB2312">
    <w:panose1 w:val="02010609060101010101"/>
  </w:font>
  <w:font w:name="Symbol">
    <w:panose1 w:val="05050102010706020507"/>
  </w:font>
  <w:font w:name="Wingdings">
    <w:panose1 w:val="05000000000000000000"/>
  </w:font>
  <w:font w:name="方正仿宋_GBK">
    <w:panose1 w:val="020B0503020202020204"/>
  </w:font>
  <w:font w:name="Calibri">
    <w:panose1 w:val="020F0502020204030204"/>
  </w:font>
  <w:font w:name="文鼎小标宋简">
    <w:panose1 w:val="020B0503020202020204"/>
  </w:font>
  <w:font w:name="Courier New">
    <w:panose1 w:val="02070309020205020404"/>
  </w:font>
  <w:font w:name="黑体">
    <w:panose1 w:val="02010609060101010101"/>
  </w:font>
  <w:font w:name="仿宋_GB2312">
    <w:panose1 w:val="02010609060101010101"/>
  </w:font>
  <w:font w:name="华文中宋">
    <w:panose1 w:val="02010600040101010101"/>
  </w:font>
  <w:font w:name="Arial">
    <w:panose1 w:val="020B0604020202020204"/>
  </w:font>
  <w:font w:name="等线">
    <w:panose1 w:val="0201060003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fldChar w:fldCharType="begin"/>
    </w:r>
    <w:r>
      <w:instrText xml:space="preserve">PAGE \* MERGEFORMAT</w:instrText>
    </w:r>
    <w:r>
      <w:fldChar w:fldCharType="separate"/>
    </w:r>
    <w:r>
      <w:t xml:space="preserve">1</w:t>
    </w:r>
    <w:r>
      <w:fldChar w:fldCharType="end"/>
    </w:r>
    <w:r/>
  </w:p>
  <w:p>
    <w:pPr>
      <w:pStyle w:val="7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left="0" w:firstLine="0"/>
      <w:jc w:val="left"/>
      <w:spacing w:line="240" w:lineRule="auto"/>
      <w:rPr>
        <w:rFonts w:eastAsia="楷体_GB2312"/>
        <w:sz w:val="20"/>
        <w:highlight w:val="none"/>
        <w:lang w:val="en-US" w:eastAsia="zh-CN"/>
      </w:rPr>
    </w:pPr>
    <w:r>
      <w:rPr>
        <w:rFonts w:hint="eastAsia" w:eastAsia="楷体_GB2312"/>
        <w:sz w:val="22"/>
        <w:highlight w:val="none"/>
        <w:lang w:eastAsia="zh-CN"/>
      </w:rPr>
      <w:t xml:space="preserve">JSZC-320205-JXXL-G2026-0010</w:t>
    </w:r>
    <w:r>
      <w:rPr>
        <w:rFonts w:hint="eastAsia" w:eastAsia="楷体_GB2312"/>
        <w:sz w:val="22"/>
        <w:highlight w:val="none"/>
      </w:rPr>
      <w:tab/>
    </w:r>
    <w:r>
      <w:rPr>
        <w:rFonts w:hint="eastAsia" w:eastAsia="楷体_GB2312"/>
        <w:sz w:val="22"/>
        <w:highlight w:val="none"/>
      </w:rPr>
      <w:t xml:space="preserve">    </w:t>
    </w:r>
    <w:r>
      <w:rPr>
        <w:rFonts w:hint="eastAsia" w:eastAsia="楷体_GB2312"/>
        <w:sz w:val="22"/>
        <w:highlight w:val="none"/>
        <w:lang w:val="en-US" w:eastAsia="zh-CN"/>
      </w:rPr>
      <w:t xml:space="preserve">     </w:t>
    </w:r>
    <w:r>
      <w:rPr>
        <w:rFonts w:hint="eastAsia" w:eastAsia="楷体_GB2312"/>
        <w:sz w:val="22"/>
        <w:highlight w:val="none"/>
      </w:rPr>
      <w:t xml:space="preserve">    </w:t>
    </w:r>
    <w:r>
      <w:rPr>
        <w:rFonts w:hint="eastAsia" w:eastAsia="楷体_GB2312"/>
        <w:sz w:val="22"/>
        <w:szCs w:val="21"/>
        <w:highlight w:val="none"/>
        <w:lang w:eastAsia="zh-CN"/>
      </w:rPr>
      <w:t xml:space="preserve">江苏欣希联项目管理有限公司</w:t>
    </w:r>
    <w:r>
      <w:rPr>
        <w:rFonts w:hint="eastAsia" w:eastAsia="楷体_GB2312"/>
        <w:sz w:val="22"/>
        <w:szCs w:val="21"/>
        <w:highlight w:val="none"/>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rPr>
        <w:rFonts w:hint="eastAsia" w:eastAsia="宋体"/>
        <w:highlight w:val="none"/>
        <w:lang w:eastAsia="zh-CN"/>
      </w:rPr>
      <w:pBdr>
        <w:bottom w:val="single" w:color="000000" w:sz="4" w:space="0"/>
      </w:pBdr>
    </w:pPr>
    <w:r>
      <w:rPr>
        <w:rFonts w:hint="eastAsia" w:ascii="宋体" w:hAnsi="宋体" w:eastAsia="宋体" w:cs="宋体"/>
        <w:b w:val="0"/>
        <w:bCs w:val="0"/>
        <w:color w:val="000000"/>
        <w:sz w:val="24"/>
        <w:szCs w:val="24"/>
        <w:highlight w:val="none"/>
        <w:lang w:eastAsia="zh-CN"/>
      </w:rPr>
      <w:t xml:space="preserve">JSZC-320205-JXXL-G2026-0010</w:t>
    </w:r>
    <w:r>
      <w:rPr>
        <w:rFonts w:hint="eastAsia" w:ascii="宋体" w:hAnsi="宋体" w:eastAsia="宋体" w:cs="宋体"/>
        <w:b w:val="0"/>
        <w:bCs w:val="0"/>
        <w:color w:val="000000"/>
        <w:sz w:val="28"/>
        <w:szCs w:val="28"/>
        <w:highlight w:val="none"/>
        <w:lang w:val="en-US" w:eastAsia="zh-CN"/>
      </w:rPr>
      <w:t xml:space="preserve">       </w:t>
    </w:r>
    <w:r>
      <w:rPr>
        <w:rFonts w:hint="eastAsia" w:eastAsia="楷体_GB2312"/>
        <w:sz w:val="22"/>
        <w:szCs w:val="22"/>
        <w:highlight w:val="none"/>
        <w:lang w:eastAsia="zh-CN"/>
      </w:rPr>
      <w:t xml:space="preserve">江苏欣希联项目管理有限公司</w:t>
    </w:r>
    <w:r/>
  </w:p>
  <w:p>
    <w:pPr>
      <w:pStyle w:val="920"/>
      <w:rPr>
        <w:lang w:val="en-US" w:eastAsia="zh-CN"/>
      </w:rP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948"/>
    <w:uiPriority w:val="0"/>
    <w:qFormat/>
    <w:pPr>
      <w:jc w:val="both"/>
      <w:widowControl w:val="off"/>
    </w:pPr>
    <w:rPr>
      <w:rFonts w:hint="default" w:ascii="等线" w:hAnsi="等线" w:eastAsia="等线" w:cs="Times New Roman"/>
      <w:sz w:val="21"/>
      <w:szCs w:val="22"/>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Body Text"/>
    <w:basedOn w:val="688"/>
    <w:next w:val="703"/>
    <w:uiPriority w:val="0"/>
    <w:qFormat/>
    <w:rPr>
      <w:rFonts w:ascii="华文中宋" w:eastAsia="华文中宋"/>
      <w:bCs/>
      <w:sz w:val="28"/>
    </w:rPr>
  </w:style>
  <w:style w:type="paragraph" w:styleId="703">
    <w:name w:val="Body Text First Indent"/>
    <w:basedOn w:val="702"/>
    <w:next w:val="704"/>
    <w:uiPriority w:val="99"/>
    <w:qFormat/>
    <w:pPr>
      <w:ind w:firstLine="420"/>
      <w:spacing w:after="120"/>
    </w:pPr>
    <w:rPr>
      <w:rFonts w:ascii="Times New Roman" w:eastAsia="宋体"/>
      <w:b/>
      <w:bCs w:val="0"/>
      <w:sz w:val="21"/>
      <w:szCs w:val="24"/>
    </w:rPr>
  </w:style>
  <w:style w:type="paragraph" w:styleId="704">
    <w:name w:val="Body Text First Indent 2"/>
    <w:basedOn w:val="705"/>
    <w:next w:val="688"/>
    <w:uiPriority w:val="99"/>
    <w:qFormat/>
    <w:pPr>
      <w:ind w:firstLine="420"/>
    </w:pPr>
  </w:style>
  <w:style w:type="paragraph" w:styleId="705">
    <w:name w:val="Body Text Indent"/>
    <w:basedOn w:val="688"/>
    <w:next w:val="706"/>
    <w:uiPriority w:val="0"/>
    <w:qFormat/>
    <w:pPr>
      <w:ind w:left="156"/>
      <w:spacing w:line="300" w:lineRule="auto"/>
      <w:widowControl/>
    </w:pPr>
    <w:rPr>
      <w:rFonts w:ascii="仿宋_GB2312" w:eastAsia="仿宋_GB2312"/>
      <w:sz w:val="28"/>
      <w:szCs w:val="20"/>
    </w:rPr>
  </w:style>
  <w:style w:type="paragraph" w:styleId="706">
    <w:name w:val="envelope return"/>
    <w:basedOn w:val="688"/>
    <w:uiPriority w:val="0"/>
    <w:qFormat/>
    <w:rPr>
      <w:rFonts w:ascii="Arial" w:hAnsi="Arial"/>
    </w:rPr>
  </w:style>
  <w:style w:type="paragraph" w:styleId="707">
    <w:name w:val="toc 5"/>
    <w:basedOn w:val="688"/>
    <w:next w:val="688"/>
    <w:uiPriority w:val="39"/>
    <w:unhideWhenUsed/>
    <w:qFormat/>
    <w:pPr>
      <w:ind w:left="1134" w:right="0" w:firstLine="0"/>
      <w:spacing w:after="57"/>
    </w:pPr>
  </w:style>
  <w:style w:type="paragraph" w:styleId="708">
    <w:name w:val="toc 3"/>
    <w:basedOn w:val="688"/>
    <w:next w:val="688"/>
    <w:uiPriority w:val="39"/>
    <w:unhideWhenUsed/>
    <w:qFormat/>
    <w:pPr>
      <w:ind w:left="567" w:right="0" w:firstLine="0"/>
      <w:spacing w:after="57"/>
    </w:pPr>
  </w:style>
  <w:style w:type="paragraph" w:styleId="709">
    <w:name w:val="toc 8"/>
    <w:basedOn w:val="688"/>
    <w:next w:val="688"/>
    <w:uiPriority w:val="39"/>
    <w:unhideWhenUsed/>
    <w:qFormat/>
    <w:pPr>
      <w:ind w:left="1984" w:right="0" w:firstLine="0"/>
      <w:spacing w:after="57"/>
    </w:pPr>
  </w:style>
  <w:style w:type="paragraph" w:styleId="710">
    <w:name w:val="endnote text"/>
    <w:basedOn w:val="688"/>
    <w:uiPriority w:val="99"/>
    <w:semiHidden/>
    <w:unhideWhenUsed/>
    <w:pPr>
      <w:spacing w:after="0" w:line="240" w:lineRule="auto"/>
    </w:pPr>
    <w:rPr>
      <w:sz w:val="20"/>
    </w:rPr>
  </w:style>
  <w:style w:type="paragraph" w:styleId="711">
    <w:name w:val="Footer"/>
    <w:basedOn w:val="688"/>
    <w:uiPriority w:val="99"/>
    <w:unhideWhenUsed/>
    <w:qFormat/>
    <w:pPr>
      <w:spacing w:after="0" w:line="240" w:lineRule="auto"/>
      <w:tabs>
        <w:tab w:val="center" w:pos="7143" w:leader="none"/>
        <w:tab w:val="right" w:pos="14287" w:leader="none"/>
      </w:tabs>
    </w:pPr>
  </w:style>
  <w:style w:type="paragraph" w:styleId="712">
    <w:name w:val="Header"/>
    <w:basedOn w:val="688"/>
    <w:uiPriority w:val="99"/>
    <w:unhideWhenUsed/>
    <w:qFormat/>
    <w:pPr>
      <w:spacing w:after="0" w:line="240" w:lineRule="auto"/>
      <w:tabs>
        <w:tab w:val="center" w:pos="7143" w:leader="none"/>
        <w:tab w:val="right" w:pos="14287" w:leader="none"/>
      </w:tabs>
    </w:pPr>
  </w:style>
  <w:style w:type="paragraph" w:styleId="713">
    <w:name w:val="toc 1"/>
    <w:basedOn w:val="688"/>
    <w:next w:val="688"/>
    <w:uiPriority w:val="39"/>
    <w:unhideWhenUsed/>
    <w:qFormat/>
    <w:pPr>
      <w:ind w:left="0" w:right="0" w:firstLine="0"/>
      <w:spacing w:after="57"/>
    </w:pPr>
  </w:style>
  <w:style w:type="paragraph" w:styleId="714">
    <w:name w:val="toc 4"/>
    <w:basedOn w:val="688"/>
    <w:next w:val="688"/>
    <w:uiPriority w:val="39"/>
    <w:unhideWhenUsed/>
    <w:qFormat/>
    <w:pPr>
      <w:ind w:left="850" w:right="0" w:firstLine="0"/>
      <w:spacing w:after="57"/>
    </w:pPr>
  </w:style>
  <w:style w:type="paragraph" w:styleId="715">
    <w:name w:val="Subtitle"/>
    <w:basedOn w:val="688"/>
    <w:next w:val="688"/>
    <w:uiPriority w:val="11"/>
    <w:qFormat/>
    <w:pPr>
      <w:spacing w:before="200" w:after="200"/>
    </w:pPr>
    <w:rPr>
      <w:sz w:val="24"/>
      <w:szCs w:val="24"/>
    </w:rPr>
  </w:style>
  <w:style w:type="paragraph" w:styleId="716">
    <w:name w:val="List"/>
    <w:basedOn w:val="688"/>
    <w:uiPriority w:val="99"/>
    <w:qFormat/>
    <w:pPr>
      <w:contextualSpacing/>
      <w:ind w:left="200" w:hanging="200"/>
    </w:pPr>
    <w:rPr>
      <w:rFonts w:ascii="Times New Roman" w:hAnsi="Times New Roman"/>
    </w:rPr>
  </w:style>
  <w:style w:type="paragraph" w:styleId="717">
    <w:name w:val="footnote text"/>
    <w:basedOn w:val="688"/>
    <w:uiPriority w:val="99"/>
    <w:semiHidden/>
    <w:unhideWhenUsed/>
    <w:qFormat/>
    <w:pPr>
      <w:spacing w:after="40" w:line="240" w:lineRule="auto"/>
    </w:pPr>
    <w:rPr>
      <w:sz w:val="18"/>
    </w:rPr>
  </w:style>
  <w:style w:type="paragraph" w:styleId="718">
    <w:name w:val="toc 6"/>
    <w:basedOn w:val="688"/>
    <w:next w:val="688"/>
    <w:uiPriority w:val="39"/>
    <w:unhideWhenUsed/>
    <w:qFormat/>
    <w:pPr>
      <w:ind w:left="1417" w:right="0" w:firstLine="0"/>
      <w:spacing w:after="57"/>
    </w:pPr>
  </w:style>
  <w:style w:type="paragraph" w:styleId="719">
    <w:name w:val="table of figures"/>
    <w:basedOn w:val="688"/>
    <w:next w:val="688"/>
    <w:uiPriority w:val="99"/>
    <w:unhideWhenUsed/>
    <w:qFormat/>
    <w:pPr>
      <w:spacing w:after="0" w:afterAutospacing="0"/>
    </w:pPr>
  </w:style>
  <w:style w:type="paragraph" w:styleId="720">
    <w:name w:val="toc 2"/>
    <w:basedOn w:val="688"/>
    <w:next w:val="688"/>
    <w:uiPriority w:val="39"/>
    <w:unhideWhenUsed/>
    <w:qFormat/>
    <w:pPr>
      <w:ind w:left="283" w:right="0" w:firstLine="0"/>
      <w:spacing w:after="57"/>
    </w:pPr>
  </w:style>
  <w:style w:type="paragraph" w:styleId="721">
    <w:name w:val="toc 9"/>
    <w:basedOn w:val="688"/>
    <w:next w:val="688"/>
    <w:uiPriority w:val="39"/>
    <w:unhideWhenUsed/>
    <w:qFormat/>
    <w:pPr>
      <w:ind w:left="2268" w:right="0" w:firstLine="0"/>
      <w:spacing w:after="57"/>
    </w:pPr>
  </w:style>
  <w:style w:type="paragraph" w:styleId="722">
    <w:name w:val="Title"/>
    <w:basedOn w:val="688"/>
    <w:next w:val="688"/>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paragraph" w:styleId="727" w:customStyle="1">
    <w:name w:val="标题 111"/>
    <w:basedOn w:val="688"/>
    <w:next w:val="688"/>
    <w:link w:val="738"/>
    <w:uiPriority w:val="9"/>
    <w:qFormat/>
    <w:pPr>
      <w:keepLines/>
      <w:keepNext/>
      <w:spacing w:before="480" w:after="200"/>
      <w:outlineLvl w:val="0"/>
    </w:pPr>
    <w:rPr>
      <w:rFonts w:ascii="Arial" w:hAnsi="Arial" w:eastAsia="Arial" w:cs="Arial"/>
      <w:sz w:val="40"/>
      <w:szCs w:val="40"/>
    </w:rPr>
  </w:style>
  <w:style w:type="paragraph" w:styleId="728" w:customStyle="1">
    <w:name w:val="标题 212"/>
    <w:basedOn w:val="688"/>
    <w:next w:val="688"/>
    <w:link w:val="739"/>
    <w:uiPriority w:val="9"/>
    <w:unhideWhenUsed/>
    <w:qFormat/>
    <w:pPr>
      <w:keepLines/>
      <w:keepNext/>
      <w:spacing w:before="360" w:after="200"/>
      <w:outlineLvl w:val="1"/>
    </w:pPr>
    <w:rPr>
      <w:rFonts w:ascii="Arial" w:hAnsi="Arial" w:eastAsia="Arial" w:cs="Arial"/>
      <w:sz w:val="34"/>
    </w:rPr>
  </w:style>
  <w:style w:type="paragraph" w:styleId="729" w:customStyle="1">
    <w:name w:val="标题 312"/>
    <w:basedOn w:val="688"/>
    <w:next w:val="688"/>
    <w:link w:val="740"/>
    <w:uiPriority w:val="9"/>
    <w:unhideWhenUsed/>
    <w:qFormat/>
    <w:pPr>
      <w:keepLines/>
      <w:keepNext/>
      <w:spacing w:before="320" w:after="200"/>
      <w:outlineLvl w:val="2"/>
    </w:pPr>
    <w:rPr>
      <w:rFonts w:ascii="Arial" w:hAnsi="Arial" w:eastAsia="Arial" w:cs="Arial"/>
      <w:sz w:val="30"/>
      <w:szCs w:val="30"/>
    </w:rPr>
  </w:style>
  <w:style w:type="paragraph" w:styleId="730" w:customStyle="1">
    <w:name w:val="标题 412"/>
    <w:basedOn w:val="688"/>
    <w:next w:val="688"/>
    <w:link w:val="741"/>
    <w:uiPriority w:val="9"/>
    <w:unhideWhenUsed/>
    <w:qFormat/>
    <w:pPr>
      <w:keepLines/>
      <w:keepNext/>
      <w:spacing w:before="320" w:after="200"/>
      <w:outlineLvl w:val="3"/>
    </w:pPr>
    <w:rPr>
      <w:rFonts w:ascii="Arial" w:hAnsi="Arial" w:eastAsia="Arial" w:cs="Arial"/>
      <w:b/>
      <w:bCs/>
      <w:sz w:val="26"/>
      <w:szCs w:val="26"/>
    </w:rPr>
  </w:style>
  <w:style w:type="paragraph" w:styleId="731" w:customStyle="1">
    <w:name w:val="标题 51"/>
    <w:basedOn w:val="688"/>
    <w:next w:val="688"/>
    <w:link w:val="742"/>
    <w:uiPriority w:val="9"/>
    <w:unhideWhenUsed/>
    <w:qFormat/>
    <w:pPr>
      <w:keepLines/>
      <w:keepNext/>
      <w:spacing w:before="320" w:after="200"/>
      <w:outlineLvl w:val="4"/>
    </w:pPr>
    <w:rPr>
      <w:rFonts w:ascii="Arial" w:hAnsi="Arial" w:eastAsia="Arial" w:cs="Arial"/>
      <w:b/>
      <w:bCs/>
      <w:sz w:val="24"/>
      <w:szCs w:val="24"/>
    </w:rPr>
  </w:style>
  <w:style w:type="paragraph" w:styleId="732" w:customStyle="1">
    <w:name w:val="标题 61"/>
    <w:basedOn w:val="688"/>
    <w:next w:val="688"/>
    <w:link w:val="743"/>
    <w:uiPriority w:val="9"/>
    <w:unhideWhenUsed/>
    <w:qFormat/>
    <w:pPr>
      <w:keepLines/>
      <w:keepNext/>
      <w:spacing w:before="320" w:after="200"/>
      <w:outlineLvl w:val="5"/>
    </w:pPr>
    <w:rPr>
      <w:rFonts w:ascii="Arial" w:hAnsi="Arial" w:eastAsia="Arial" w:cs="Arial"/>
      <w:b/>
      <w:bCs/>
      <w:sz w:val="22"/>
      <w:szCs w:val="22"/>
    </w:rPr>
  </w:style>
  <w:style w:type="paragraph" w:styleId="733" w:customStyle="1">
    <w:name w:val="标题 71"/>
    <w:basedOn w:val="688"/>
    <w:next w:val="688"/>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34" w:customStyle="1">
    <w:name w:val="标题 81"/>
    <w:basedOn w:val="688"/>
    <w:next w:val="688"/>
    <w:link w:val="745"/>
    <w:uiPriority w:val="9"/>
    <w:unhideWhenUsed/>
    <w:qFormat/>
    <w:pPr>
      <w:keepLines/>
      <w:keepNext/>
      <w:spacing w:before="320" w:after="200"/>
      <w:outlineLvl w:val="7"/>
    </w:pPr>
    <w:rPr>
      <w:rFonts w:ascii="Arial" w:hAnsi="Arial" w:eastAsia="Arial" w:cs="Arial"/>
      <w:i/>
      <w:iCs/>
      <w:sz w:val="22"/>
      <w:szCs w:val="22"/>
    </w:rPr>
  </w:style>
  <w:style w:type="paragraph" w:styleId="735" w:customStyle="1">
    <w:name w:val="标题 91"/>
    <w:basedOn w:val="688"/>
    <w:next w:val="688"/>
    <w:link w:val="746"/>
    <w:uiPriority w:val="9"/>
    <w:unhideWhenUsed/>
    <w:qFormat/>
    <w:pPr>
      <w:keepLines/>
      <w:keepNext/>
      <w:spacing w:before="320" w:after="200"/>
      <w:outlineLvl w:val="8"/>
    </w:pPr>
    <w:rPr>
      <w:rFonts w:ascii="Arial" w:hAnsi="Arial" w:eastAsia="Arial" w:cs="Arial"/>
      <w:i/>
      <w:iCs/>
      <w:sz w:val="21"/>
      <w:szCs w:val="21"/>
    </w:rPr>
  </w:style>
  <w:style w:type="character" w:styleId="736" w:customStyle="1">
    <w:name w:val="默认段落字体11"/>
    <w:link w:val="688"/>
    <w:uiPriority w:val="1"/>
    <w:unhideWhenUsed/>
    <w:qFormat/>
  </w:style>
  <w:style w:type="table" w:styleId="737" w:customStyle="1">
    <w:name w:val="普通表格11"/>
    <w:uiPriority w:val="99"/>
    <w:unhideWhenUsed/>
    <w:qFormat/>
    <w:tblPr/>
  </w:style>
  <w:style w:type="character" w:styleId="738" w:customStyle="1">
    <w:name w:val="Heading 1 Char"/>
    <w:link w:val="727"/>
    <w:uiPriority w:val="9"/>
    <w:qFormat/>
    <w:rPr>
      <w:rFonts w:ascii="Arial" w:hAnsi="Arial" w:eastAsia="Arial" w:cs="Arial"/>
      <w:sz w:val="40"/>
      <w:szCs w:val="40"/>
    </w:rPr>
  </w:style>
  <w:style w:type="character" w:styleId="739" w:customStyle="1">
    <w:name w:val="Heading 2 Char"/>
    <w:link w:val="728"/>
    <w:uiPriority w:val="9"/>
    <w:qFormat/>
    <w:rPr>
      <w:rFonts w:ascii="Arial" w:hAnsi="Arial" w:eastAsia="Arial" w:cs="Arial"/>
      <w:sz w:val="34"/>
    </w:rPr>
  </w:style>
  <w:style w:type="character" w:styleId="740" w:customStyle="1">
    <w:name w:val="Heading 3 Char"/>
    <w:link w:val="729"/>
    <w:uiPriority w:val="9"/>
    <w:qFormat/>
    <w:rPr>
      <w:rFonts w:ascii="Arial" w:hAnsi="Arial" w:eastAsia="Arial" w:cs="Arial"/>
      <w:sz w:val="30"/>
      <w:szCs w:val="30"/>
    </w:rPr>
  </w:style>
  <w:style w:type="character" w:styleId="741" w:customStyle="1">
    <w:name w:val="Heading 4 Char"/>
    <w:link w:val="730"/>
    <w:uiPriority w:val="9"/>
    <w:qFormat/>
    <w:rPr>
      <w:rFonts w:ascii="Arial" w:hAnsi="Arial" w:eastAsia="Arial" w:cs="Arial"/>
      <w:b/>
      <w:bCs/>
      <w:sz w:val="26"/>
      <w:szCs w:val="26"/>
    </w:rPr>
  </w:style>
  <w:style w:type="character" w:styleId="742" w:customStyle="1">
    <w:name w:val="Heading 5 Char"/>
    <w:link w:val="731"/>
    <w:uiPriority w:val="9"/>
    <w:qFormat/>
    <w:rPr>
      <w:rFonts w:ascii="Arial" w:hAnsi="Arial" w:eastAsia="Arial" w:cs="Arial"/>
      <w:b/>
      <w:bCs/>
      <w:sz w:val="24"/>
      <w:szCs w:val="24"/>
    </w:rPr>
  </w:style>
  <w:style w:type="character" w:styleId="743" w:customStyle="1">
    <w:name w:val="Heading 6 Char"/>
    <w:link w:val="732"/>
    <w:uiPriority w:val="9"/>
    <w:qFormat/>
    <w:rPr>
      <w:rFonts w:ascii="Arial" w:hAnsi="Arial" w:eastAsia="Arial" w:cs="Arial"/>
      <w:b/>
      <w:bCs/>
      <w:sz w:val="22"/>
      <w:szCs w:val="22"/>
    </w:rPr>
  </w:style>
  <w:style w:type="character" w:styleId="744" w:customStyle="1">
    <w:name w:val="Heading 7 Char"/>
    <w:link w:val="733"/>
    <w:uiPriority w:val="9"/>
    <w:qFormat/>
    <w:rPr>
      <w:rFonts w:ascii="Arial" w:hAnsi="Arial" w:eastAsia="Arial" w:cs="Arial"/>
      <w:b/>
      <w:bCs/>
      <w:i/>
      <w:iCs/>
      <w:sz w:val="22"/>
      <w:szCs w:val="22"/>
    </w:rPr>
  </w:style>
  <w:style w:type="character" w:styleId="745" w:customStyle="1">
    <w:name w:val="Heading 8 Char"/>
    <w:link w:val="734"/>
    <w:uiPriority w:val="9"/>
    <w:qFormat/>
    <w:rPr>
      <w:rFonts w:ascii="Arial" w:hAnsi="Arial" w:eastAsia="Arial" w:cs="Arial"/>
      <w:i/>
      <w:iCs/>
      <w:sz w:val="22"/>
      <w:szCs w:val="22"/>
    </w:rPr>
  </w:style>
  <w:style w:type="character" w:styleId="746" w:customStyle="1">
    <w:name w:val="Heading 9 Char"/>
    <w:link w:val="735"/>
    <w:uiPriority w:val="9"/>
    <w:qFormat/>
    <w:rPr>
      <w:rFonts w:ascii="Arial" w:hAnsi="Arial" w:eastAsia="Arial" w:cs="Arial"/>
      <w:i/>
      <w:iCs/>
      <w:sz w:val="21"/>
      <w:szCs w:val="21"/>
    </w:rPr>
  </w:style>
  <w:style w:type="paragraph" w:styleId="747" w:customStyle="1">
    <w:name w:val="目录 71"/>
    <w:basedOn w:val="688"/>
    <w:next w:val="688"/>
    <w:uiPriority w:val="39"/>
    <w:unhideWhenUsed/>
    <w:qFormat/>
    <w:pPr>
      <w:ind w:left="1701" w:right="0" w:firstLine="0"/>
      <w:spacing w:after="57"/>
    </w:pPr>
  </w:style>
  <w:style w:type="paragraph" w:styleId="748" w:customStyle="1">
    <w:name w:val="题注1"/>
    <w:basedOn w:val="688"/>
    <w:next w:val="688"/>
    <w:uiPriority w:val="35"/>
    <w:unhideWhenUsed/>
    <w:qFormat/>
    <w:pPr>
      <w:spacing w:line="276" w:lineRule="auto"/>
    </w:pPr>
    <w:rPr>
      <w:b/>
      <w:bCs/>
      <w:color w:val="4f81bd"/>
      <w:sz w:val="18"/>
      <w:szCs w:val="18"/>
    </w:rPr>
  </w:style>
  <w:style w:type="paragraph" w:styleId="749" w:customStyle="1">
    <w:name w:val="目录 51"/>
    <w:basedOn w:val="688"/>
    <w:next w:val="688"/>
    <w:uiPriority w:val="39"/>
    <w:unhideWhenUsed/>
    <w:qFormat/>
    <w:pPr>
      <w:ind w:left="1134" w:right="0" w:firstLine="0"/>
      <w:spacing w:after="57"/>
    </w:pPr>
  </w:style>
  <w:style w:type="paragraph" w:styleId="750" w:customStyle="1">
    <w:name w:val="目录 31"/>
    <w:basedOn w:val="688"/>
    <w:next w:val="688"/>
    <w:uiPriority w:val="39"/>
    <w:unhideWhenUsed/>
    <w:qFormat/>
    <w:pPr>
      <w:ind w:left="567" w:right="0" w:firstLine="0"/>
      <w:spacing w:after="57"/>
    </w:pPr>
  </w:style>
  <w:style w:type="paragraph" w:styleId="751" w:customStyle="1">
    <w:name w:val="目录 81"/>
    <w:basedOn w:val="688"/>
    <w:next w:val="688"/>
    <w:uiPriority w:val="39"/>
    <w:unhideWhenUsed/>
    <w:qFormat/>
    <w:pPr>
      <w:ind w:left="1984" w:right="0" w:firstLine="0"/>
      <w:spacing w:after="57"/>
    </w:pPr>
  </w:style>
  <w:style w:type="paragraph" w:styleId="752" w:customStyle="1">
    <w:name w:val="尾注文本1"/>
    <w:basedOn w:val="688"/>
    <w:link w:val="753"/>
    <w:uiPriority w:val="99"/>
    <w:unhideWhenUsed/>
    <w:qFormat/>
    <w:pPr>
      <w:spacing w:after="0" w:line="240" w:lineRule="auto"/>
    </w:pPr>
    <w:rPr>
      <w:sz w:val="20"/>
    </w:rPr>
  </w:style>
  <w:style w:type="character" w:styleId="753" w:customStyle="1">
    <w:name w:val="Endnote Text Char"/>
    <w:link w:val="752"/>
    <w:uiPriority w:val="99"/>
    <w:qFormat/>
    <w:rPr>
      <w:sz w:val="20"/>
    </w:rPr>
  </w:style>
  <w:style w:type="paragraph" w:styleId="754" w:customStyle="1">
    <w:name w:val="页脚11"/>
    <w:basedOn w:val="688"/>
    <w:link w:val="776"/>
    <w:uiPriority w:val="99"/>
    <w:unhideWhenUsed/>
    <w:qFormat/>
    <w:pPr>
      <w:spacing w:after="0" w:line="240" w:lineRule="auto"/>
      <w:tabs>
        <w:tab w:val="center" w:pos="7143" w:leader="none"/>
        <w:tab w:val="right" w:pos="14287" w:leader="none"/>
      </w:tabs>
    </w:pPr>
  </w:style>
  <w:style w:type="character" w:styleId="755" w:customStyle="1">
    <w:name w:val="Caption Char"/>
    <w:link w:val="754"/>
    <w:uiPriority w:val="99"/>
    <w:qFormat/>
  </w:style>
  <w:style w:type="paragraph" w:styleId="756" w:customStyle="1">
    <w:name w:val="页眉12"/>
    <w:basedOn w:val="688"/>
    <w:link w:val="757"/>
    <w:uiPriority w:val="99"/>
    <w:unhideWhenUsed/>
    <w:qFormat/>
    <w:pPr>
      <w:spacing w:after="0" w:line="240" w:lineRule="auto"/>
      <w:tabs>
        <w:tab w:val="center" w:pos="7143" w:leader="none"/>
        <w:tab w:val="right" w:pos="14287" w:leader="none"/>
      </w:tabs>
    </w:pPr>
  </w:style>
  <w:style w:type="character" w:styleId="757" w:customStyle="1">
    <w:name w:val="Header Char"/>
    <w:link w:val="756"/>
    <w:uiPriority w:val="99"/>
    <w:qFormat/>
  </w:style>
  <w:style w:type="paragraph" w:styleId="758" w:customStyle="1">
    <w:name w:val="目录 112"/>
    <w:basedOn w:val="688"/>
    <w:next w:val="688"/>
    <w:uiPriority w:val="39"/>
    <w:unhideWhenUsed/>
    <w:qFormat/>
    <w:pPr>
      <w:ind w:left="0" w:right="0" w:firstLine="0"/>
      <w:spacing w:after="57"/>
    </w:pPr>
  </w:style>
  <w:style w:type="paragraph" w:styleId="759" w:customStyle="1">
    <w:name w:val="目录 41"/>
    <w:basedOn w:val="688"/>
    <w:next w:val="688"/>
    <w:uiPriority w:val="39"/>
    <w:unhideWhenUsed/>
    <w:qFormat/>
    <w:pPr>
      <w:ind w:left="850" w:right="0" w:firstLine="0"/>
      <w:spacing w:after="57"/>
    </w:pPr>
  </w:style>
  <w:style w:type="paragraph" w:styleId="760" w:customStyle="1">
    <w:name w:val="副标题1"/>
    <w:basedOn w:val="688"/>
    <w:next w:val="688"/>
    <w:link w:val="761"/>
    <w:uiPriority w:val="11"/>
    <w:qFormat/>
    <w:pPr>
      <w:spacing w:before="200" w:after="200"/>
    </w:pPr>
    <w:rPr>
      <w:sz w:val="24"/>
      <w:szCs w:val="24"/>
    </w:rPr>
  </w:style>
  <w:style w:type="character" w:styleId="761" w:customStyle="1">
    <w:name w:val="Subtitle Char"/>
    <w:link w:val="760"/>
    <w:uiPriority w:val="11"/>
    <w:qFormat/>
    <w:rPr>
      <w:sz w:val="24"/>
      <w:szCs w:val="24"/>
    </w:rPr>
  </w:style>
  <w:style w:type="paragraph" w:styleId="762" w:customStyle="1">
    <w:name w:val="脚注文本1"/>
    <w:basedOn w:val="688"/>
    <w:link w:val="763"/>
    <w:uiPriority w:val="99"/>
    <w:unhideWhenUsed/>
    <w:qFormat/>
    <w:pPr>
      <w:spacing w:after="40" w:line="240" w:lineRule="auto"/>
    </w:pPr>
    <w:rPr>
      <w:sz w:val="18"/>
    </w:rPr>
  </w:style>
  <w:style w:type="character" w:styleId="763" w:customStyle="1">
    <w:name w:val="Footnote Text Char"/>
    <w:link w:val="762"/>
    <w:uiPriority w:val="99"/>
    <w:qFormat/>
    <w:rPr>
      <w:sz w:val="18"/>
    </w:rPr>
  </w:style>
  <w:style w:type="paragraph" w:styleId="764" w:customStyle="1">
    <w:name w:val="目录 61"/>
    <w:basedOn w:val="688"/>
    <w:next w:val="688"/>
    <w:uiPriority w:val="39"/>
    <w:unhideWhenUsed/>
    <w:qFormat/>
    <w:pPr>
      <w:ind w:left="1417" w:right="0" w:firstLine="0"/>
      <w:spacing w:after="57"/>
    </w:pPr>
  </w:style>
  <w:style w:type="paragraph" w:styleId="765" w:customStyle="1">
    <w:name w:val="图表目录1"/>
    <w:basedOn w:val="688"/>
    <w:next w:val="688"/>
    <w:uiPriority w:val="99"/>
    <w:unhideWhenUsed/>
    <w:qFormat/>
    <w:pPr>
      <w:spacing w:after="0" w:afterAutospacing="0"/>
    </w:pPr>
  </w:style>
  <w:style w:type="paragraph" w:styleId="766" w:customStyle="1">
    <w:name w:val="目录 211"/>
    <w:basedOn w:val="688"/>
    <w:next w:val="688"/>
    <w:uiPriority w:val="39"/>
    <w:unhideWhenUsed/>
    <w:qFormat/>
    <w:pPr>
      <w:ind w:left="283" w:right="0" w:firstLine="0"/>
      <w:spacing w:after="57"/>
    </w:pPr>
  </w:style>
  <w:style w:type="paragraph" w:styleId="767" w:customStyle="1">
    <w:name w:val="目录 91"/>
    <w:basedOn w:val="688"/>
    <w:next w:val="688"/>
    <w:uiPriority w:val="39"/>
    <w:unhideWhenUsed/>
    <w:qFormat/>
    <w:pPr>
      <w:ind w:left="2268" w:right="0" w:firstLine="0"/>
      <w:spacing w:after="57"/>
    </w:pPr>
  </w:style>
  <w:style w:type="paragraph" w:styleId="768" w:customStyle="1">
    <w:name w:val="普通(网站)11"/>
    <w:basedOn w:val="688"/>
    <w:uiPriority w:val="99"/>
    <w:unhideWhenUsed/>
    <w:qFormat/>
    <w:rPr>
      <w:sz w:val="24"/>
    </w:rPr>
  </w:style>
  <w:style w:type="paragraph" w:styleId="769" w:customStyle="1">
    <w:name w:val="标题1"/>
    <w:basedOn w:val="688"/>
    <w:next w:val="688"/>
    <w:link w:val="770"/>
    <w:uiPriority w:val="10"/>
    <w:qFormat/>
    <w:pPr>
      <w:contextualSpacing/>
      <w:spacing w:before="300" w:after="200"/>
    </w:pPr>
    <w:rPr>
      <w:sz w:val="48"/>
      <w:szCs w:val="48"/>
    </w:rPr>
  </w:style>
  <w:style w:type="character" w:styleId="770" w:customStyle="1">
    <w:name w:val="Title Char"/>
    <w:link w:val="769"/>
    <w:uiPriority w:val="10"/>
    <w:qFormat/>
    <w:rPr>
      <w:sz w:val="48"/>
      <w:szCs w:val="48"/>
    </w:rPr>
  </w:style>
  <w:style w:type="table" w:styleId="771" w:customStyle="1">
    <w:name w:val="网格型11"/>
    <w:uiPriority w:val="59"/>
    <w:qFormat/>
    <w:pPr>
      <w:spacing w:after="0" w:line="240" w:lineRule="auto"/>
    </w:pPr>
    <w:tblPr/>
  </w:style>
  <w:style w:type="character" w:styleId="772" w:customStyle="1">
    <w:name w:val="要点1"/>
    <w:basedOn w:val="736"/>
    <w:link w:val="688"/>
    <w:uiPriority w:val="22"/>
    <w:qFormat/>
    <w:rPr>
      <w:b/>
    </w:rPr>
  </w:style>
  <w:style w:type="character" w:styleId="773" w:customStyle="1">
    <w:name w:val="尾注引用1"/>
    <w:link w:val="688"/>
    <w:uiPriority w:val="99"/>
    <w:unhideWhenUsed/>
    <w:qFormat/>
    <w:rPr>
      <w:vertAlign w:val="superscript"/>
    </w:rPr>
  </w:style>
  <w:style w:type="character" w:styleId="774" w:customStyle="1">
    <w:name w:val="超链接1"/>
    <w:link w:val="688"/>
    <w:uiPriority w:val="99"/>
    <w:unhideWhenUsed/>
    <w:qFormat/>
    <w:rPr>
      <w:color w:val="0000ff"/>
      <w:u w:val="single"/>
    </w:rPr>
  </w:style>
  <w:style w:type="character" w:styleId="775" w:customStyle="1">
    <w:name w:val="脚注引用1"/>
    <w:link w:val="688"/>
    <w:uiPriority w:val="99"/>
    <w:unhideWhenUsed/>
    <w:qFormat/>
    <w:rPr>
      <w:vertAlign w:val="superscript"/>
    </w:rPr>
  </w:style>
  <w:style w:type="character" w:styleId="776" w:customStyle="1">
    <w:name w:val="Footer Char"/>
    <w:link w:val="754"/>
    <w:uiPriority w:val="99"/>
    <w:qFormat/>
  </w:style>
  <w:style w:type="character" w:styleId="777" w:customStyle="1">
    <w:name w:val="默认段落字体1"/>
    <w:link w:val="688"/>
    <w:uiPriority w:val="0"/>
    <w:semiHidden/>
    <w:qFormat/>
    <w:rPr>
      <w:rFonts w:ascii="等线" w:hAnsi="等线" w:eastAsia="等线" w:cs="Times New Roman"/>
      <w:sz w:val="21"/>
      <w:szCs w:val="22"/>
      <w:lang w:val="en-US" w:eastAsia="zh-CN" w:bidi="ar-SA"/>
    </w:rPr>
  </w:style>
  <w:style w:type="paragraph" w:styleId="778" w:customStyle="1">
    <w:name w:val="索引 41"/>
    <w:basedOn w:val="688"/>
    <w:next w:val="688"/>
    <w:uiPriority w:val="99"/>
    <w:qFormat/>
    <w:pPr>
      <w:ind w:left="600"/>
    </w:pPr>
    <w:rPr>
      <w:rFonts w:ascii="Times New Roman" w:hAnsi="Times New Roman" w:eastAsia="宋体"/>
      <w:szCs w:val="24"/>
    </w:rPr>
  </w:style>
  <w:style w:type="paragraph" w:styleId="779" w:customStyle="1">
    <w:name w:val="正文格式"/>
    <w:basedOn w:val="688"/>
    <w:uiPriority w:val="0"/>
    <w:qFormat/>
    <w:pPr>
      <w:ind w:firstLine="482"/>
      <w:spacing w:line="400" w:lineRule="atLeast"/>
      <w:widowControl/>
    </w:pPr>
    <w:rPr>
      <w:rFonts w:ascii="Times New Roman" w:hAnsi="Times New Roman" w:eastAsia="宋体" w:cs="Times New Roman"/>
      <w:sz w:val="24"/>
      <w:szCs w:val="24"/>
    </w:rPr>
  </w:style>
  <w:style w:type="character" w:styleId="780" w:customStyle="1">
    <w:name w:val="HTML 打字机1"/>
    <w:link w:val="688"/>
    <w:uiPriority w:val="0"/>
    <w:qFormat/>
    <w:rPr>
      <w:rFonts w:ascii="宋体" w:hAnsi="宋体" w:eastAsia="宋体" w:cs="宋体"/>
      <w:sz w:val="24"/>
      <w:szCs w:val="24"/>
    </w:r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paragraph" w:styleId="782">
    <w:name w:val="Quote"/>
    <w:basedOn w:val="688"/>
    <w:next w:val="688"/>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688"/>
    <w:next w:val="688"/>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table" w:styleId="786" w:customStyle="1">
    <w:name w:val="Table Grid Light"/>
    <w:uiPriority w:val="59"/>
    <w:qFormat/>
    <w:pPr>
      <w:spacing w:after="0" w:line="240" w:lineRule="auto"/>
    </w:pPr>
    <w:tblPr/>
  </w:style>
  <w:style w:type="table" w:styleId="787" w:customStyle="1">
    <w:name w:val="Plain Table 1"/>
    <w:uiPriority w:val="59"/>
    <w:qFormat/>
    <w:pPr>
      <w:spacing w:after="0" w:line="240" w:lineRule="auto"/>
    </w:pPr>
    <w:tblPr/>
  </w:style>
  <w:style w:type="table" w:styleId="788" w:customStyle="1">
    <w:name w:val="Plain Table 2"/>
    <w:uiPriority w:val="59"/>
    <w:qFormat/>
    <w:pPr>
      <w:spacing w:after="0" w:line="240" w:lineRule="auto"/>
    </w:pPr>
    <w:tblPr/>
  </w:style>
  <w:style w:type="table" w:styleId="789" w:customStyle="1">
    <w:name w:val="Plain Table 3"/>
    <w:uiPriority w:val="99"/>
    <w:qFormat/>
    <w:pPr>
      <w:spacing w:after="0" w:line="240" w:lineRule="auto"/>
    </w:pPr>
    <w:tblPr/>
  </w:style>
  <w:style w:type="table" w:styleId="790" w:customStyle="1">
    <w:name w:val="Plain Table 4"/>
    <w:uiPriority w:val="99"/>
    <w:qFormat/>
    <w:pPr>
      <w:spacing w:after="0" w:line="240" w:lineRule="auto"/>
    </w:pPr>
    <w:tblPr/>
  </w:style>
  <w:style w:type="table" w:styleId="791" w:customStyle="1">
    <w:name w:val="Plain Table 5"/>
    <w:uiPriority w:val="99"/>
    <w:qFormat/>
    <w:pPr>
      <w:spacing w:after="0" w:line="240" w:lineRule="auto"/>
    </w:pPr>
    <w:tblPr/>
  </w:style>
  <w:style w:type="table" w:styleId="792" w:customStyle="1">
    <w:name w:val="Grid Table 1 Light"/>
    <w:uiPriority w:val="99"/>
    <w:qFormat/>
    <w:pPr>
      <w:spacing w:after="0" w:line="240" w:lineRule="auto"/>
    </w:pPr>
    <w:tblPr/>
  </w:style>
  <w:style w:type="table" w:styleId="793" w:customStyle="1">
    <w:name w:val="Grid Table 1 Light - Accent 1"/>
    <w:uiPriority w:val="99"/>
    <w:qFormat/>
    <w:pPr>
      <w:spacing w:after="0" w:line="240" w:lineRule="auto"/>
    </w:pPr>
    <w:tblPr/>
  </w:style>
  <w:style w:type="table" w:styleId="794" w:customStyle="1">
    <w:name w:val="Grid Table 1 Light - Accent 2"/>
    <w:uiPriority w:val="99"/>
    <w:qFormat/>
    <w:pPr>
      <w:spacing w:after="0" w:line="240" w:lineRule="auto"/>
    </w:pPr>
    <w:tblPr/>
  </w:style>
  <w:style w:type="table" w:styleId="795" w:customStyle="1">
    <w:name w:val="Grid Table 1 Light - Accent 3"/>
    <w:uiPriority w:val="99"/>
    <w:qFormat/>
    <w:pPr>
      <w:spacing w:after="0" w:line="240" w:lineRule="auto"/>
    </w:pPr>
    <w:tblPr/>
  </w:style>
  <w:style w:type="table" w:styleId="796" w:customStyle="1">
    <w:name w:val="Grid Table 1 Light - Accent 4"/>
    <w:uiPriority w:val="99"/>
    <w:qFormat/>
    <w:pPr>
      <w:spacing w:after="0" w:line="240" w:lineRule="auto"/>
    </w:pPr>
    <w:tblPr/>
  </w:style>
  <w:style w:type="table" w:styleId="797" w:customStyle="1">
    <w:name w:val="Grid Table 1 Light - Accent 5"/>
    <w:uiPriority w:val="99"/>
    <w:qFormat/>
    <w:pPr>
      <w:spacing w:after="0" w:line="240" w:lineRule="auto"/>
    </w:pPr>
    <w:tblPr/>
  </w:style>
  <w:style w:type="table" w:styleId="798" w:customStyle="1">
    <w:name w:val="Grid Table 1 Light - Accent 6"/>
    <w:uiPriority w:val="99"/>
    <w:qFormat/>
    <w:pPr>
      <w:spacing w:after="0" w:line="240" w:lineRule="auto"/>
    </w:pPr>
    <w:tblPr/>
  </w:style>
  <w:style w:type="table" w:styleId="799" w:customStyle="1">
    <w:name w:val="Grid Table 2"/>
    <w:uiPriority w:val="99"/>
    <w:qFormat/>
    <w:pPr>
      <w:spacing w:after="0" w:line="240" w:lineRule="auto"/>
    </w:pPr>
    <w:tblPr/>
  </w:style>
  <w:style w:type="table" w:styleId="800" w:customStyle="1">
    <w:name w:val="Grid Table 2 - Accent 1"/>
    <w:uiPriority w:val="99"/>
    <w:qFormat/>
    <w:pPr>
      <w:spacing w:after="0" w:line="240" w:lineRule="auto"/>
    </w:pPr>
    <w:tblPr/>
  </w:style>
  <w:style w:type="table" w:styleId="801" w:customStyle="1">
    <w:name w:val="Grid Table 2 - Accent 2"/>
    <w:uiPriority w:val="99"/>
    <w:qFormat/>
    <w:pPr>
      <w:spacing w:after="0" w:line="240" w:lineRule="auto"/>
    </w:pPr>
    <w:tblPr/>
  </w:style>
  <w:style w:type="table" w:styleId="802" w:customStyle="1">
    <w:name w:val="Grid Table 2 - Accent 3"/>
    <w:uiPriority w:val="99"/>
    <w:qFormat/>
    <w:pPr>
      <w:spacing w:after="0" w:line="240" w:lineRule="auto"/>
    </w:pPr>
    <w:tblPr/>
  </w:style>
  <w:style w:type="table" w:styleId="803" w:customStyle="1">
    <w:name w:val="Grid Table 2 - Accent 4"/>
    <w:uiPriority w:val="99"/>
    <w:qFormat/>
    <w:pPr>
      <w:spacing w:after="0" w:line="240" w:lineRule="auto"/>
    </w:pPr>
    <w:tblPr/>
  </w:style>
  <w:style w:type="table" w:styleId="804" w:customStyle="1">
    <w:name w:val="Grid Table 2 - Accent 5"/>
    <w:uiPriority w:val="99"/>
    <w:qFormat/>
    <w:pPr>
      <w:spacing w:after="0" w:line="240" w:lineRule="auto"/>
    </w:pPr>
    <w:tblPr/>
  </w:style>
  <w:style w:type="table" w:styleId="805" w:customStyle="1">
    <w:name w:val="Grid Table 2 - Accent 6"/>
    <w:uiPriority w:val="99"/>
    <w:qFormat/>
    <w:pPr>
      <w:spacing w:after="0" w:line="240" w:lineRule="auto"/>
    </w:pPr>
    <w:tblPr/>
  </w:style>
  <w:style w:type="table" w:styleId="806" w:customStyle="1">
    <w:name w:val="Grid Table 3"/>
    <w:uiPriority w:val="99"/>
    <w:qFormat/>
    <w:pPr>
      <w:spacing w:after="0" w:line="240" w:lineRule="auto"/>
    </w:pPr>
    <w:tblPr/>
  </w:style>
  <w:style w:type="table" w:styleId="807" w:customStyle="1">
    <w:name w:val="Grid Table 3 - Accent 1"/>
    <w:uiPriority w:val="99"/>
    <w:qFormat/>
    <w:pPr>
      <w:spacing w:after="0" w:line="240" w:lineRule="auto"/>
    </w:pPr>
    <w:tblPr/>
  </w:style>
  <w:style w:type="table" w:styleId="808" w:customStyle="1">
    <w:name w:val="Grid Table 3 - Accent 2"/>
    <w:uiPriority w:val="99"/>
    <w:qFormat/>
    <w:pPr>
      <w:spacing w:after="0" w:line="240" w:lineRule="auto"/>
    </w:pPr>
    <w:tblPr/>
  </w:style>
  <w:style w:type="table" w:styleId="809" w:customStyle="1">
    <w:name w:val="Grid Table 3 - Accent 3"/>
    <w:uiPriority w:val="99"/>
    <w:qFormat/>
    <w:pPr>
      <w:spacing w:after="0" w:line="240" w:lineRule="auto"/>
    </w:pPr>
    <w:tblPr/>
  </w:style>
  <w:style w:type="table" w:styleId="810" w:customStyle="1">
    <w:name w:val="Grid Table 3 - Accent 4"/>
    <w:uiPriority w:val="99"/>
    <w:qFormat/>
    <w:pPr>
      <w:spacing w:after="0" w:line="240" w:lineRule="auto"/>
    </w:pPr>
    <w:tblPr/>
  </w:style>
  <w:style w:type="table" w:styleId="811" w:customStyle="1">
    <w:name w:val="Grid Table 3 - Accent 5"/>
    <w:uiPriority w:val="99"/>
    <w:qFormat/>
    <w:pPr>
      <w:spacing w:after="0" w:line="240" w:lineRule="auto"/>
    </w:pPr>
    <w:tblPr/>
  </w:style>
  <w:style w:type="table" w:styleId="812" w:customStyle="1">
    <w:name w:val="Grid Table 3 - Accent 6"/>
    <w:uiPriority w:val="99"/>
    <w:qFormat/>
    <w:pPr>
      <w:spacing w:after="0" w:line="240" w:lineRule="auto"/>
    </w:pPr>
    <w:tblPr/>
  </w:style>
  <w:style w:type="table" w:styleId="813" w:customStyle="1">
    <w:name w:val="Grid Table 4"/>
    <w:uiPriority w:val="59"/>
    <w:qFormat/>
    <w:pPr>
      <w:spacing w:after="0" w:line="240" w:lineRule="auto"/>
    </w:pPr>
    <w:tblPr/>
  </w:style>
  <w:style w:type="table" w:styleId="814" w:customStyle="1">
    <w:name w:val="Grid Table 4 - Accent 1"/>
    <w:uiPriority w:val="59"/>
    <w:qFormat/>
    <w:pPr>
      <w:spacing w:after="0" w:line="240" w:lineRule="auto"/>
    </w:pPr>
    <w:tblPr/>
  </w:style>
  <w:style w:type="table" w:styleId="815" w:customStyle="1">
    <w:name w:val="Grid Table 4 - Accent 2"/>
    <w:uiPriority w:val="59"/>
    <w:qFormat/>
    <w:pPr>
      <w:spacing w:after="0" w:line="240" w:lineRule="auto"/>
    </w:pPr>
    <w:tblPr/>
  </w:style>
  <w:style w:type="table" w:styleId="816" w:customStyle="1">
    <w:name w:val="Grid Table 4 - Accent 3"/>
    <w:uiPriority w:val="59"/>
    <w:qFormat/>
    <w:pPr>
      <w:spacing w:after="0" w:line="240" w:lineRule="auto"/>
    </w:pPr>
    <w:tblPr/>
  </w:style>
  <w:style w:type="table" w:styleId="817" w:customStyle="1">
    <w:name w:val="Grid Table 4 - Accent 4"/>
    <w:uiPriority w:val="59"/>
    <w:qFormat/>
    <w:pPr>
      <w:spacing w:after="0" w:line="240" w:lineRule="auto"/>
    </w:pPr>
    <w:tblPr/>
  </w:style>
  <w:style w:type="table" w:styleId="818" w:customStyle="1">
    <w:name w:val="Grid Table 4 - Accent 5"/>
    <w:uiPriority w:val="59"/>
    <w:qFormat/>
    <w:pPr>
      <w:spacing w:after="0" w:line="240" w:lineRule="auto"/>
    </w:pPr>
    <w:tblPr/>
  </w:style>
  <w:style w:type="table" w:styleId="819" w:customStyle="1">
    <w:name w:val="Grid Table 4 - Accent 6"/>
    <w:uiPriority w:val="59"/>
    <w:qFormat/>
    <w:pPr>
      <w:spacing w:after="0" w:line="240" w:lineRule="auto"/>
    </w:pPr>
    <w:tblPr/>
  </w:style>
  <w:style w:type="table" w:styleId="820" w:customStyle="1">
    <w:name w:val="Grid Table 5 Dark"/>
    <w:uiPriority w:val="99"/>
    <w:qFormat/>
    <w:pPr>
      <w:spacing w:after="0" w:line="240" w:lineRule="auto"/>
    </w:pPr>
    <w:tblPr/>
  </w:style>
  <w:style w:type="table" w:styleId="821" w:customStyle="1">
    <w:name w:val="Grid Table 5 Dark- Accent 1"/>
    <w:uiPriority w:val="99"/>
    <w:qFormat/>
    <w:pPr>
      <w:spacing w:after="0" w:line="240" w:lineRule="auto"/>
    </w:pPr>
    <w:tblPr/>
  </w:style>
  <w:style w:type="table" w:styleId="822" w:customStyle="1">
    <w:name w:val="Grid Table 5 Dark - Accent 2"/>
    <w:uiPriority w:val="99"/>
    <w:qFormat/>
    <w:pPr>
      <w:spacing w:after="0" w:line="240" w:lineRule="auto"/>
    </w:pPr>
    <w:tblPr/>
  </w:style>
  <w:style w:type="table" w:styleId="823" w:customStyle="1">
    <w:name w:val="Grid Table 5 Dark - Accent 3"/>
    <w:uiPriority w:val="99"/>
    <w:qFormat/>
    <w:pPr>
      <w:spacing w:after="0" w:line="240" w:lineRule="auto"/>
    </w:pPr>
    <w:tblPr/>
  </w:style>
  <w:style w:type="table" w:styleId="824" w:customStyle="1">
    <w:name w:val="Grid Table 5 Dark- Accent 4"/>
    <w:uiPriority w:val="99"/>
    <w:qFormat/>
    <w:pPr>
      <w:spacing w:after="0" w:line="240" w:lineRule="auto"/>
    </w:pPr>
    <w:tblPr/>
  </w:style>
  <w:style w:type="table" w:styleId="825" w:customStyle="1">
    <w:name w:val="Grid Table 5 Dark - Accent 5"/>
    <w:uiPriority w:val="99"/>
    <w:qFormat/>
    <w:pPr>
      <w:spacing w:after="0" w:line="240" w:lineRule="auto"/>
    </w:pPr>
    <w:tblPr/>
  </w:style>
  <w:style w:type="table" w:styleId="826" w:customStyle="1">
    <w:name w:val="Grid Table 5 Dark - Accent 6"/>
    <w:uiPriority w:val="99"/>
    <w:qFormat/>
    <w:pPr>
      <w:spacing w:after="0" w:line="240" w:lineRule="auto"/>
    </w:pPr>
    <w:tblPr/>
  </w:style>
  <w:style w:type="table" w:styleId="827" w:customStyle="1">
    <w:name w:val="Grid Table 6 Colorful"/>
    <w:uiPriority w:val="99"/>
    <w:qFormat/>
    <w:pPr>
      <w:spacing w:after="0" w:line="240" w:lineRule="auto"/>
    </w:pPr>
    <w:tblPr/>
  </w:style>
  <w:style w:type="table" w:styleId="828" w:customStyle="1">
    <w:name w:val="Grid Table 6 Colorful - Accent 1"/>
    <w:uiPriority w:val="99"/>
    <w:qFormat/>
    <w:pPr>
      <w:spacing w:after="0" w:line="240" w:lineRule="auto"/>
    </w:pPr>
    <w:tblPr/>
  </w:style>
  <w:style w:type="table" w:styleId="829" w:customStyle="1">
    <w:name w:val="Grid Table 6 Colorful - Accent 2"/>
    <w:uiPriority w:val="99"/>
    <w:qFormat/>
    <w:pPr>
      <w:spacing w:after="0" w:line="240" w:lineRule="auto"/>
    </w:pPr>
    <w:tblPr/>
  </w:style>
  <w:style w:type="table" w:styleId="830" w:customStyle="1">
    <w:name w:val="Grid Table 6 Colorful - Accent 3"/>
    <w:uiPriority w:val="99"/>
    <w:qFormat/>
    <w:pPr>
      <w:spacing w:after="0" w:line="240" w:lineRule="auto"/>
    </w:pPr>
    <w:tblPr/>
  </w:style>
  <w:style w:type="table" w:styleId="831" w:customStyle="1">
    <w:name w:val="Grid Table 6 Colorful - Accent 4"/>
    <w:uiPriority w:val="99"/>
    <w:qFormat/>
    <w:pPr>
      <w:spacing w:after="0" w:line="240" w:lineRule="auto"/>
    </w:pPr>
    <w:tblPr/>
  </w:style>
  <w:style w:type="table" w:styleId="832" w:customStyle="1">
    <w:name w:val="Grid Table 6 Colorful - Accent 5"/>
    <w:uiPriority w:val="99"/>
    <w:qFormat/>
    <w:pPr>
      <w:spacing w:after="0" w:line="240" w:lineRule="auto"/>
    </w:pPr>
    <w:tblPr/>
  </w:style>
  <w:style w:type="table" w:styleId="833" w:customStyle="1">
    <w:name w:val="Grid Table 6 Colorful - Accent 6"/>
    <w:uiPriority w:val="99"/>
    <w:qFormat/>
    <w:pPr>
      <w:spacing w:after="0" w:line="240" w:lineRule="auto"/>
    </w:pPr>
    <w:tblPr/>
  </w:style>
  <w:style w:type="table" w:styleId="834" w:customStyle="1">
    <w:name w:val="Grid Table 7 Colorful"/>
    <w:uiPriority w:val="99"/>
    <w:qFormat/>
    <w:pPr>
      <w:spacing w:after="0" w:line="240" w:lineRule="auto"/>
    </w:pPr>
    <w:tblPr/>
  </w:style>
  <w:style w:type="table" w:styleId="835" w:customStyle="1">
    <w:name w:val="Grid Table 7 Colorful - Accent 1"/>
    <w:uiPriority w:val="99"/>
    <w:qFormat/>
    <w:pPr>
      <w:spacing w:after="0" w:line="240" w:lineRule="auto"/>
    </w:pPr>
    <w:tblPr/>
  </w:style>
  <w:style w:type="table" w:styleId="836" w:customStyle="1">
    <w:name w:val="Grid Table 7 Colorful - Accent 2"/>
    <w:uiPriority w:val="99"/>
    <w:qFormat/>
    <w:pPr>
      <w:spacing w:after="0" w:line="240" w:lineRule="auto"/>
    </w:pPr>
    <w:tblPr/>
  </w:style>
  <w:style w:type="table" w:styleId="837" w:customStyle="1">
    <w:name w:val="Grid Table 7 Colorful - Accent 3"/>
    <w:uiPriority w:val="99"/>
    <w:qFormat/>
    <w:pPr>
      <w:spacing w:after="0" w:line="240" w:lineRule="auto"/>
    </w:pPr>
    <w:tblPr/>
  </w:style>
  <w:style w:type="table" w:styleId="838" w:customStyle="1">
    <w:name w:val="Grid Table 7 Colorful - Accent 4"/>
    <w:uiPriority w:val="99"/>
    <w:qFormat/>
    <w:pPr>
      <w:spacing w:after="0" w:line="240" w:lineRule="auto"/>
    </w:pPr>
    <w:tblPr/>
  </w:style>
  <w:style w:type="table" w:styleId="839" w:customStyle="1">
    <w:name w:val="Grid Table 7 Colorful - Accent 5"/>
    <w:uiPriority w:val="99"/>
    <w:qFormat/>
    <w:pPr>
      <w:spacing w:after="0" w:line="240" w:lineRule="auto"/>
    </w:pPr>
    <w:tblPr/>
  </w:style>
  <w:style w:type="table" w:styleId="840" w:customStyle="1">
    <w:name w:val="Grid Table 7 Colorful - Accent 6"/>
    <w:uiPriority w:val="99"/>
    <w:qFormat/>
    <w:pPr>
      <w:spacing w:after="0" w:line="240" w:lineRule="auto"/>
    </w:pPr>
    <w:tblPr/>
  </w:style>
  <w:style w:type="table" w:styleId="841" w:customStyle="1">
    <w:name w:val="List Table 1 Light"/>
    <w:uiPriority w:val="99"/>
    <w:qFormat/>
    <w:pPr>
      <w:spacing w:after="0" w:line="240" w:lineRule="auto"/>
    </w:pPr>
    <w:tblPr/>
  </w:style>
  <w:style w:type="table" w:styleId="842" w:customStyle="1">
    <w:name w:val="List Table 1 Light - Accent 1"/>
    <w:uiPriority w:val="99"/>
    <w:qFormat/>
    <w:pPr>
      <w:spacing w:after="0" w:line="240" w:lineRule="auto"/>
    </w:pPr>
    <w:tblPr/>
  </w:style>
  <w:style w:type="table" w:styleId="843" w:customStyle="1">
    <w:name w:val="List Table 1 Light - Accent 2"/>
    <w:uiPriority w:val="99"/>
    <w:qFormat/>
    <w:pPr>
      <w:spacing w:after="0" w:line="240" w:lineRule="auto"/>
    </w:pPr>
    <w:tblPr/>
  </w:style>
  <w:style w:type="table" w:styleId="844" w:customStyle="1">
    <w:name w:val="List Table 1 Light - Accent 3"/>
    <w:uiPriority w:val="99"/>
    <w:qFormat/>
    <w:pPr>
      <w:spacing w:after="0" w:line="240" w:lineRule="auto"/>
    </w:pPr>
    <w:tblPr/>
  </w:style>
  <w:style w:type="table" w:styleId="845" w:customStyle="1">
    <w:name w:val="List Table 1 Light - Accent 4"/>
    <w:uiPriority w:val="99"/>
    <w:qFormat/>
    <w:pPr>
      <w:spacing w:after="0" w:line="240" w:lineRule="auto"/>
    </w:pPr>
    <w:tblPr/>
  </w:style>
  <w:style w:type="table" w:styleId="846" w:customStyle="1">
    <w:name w:val="List Table 1 Light - Accent 5"/>
    <w:uiPriority w:val="99"/>
    <w:qFormat/>
    <w:pPr>
      <w:spacing w:after="0" w:line="240" w:lineRule="auto"/>
    </w:pPr>
    <w:tblPr/>
  </w:style>
  <w:style w:type="table" w:styleId="847" w:customStyle="1">
    <w:name w:val="List Table 1 Light - Accent 6"/>
    <w:uiPriority w:val="99"/>
    <w:qFormat/>
    <w:pPr>
      <w:spacing w:after="0" w:line="240" w:lineRule="auto"/>
    </w:pPr>
    <w:tblPr/>
  </w:style>
  <w:style w:type="table" w:styleId="848" w:customStyle="1">
    <w:name w:val="List Table 2"/>
    <w:uiPriority w:val="99"/>
    <w:qFormat/>
    <w:pPr>
      <w:spacing w:after="0" w:line="240" w:lineRule="auto"/>
    </w:pPr>
    <w:tblPr/>
  </w:style>
  <w:style w:type="table" w:styleId="849" w:customStyle="1">
    <w:name w:val="List Table 2 - Accent 1"/>
    <w:uiPriority w:val="99"/>
    <w:qFormat/>
    <w:pPr>
      <w:spacing w:after="0" w:line="240" w:lineRule="auto"/>
    </w:pPr>
    <w:tblPr/>
  </w:style>
  <w:style w:type="table" w:styleId="850" w:customStyle="1">
    <w:name w:val="List Table 2 - Accent 2"/>
    <w:uiPriority w:val="99"/>
    <w:qFormat/>
    <w:pPr>
      <w:spacing w:after="0" w:line="240" w:lineRule="auto"/>
    </w:pPr>
    <w:tblPr/>
  </w:style>
  <w:style w:type="table" w:styleId="851" w:customStyle="1">
    <w:name w:val="List Table 2 - Accent 3"/>
    <w:uiPriority w:val="99"/>
    <w:qFormat/>
    <w:pPr>
      <w:spacing w:after="0" w:line="240" w:lineRule="auto"/>
    </w:pPr>
    <w:tblPr/>
  </w:style>
  <w:style w:type="table" w:styleId="852" w:customStyle="1">
    <w:name w:val="List Table 2 - Accent 4"/>
    <w:uiPriority w:val="99"/>
    <w:qFormat/>
    <w:pPr>
      <w:spacing w:after="0" w:line="240" w:lineRule="auto"/>
    </w:pPr>
    <w:tblPr/>
  </w:style>
  <w:style w:type="table" w:styleId="853" w:customStyle="1">
    <w:name w:val="List Table 2 - Accent 5"/>
    <w:uiPriority w:val="99"/>
    <w:qFormat/>
    <w:pPr>
      <w:spacing w:after="0" w:line="240" w:lineRule="auto"/>
    </w:pPr>
    <w:tblPr/>
  </w:style>
  <w:style w:type="table" w:styleId="854" w:customStyle="1">
    <w:name w:val="List Table 2 - Accent 6"/>
    <w:uiPriority w:val="99"/>
    <w:qFormat/>
    <w:pPr>
      <w:spacing w:after="0" w:line="240" w:lineRule="auto"/>
    </w:pPr>
    <w:tblPr/>
  </w:style>
  <w:style w:type="table" w:styleId="855" w:customStyle="1">
    <w:name w:val="List Table 3"/>
    <w:uiPriority w:val="99"/>
    <w:qFormat/>
    <w:pPr>
      <w:spacing w:after="0" w:line="240" w:lineRule="auto"/>
    </w:pPr>
    <w:tblPr/>
  </w:style>
  <w:style w:type="table" w:styleId="856" w:customStyle="1">
    <w:name w:val="List Table 3 - Accent 1"/>
    <w:uiPriority w:val="99"/>
    <w:qFormat/>
    <w:pPr>
      <w:spacing w:after="0" w:line="240" w:lineRule="auto"/>
    </w:pPr>
    <w:tblPr/>
  </w:style>
  <w:style w:type="table" w:styleId="857" w:customStyle="1">
    <w:name w:val="List Table 3 - Accent 2"/>
    <w:uiPriority w:val="99"/>
    <w:qFormat/>
    <w:pPr>
      <w:spacing w:after="0" w:line="240" w:lineRule="auto"/>
    </w:pPr>
    <w:tblPr/>
  </w:style>
  <w:style w:type="table" w:styleId="858" w:customStyle="1">
    <w:name w:val="List Table 3 - Accent 3"/>
    <w:uiPriority w:val="99"/>
    <w:qFormat/>
    <w:pPr>
      <w:spacing w:after="0" w:line="240" w:lineRule="auto"/>
    </w:pPr>
    <w:tblPr/>
  </w:style>
  <w:style w:type="table" w:styleId="859" w:customStyle="1">
    <w:name w:val="List Table 3 - Accent 4"/>
    <w:uiPriority w:val="99"/>
    <w:qFormat/>
    <w:pPr>
      <w:spacing w:after="0" w:line="240" w:lineRule="auto"/>
    </w:pPr>
    <w:tblPr/>
  </w:style>
  <w:style w:type="table" w:styleId="860" w:customStyle="1">
    <w:name w:val="List Table 3 - Accent 5"/>
    <w:uiPriority w:val="99"/>
    <w:qFormat/>
    <w:pPr>
      <w:spacing w:after="0" w:line="240" w:lineRule="auto"/>
    </w:pPr>
    <w:tblPr/>
  </w:style>
  <w:style w:type="table" w:styleId="861" w:customStyle="1">
    <w:name w:val="List Table 3 - Accent 6"/>
    <w:uiPriority w:val="99"/>
    <w:qFormat/>
    <w:pPr>
      <w:spacing w:after="0" w:line="240" w:lineRule="auto"/>
    </w:pPr>
    <w:tblPr/>
  </w:style>
  <w:style w:type="table" w:styleId="862" w:customStyle="1">
    <w:name w:val="List Table 4"/>
    <w:uiPriority w:val="99"/>
    <w:qFormat/>
    <w:pPr>
      <w:spacing w:after="0" w:line="240" w:lineRule="auto"/>
    </w:pPr>
    <w:tblPr/>
  </w:style>
  <w:style w:type="table" w:styleId="863" w:customStyle="1">
    <w:name w:val="List Table 4 - Accent 1"/>
    <w:uiPriority w:val="99"/>
    <w:qFormat/>
    <w:pPr>
      <w:spacing w:after="0" w:line="240" w:lineRule="auto"/>
    </w:pPr>
    <w:tblPr/>
  </w:style>
  <w:style w:type="table" w:styleId="864" w:customStyle="1">
    <w:name w:val="List Table 4 - Accent 2"/>
    <w:uiPriority w:val="99"/>
    <w:qFormat/>
    <w:pPr>
      <w:spacing w:after="0" w:line="240" w:lineRule="auto"/>
    </w:pPr>
    <w:tblPr/>
  </w:style>
  <w:style w:type="table" w:styleId="865" w:customStyle="1">
    <w:name w:val="List Table 4 - Accent 3"/>
    <w:uiPriority w:val="99"/>
    <w:qFormat/>
    <w:pPr>
      <w:spacing w:after="0" w:line="240" w:lineRule="auto"/>
    </w:pPr>
    <w:tblPr/>
  </w:style>
  <w:style w:type="table" w:styleId="866" w:customStyle="1">
    <w:name w:val="List Table 4 - Accent 4"/>
    <w:uiPriority w:val="99"/>
    <w:qFormat/>
    <w:pPr>
      <w:spacing w:after="0" w:line="240" w:lineRule="auto"/>
    </w:pPr>
    <w:tblPr/>
  </w:style>
  <w:style w:type="table" w:styleId="867" w:customStyle="1">
    <w:name w:val="List Table 4 - Accent 5"/>
    <w:uiPriority w:val="99"/>
    <w:qFormat/>
    <w:pPr>
      <w:spacing w:after="0" w:line="240" w:lineRule="auto"/>
    </w:pPr>
    <w:tblPr/>
  </w:style>
  <w:style w:type="table" w:styleId="868" w:customStyle="1">
    <w:name w:val="List Table 4 - Accent 6"/>
    <w:uiPriority w:val="99"/>
    <w:qFormat/>
    <w:pPr>
      <w:spacing w:after="0" w:line="240" w:lineRule="auto"/>
    </w:pPr>
    <w:tblPr/>
  </w:style>
  <w:style w:type="table" w:styleId="869" w:customStyle="1">
    <w:name w:val="List Table 5 Dark"/>
    <w:uiPriority w:val="99"/>
    <w:qFormat/>
    <w:pPr>
      <w:spacing w:after="0" w:line="240" w:lineRule="auto"/>
    </w:pPr>
    <w:tblPr/>
  </w:style>
  <w:style w:type="table" w:styleId="870" w:customStyle="1">
    <w:name w:val="List Table 5 Dark - Accent 1"/>
    <w:uiPriority w:val="99"/>
    <w:qFormat/>
    <w:pPr>
      <w:spacing w:after="0" w:line="240" w:lineRule="auto"/>
    </w:pPr>
    <w:tblPr/>
  </w:style>
  <w:style w:type="table" w:styleId="871" w:customStyle="1">
    <w:name w:val="List Table 5 Dark - Accent 2"/>
    <w:uiPriority w:val="99"/>
    <w:qFormat/>
    <w:pPr>
      <w:spacing w:after="0" w:line="240" w:lineRule="auto"/>
    </w:pPr>
    <w:tblPr/>
  </w:style>
  <w:style w:type="table" w:styleId="872" w:customStyle="1">
    <w:name w:val="List Table 5 Dark - Accent 3"/>
    <w:uiPriority w:val="99"/>
    <w:qFormat/>
    <w:pPr>
      <w:spacing w:after="0" w:line="240" w:lineRule="auto"/>
    </w:pPr>
    <w:tblPr/>
  </w:style>
  <w:style w:type="table" w:styleId="873" w:customStyle="1">
    <w:name w:val="List Table 5 Dark - Accent 4"/>
    <w:uiPriority w:val="99"/>
    <w:qFormat/>
    <w:pPr>
      <w:spacing w:after="0" w:line="240" w:lineRule="auto"/>
    </w:pPr>
    <w:tblPr/>
  </w:style>
  <w:style w:type="table" w:styleId="874" w:customStyle="1">
    <w:name w:val="List Table 5 Dark - Accent 5"/>
    <w:uiPriority w:val="99"/>
    <w:qFormat/>
    <w:pPr>
      <w:spacing w:after="0" w:line="240" w:lineRule="auto"/>
    </w:pPr>
    <w:tblPr/>
  </w:style>
  <w:style w:type="table" w:styleId="875" w:customStyle="1">
    <w:name w:val="List Table 5 Dark - Accent 6"/>
    <w:uiPriority w:val="99"/>
    <w:qFormat/>
    <w:pPr>
      <w:spacing w:after="0" w:line="240" w:lineRule="auto"/>
    </w:pPr>
    <w:tblPr/>
  </w:style>
  <w:style w:type="table" w:styleId="876" w:customStyle="1">
    <w:name w:val="List Table 6 Colorful"/>
    <w:uiPriority w:val="99"/>
    <w:qFormat/>
    <w:pPr>
      <w:spacing w:after="0" w:line="240" w:lineRule="auto"/>
    </w:pPr>
    <w:tblPr/>
  </w:style>
  <w:style w:type="table" w:styleId="877" w:customStyle="1">
    <w:name w:val="List Table 6 Colorful - Accent 1"/>
    <w:uiPriority w:val="99"/>
    <w:qFormat/>
    <w:pPr>
      <w:spacing w:after="0" w:line="240" w:lineRule="auto"/>
    </w:pPr>
    <w:tblPr/>
  </w:style>
  <w:style w:type="table" w:styleId="878" w:customStyle="1">
    <w:name w:val="List Table 6 Colorful - Accent 2"/>
    <w:uiPriority w:val="99"/>
    <w:qFormat/>
    <w:pPr>
      <w:spacing w:after="0" w:line="240" w:lineRule="auto"/>
    </w:pPr>
    <w:tblPr/>
  </w:style>
  <w:style w:type="table" w:styleId="879" w:customStyle="1">
    <w:name w:val="List Table 6 Colorful - Accent 3"/>
    <w:uiPriority w:val="99"/>
    <w:qFormat/>
    <w:pPr>
      <w:spacing w:after="0" w:line="240" w:lineRule="auto"/>
    </w:pPr>
    <w:tblPr/>
  </w:style>
  <w:style w:type="table" w:styleId="880" w:customStyle="1">
    <w:name w:val="List Table 6 Colorful - Accent 4"/>
    <w:uiPriority w:val="99"/>
    <w:qFormat/>
    <w:pPr>
      <w:spacing w:after="0" w:line="240" w:lineRule="auto"/>
    </w:pPr>
    <w:tblPr/>
  </w:style>
  <w:style w:type="table" w:styleId="881" w:customStyle="1">
    <w:name w:val="List Table 6 Colorful - Accent 5"/>
    <w:uiPriority w:val="99"/>
    <w:qFormat/>
    <w:pPr>
      <w:spacing w:after="0" w:line="240" w:lineRule="auto"/>
    </w:pPr>
    <w:tblPr/>
  </w:style>
  <w:style w:type="table" w:styleId="882" w:customStyle="1">
    <w:name w:val="List Table 6 Colorful - Accent 6"/>
    <w:uiPriority w:val="99"/>
    <w:qFormat/>
    <w:pPr>
      <w:spacing w:after="0" w:line="240" w:lineRule="auto"/>
    </w:pPr>
    <w:tblPr/>
  </w:style>
  <w:style w:type="table" w:styleId="883" w:customStyle="1">
    <w:name w:val="List Table 7 Colorful"/>
    <w:uiPriority w:val="99"/>
    <w:qFormat/>
    <w:pPr>
      <w:spacing w:after="0" w:line="240" w:lineRule="auto"/>
    </w:pPr>
    <w:tblPr/>
  </w:style>
  <w:style w:type="table" w:styleId="884" w:customStyle="1">
    <w:name w:val="List Table 7 Colorful - Accent 1"/>
    <w:uiPriority w:val="99"/>
    <w:qFormat/>
    <w:pPr>
      <w:spacing w:after="0" w:line="240" w:lineRule="auto"/>
    </w:pPr>
    <w:tblPr/>
  </w:style>
  <w:style w:type="table" w:styleId="885" w:customStyle="1">
    <w:name w:val="List Table 7 Colorful - Accent 2"/>
    <w:uiPriority w:val="99"/>
    <w:qFormat/>
    <w:pPr>
      <w:spacing w:after="0" w:line="240" w:lineRule="auto"/>
    </w:pPr>
    <w:tblPr/>
  </w:style>
  <w:style w:type="table" w:styleId="886" w:customStyle="1">
    <w:name w:val="List Table 7 Colorful - Accent 3"/>
    <w:uiPriority w:val="99"/>
    <w:qFormat/>
    <w:pPr>
      <w:spacing w:after="0" w:line="240" w:lineRule="auto"/>
    </w:pPr>
    <w:tblPr/>
  </w:style>
  <w:style w:type="table" w:styleId="887" w:customStyle="1">
    <w:name w:val="List Table 7 Colorful - Accent 4"/>
    <w:uiPriority w:val="99"/>
    <w:qFormat/>
    <w:pPr>
      <w:spacing w:after="0" w:line="240" w:lineRule="auto"/>
    </w:pPr>
    <w:tblPr/>
  </w:style>
  <w:style w:type="table" w:styleId="888" w:customStyle="1">
    <w:name w:val="List Table 7 Colorful - Accent 5"/>
    <w:uiPriority w:val="99"/>
    <w:qFormat/>
    <w:pPr>
      <w:spacing w:after="0" w:line="240" w:lineRule="auto"/>
    </w:pPr>
    <w:tblPr/>
  </w:style>
  <w:style w:type="table" w:styleId="889" w:customStyle="1">
    <w:name w:val="List Table 7 Colorful - Accent 6"/>
    <w:uiPriority w:val="99"/>
    <w:qFormat/>
    <w:pPr>
      <w:spacing w:after="0" w:line="240" w:lineRule="auto"/>
    </w:pPr>
    <w:tblPr/>
  </w:style>
  <w:style w:type="table" w:styleId="890" w:customStyle="1">
    <w:name w:val="Lined - Accent"/>
    <w:uiPriority w:val="99"/>
    <w:qFormat/>
    <w:pPr>
      <w:spacing w:after="0" w:line="240" w:lineRule="auto"/>
    </w:pPr>
    <w:rPr>
      <w:color w:val="404040"/>
    </w:rPr>
    <w:tblPr/>
  </w:style>
  <w:style w:type="table" w:styleId="891" w:customStyle="1">
    <w:name w:val="Lined - Accent 1"/>
    <w:uiPriority w:val="99"/>
    <w:qFormat/>
    <w:pPr>
      <w:spacing w:after="0" w:line="240" w:lineRule="auto"/>
    </w:pPr>
    <w:rPr>
      <w:color w:val="404040"/>
    </w:rPr>
    <w:tblPr/>
  </w:style>
  <w:style w:type="table" w:styleId="892" w:customStyle="1">
    <w:name w:val="Lined - Accent 2"/>
    <w:uiPriority w:val="99"/>
    <w:qFormat/>
    <w:pPr>
      <w:spacing w:after="0" w:line="240" w:lineRule="auto"/>
    </w:pPr>
    <w:rPr>
      <w:color w:val="404040"/>
    </w:rPr>
    <w:tblPr/>
  </w:style>
  <w:style w:type="table" w:styleId="893" w:customStyle="1">
    <w:name w:val="Lined - Accent 3"/>
    <w:uiPriority w:val="99"/>
    <w:qFormat/>
    <w:pPr>
      <w:spacing w:after="0" w:line="240" w:lineRule="auto"/>
    </w:pPr>
    <w:rPr>
      <w:color w:val="404040"/>
    </w:rPr>
    <w:tblPr/>
  </w:style>
  <w:style w:type="table" w:styleId="894" w:customStyle="1">
    <w:name w:val="Lined - Accent 4"/>
    <w:uiPriority w:val="99"/>
    <w:qFormat/>
    <w:pPr>
      <w:spacing w:after="0" w:line="240" w:lineRule="auto"/>
    </w:pPr>
    <w:rPr>
      <w:color w:val="404040"/>
    </w:rPr>
    <w:tblPr/>
  </w:style>
  <w:style w:type="table" w:styleId="895" w:customStyle="1">
    <w:name w:val="Lined - Accent 5"/>
    <w:uiPriority w:val="99"/>
    <w:qFormat/>
    <w:pPr>
      <w:spacing w:after="0" w:line="240" w:lineRule="auto"/>
    </w:pPr>
    <w:rPr>
      <w:color w:val="404040"/>
    </w:rPr>
    <w:tblPr/>
  </w:style>
  <w:style w:type="table" w:styleId="896" w:customStyle="1">
    <w:name w:val="Lined - Accent 6"/>
    <w:uiPriority w:val="99"/>
    <w:qFormat/>
    <w:pPr>
      <w:spacing w:after="0" w:line="240" w:lineRule="auto"/>
    </w:pPr>
    <w:rPr>
      <w:color w:val="404040"/>
    </w:rPr>
    <w:tblPr/>
  </w:style>
  <w:style w:type="table" w:styleId="897" w:customStyle="1">
    <w:name w:val="Bordered &amp; Lined - Accent"/>
    <w:uiPriority w:val="99"/>
    <w:qFormat/>
    <w:pPr>
      <w:spacing w:after="0" w:line="240" w:lineRule="auto"/>
    </w:pPr>
    <w:rPr>
      <w:color w:val="404040"/>
    </w:rPr>
    <w:tblPr/>
  </w:style>
  <w:style w:type="table" w:styleId="898" w:customStyle="1">
    <w:name w:val="Bordered &amp; Lined - Accent 1"/>
    <w:uiPriority w:val="99"/>
    <w:qFormat/>
    <w:pPr>
      <w:spacing w:after="0" w:line="240" w:lineRule="auto"/>
    </w:pPr>
    <w:rPr>
      <w:color w:val="404040"/>
    </w:rPr>
    <w:tblPr/>
  </w:style>
  <w:style w:type="table" w:styleId="899" w:customStyle="1">
    <w:name w:val="Bordered &amp; Lined - Accent 2"/>
    <w:uiPriority w:val="99"/>
    <w:qFormat/>
    <w:pPr>
      <w:spacing w:after="0" w:line="240" w:lineRule="auto"/>
    </w:pPr>
    <w:rPr>
      <w:color w:val="404040"/>
    </w:rPr>
    <w:tblPr/>
  </w:style>
  <w:style w:type="table" w:styleId="900" w:customStyle="1">
    <w:name w:val="Bordered &amp; Lined - Accent 3"/>
    <w:uiPriority w:val="99"/>
    <w:qFormat/>
    <w:pPr>
      <w:spacing w:after="0" w:line="240" w:lineRule="auto"/>
    </w:pPr>
    <w:rPr>
      <w:color w:val="404040"/>
    </w:rPr>
    <w:tblPr/>
  </w:style>
  <w:style w:type="table" w:styleId="901" w:customStyle="1">
    <w:name w:val="Bordered &amp; Lined - Accent 4"/>
    <w:uiPriority w:val="99"/>
    <w:qFormat/>
    <w:pPr>
      <w:spacing w:after="0" w:line="240" w:lineRule="auto"/>
    </w:pPr>
    <w:rPr>
      <w:color w:val="404040"/>
    </w:rPr>
    <w:tblPr/>
  </w:style>
  <w:style w:type="table" w:styleId="902" w:customStyle="1">
    <w:name w:val="Bordered &amp; Lined - Accent 5"/>
    <w:uiPriority w:val="99"/>
    <w:qFormat/>
    <w:pPr>
      <w:spacing w:after="0" w:line="240" w:lineRule="auto"/>
    </w:pPr>
    <w:rPr>
      <w:color w:val="404040"/>
    </w:rPr>
    <w:tblPr/>
  </w:style>
  <w:style w:type="table" w:styleId="903" w:customStyle="1">
    <w:name w:val="Bordered &amp; Lined - Accent 6"/>
    <w:uiPriority w:val="99"/>
    <w:qFormat/>
    <w:pPr>
      <w:spacing w:after="0" w:line="240" w:lineRule="auto"/>
    </w:pPr>
    <w:rPr>
      <w:color w:val="404040"/>
    </w:rPr>
    <w:tblPr/>
  </w:style>
  <w:style w:type="table" w:styleId="904" w:customStyle="1">
    <w:name w:val="Bordered"/>
    <w:uiPriority w:val="99"/>
    <w:qFormat/>
    <w:pPr>
      <w:spacing w:after="0" w:line="240" w:lineRule="auto"/>
    </w:pPr>
    <w:tblPr/>
  </w:style>
  <w:style w:type="table" w:styleId="905" w:customStyle="1">
    <w:name w:val="Bordered - Accent 1"/>
    <w:uiPriority w:val="99"/>
    <w:qFormat/>
    <w:pPr>
      <w:spacing w:after="0" w:line="240" w:lineRule="auto"/>
    </w:pPr>
    <w:tblPr/>
  </w:style>
  <w:style w:type="table" w:styleId="906" w:customStyle="1">
    <w:name w:val="Bordered - Accent 2"/>
    <w:uiPriority w:val="99"/>
    <w:qFormat/>
    <w:pPr>
      <w:spacing w:after="0" w:line="240" w:lineRule="auto"/>
    </w:pPr>
    <w:tblPr/>
  </w:style>
  <w:style w:type="table" w:styleId="907" w:customStyle="1">
    <w:name w:val="Bordered - Accent 3"/>
    <w:uiPriority w:val="99"/>
    <w:qFormat/>
    <w:pPr>
      <w:spacing w:after="0" w:line="240" w:lineRule="auto"/>
    </w:pPr>
    <w:tblPr/>
  </w:style>
  <w:style w:type="table" w:styleId="908" w:customStyle="1">
    <w:name w:val="Bordered - Accent 4"/>
    <w:uiPriority w:val="99"/>
    <w:qFormat/>
    <w:pPr>
      <w:spacing w:after="0" w:line="240" w:lineRule="auto"/>
    </w:pPr>
    <w:tblPr/>
  </w:style>
  <w:style w:type="table" w:styleId="909" w:customStyle="1">
    <w:name w:val="Bordered - Accent 5"/>
    <w:uiPriority w:val="99"/>
    <w:qFormat/>
    <w:pPr>
      <w:spacing w:after="0" w:line="240" w:lineRule="auto"/>
    </w:pPr>
    <w:tblPr/>
  </w:style>
  <w:style w:type="table" w:styleId="910" w:customStyle="1">
    <w:name w:val="Bordered - Accent 6"/>
    <w:uiPriority w:val="99"/>
    <w:qFormat/>
    <w:pPr>
      <w:spacing w:after="0" w:line="240" w:lineRule="auto"/>
    </w:pPr>
    <w:tbl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标题 211"/>
    <w:basedOn w:val="688"/>
    <w:next w:val="688"/>
    <w:uiPriority w:val="9"/>
    <w:unhideWhenUsed/>
    <w:qFormat/>
    <w:pPr>
      <w:keepLines/>
      <w:keepNext/>
      <w:spacing w:before="360" w:after="200"/>
      <w:outlineLvl w:val="1"/>
    </w:pPr>
    <w:rPr>
      <w:rFonts w:ascii="Arial" w:hAnsi="Arial" w:eastAsia="Arial" w:cs="Arial"/>
      <w:sz w:val="34"/>
    </w:rPr>
  </w:style>
  <w:style w:type="paragraph" w:styleId="913" w:customStyle="1">
    <w:name w:val="标题 311"/>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914" w:customStyle="1">
    <w:name w:val="标题 411"/>
    <w:basedOn w:val="688"/>
    <w:next w:val="688"/>
    <w:uiPriority w:val="9"/>
    <w:unhideWhenUsed/>
    <w:qFormat/>
    <w:pPr>
      <w:keepLines/>
      <w:keepNext/>
      <w:spacing w:before="320" w:after="200"/>
      <w:outlineLvl w:val="3"/>
    </w:pPr>
    <w:rPr>
      <w:rFonts w:ascii="Arial" w:hAnsi="Arial" w:eastAsia="Arial" w:cs="Arial"/>
      <w:b/>
      <w:bCs/>
      <w:sz w:val="26"/>
      <w:szCs w:val="26"/>
    </w:rPr>
  </w:style>
  <w:style w:type="table" w:styleId="915" w:customStyle="1">
    <w:name w:val="普通表格1"/>
    <w:uiPriority w:val="0"/>
    <w:semiHidden/>
    <w:qFormat/>
    <w:tblPr/>
  </w:style>
  <w:style w:type="paragraph" w:styleId="916" w:customStyle="1">
    <w:name w:val="索引 411"/>
    <w:basedOn w:val="688"/>
    <w:next w:val="688"/>
    <w:uiPriority w:val="99"/>
    <w:qFormat/>
    <w:pPr>
      <w:ind w:left="600"/>
    </w:pPr>
    <w:rPr>
      <w:szCs w:val="24"/>
    </w:rPr>
  </w:style>
  <w:style w:type="paragraph" w:styleId="917" w:customStyle="1">
    <w:name w:val="正文文本11"/>
    <w:basedOn w:val="688"/>
    <w:next w:val="688"/>
    <w:uiPriority w:val="0"/>
    <w:semiHidden/>
    <w:qFormat/>
    <w:rPr>
      <w:rFonts w:ascii="宋体" w:hAnsi="宋体" w:eastAsia="宋体" w:cs="宋体"/>
      <w:sz w:val="24"/>
      <w:szCs w:val="24"/>
      <w:lang w:eastAsia="en-US"/>
    </w:rPr>
  </w:style>
  <w:style w:type="paragraph" w:styleId="918" w:customStyle="1">
    <w:name w:val="正文文本缩进1"/>
    <w:basedOn w:val="688"/>
    <w:next w:val="919"/>
    <w:uiPriority w:val="0"/>
    <w:qFormat/>
    <w:pPr>
      <w:ind w:left="420"/>
      <w:spacing w:after="120"/>
    </w:pPr>
  </w:style>
  <w:style w:type="paragraph" w:styleId="919" w:customStyle="1">
    <w:name w:val="寄信人地址1"/>
    <w:basedOn w:val="688"/>
    <w:uiPriority w:val="0"/>
    <w:qFormat/>
    <w:rPr>
      <w:rFonts w:ascii="Arial" w:hAnsi="Arial"/>
    </w:rPr>
  </w:style>
  <w:style w:type="paragraph" w:styleId="920" w:customStyle="1">
    <w:name w:val="页眉11"/>
    <w:basedOn w:val="688"/>
    <w:uiPriority w:val="99"/>
    <w:unhideWhenUsed/>
    <w:qFormat/>
    <w:pPr>
      <w:tabs>
        <w:tab w:val="center" w:pos="7143" w:leader="none"/>
        <w:tab w:val="right" w:pos="14287" w:leader="none"/>
      </w:tabs>
    </w:pPr>
  </w:style>
  <w:style w:type="paragraph" w:styleId="921" w:customStyle="1">
    <w:name w:val="目录 111"/>
    <w:basedOn w:val="688"/>
    <w:next w:val="688"/>
    <w:uiPriority w:val="39"/>
    <w:unhideWhenUsed/>
    <w:qFormat/>
    <w:pPr>
      <w:spacing w:after="57"/>
    </w:pPr>
  </w:style>
  <w:style w:type="paragraph" w:styleId="922" w:customStyle="1">
    <w:name w:val="普通(网站)1"/>
    <w:basedOn w:val="688"/>
    <w:uiPriority w:val="0"/>
    <w:qFormat/>
    <w:pPr>
      <w:jc w:val="left"/>
      <w:spacing w:before="100" w:beforeAutospacing="1" w:after="100" w:afterAutospacing="1"/>
      <w:widowControl/>
    </w:pPr>
    <w:rPr>
      <w:rFonts w:ascii="宋体" w:hAnsi="宋体" w:cs="宋体"/>
      <w:sz w:val="24"/>
      <w:szCs w:val="24"/>
    </w:rPr>
  </w:style>
  <w:style w:type="table" w:styleId="923" w:customStyle="1">
    <w:name w:val="网格型1"/>
    <w:uiPriority w:val="0"/>
    <w:qFormat/>
    <w:tblPr/>
  </w:style>
  <w:style w:type="character" w:styleId="924" w:customStyle="1">
    <w:name w:val="强调1"/>
    <w:basedOn w:val="777"/>
    <w:link w:val="688"/>
    <w:uiPriority w:val="20"/>
    <w:qFormat/>
    <w:rPr>
      <w:b/>
      <w:bCs/>
    </w:rPr>
  </w:style>
  <w:style w:type="paragraph" w:styleId="925" w:customStyle="1">
    <w:name w:val="引文目录1"/>
    <w:basedOn w:val="688"/>
    <w:next w:val="688"/>
    <w:uiPriority w:val="0"/>
    <w:qFormat/>
    <w:pPr>
      <w:ind w:left="420"/>
    </w:pPr>
  </w:style>
  <w:style w:type="paragraph" w:styleId="926" w:customStyle="1">
    <w:name w:val="纯文本1"/>
    <w:basedOn w:val="688"/>
    <w:next w:val="927"/>
    <w:uiPriority w:val="0"/>
    <w:qFormat/>
    <w:rPr>
      <w:rFonts w:ascii="宋体" w:hAnsi="Courier New" w:eastAsia="宋体"/>
      <w:szCs w:val="20"/>
    </w:rPr>
  </w:style>
  <w:style w:type="paragraph" w:styleId="927" w:customStyle="1">
    <w:name w:val="目录 21"/>
    <w:basedOn w:val="688"/>
    <w:next w:val="688"/>
    <w:uiPriority w:val="39"/>
    <w:unhideWhenUsed/>
    <w:qFormat/>
    <w:pPr>
      <w:ind w:left="420"/>
    </w:pPr>
  </w:style>
  <w:style w:type="paragraph" w:styleId="928" w:customStyle="1">
    <w:name w:val="正文文本1"/>
    <w:basedOn w:val="688"/>
    <w:next w:val="929"/>
    <w:uiPriority w:val="0"/>
    <w:qFormat/>
    <w:rPr>
      <w:rFonts w:ascii="华文中宋" w:hAnsi="Times New Roman" w:eastAsia="华文中宋"/>
      <w:bCs/>
      <w:sz w:val="28"/>
      <w:szCs w:val="20"/>
    </w:rPr>
  </w:style>
  <w:style w:type="paragraph" w:styleId="929" w:customStyle="1">
    <w:name w:val="列表1"/>
    <w:basedOn w:val="688"/>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930" w:customStyle="1">
    <w:name w:val="正文首行缩进1"/>
    <w:basedOn w:val="928"/>
    <w:link w:val="931"/>
    <w:uiPriority w:val="99"/>
    <w:unhideWhenUsed/>
    <w:qFormat/>
    <w:pPr>
      <w:ind w:firstLine="420"/>
      <w:spacing w:after="120"/>
    </w:pPr>
    <w:rPr>
      <w:rFonts w:ascii="等线" w:hAnsi="等线" w:eastAsia="等线"/>
      <w:bCs w:val="0"/>
      <w:sz w:val="21"/>
      <w:szCs w:val="22"/>
    </w:rPr>
  </w:style>
  <w:style w:type="character" w:styleId="931" w:customStyle="1">
    <w:name w:val="正文首行缩进 Char"/>
    <w:link w:val="930"/>
    <w:uiPriority w:val="99"/>
    <w:semiHidden/>
    <w:qFormat/>
    <w:rPr>
      <w:rFonts w:ascii="等线" w:hAnsi="等线" w:eastAsia="等线"/>
      <w:sz w:val="21"/>
      <w:szCs w:val="22"/>
    </w:rPr>
  </w:style>
  <w:style w:type="paragraph" w:styleId="932" w:customStyle="1">
    <w:name w:val="目录 11"/>
    <w:basedOn w:val="688"/>
    <w:next w:val="688"/>
    <w:uiPriority w:val="39"/>
    <w:qFormat/>
    <w:pPr>
      <w:jc w:val="center"/>
      <w:spacing w:before="120" w:after="120"/>
      <w:tabs>
        <w:tab w:val="right" w:pos="9170" w:leader="dot"/>
      </w:tabs>
    </w:pPr>
    <w:rPr>
      <w:rFonts w:eastAsia="文鼎小标宋简"/>
      <w:caps/>
      <w:sz w:val="32"/>
      <w:szCs w:val="32"/>
    </w:rPr>
  </w:style>
  <w:style w:type="paragraph" w:styleId="933" w:customStyle="1">
    <w:name w:val="标题 11"/>
    <w:basedOn w:val="688"/>
    <w:next w:val="688"/>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34" w:customStyle="1">
    <w:name w:val="列出段落1"/>
    <w:basedOn w:val="688"/>
    <w:uiPriority w:val="0"/>
    <w:qFormat/>
    <w:pPr>
      <w:ind w:firstLine="420"/>
    </w:pPr>
    <w:rPr>
      <w:rFonts w:ascii="Calibri" w:hAnsi="Calibri" w:eastAsia="宋体"/>
    </w:rPr>
  </w:style>
  <w:style w:type="paragraph" w:styleId="935" w:customStyle="1">
    <w:name w:val="TOC Heading1"/>
    <w:next w:val="688"/>
    <w:uiPriority w:val="0"/>
    <w:qFormat/>
    <w:rPr>
      <w:rFonts w:hint="default" w:ascii="Times New Roman" w:hAnsi="Times New Roman" w:eastAsia="宋体" w:cs="Times New Roman"/>
      <w:sz w:val="32"/>
      <w:lang w:val="en-US" w:eastAsia="zh-CN" w:bidi="ar-SA"/>
    </w:rPr>
  </w:style>
  <w:style w:type="paragraph" w:styleId="936" w:customStyle="1">
    <w:name w:val="标题 41"/>
    <w:basedOn w:val="688"/>
    <w:next w:val="688"/>
    <w:uiPriority w:val="0"/>
    <w:qFormat/>
    <w:pPr>
      <w:jc w:val="center"/>
      <w:keepLines/>
      <w:keepNext/>
      <w:spacing w:before="120" w:after="120" w:line="360" w:lineRule="auto"/>
      <w:widowControl/>
      <w:outlineLvl w:val="3"/>
    </w:pPr>
    <w:rPr>
      <w:rFonts w:ascii="Arial" w:hAnsi="Arial" w:eastAsia="黑体"/>
      <w:sz w:val="28"/>
      <w:szCs w:val="20"/>
    </w:rPr>
  </w:style>
  <w:style w:type="paragraph" w:styleId="937">
    <w:name w:val="List Paragraph"/>
    <w:basedOn w:val="688"/>
    <w:uiPriority w:val="34"/>
    <w:qFormat/>
    <w:pPr>
      <w:ind w:firstLine="420"/>
    </w:pPr>
    <w:rPr>
      <w:rFonts w:ascii="Times New Roman" w:hAnsi="Times New Roman" w:eastAsia="宋体"/>
      <w:szCs w:val="21"/>
    </w:rPr>
  </w:style>
  <w:style w:type="paragraph" w:styleId="938" w:customStyle="1">
    <w:name w:val="_Style 1"/>
    <w:basedOn w:val="688"/>
    <w:uiPriority w:val="99"/>
    <w:qFormat/>
    <w:pPr>
      <w:ind w:firstLine="420"/>
    </w:pPr>
    <w:rPr>
      <w:rFonts w:ascii="Times New Roman" w:hAnsi="Times New Roman" w:eastAsia="宋体"/>
      <w:sz w:val="20"/>
      <w:szCs w:val="20"/>
    </w:rPr>
  </w:style>
  <w:style w:type="paragraph" w:styleId="939" w:customStyle="1">
    <w:name w:val="标题 21"/>
    <w:basedOn w:val="688"/>
    <w:next w:val="688"/>
    <w:uiPriority w:val="9"/>
    <w:qFormat/>
    <w:pPr>
      <w:keepLines/>
      <w:keepNext/>
      <w:spacing w:before="260" w:after="260" w:line="413" w:lineRule="auto"/>
      <w:outlineLvl w:val="1"/>
    </w:pPr>
    <w:rPr>
      <w:rFonts w:ascii="Arial" w:hAnsi="Arial" w:eastAsia="黑体"/>
      <w:b/>
      <w:bCs/>
      <w:sz w:val="32"/>
      <w:szCs w:val="32"/>
    </w:rPr>
  </w:style>
  <w:style w:type="paragraph" w:styleId="940" w:customStyle="1">
    <w:name w:val="标题 31"/>
    <w:basedOn w:val="688"/>
    <w:next w:val="68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941" w:customStyle="1">
    <w:name w:val="正文缩进1"/>
    <w:basedOn w:val="688"/>
    <w:next w:val="688"/>
    <w:uiPriority w:val="0"/>
    <w:qFormat/>
    <w:pPr>
      <w:ind w:firstLine="420"/>
    </w:pPr>
    <w:rPr>
      <w:rFonts w:ascii="Times New Roman" w:hAnsi="Times New Roman" w:eastAsia="宋体"/>
      <w:szCs w:val="20"/>
    </w:rPr>
  </w:style>
  <w:style w:type="paragraph" w:styleId="942" w:customStyle="1">
    <w:name w:val="样式 小四 段前: 5 磅 段后: 5 磅 首行缩进:  2 字符"/>
    <w:basedOn w:val="688"/>
    <w:uiPriority w:val="0"/>
    <w:qFormat/>
    <w:pPr>
      <w:spacing w:line="360" w:lineRule="auto"/>
    </w:pPr>
    <w:rPr>
      <w:rFonts w:ascii="宋体" w:hAnsi="宋体" w:eastAsia="宋体"/>
      <w:szCs w:val="21"/>
    </w:rPr>
  </w:style>
  <w:style w:type="paragraph" w:styleId="943" w:customStyle="1">
    <w:name w:val="页脚1"/>
    <w:basedOn w:val="688"/>
    <w:next w:val="935"/>
    <w:uiPriority w:val="99"/>
    <w:unhideWhenUsed/>
    <w:qFormat/>
    <w:pPr>
      <w:jc w:val="left"/>
      <w:tabs>
        <w:tab w:val="center" w:pos="4153" w:leader="none"/>
        <w:tab w:val="right" w:pos="8306" w:leader="none"/>
      </w:tabs>
    </w:pPr>
    <w:rPr>
      <w:sz w:val="18"/>
      <w:szCs w:val="18"/>
    </w:rPr>
  </w:style>
  <w:style w:type="paragraph" w:styleId="944" w:customStyle="1">
    <w:name w:val="页眉1"/>
    <w:basedOn w:val="68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5" w:customStyle="1">
    <w:name w:val="font81"/>
    <w:basedOn w:val="777"/>
    <w:link w:val="688"/>
    <w:uiPriority w:val="0"/>
    <w:qFormat/>
    <w:rPr>
      <w:rFonts w:ascii="等线" w:hAnsi="等线" w:eastAsia="等线" w:cs="Times New Roman"/>
      <w:sz w:val="21"/>
      <w:szCs w:val="22"/>
      <w:lang w:val="en-US" w:eastAsia="zh-CN" w:bidi="ar-SA"/>
    </w:rPr>
  </w:style>
  <w:style w:type="character" w:styleId="946" w:customStyle="1">
    <w:name w:val="font51"/>
    <w:basedOn w:val="777"/>
    <w:link w:val="688"/>
    <w:uiPriority w:val="0"/>
    <w:qFormat/>
    <w:rPr>
      <w:rFonts w:ascii="Times New Roman" w:hAnsi="Times New Roman" w:cs="Times New Roman"/>
      <w:color w:val="000000"/>
      <w:sz w:val="24"/>
      <w:szCs w:val="24"/>
      <w:u w:val="none"/>
    </w:rPr>
  </w:style>
  <w:style w:type="character" w:styleId="947" w:customStyle="1">
    <w:name w:val="font71"/>
    <w:basedOn w:val="777"/>
    <w:link w:val="688"/>
    <w:uiPriority w:val="0"/>
    <w:qFormat/>
    <w:rPr>
      <w:rFonts w:ascii="方正仿宋_GBK" w:hAnsi="方正仿宋_GBK" w:eastAsia="方正仿宋_GBK" w:cs="方正仿宋_GBK"/>
      <w:color w:val="000000"/>
      <w:sz w:val="24"/>
      <w:szCs w:val="24"/>
      <w:u w:val="none"/>
    </w:rPr>
  </w:style>
  <w:style w:type="character" w:styleId="948" w:customStyle="1">
    <w:name w:val="font31"/>
    <w:basedOn w:val="777"/>
    <w:link w:val="688"/>
    <w:uiPriority w:val="0"/>
    <w:qFormat/>
    <w:rPr>
      <w:rFonts w:ascii="Times New Roman" w:hAnsi="Times New Roman" w:cs="Times New Roman"/>
      <w:color w:val="000000"/>
      <w:sz w:val="24"/>
      <w:szCs w:val="24"/>
      <w:u w:val="none"/>
    </w:rPr>
  </w:style>
  <w:style w:type="paragraph" w:styleId="949" w:customStyle="1">
    <w:name w:val="List Paragraph1"/>
    <w:basedOn w:val="688"/>
    <w:uiPriority w:val="99"/>
    <w:qFormat/>
    <w:pPr>
      <w:ind w:firstLine="420"/>
      <w:spacing w:line="240" w:lineRule="auto"/>
    </w:pPr>
    <w:rPr>
      <w:szCs w:val="22"/>
    </w:rPr>
  </w:style>
  <w:style w:type="character" w:styleId="950" w:customStyle="1">
    <w:name w:val="titlebody"/>
    <w:uiPriority w:val="0"/>
    <w:qFormat/>
    <w:rPr>
      <w:rFonts w:ascii="宋体" w:hAnsi="宋体" w:eastAsia="宋体" w:cs="宋体"/>
      <w:b/>
      <w:bCs/>
      <w:color w:val="000000"/>
      <w:sz w:val="24"/>
      <w:szCs w:val="24"/>
    </w:rPr>
  </w:style>
  <w:style w:type="paragraph" w:styleId="95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numbering" w:styleId="9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bdfb9a8e-2d9f-4893-a218-c7af83260245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62E9E0EC</paraID>
      <start>9</start>
      <end>10</end>
      <status>unmodified</status>
      <modifiedWord/>
      <trackRevisions>false</trackRevisions>
    </reviewItem>
    <reviewItem>
      <errorID>335faaf1-bada-4a85-883b-2c6e2b87bbfc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579841B3</paraID>
      <start>42</start>
      <end>43</end>
      <status>unmodified</status>
      <modifiedWord/>
      <trackRevisions>false</trackRevisions>
    </reviewItem>
    <reviewItem>
      <errorID>ae8c4512-a8ec-4f2c-9812-10e0a671cf33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12FC33AA</paraID>
      <start>11</start>
      <end>12</end>
      <status>unmodified</status>
      <modifiedWord/>
      <trackRevisions>false</trackRevisions>
    </reviewItem>
    <reviewItem>
      <errorID>d8db41db-eb03-4e44-a6a3-6044c56705b5</errorID>
      <errorWord>（</errorWord>
      <group>L1_Punc</group>
      <groupName>标点问题</groupName>
      <ability>L2_Punc_CN</ability>
      <abilityName>标点符号问题</abilityName>
      <candidateList/>
      <explain>同一形式括号套用。</explain>
      <paraID>2B462C36</paraID>
      <start>58</start>
      <end>59</end>
      <status>unmodified</status>
      <modifiedWord/>
      <trackRevisions>false</trackRevisions>
    </reviewItem>
    <reviewItem>
      <errorID>4648f986-d25d-436c-9a1b-61cb457a7095</errorID>
      <errorWord>）</errorWord>
      <group>L1_Punc</group>
      <groupName>标点问题</groupName>
      <ability>L2_Punc_CN</ability>
      <abilityName>标点符号问题</abilityName>
      <candidateList/>
      <explain>同一形式括号套用。</explain>
      <paraID>2B462C36</paraID>
      <start>65</start>
      <end>66</end>
      <status>unmodified</status>
      <modifiedWord/>
      <trackRevisions>false</trackRevisions>
    </reviewItem>
    <reviewItem>
      <errorID>4fe3b8c6-d193-4d07-8abe-b9ee269a6c46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791FFDD6</paraID>
      <start>49</start>
      <end>50</end>
      <status>unmodified</status>
      <modifiedWord/>
      <trackRevisions>false</trackRevisions>
    </reviewItem>
    <reviewItem>
      <errorID>fbd7492f-5d7d-4faa-a7cf-39d951a4bf75</errorID>
      <errorWord>的</errorWord>
      <group>L1_Word</group>
      <groupName>字词问题</groupName>
      <ability>L2_Typo</ability>
      <abilityName>字词错误</abilityName>
      <candidateList>
        <item/>
      </candidateList>
      <explain/>
      <paraID>3F29EEB2</paraID>
      <start>46</start>
      <end>47</end>
      <status>unmodified</status>
      <modifiedWord/>
      <trackRevisions>false</trackRevisions>
    </reviewItem>
    <reviewItem>
      <errorID>1824f2e5-56f2-4eee-aa52-daa0a74efab6</errorID>
      <errorWord>，</errorWord>
      <group>L1_Word</group>
      <groupName>字词问题</groupName>
      <ability>L2_Typo</ability>
      <abilityName>字词错误</abilityName>
      <candidateList>
        <item>，并</item>
      </candidateList>
      <explain/>
      <paraID>2A2C9F2F</paraID>
      <start>72</start>
      <end>73</end>
      <status>unmodified</status>
      <modifiedWord/>
      <trackRevisions>false</trackRevisions>
    </reviewItem>
    <reviewItem>
      <errorID>d63deef9-a256-4106-88bd-16b3ce1333eb</errorID>
      <errorWord>（</errorWord>
      <group>L1_Punc</group>
      <groupName>标点问题</groupName>
      <ability>L2_Punc_CN</ability>
      <abilityName>标点符号问题</abilityName>
      <candidateList/>
      <explain>同一形式括号套用。</explain>
      <paraID>7741D883</paraID>
      <start>100</start>
      <end>101</end>
      <status>unmodified</status>
      <modifiedWord/>
      <trackRevisions>false</trackRevisions>
    </reviewItem>
    <reviewItem>
      <errorID>7caea177-99ef-4ca3-aa62-d6e739a0eb69</errorID>
      <errorWord>）</errorWord>
      <group>L1_Punc</group>
      <groupName>标点问题</groupName>
      <ability>L2_Punc_CN</ability>
      <abilityName>标点符号问题</abilityName>
      <candidateList/>
      <explain>同一形式括号套用。</explain>
      <paraID>7741D883</paraID>
      <start>107</start>
      <end>108</end>
      <status>unmodified</status>
      <modifiedWord/>
      <trackRevisions>false</trackRevisions>
    </reviewItem>
    <reviewItem>
      <errorID>fdecea34-cc69-49c1-8785-e57ae220e886</errorID>
      <errorWord>（</errorWord>
      <group>L1_Punc</group>
      <groupName>标点问题</groupName>
      <ability>L2_Punc_CN</ability>
      <abilityName>标点符号问题</abilityName>
      <candidateList/>
      <explain>同一形式括号套用。</explain>
      <paraID>4E57AE6A</paraID>
      <start>210</start>
      <end>211</end>
      <status>unmodified</status>
      <modifiedWord/>
      <trackRevisions>false</trackRevisions>
    </reviewItem>
    <reviewItem>
      <errorID>4ca7ffaa-8802-4b7b-b56c-41c641c3467c</errorID>
      <errorWord>）</errorWord>
      <group>L1_Punc</group>
      <groupName>标点问题</groupName>
      <ability>L2_Punc_CN</ability>
      <abilityName>标点符号问题</abilityName>
      <candidateList/>
      <explain>同一形式括号套用。</explain>
      <paraID>4E57AE6A</paraID>
      <start>217</start>
      <end>218</end>
      <status>unmodified</status>
      <modifiedWord/>
      <trackRevisions>false</trackRevisions>
    </reviewItem>
    <reviewItem>
      <errorID>1400bd8a-a65a-4da3-aff6-bf6d833f61b5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22794060</paraID>
      <start>11</start>
      <end>12</end>
      <status>unmodified</status>
      <modifiedWord/>
      <trackRevisions>false</trackRevisions>
    </reviewItem>
    <reviewItem>
      <errorID>0b273a67-23f9-4b92-ba19-20e6dab52a3e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7A40D10C</paraID>
      <start>16</start>
      <end>17</end>
      <status>unmodified</status>
      <modifiedWord/>
      <trackRevisions>false</trackRevisions>
    </reviewItem>
    <reviewItem>
      <errorID>9d87c388-973d-456f-9652-81cbe48a43be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298B5B4E</paraID>
      <start>70</start>
      <end>71</end>
      <status>unmodified</status>
      <modifiedWord/>
      <trackRevisions>false</trackRevisions>
    </reviewItem>
    <reviewItem>
      <errorID>2efa482f-e600-454e-aed4-5c276f091c12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7500D102</paraID>
      <start>37</start>
      <end>38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B41BB5A-3AE5-4B4C-BE26-0CBCA1BC410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周澄娇</cp:lastModifiedBy>
  <cp:revision>11</cp:revision>
  <dcterms:created xsi:type="dcterms:W3CDTF">2024-12-11T05:36:00Z</dcterms:created>
  <dcterms:modified xsi:type="dcterms:W3CDTF">2026-07-28T00:31:35Z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eyJoZGlkIjoiZjE2MjZmYjE1MTMxZjlhY2ZkOWJiMDg5NTM4ZjBiNDEiLCJ1c2VySWQiOiIxMjc3MTEyOTUzIn0=</vt:lpwstr>
  </property>
  <property fmtid="{D5CDD505-2E9C-101B-9397-08002B2CF9AE}" pid="3" name="KSOProductBuildVer">
    <vt:lpwstr>2052-12.1.0.26895</vt:lpwstr>
  </property>
  <property fmtid="{D5CDD505-2E9C-101B-9397-08002B2CF9AE}" pid="4" name="ICV">
    <vt:lpwstr>A52A3E0AF6954AE4BC4CA06CA0F696AD_13</vt:lpwstr>
  </property>
</Properties>
</file>