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jc w:val="center"/>
        <w:tabs>
          <w:tab w:val="left" w:pos="390" w:leader="none"/>
          <w:tab w:val="center" w:pos="4404" w:leader="none"/>
        </w:tabs>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1063"/>
        <w:jc w:val="center"/>
        <w:keepLines w:val="0"/>
        <w:keepNext w:val="0"/>
        <w:pageBreakBefore w:val="0"/>
        <w:spacing w:line="360" w:lineRule="auto"/>
        <w:widowControl w:val="off"/>
        <w:rPr>
          <w:rFonts w:hint="eastAsia" w:ascii="宋体" w:hAnsi="宋体" w:eastAsia="宋体" w:cs="宋体"/>
          <w:color w:val="000000"/>
          <w:sz w:val="44"/>
          <w:szCs w:val="44"/>
          <w:highlight w:val="none"/>
          <w:lang w:eastAsia="zh-CN"/>
        </w:rPr>
      </w:pPr>
      <w:r>
        <w:rPr>
          <w:rFonts w:hint="eastAsia" w:ascii="宋体" w:hAnsi="宋体" w:eastAsia="宋体" w:cs="宋体"/>
          <w:b/>
          <w:color w:val="000000"/>
          <w:sz w:val="40"/>
          <w:szCs w:val="44"/>
          <w:highlight w:val="none"/>
          <w:lang w:eastAsia="zh-CN"/>
        </w:rPr>
        <w:t xml:space="preserve">南京江北新材料科技园封闭化管理优化提升工程</w:t>
      </w:r>
      <w:r>
        <w:rPr>
          <w:rFonts w:hint="eastAsia" w:ascii="宋体" w:hAnsi="宋体" w:eastAsia="宋体" w:cs="宋体"/>
          <w:color w:val="000000"/>
          <w:sz w:val="44"/>
          <w:szCs w:val="44"/>
          <w:highlight w:val="none"/>
          <w:lang w:eastAsia="zh-CN"/>
        </w:rPr>
      </w:r>
      <w:r/>
    </w:p>
    <w:p>
      <w:pPr>
        <w:pStyle w:val="1063"/>
        <w:jc w:val="center"/>
        <w:keepLines w:val="0"/>
        <w:keepNext w:val="0"/>
        <w:pageBreakBefore w:val="0"/>
        <w:spacing w:line="360" w:lineRule="auto"/>
        <w:widowControl w:val="off"/>
        <w:rPr>
          <w:rFonts w:hint="eastAsia" w:ascii="宋体" w:hAnsi="宋体" w:eastAsia="宋体" w:cs="宋体"/>
          <w:color w:val="000000"/>
          <w:sz w:val="32"/>
          <w:szCs w:val="3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eastAsia="zh-CN"/>
        </w:rPr>
        <w:t xml:space="preserve">JSZC-320100-JSJT-C2026-0007</w:t>
      </w:r>
      <w:r>
        <w:rPr>
          <w:rFonts w:hint="eastAsia" w:ascii="宋体" w:hAnsi="宋体" w:eastAsia="宋体" w:cs="宋体"/>
          <w:color w:val="000000"/>
          <w:sz w:val="32"/>
          <w:szCs w:val="36"/>
          <w:highlight w:val="none"/>
        </w:rPr>
        <w:t xml:space="preserve">）</w:t>
      </w:r>
      <w:r>
        <w:rPr>
          <w:rFonts w:hint="eastAsia" w:ascii="宋体" w:hAnsi="宋体" w:eastAsia="宋体" w:cs="宋体"/>
          <w:color w:val="000000"/>
          <w:sz w:val="32"/>
          <w:szCs w:val="36"/>
          <w:highlight w:val="none"/>
        </w:rPr>
      </w:r>
      <w:r/>
    </w:p>
    <w:p>
      <w:pPr>
        <w:pStyle w:val="1063"/>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3"/>
        <w:jc w:val="center"/>
        <w:tabs>
          <w:tab w:val="left" w:pos="390" w:leader="none"/>
          <w:tab w:val="center" w:pos="4404" w:leader="none"/>
        </w:tabs>
        <w:rPr>
          <w:rFonts w:hint="eastAsia" w:ascii="宋体" w:hAnsi="宋体" w:eastAsia="宋体" w:cs="宋体"/>
          <w:b/>
          <w:color w:val="000000"/>
          <w:sz w:val="76"/>
          <w:szCs w:val="76"/>
          <w:highlight w:val="none"/>
        </w:rPr>
      </w:pPr>
      <w:r>
        <w:rPr>
          <w:rFonts w:hint="eastAsia" w:ascii="宋体" w:hAnsi="宋体" w:eastAsia="宋体" w:cs="宋体"/>
          <w:b/>
          <w:color w:val="000000"/>
          <w:sz w:val="76"/>
          <w:szCs w:val="76"/>
          <w:highlight w:val="none"/>
        </w:rPr>
        <w:t xml:space="preserve">竞争性磋商文件</w:t>
      </w:r>
      <w:r>
        <w:rPr>
          <w:rFonts w:hint="eastAsia" w:ascii="宋体" w:hAnsi="宋体" w:eastAsia="宋体" w:cs="宋体"/>
          <w:b/>
          <w:color w:val="000000"/>
          <w:sz w:val="76"/>
          <w:szCs w:val="76"/>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南京市江北新区公共工程建设中心</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采购代理：江苏建同工程咨询有限公司</w:t>
      </w:r>
      <w:r>
        <w:rPr>
          <w:rFonts w:hint="eastAsia" w:ascii="宋体" w:hAnsi="宋体" w:eastAsia="宋体" w:cs="宋体"/>
          <w:color w:val="000000"/>
          <w:sz w:val="32"/>
          <w:szCs w:val="32"/>
          <w:highlight w:val="none"/>
        </w:rPr>
      </w:r>
      <w:r/>
    </w:p>
    <w:p>
      <w:pPr>
        <w:pStyle w:val="1067"/>
        <w:rPr>
          <w:rFonts w:hint="eastAsia"/>
          <w:color w:val="000000"/>
          <w:highlight w:val="none"/>
        </w:rPr>
      </w:pPr>
      <w:r>
        <w:rPr>
          <w:rFonts w:hint="eastAsia"/>
          <w:color w:val="000000"/>
          <w:highlight w:val="none"/>
        </w:rPr>
      </w:r>
      <w:r/>
    </w:p>
    <w:p>
      <w:pPr>
        <w:pStyle w:val="106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eastAsia="zh-CN"/>
        </w:rPr>
        <w:t xml:space="preserve">六</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eastAsia="zh-CN"/>
        </w:rPr>
        <w:t xml:space="preserve">八</w:t>
      </w:r>
      <w:r>
        <w:rPr>
          <w:rFonts w:hint="eastAsia" w:ascii="宋体" w:hAnsi="宋体" w:eastAsia="宋体" w:cs="宋体"/>
          <w:color w:val="000000"/>
          <w:sz w:val="32"/>
          <w:szCs w:val="32"/>
          <w:highlight w:val="none"/>
        </w:rPr>
        <w:t xml:space="preserve">月</w:t>
      </w:r>
      <w:r>
        <w:rPr>
          <w:rFonts w:hint="eastAsia" w:ascii="宋体" w:hAnsi="宋体" w:eastAsia="宋体" w:cs="宋体"/>
          <w:color w:val="000000"/>
          <w:sz w:val="32"/>
          <w:szCs w:val="32"/>
          <w:highlight w:val="none"/>
        </w:rPr>
      </w:r>
      <w:r/>
    </w:p>
    <w:p>
      <w:pPr>
        <w:pStyle w:val="1063"/>
        <w:jc w:val="center"/>
        <w:rPr>
          <w:rFonts w:hint="eastAsia" w:ascii="宋体" w:hAnsi="宋体" w:eastAsia="宋体" w:cs="宋体"/>
          <w:b/>
          <w:color w:val="000000"/>
          <w:sz w:val="28"/>
          <w:szCs w:val="28"/>
          <w:highlight w:val="none"/>
          <w:lang w:val="zh-CN"/>
        </w:rPr>
        <w:sectPr>
          <w:headerReference w:type="default" r:id="rId9"/>
          <w:footerReference w:type="default" r:id="rId12"/>
          <w:footerReference w:type="even" r:id="rId13"/>
          <w:footerReference w:type="first" r:id="rId14"/>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1063"/>
        <w:jc w:val="center"/>
        <w:keepLines w:val="0"/>
        <w:keepNext w:val="0"/>
        <w:pageBreakBefore w:val="0"/>
        <w:spacing w:line="480" w:lineRule="auto"/>
        <w:widowControl w:val="off"/>
        <w:rPr>
          <w:rFonts w:hint="eastAsia" w:ascii="宋体" w:hAnsi="宋体" w:eastAsia="宋体" w:cs="宋体"/>
          <w:b/>
          <w:color w:val="000000"/>
          <w:sz w:val="40"/>
          <w:szCs w:val="40"/>
          <w:highlight w:val="none"/>
          <w:lang w:val="zh-CN"/>
        </w:rPr>
      </w:pPr>
      <w:r>
        <w:rPr>
          <w:rFonts w:hint="eastAsia" w:ascii="宋体" w:hAnsi="宋体" w:eastAsia="宋体" w:cs="宋体"/>
          <w:b/>
          <w:color w:val="000000"/>
          <w:sz w:val="40"/>
          <w:szCs w:val="40"/>
          <w:highlight w:val="none"/>
          <w:lang w:val="zh-CN"/>
        </w:rPr>
        <w:t xml:space="preserve">目  录</w:t>
      </w:r>
      <w:r>
        <w:rPr>
          <w:rFonts w:hint="eastAsia" w:ascii="宋体" w:hAnsi="宋体" w:eastAsia="宋体" w:cs="宋体"/>
          <w:b/>
          <w:color w:val="000000"/>
          <w:sz w:val="40"/>
          <w:szCs w:val="40"/>
          <w:highlight w:val="none"/>
          <w:lang w:val="zh-CN"/>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_Toc10348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供应商须知前附表</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_Toc10348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_Toc16150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竞争性磋商邀请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_Toc16150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_Toc32346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竞争性磋商须知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_Toc32346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_Toc2682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_Toc2682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_Toc19781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_Toc19781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_Toc16532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_Toc16532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_Toc8198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格式附件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_Toc8198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63"/>
        <w:contextualSpacing/>
        <w:keepLines w:val="0"/>
        <w:keepNext w:val="0"/>
        <w:pageBreakBefore w:val="0"/>
        <w:spacing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63"/>
        <w:jc w:val="center"/>
        <w:spacing w:line="360" w:lineRule="auto"/>
        <w:rPr>
          <w:rFonts w:hint="eastAsia" w:ascii="宋体" w:hAnsi="宋体" w:eastAsia="宋体" w:cs="宋体"/>
          <w:b/>
          <w:color w:val="000000"/>
          <w:sz w:val="28"/>
          <w:highlight w:val="none"/>
        </w:rPr>
        <w:sectPr>
          <w:footerReference w:type="default" r:id="rId15"/>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highlight w:val="none"/>
        </w:rPr>
      </w:r>
      <w:r/>
    </w:p>
    <w:p>
      <w:pPr>
        <w:pStyle w:val="1063"/>
        <w:jc w:val="center"/>
        <w:spacing w:line="360" w:lineRule="auto"/>
        <w:rPr>
          <w:rFonts w:hint="eastAsia" w:ascii="宋体" w:hAnsi="宋体" w:eastAsia="宋体" w:cs="宋体"/>
          <w:b/>
          <w:color w:val="000000"/>
          <w:sz w:val="28"/>
          <w:highlight w:val="none"/>
        </w:rPr>
        <w:outlineLvl w:val="0"/>
      </w:pPr>
      <w:r/>
      <w:bookmarkStart w:id="0" w:name="_Toc10348"/>
      <w:r>
        <w:rPr>
          <w:rFonts w:hint="eastAsia" w:ascii="宋体" w:hAnsi="宋体" w:eastAsia="宋体" w:cs="宋体"/>
          <w:b/>
          <w:color w:val="000000"/>
          <w:sz w:val="28"/>
          <w:highlight w:val="none"/>
        </w:rPr>
        <w:t xml:space="preserve">供应商须知前附表</w:t>
      </w:r>
      <w:bookmarkEnd w:id="0"/>
      <w:r>
        <w:rPr>
          <w:rFonts w:hint="eastAsia" w:ascii="宋体" w:hAnsi="宋体" w:eastAsia="宋体" w:cs="宋体"/>
          <w:b/>
          <w:color w:val="000000"/>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855"/>
        <w:gridCol w:w="6430"/>
      </w:tblGrid>
      <w:tr>
        <w:trPr>
          <w:trHeight w:val="421"/>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说明与要求</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南京江北新材料科技园封闭化管理优化提升工程</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JSZC-320100-JSJT-C2026-0007</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人民币</w:t>
            </w:r>
            <w:r>
              <w:rPr>
                <w:rFonts w:hint="eastAsia" w:ascii="宋体" w:hAnsi="宋体" w:eastAsia="宋体" w:cs="宋体"/>
                <w:b/>
                <w:bCs/>
                <w:color w:val="000000"/>
                <w:szCs w:val="21"/>
                <w:highlight w:val="none"/>
                <w:lang w:eastAsia="zh-CN"/>
              </w:rPr>
              <w:t xml:space="preserve">387万元</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本项目最高限价为人民币</w:t>
            </w:r>
            <w:r>
              <w:rPr>
                <w:rFonts w:hint="eastAsia" w:ascii="宋体" w:hAnsi="宋体" w:eastAsia="宋体" w:cs="宋体"/>
                <w:b/>
                <w:bCs/>
                <w:color w:val="000000"/>
                <w:szCs w:val="21"/>
                <w:highlight w:val="none"/>
                <w:lang w:val="en-US" w:eastAsia="zh-CN"/>
              </w:rPr>
              <w:t xml:space="preserve">386.044416</w:t>
            </w:r>
            <w:r>
              <w:rPr>
                <w:rFonts w:hint="eastAsia" w:ascii="宋体" w:hAnsi="宋体" w:eastAsia="宋体" w:cs="宋体"/>
                <w:b/>
                <w:bCs/>
                <w:color w:val="000000"/>
                <w:szCs w:val="21"/>
                <w:highlight w:val="none"/>
                <w:lang w:eastAsia="zh-CN"/>
              </w:rPr>
              <w:t xml:space="preserve">万元</w:t>
            </w:r>
            <w:r>
              <w:rPr>
                <w:rFonts w:hint="eastAsia" w:ascii="宋体" w:hAnsi="宋体" w:eastAsia="宋体" w:cs="宋体"/>
                <w:b/>
                <w:bCs/>
                <w:color w:val="000000"/>
                <w:szCs w:val="21"/>
                <w:highlight w:val="none"/>
              </w:rPr>
              <w:t xml:space="preserve">。注：超出最高限价的报价，将作无效报价处理。</w:t>
            </w:r>
            <w:r>
              <w:rPr>
                <w:rFonts w:hint="eastAsia" w:ascii="宋体" w:hAnsi="宋体" w:eastAsia="宋体" w:cs="宋体"/>
                <w:b/>
                <w:bCs/>
                <w:color w:val="000000"/>
                <w:szCs w:val="21"/>
                <w:highlight w:val="non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采购概述</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highlight w:val="none"/>
                <w:u w:val="singl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r>
            <w:r/>
          </w:p>
        </w:tc>
      </w:tr>
      <w:tr>
        <w:trPr>
          <w:trHeight w:val="993"/>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南京市江北新区公共工程建设中心</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戴工</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rPr>
            </w:r>
            <w:r/>
          </w:p>
        </w:tc>
      </w:tr>
      <w:tr>
        <w:trPr>
          <w:trHeight w:val="397"/>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采购代理机构：江苏建同工程咨询有限公司</w:t>
            </w:r>
            <w:r>
              <w:rPr>
                <w:rFonts w:hint="eastAsia" w:ascii="宋体" w:hAnsi="宋体" w:eastAsia="宋体" w:cs="宋体"/>
                <w:color w:val="000000"/>
                <w:szCs w:val="21"/>
                <w:highlight w:val="none"/>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址：南京市建邺区南湖路58号南苑大厦12楼</w:t>
            </w:r>
            <w:r>
              <w:rPr>
                <w:rFonts w:hint="eastAsia" w:ascii="宋体" w:hAnsi="宋体" w:eastAsia="宋体" w:cs="宋体"/>
                <w:color w:val="000000"/>
                <w:szCs w:val="21"/>
                <w:highlight w:val="none"/>
              </w:rPr>
            </w:r>
            <w:r/>
          </w:p>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话：025-83203815-803</w:t>
            </w:r>
            <w:r>
              <w:rPr>
                <w:rFonts w:hint="eastAsia" w:ascii="宋体" w:hAnsi="宋体" w:eastAsia="宋体" w:cs="宋体"/>
                <w:color w:val="000000"/>
                <w:szCs w:val="21"/>
                <w:highlight w:val="none"/>
              </w:rPr>
            </w:r>
            <w:r/>
          </w:p>
        </w:tc>
      </w:tr>
      <w:tr>
        <w:trPr>
          <w:trHeight w:val="501"/>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南京江北新材料科技园封闭化管理优化提升工程。具体详见工程量清单及图纸。</w:t>
            </w:r>
            <w:r>
              <w:rPr>
                <w:rFonts w:hint="eastAsia" w:ascii="宋体" w:hAnsi="宋体" w:eastAsia="宋体" w:cs="宋体"/>
                <w:color w:val="000000"/>
                <w:szCs w:val="21"/>
                <w:highlight w:val="none"/>
                <w:lang w:eastAsia="zh-CN"/>
              </w:rPr>
            </w:r>
            <w:r/>
          </w:p>
        </w:tc>
      </w:tr>
      <w:tr>
        <w:trPr>
          <w:trHeight w:val="496"/>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widowControl/>
              <w:tabs>
                <w:tab w:val="left" w:pos="1276" w:leader="none"/>
                <w:tab w:val="left" w:pos="4253" w:leader="none"/>
                <w:tab w:val="left" w:pos="56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lang w:eastAsia="zh-CN"/>
              </w:rPr>
              <w:t xml:space="preserve">日历天</w:t>
            </w:r>
            <w:r>
              <w:rPr>
                <w:rFonts w:ascii="宋体" w:hAnsi="宋体" w:eastAsia="宋体" w:cs="宋体"/>
                <w:color w:val="000000"/>
                <w:szCs w:val="21"/>
                <w:highlight w:val="none"/>
                <w:lang w:val="en-US" w:eastAsia="zh-CN"/>
              </w:rPr>
            </w:r>
            <w:r/>
          </w:p>
        </w:tc>
      </w:tr>
      <w:tr>
        <w:trPr>
          <w:trHeight w:val="567"/>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报价货币</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响应文件须采用</w:t>
            </w:r>
            <w:r>
              <w:rPr>
                <w:rFonts w:hint="eastAsia" w:ascii="宋体" w:hAnsi="宋体" w:eastAsia="宋体" w:cs="宋体"/>
                <w:bCs/>
                <w:color w:val="000000"/>
                <w:szCs w:val="21"/>
                <w:highlight w:val="none"/>
                <w:u w:val="none"/>
              </w:rPr>
              <w:t xml:space="preserve">人民币</w:t>
            </w:r>
            <w:r>
              <w:rPr>
                <w:rFonts w:hint="eastAsia" w:ascii="宋体" w:hAnsi="宋体" w:eastAsia="宋体" w:cs="宋体"/>
                <w:bCs/>
                <w:color w:val="000000"/>
                <w:szCs w:val="21"/>
                <w:highlight w:val="none"/>
              </w:rPr>
              <w:t xml:space="preserve">报价。</w:t>
            </w:r>
            <w:r>
              <w:rPr>
                <w:rFonts w:hint="eastAsia" w:ascii="宋体" w:hAnsi="宋体" w:eastAsia="宋体" w:cs="宋体"/>
                <w:color w:val="000000"/>
                <w:szCs w:val="21"/>
                <w:highlight w:val="none"/>
                <w:u w:val="single"/>
              </w:rPr>
            </w:r>
            <w:r/>
          </w:p>
        </w:tc>
      </w:tr>
      <w:tr>
        <w:trPr>
          <w:trHeight w:val="549"/>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报价人资格要求</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left"/>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Cs/>
                <w:color w:val="000000"/>
                <w:highlight w:val="none"/>
                <w:lang w:val="zh-CN"/>
              </w:rPr>
              <w:t xml:space="preserve">详见竞争性磋商公告</w:t>
            </w:r>
            <w:r>
              <w:rPr>
                <w:rFonts w:hint="eastAsia" w:ascii="宋体" w:hAnsi="宋体" w:eastAsia="宋体" w:cs="宋体"/>
                <w:color w:val="000000"/>
                <w:highlight w:val="none"/>
              </w:rPr>
            </w:r>
            <w:r/>
          </w:p>
        </w:tc>
      </w:tr>
      <w:tr>
        <w:trPr>
          <w:trHeight w:val="752"/>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联合体报价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color w:val="000000"/>
                <w:szCs w:val="21"/>
                <w:highlight w:val="none"/>
              </w:rPr>
            </w:r>
            <w:r/>
          </w:p>
        </w:tc>
      </w:tr>
      <w:tr>
        <w:trPr>
          <w:trHeight w:val="564" w:hRule="exact"/>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公告发布媒体</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江苏政府采购网、中国政府采购网</w:t>
            </w:r>
            <w:r>
              <w:rPr>
                <w:rFonts w:hint="eastAsia" w:ascii="宋体" w:hAnsi="宋体" w:eastAsia="宋体" w:cs="宋体"/>
                <w:color w:val="000000"/>
                <w:szCs w:val="21"/>
                <w:highlight w:val="none"/>
              </w:rPr>
            </w:r>
            <w:r/>
          </w:p>
        </w:tc>
      </w:tr>
      <w:tr>
        <w:trPr>
          <w:trHeight w:val="392"/>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pacing w:val="-10"/>
                <w:szCs w:val="21"/>
                <w:highlight w:val="none"/>
              </w:rPr>
            </w:pPr>
            <w:r>
              <w:rPr>
                <w:rFonts w:hint="eastAsia" w:ascii="宋体" w:hAnsi="宋体" w:eastAsia="宋体" w:cs="宋体"/>
                <w:color w:val="000000"/>
                <w:szCs w:val="21"/>
                <w:highlight w:val="none"/>
              </w:rPr>
              <w:t xml:space="preserve">现场踏勘</w:t>
            </w:r>
            <w:r>
              <w:rPr>
                <w:rFonts w:hint="eastAsia" w:ascii="宋体" w:hAnsi="宋体" w:eastAsia="宋体" w:cs="宋体"/>
                <w:color w:val="000000"/>
                <w:spacing w:val="-1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本项目组织集中踏勘及答疑，供应商代表携带加盖单位公章的法定代表人授权委托书和被授权人身份证复印件参加。签到时间：</w:t>
            </w:r>
            <w:r>
              <w:rPr>
                <w:rFonts w:hint="eastAsia" w:ascii="宋体" w:hAnsi="宋体" w:eastAsia="宋体" w:cs="宋体"/>
                <w:color w:val="000000"/>
                <w:szCs w:val="21"/>
                <w:highlight w:val="none"/>
                <w:lang w:eastAsia="zh-CN"/>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0分至</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t xml:space="preserve">集合地址：</w:t>
            </w:r>
            <w:r>
              <w:rPr>
                <w:rFonts w:hint="eastAsia" w:ascii="宋体" w:hAnsi="宋体" w:eastAsia="宋体" w:cs="宋体"/>
                <w:color w:val="000000"/>
                <w:szCs w:val="21"/>
                <w:highlight w:val="none"/>
                <w:lang w:val="en-US" w:eastAsia="zh-CN"/>
              </w:rPr>
              <w:t xml:space="preserve">沿河路沿线</w:t>
            </w: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戴工。</w:t>
            </w:r>
            <w:r>
              <w:rPr>
                <w:rFonts w:hint="eastAsia" w:ascii="宋体" w:hAnsi="宋体" w:eastAsia="宋体" w:cs="宋体"/>
                <w:color w:val="000000"/>
                <w:szCs w:val="21"/>
                <w:highlight w:val="none"/>
                <w:lang w:eastAsia="zh-CN"/>
              </w:rPr>
              <w:t xml:space="preserve">联系电话：</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lang w:eastAsia="zh-CN"/>
              </w:rPr>
              <w:t xml:space="preserve">。各供应商应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如供应商主动放弃现场踏勘，不得以不完全了解现场情况为由向采购人提出任何索赔或其他要求，对此采购人不承担任何责任。</w:t>
            </w:r>
            <w:r>
              <w:rPr>
                <w:rFonts w:hint="eastAsia" w:ascii="宋体" w:hAnsi="宋体" w:eastAsia="宋体" w:cs="宋体"/>
                <w:color w:val="000000"/>
                <w:szCs w:val="21"/>
                <w:highlight w:val="none"/>
                <w:lang w:eastAsia="zh-CN"/>
              </w:rPr>
            </w:r>
            <w:r/>
          </w:p>
        </w:tc>
      </w:tr>
      <w:tr>
        <w:trPr>
          <w:trHeight w:val="624"/>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领取磋商补充文件</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时间及地点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时间：另行安排（如有）</w:t>
            </w:r>
            <w:r>
              <w:rPr>
                <w:rFonts w:hint="eastAsia" w:ascii="宋体" w:hAnsi="宋体" w:eastAsia="宋体" w:cs="宋体"/>
                <w:color w:val="000000"/>
                <w:szCs w:val="21"/>
                <w:highlight w:val="none"/>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59"/>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接收质疑的方式及联系方式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报价人应在法定质疑期内一次性提出针对同一采购程序环节的质疑，质疑函应以书面形式递交至采购代理机构（须由法定代表人、主要负责人或其授权代表签字或者盖章，并加盖报价人公章）</w:t>
            </w:r>
            <w:r>
              <w:rPr>
                <w:rFonts w:hint="eastAsia" w:ascii="宋体" w:hAnsi="宋体" w:eastAsia="宋体" w:cs="宋体"/>
                <w:color w:val="000000"/>
                <w:szCs w:val="21"/>
                <w:highlight w:val="none"/>
              </w:rPr>
            </w:r>
            <w:r/>
          </w:p>
          <w:p>
            <w:pPr>
              <w:pStyle w:val="1063"/>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联系方式详见本表</w:t>
            </w:r>
            <w:r>
              <w:rPr>
                <w:rFonts w:hint="eastAsia" w:ascii="宋体" w:hAnsi="宋体" w:eastAsia="宋体" w:cs="宋体"/>
                <w:color w:val="000000"/>
                <w:szCs w:val="21"/>
                <w:highlight w:val="none"/>
              </w:rPr>
            </w:r>
            <w:r/>
          </w:p>
        </w:tc>
      </w:tr>
      <w:tr>
        <w:trPr>
          <w:trHeight w:val="515"/>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报价有效期</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报价截止之日起</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rPr>
              <w:t xml:space="preserve">日历日</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响应文件递交截止</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138"/>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en-US" w:eastAsia="zh-CN"/>
              </w:rPr>
              <w:t xml:space="preserve">14时30分</w:t>
            </w:r>
            <w:r>
              <w:rPr>
                <w:rFonts w:hint="eastAsia" w:ascii="宋体" w:hAnsi="宋体" w:eastAsia="宋体" w:cs="宋体"/>
                <w:color w:val="000000"/>
                <w:sz w:val="21"/>
                <w:szCs w:val="21"/>
                <w:highlight w:val="none"/>
              </w:rPr>
            </w:r>
            <w:r/>
          </w:p>
          <w:p>
            <w:pPr>
              <w:pStyle w:val="1138"/>
              <w:contextualSpacing/>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bCs/>
                <w:color w:val="000000"/>
                <w:sz w:val="21"/>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磋商会</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：同</w:t>
            </w:r>
            <w:r>
              <w:rPr>
                <w:rFonts w:hint="eastAsia" w:ascii="宋体" w:hAnsi="宋体" w:eastAsia="宋体" w:cs="宋体"/>
                <w:bCs/>
                <w:color w:val="000000"/>
                <w:szCs w:val="21"/>
                <w:highlight w:val="none"/>
              </w:rPr>
              <w:t xml:space="preserve">响应文件递交截止时间</w:t>
            </w:r>
            <w:r>
              <w:rPr>
                <w:rFonts w:hint="eastAsia" w:ascii="宋体" w:hAnsi="宋体" w:eastAsia="宋体" w:cs="宋体"/>
                <w:color w:val="000000"/>
                <w:szCs w:val="21"/>
                <w:highlight w:val="none"/>
              </w:rPr>
            </w:r>
            <w:r/>
          </w:p>
          <w:p>
            <w:pPr>
              <w:pStyle w:val="1138"/>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eastAsia="zh-CN"/>
              </w:rPr>
              <w:t xml:space="preserve">响应</w:t>
            </w:r>
            <w:r>
              <w:rPr>
                <w:rFonts w:hint="eastAsia" w:ascii="宋体" w:hAnsi="宋体" w:eastAsia="宋体"/>
                <w:bCs/>
                <w:color w:val="000000"/>
                <w:sz w:val="21"/>
                <w:szCs w:val="21"/>
                <w:highlight w:val="none"/>
              </w:rPr>
              <w:t xml:space="preserve">文件的递交和解密</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w:t>
            </w:r>
            <w:r>
              <w:rPr>
                <w:rFonts w:hint="eastAsia" w:ascii="宋体" w:hAnsi="宋体" w:eastAsia="宋体" w:cs="宋体"/>
                <w:bCs/>
                <w:color w:val="000000"/>
                <w:sz w:val="21"/>
                <w:szCs w:val="21"/>
                <w:highlight w:val="none"/>
                <w:lang w:val="en-US" w:eastAsia="zh-CN"/>
              </w:rPr>
              <w:t xml:space="preserve">竞争性磋商文件</w:t>
            </w:r>
            <w:r>
              <w:rPr>
                <w:rFonts w:hint="eastAsia" w:ascii="宋体" w:hAnsi="宋体" w:eastAsia="宋体" w:cs="宋体"/>
                <w:bCs/>
                <w:color w:val="000000"/>
                <w:sz w:val="21"/>
                <w:szCs w:val="21"/>
                <w:highlight w:val="none"/>
                <w:lang w:val="en-US"/>
              </w:rPr>
              <w:t xml:space="preserve">规定的</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截止时间前制作并上传电子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lang w:val="en-US"/>
              </w:rPr>
              <w:t xml:space="preserve">代理机构拒绝接收</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截止时间后上传的任何电子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rPr>
            </w:r>
            <w:r/>
          </w:p>
          <w:p>
            <w:pPr>
              <w:pStyle w:val="1063"/>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（2）供应商应当按照《操作手册》规定，在“苏采云”系统规定的时间内对</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文件进行解密。供应商应充分考虑网络环境、网络带宽等因素可能对投标产生的影响，如因供应商自身原因造成的电子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文件解密不成功的，做无效投标处理。</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评审方法</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综合评分法</w:t>
            </w:r>
            <w:r>
              <w:rPr>
                <w:rFonts w:hint="eastAsia" w:ascii="宋体" w:hAnsi="宋体" w:eastAsia="宋体" w:cs="宋体"/>
                <w:color w:val="000000"/>
                <w:szCs w:val="21"/>
                <w:highlight w:val="none"/>
              </w:rPr>
            </w:r>
            <w:r/>
          </w:p>
        </w:tc>
      </w:tr>
      <w:tr>
        <w:trPr>
          <w:trHeight w:val="567"/>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如发生</w:t>
            </w:r>
            <w:r>
              <w:rPr>
                <w:rFonts w:hint="eastAsia" w:ascii="宋体" w:hAnsi="宋体" w:eastAsia="宋体" w:cs="宋体"/>
                <w:color w:val="000000"/>
                <w:szCs w:val="21"/>
                <w:highlight w:val="none"/>
                <w:lang w:eastAsia="zh-CN"/>
              </w:rPr>
              <w:t xml:space="preserve">下</w:t>
            </w:r>
            <w:r>
              <w:rPr>
                <w:rFonts w:hint="eastAsia" w:ascii="宋体" w:hAnsi="宋体" w:eastAsia="宋体" w:cs="宋体"/>
                <w:color w:val="000000"/>
                <w:szCs w:val="21"/>
                <w:highlight w:val="none"/>
              </w:rPr>
              <w:t xml:space="preserve">列情况之一，报价人的报价将被拒绝</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numPr>
                <w:ilvl w:val="0"/>
                <w:numId w:val="7"/>
              </w:numPr>
              <w:contextualSpacing/>
              <w:ind w:left="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（1）在递交截止时间后上传的电子响应文件；</w:t>
            </w:r>
            <w:r>
              <w:rPr>
                <w:rFonts w:hint="eastAsia" w:ascii="宋体" w:hAnsi="宋体" w:eastAsia="宋体" w:cs="宋体"/>
                <w:color w:val="000000"/>
                <w:szCs w:val="21"/>
                <w:highlight w:val="none"/>
              </w:rPr>
            </w:r>
            <w:r/>
          </w:p>
          <w:p>
            <w:pPr>
              <w:pStyle w:val="1063"/>
              <w:numPr>
                <w:ilvl w:val="0"/>
                <w:numId w:val="7"/>
              </w:numPr>
              <w:contextualSpacing/>
              <w:ind w:left="0"/>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（2）未在规定时间内解密的</w:t>
            </w:r>
            <w:r>
              <w:rPr>
                <w:rFonts w:hint="eastAsia" w:ascii="宋体" w:hAnsi="宋体" w:eastAsia="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tc>
      </w:tr>
      <w:tr>
        <w:trPr>
          <w:trHeight w:val="567"/>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left"/>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详见合同</w:t>
            </w:r>
            <w:r>
              <w:rPr>
                <w:rFonts w:hint="eastAsia" w:ascii="宋体" w:hAnsi="宋体" w:eastAsia="宋体" w:cs="宋体"/>
                <w:color w:val="000000"/>
                <w:szCs w:val="21"/>
                <w:highlight w:val="none"/>
              </w:rPr>
            </w:r>
            <w:r/>
          </w:p>
        </w:tc>
      </w:tr>
      <w:tr>
        <w:trPr>
          <w:trHeight w:val="954"/>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采购项目需要落实的政府采购情况</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highlight w:val="none"/>
              </w:rPr>
            </w:r>
            <w:r/>
          </w:p>
        </w:tc>
      </w:tr>
      <w:tr>
        <w:trPr>
          <w:trHeight w:val="649"/>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shd w:val="clear" w:color="auto" w:fill="ffffff"/>
              <w:widowControl/>
              <w:rPr>
                <w:rFonts w:hint="eastAsia" w:ascii="宋体" w:hAnsi="宋体" w:eastAsia="宋体" w:cs="宋体"/>
                <w:bCs/>
                <w:color w:val="000000"/>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val="en-US"/>
              </w:rPr>
              <w:t xml:space="preserve">建筑业</w:t>
            </w:r>
            <w:r>
              <w:rPr>
                <w:rFonts w:hint="eastAsia" w:ascii="宋体" w:hAnsi="宋体" w:eastAsia="宋体" w:cs="宋体"/>
                <w:color w:val="000000"/>
                <w:szCs w:val="21"/>
                <w:highlight w:val="none"/>
              </w:rPr>
            </w:r>
            <w:r/>
          </w:p>
        </w:tc>
      </w:tr>
      <w:tr>
        <w:trPr>
          <w:trHeight w:val="649"/>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其他</w:t>
            </w:r>
            <w:r>
              <w:rPr>
                <w:rFonts w:hint="eastAsia" w:ascii="宋体" w:hAnsi="宋体" w:eastAsia="宋体"/>
                <w:color w:val="000000"/>
                <w:sz w:val="21"/>
                <w:szCs w:val="21"/>
                <w:highlight w:val="none"/>
                <w:lang w:eastAsia="zh-CN"/>
              </w:rPr>
            </w:r>
            <w:r/>
          </w:p>
        </w:tc>
        <w:tc>
          <w:tcPr>
            <w:tcW w:w="3557" w:type="dxa"/>
            <w:vAlign w:val="center"/>
            <w:textDirection w:val="lrTb"/>
            <w:noWrap w:val="false"/>
          </w:tcPr>
          <w:p>
            <w:pPr>
              <w:pStyle w:val="1063"/>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（1）成交</w:t>
            </w:r>
            <w:r>
              <w:rPr>
                <w:rFonts w:hint="eastAsia" w:ascii="宋体" w:hAnsi="宋体" w:eastAsia="宋体" w:cs="等线"/>
                <w:bCs/>
                <w:color w:val="000000"/>
                <w:sz w:val="21"/>
                <w:szCs w:val="21"/>
                <w:highlight w:val="none"/>
                <w:lang w:val="en-US"/>
              </w:rPr>
              <w:t xml:space="preserve">后，</w:t>
            </w:r>
            <w:r>
              <w:rPr>
                <w:rFonts w:hint="eastAsia" w:ascii="宋体" w:hAnsi="宋体" w:eastAsia="宋体" w:cs="等线"/>
                <w:bCs/>
                <w:color w:val="000000"/>
                <w:sz w:val="21"/>
                <w:szCs w:val="21"/>
                <w:highlight w:val="none"/>
                <w:lang w:val="en-US" w:eastAsia="zh-CN"/>
              </w:rPr>
              <w:t xml:space="preserve">成交人</w:t>
            </w:r>
            <w:r>
              <w:rPr>
                <w:rFonts w:hint="eastAsia" w:ascii="宋体" w:hAnsi="宋体" w:eastAsia="宋体" w:cs="等线"/>
                <w:bCs/>
                <w:color w:val="000000"/>
                <w:sz w:val="21"/>
                <w:szCs w:val="21"/>
                <w:highlight w:val="none"/>
                <w:lang w:val="en-US"/>
              </w:rPr>
              <w:t xml:space="preserve">需无偿提供胶装牢固的纸质版响应文件</w:t>
            </w:r>
            <w:r>
              <w:rPr>
                <w:rFonts w:hint="eastAsia" w:ascii="宋体" w:hAnsi="宋体" w:eastAsia="宋体" w:cs="等线"/>
                <w:bCs/>
                <w:color w:val="000000"/>
                <w:sz w:val="21"/>
                <w:szCs w:val="21"/>
                <w:highlight w:val="none"/>
                <w:lang w:val="en-US" w:eastAsia="zh-CN"/>
              </w:rPr>
              <w:t xml:space="preserve">3</w:t>
            </w:r>
            <w:r>
              <w:rPr>
                <w:rFonts w:hint="eastAsia" w:ascii="宋体" w:hAnsi="宋体" w:eastAsia="宋体" w:cs="等线"/>
                <w:bCs/>
                <w:color w:val="000000"/>
                <w:sz w:val="21"/>
                <w:szCs w:val="21"/>
                <w:highlight w:val="none"/>
                <w:lang w:val="en-US"/>
              </w:rPr>
              <w:t xml:space="preserve">份</w:t>
            </w:r>
            <w:r>
              <w:rPr>
                <w:rFonts w:hint="eastAsia" w:ascii="宋体" w:hAnsi="宋体" w:eastAsia="宋体" w:cs="等线"/>
                <w:bCs/>
                <w:color w:val="000000"/>
                <w:sz w:val="21"/>
                <w:szCs w:val="21"/>
                <w:highlight w:val="none"/>
                <w:lang w:val="en-US" w:eastAsia="zh-CN"/>
              </w:rPr>
              <w:t xml:space="preserve">。</w:t>
            </w:r>
            <w:r>
              <w:rPr>
                <w:rFonts w:hint="eastAsia" w:ascii="宋体" w:hAnsi="宋体" w:eastAsia="宋体" w:cs="等线"/>
                <w:bCs/>
                <w:color w:val="000000"/>
                <w:sz w:val="21"/>
                <w:szCs w:val="21"/>
                <w:highlight w:val="none"/>
                <w:lang w:val="en-US" w:eastAsia="zh-CN"/>
              </w:rPr>
            </w:r>
            <w:r/>
          </w:p>
          <w:p>
            <w:pPr>
              <w:pStyle w:val="1063"/>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（2）本工程前期资料已上传至网盘，各供应商可自行下载。</w:t>
            </w:r>
            <w:r>
              <w:rPr>
                <w:rFonts w:hint="eastAsia" w:ascii="宋体" w:hAnsi="宋体" w:eastAsia="宋体" w:cs="等线"/>
                <w:bCs/>
                <w:color w:val="000000"/>
                <w:sz w:val="21"/>
                <w:szCs w:val="21"/>
                <w:highlight w:val="none"/>
                <w:lang w:val="en-US" w:eastAsia="zh-CN"/>
              </w:rPr>
            </w:r>
            <w:r/>
          </w:p>
          <w:p>
            <w:pPr>
              <w:pStyle w:val="1063"/>
              <w:numPr>
                <w:ilvl w:val="0"/>
                <w:numId w:val="0"/>
              </w:numPr>
              <w:contextualSpacing/>
              <w:jc w:val="left"/>
              <w:keepLines w:val="0"/>
              <w:keepNext w:val="0"/>
              <w:pageBreakBefore w:val="0"/>
              <w:spacing w:line="360" w:lineRule="exact"/>
              <w:shd w:val="clear" w:color="auto" w:fill="ffffff"/>
              <w:widowControl/>
              <w:rPr>
                <w:rFonts w:hint="eastAsia"/>
                <w:color w:val="000000"/>
                <w:highlight w:val="none"/>
                <w:lang w:val="en-US" w:eastAsia="zh-CN"/>
              </w:rPr>
            </w:pPr>
            <w:r>
              <w:rPr>
                <w:rFonts w:hint="eastAsia" w:ascii="宋体" w:hAnsi="宋体" w:eastAsia="宋体" w:cs="等线"/>
                <w:bCs/>
                <w:color w:val="000000"/>
                <w:sz w:val="21"/>
                <w:szCs w:val="21"/>
                <w:highlight w:val="none"/>
                <w:lang w:val="en-US" w:eastAsia="zh-CN"/>
              </w:rPr>
              <w:t xml:space="preserve">链接: https://pan.baidu.com/s/18xEh2Btysvf5KWPph7xqpg?pwd=1234 提取码: 1234</w:t>
            </w:r>
            <w:r>
              <w:rPr>
                <w:rFonts w:hint="eastAsia" w:ascii="宋体" w:hAnsi="宋体" w:eastAsia="宋体" w:cs="等线"/>
                <w:bCs/>
                <w:color w:val="000000"/>
                <w:sz w:val="21"/>
                <w:szCs w:val="21"/>
                <w:highlight w:val="none"/>
                <w:lang w:val="en-US" w:eastAsia="zh-CN"/>
              </w:rPr>
              <w:t xml:space="preserve">。请各投标单位自行下载前期资料。未在规定时间内拷取的，将被视为已获取前期资料的全部信息。</w:t>
            </w:r>
            <w:r>
              <w:rPr>
                <w:rFonts w:hint="eastAsia"/>
                <w:color w:val="000000"/>
                <w:highlight w:val="none"/>
                <w:lang w:val="en-US" w:eastAsia="zh-CN"/>
              </w:rPr>
            </w:r>
            <w:r/>
          </w:p>
        </w:tc>
      </w:tr>
    </w:tbl>
    <w:p>
      <w:pPr>
        <w:pStyle w:val="1063"/>
        <w:jc w:val="center"/>
        <w:spacing w:line="36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color w:val="000000"/>
          <w:sz w:val="24"/>
          <w:szCs w:val="24"/>
          <w:highlight w:val="none"/>
        </w:rPr>
        <w:br w:type="page" w:clear="all"/>
      </w:r>
      <w:bookmarkStart w:id="1" w:name="_Toc16150"/>
      <w:r>
        <w:rPr>
          <w:rFonts w:hint="eastAsia" w:ascii="宋体" w:hAnsi="宋体" w:eastAsia="宋体" w:cs="宋体"/>
          <w:b/>
          <w:color w:val="000000"/>
          <w:sz w:val="28"/>
          <w:szCs w:val="28"/>
          <w:highlight w:val="none"/>
        </w:rPr>
        <w:t xml:space="preserve">第一章 竞争性磋商邀请</w:t>
      </w:r>
      <w:bookmarkEnd w:id="1"/>
      <w:r>
        <w:rPr>
          <w:rFonts w:hint="eastAsia" w:ascii="宋体" w:hAnsi="宋体" w:eastAsia="宋体" w:cs="宋体"/>
          <w:b/>
          <w:color w:val="000000"/>
          <w:sz w:val="28"/>
          <w:szCs w:val="28"/>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5000" w:type="dxa"/>
            <w:vAlign w:val="center"/>
            <w:textDirection w:val="lrTb"/>
            <w:noWrap w:val="false"/>
          </w:tcPr>
          <w:p>
            <w:pPr>
              <w:pStyle w:val="1063"/>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1063"/>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南京江北新材料科技园封闭化管理优化提升工程</w:t>
            </w: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JSZC-320100-JSJT-C2026-0007</w:t>
            </w:r>
            <w:r>
              <w:rPr>
                <w:rFonts w:ascii="宋体" w:hAnsi="宋体" w:eastAsia="宋体" w:cs="宋体"/>
                <w:color w:val="000000"/>
                <w:szCs w:val="21"/>
                <w:highlight w:val="none"/>
                <w:lang w:val="zh-CN"/>
              </w:rPr>
              <w:t xml:space="preserve"> 采购项目的潜在供应商应在</w:t>
            </w:r>
            <w:r>
              <w:rPr>
                <w:rFonts w:hint="eastAsia" w:ascii="宋体" w:hAnsi="宋体" w:eastAsia="宋体" w:cs="宋体"/>
                <w:color w:val="000000"/>
                <w:szCs w:val="21"/>
                <w:highlight w:val="none"/>
              </w:rPr>
              <w:t xml:space="preserve">“江苏政府采购网”自行免费下载获取</w:t>
            </w:r>
            <w:r>
              <w:rPr>
                <w:rFonts w:ascii="宋体" w:hAnsi="宋体" w:eastAsia="宋体" w:cs="宋体"/>
                <w:color w:val="000000"/>
                <w:szCs w:val="21"/>
                <w:highlight w:val="none"/>
                <w:lang w:val="zh-CN"/>
              </w:rPr>
              <w:t xml:space="preserve">采购文件，并于</w:t>
            </w:r>
            <w:r>
              <w:rPr>
                <w:rFonts w:hint="eastAsia" w:ascii="宋体" w:hAnsi="宋体" w:eastAsia="宋体" w:cs="宋体"/>
                <w:color w:val="000000"/>
                <w:sz w:val="21"/>
                <w:szCs w:val="21"/>
                <w:highlight w:val="none"/>
                <w:u w:val="none"/>
                <w:lang w:val="en-US" w:eastAsia="zh-CN"/>
              </w:rPr>
              <w:t xml:space="preserve">2026年9月11日14时30分</w:t>
            </w:r>
            <w:r>
              <w:rPr>
                <w:rFonts w:ascii="宋体" w:hAnsi="宋体" w:eastAsia="宋体" w:cs="宋体"/>
                <w:color w:val="000000"/>
                <w:szCs w:val="21"/>
                <w:highlight w:val="none"/>
                <w:lang w:val="zh-CN"/>
              </w:rPr>
              <w:t xml:space="preserve">（北京时间）前提交响应文件。</w:t>
            </w:r>
            <w:r>
              <w:rPr>
                <w:rFonts w:hint="eastAsia" w:ascii="宋体" w:hAnsi="宋体" w:eastAsia="宋体" w:cs="宋体"/>
                <w:color w:val="000000"/>
                <w:szCs w:val="21"/>
                <w:highlight w:val="none"/>
              </w:rPr>
            </w:r>
            <w:r/>
          </w:p>
        </w:tc>
      </w:tr>
    </w:tbl>
    <w:p>
      <w:pPr>
        <w:pStyle w:val="1063"/>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2" w:name="_Toc10090"/>
      <w:r/>
      <w:bookmarkStart w:id="3" w:name="_Toc12190"/>
      <w:r>
        <w:rPr>
          <w:rFonts w:hint="eastAsia" w:ascii="宋体" w:hAnsi="宋体" w:eastAsia="宋体" w:cs="宋体"/>
          <w:b/>
          <w:color w:val="000000"/>
          <w:szCs w:val="21"/>
          <w:highlight w:val="none"/>
          <w:lang w:val="zh-CN"/>
        </w:rPr>
        <w:t xml:space="preserve">一、</w:t>
      </w:r>
      <w:r>
        <w:rPr>
          <w:rFonts w:hint="eastAsia" w:ascii="宋体" w:hAnsi="宋体" w:eastAsia="宋体" w:cs="宋体"/>
          <w:b/>
          <w:color w:val="000000"/>
          <w:szCs w:val="21"/>
          <w:highlight w:val="none"/>
        </w:rPr>
        <w:t xml:space="preserve">项目基本情况</w:t>
      </w:r>
      <w:bookmarkEnd w:id="2"/>
      <w:r/>
      <w:bookmarkEnd w:id="3"/>
      <w:r>
        <w:rPr>
          <w:rFonts w:hint="eastAsia" w:ascii="宋体" w:hAnsi="宋体" w:eastAsia="宋体" w:cs="宋体"/>
          <w:b/>
          <w:color w:val="000000"/>
          <w:szCs w:val="21"/>
          <w:highlight w:val="none"/>
          <w:lang w:val="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JSZC-320100-JSJT-C2026-0007</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u w:val="single"/>
          <w:lang w:eastAsia="zh-CN"/>
        </w:rPr>
        <w:outlineLvl w:val="9"/>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南京江北新材料科技园封闭化管理优化提升工程</w:t>
      </w:r>
      <w:r>
        <w:rPr>
          <w:rFonts w:hint="eastAsia" w:ascii="宋体" w:hAnsi="宋体" w:eastAsia="宋体" w:cs="宋体"/>
          <w:color w:val="000000"/>
          <w:szCs w:val="21"/>
          <w:highlight w:val="none"/>
          <w:u w:val="singl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4、预算金额：</w:t>
      </w:r>
      <w:r>
        <w:rPr>
          <w:rFonts w:hint="eastAsia" w:ascii="宋体" w:hAnsi="宋体" w:eastAsia="宋体" w:cs="宋体"/>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387万元</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5、最高限价：</w:t>
      </w:r>
      <w:r>
        <w:rPr>
          <w:rFonts w:hint="eastAsia" w:ascii="宋体" w:hAnsi="宋体" w:eastAsia="宋体" w:cs="宋体"/>
          <w:bCs/>
          <w:color w:val="000000"/>
          <w:szCs w:val="21"/>
          <w:highlight w:val="none"/>
        </w:rPr>
        <w:t xml:space="preserve">本项目最高限价为</w:t>
      </w:r>
      <w:r>
        <w:rPr>
          <w:rFonts w:hint="eastAsia" w:ascii="宋体" w:hAnsi="宋体" w:eastAsia="宋体" w:cs="宋体"/>
          <w:bCs/>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386.044416万元</w:t>
      </w:r>
      <w:r>
        <w:rPr>
          <w:rFonts w:hint="eastAsia" w:ascii="宋体" w:hAnsi="宋体" w:eastAsia="宋体" w:cs="宋体"/>
          <w:bCs/>
          <w:color w:val="000000"/>
          <w:szCs w:val="21"/>
          <w:highlight w:val="none"/>
        </w:rPr>
        <w:t xml:space="preserve">。注：超出最高限价的报价，将作无效报价处理</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南京江北新材料科技园封闭化管理优化提升工程。具体详见工程量清单及图纸。</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7、合同履行期限：</w:t>
      </w: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lang w:eastAsia="zh-CN"/>
        </w:rPr>
        <w:t xml:space="preserve">日历天</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8、本项目（是</w:t>
      </w:r>
      <w:r>
        <w:rPr>
          <w:rFonts w:ascii="宋体" w:hAnsi="宋体" w:eastAsia="宋体" w:cs="宋体"/>
          <w:color w:val="000000"/>
          <w:szCs w:val="21"/>
          <w:highlight w:val="none"/>
        </w:rPr>
        <w:t xml:space="preserve">/否）接受联合体：</w:t>
      </w:r>
      <w:r>
        <w:rPr>
          <w:rFonts w:hint="eastAsia" w:ascii="宋体" w:hAnsi="宋体" w:eastAsia="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4" w:name="_Toc15483"/>
      <w:r/>
      <w:bookmarkStart w:id="5" w:name="_Toc13776"/>
      <w:r>
        <w:rPr>
          <w:rFonts w:hint="eastAsia" w:ascii="宋体" w:hAnsi="宋体" w:eastAsia="宋体" w:cs="宋体"/>
          <w:b/>
          <w:color w:val="000000"/>
          <w:highlight w:val="none"/>
        </w:rPr>
        <w:t xml:space="preserve">二、</w:t>
      </w:r>
      <w:r>
        <w:rPr>
          <w:rFonts w:hint="eastAsia" w:ascii="宋体" w:hAnsi="宋体" w:eastAsia="宋体" w:cs="宋体"/>
          <w:b/>
          <w:bCs/>
          <w:color w:val="000000"/>
          <w:szCs w:val="24"/>
          <w:highlight w:val="none"/>
        </w:rPr>
        <w:t xml:space="preserve">申请人的资格要求：</w:t>
      </w:r>
      <w:bookmarkEnd w:id="4"/>
      <w:r/>
      <w:bookmarkEnd w:id="5"/>
      <w:r>
        <w:rPr>
          <w:rFonts w:hint="eastAsia" w:ascii="宋体" w:hAnsi="宋体" w:eastAsia="宋体" w:cs="宋体"/>
          <w:b/>
          <w:color w:val="000000"/>
          <w:szCs w:val="21"/>
          <w:highlight w:val="none"/>
          <w:lang w:val="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（1）具有独立承担民事责任的能力（提供法人或者其他组织的营业执照</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中，自然人的身份证明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或其上一年度经审计的财务报告或近6个月内银行出具的资信证明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中，成立不满6个月的无需提供）；</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w:t>
      </w:r>
      <w:bookmarkStart w:id="6" w:name="OLE_LINK3"/>
      <w:r/>
      <w:bookmarkStart w:id="7" w:name="OLE_LINK4"/>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6"/>
      <w:r/>
      <w:bookmarkEnd w:id="7"/>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w:t>
      </w:r>
      <w:bookmarkStart w:id="8"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w:t>
      </w:r>
      <w:r>
        <w:rPr>
          <w:rFonts w:hint="eastAsia" w:ascii="宋体" w:hAnsi="宋体" w:eastAsia="宋体" w:cs="宋体"/>
          <w:bCs/>
          <w:color w:val="000000"/>
          <w:sz w:val="21"/>
          <w:szCs w:val="21"/>
          <w:highlight w:val="none"/>
          <w:lang w:val="en-US" w:eastAsia="zh-CN"/>
        </w:rPr>
        <w:t xml:space="preserve">证明材料原件扫描件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中，成立不足1个月的供应商无缴纳税收和社会保障资金记录的提供说明材料加盖公章扫描上传至电子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中。备注：依法免税或不需要缴纳社会保障资金的供应商，应提供相应文件证明其依法免税或不需要缴纳社会保障资金）</w:t>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（5）</w:t>
      </w:r>
      <w:bookmarkStart w:id="9"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w:t>
      </w:r>
      <w:bookmarkEnd w:id="9"/>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（6）</w:t>
      </w:r>
      <w:bookmarkStart w:id="10" w:name="OLE_LINK7"/>
      <w:r/>
      <w:bookmarkStart w:id="11" w:name="OLE_LINK8"/>
      <w:r>
        <w:rPr>
          <w:rFonts w:hint="eastAsia" w:ascii="宋体" w:hAnsi="宋体" w:eastAsia="宋体" w:cs="宋体"/>
          <w:bCs/>
          <w:color w:val="000000"/>
          <w:sz w:val="21"/>
          <w:szCs w:val="21"/>
          <w:highlight w:val="none"/>
          <w:lang w:val="en-US"/>
        </w:rPr>
        <w:t xml:space="preserve">法律、行政法规规定的其他条件（提供项目实施所</w:t>
      </w:r>
      <w:r>
        <w:rPr>
          <w:rFonts w:hint="eastAsia" w:ascii="宋体" w:hAnsi="宋体" w:eastAsia="宋体" w:cs="宋体"/>
          <w:bCs/>
          <w:color w:val="000000"/>
          <w:sz w:val="21"/>
          <w:szCs w:val="21"/>
          <w:highlight w:val="none"/>
          <w:lang w:val="en-US" w:eastAsia="zh-CN"/>
        </w:rPr>
        <w:t xml:space="preserve">必需</w:t>
      </w:r>
      <w:r>
        <w:rPr>
          <w:rFonts w:hint="eastAsia" w:ascii="宋体" w:hAnsi="宋体" w:eastAsia="宋体" w:cs="宋体"/>
          <w:bCs/>
          <w:color w:val="000000"/>
          <w:sz w:val="21"/>
          <w:szCs w:val="21"/>
          <w:highlight w:val="none"/>
          <w:lang w:val="en-US"/>
        </w:rPr>
        <w:t xml:space="preserve">的许可资质证明材料）：无</w:t>
      </w:r>
      <w:bookmarkEnd w:id="10"/>
      <w:r/>
      <w:bookmarkEnd w:id="11"/>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eastAsia="zh-CN"/>
        </w:rPr>
        <w:t xml:space="preserve">按照采用以下第（4）种方式落实政府采购促进中小企业发展的要求：</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（1）本项目整体专门面向中小企业采购工程。</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（2）本项目整体专门面向小微企业采购工程。</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（3）本项目通过以下第种方式预留部分采购份额采购中小企业工程：</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eastAsia="zh-CN"/>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1063"/>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（1）供应商须具有</w:t>
      </w:r>
      <w:r>
        <w:rPr>
          <w:rFonts w:hint="eastAsia" w:ascii="宋体" w:hAnsi="宋体" w:eastAsia="宋体" w:cs="宋体"/>
          <w:color w:val="000000"/>
          <w:sz w:val="21"/>
          <w:szCs w:val="21"/>
          <w:highlight w:val="none"/>
          <w:lang w:val="en-US" w:eastAsia="zh-CN"/>
        </w:rPr>
        <w:t xml:space="preserve">专业承包电子与智能化工程二级(含)以上</w:t>
      </w:r>
      <w:r>
        <w:rPr>
          <w:rFonts w:hint="eastAsia" w:ascii="宋体" w:hAnsi="宋体" w:eastAsia="宋体" w:cs="宋体"/>
          <w:color w:val="000000"/>
          <w:sz w:val="21"/>
          <w:szCs w:val="21"/>
          <w:highlight w:val="none"/>
          <w:lang w:val="en-US" w:eastAsia="zh-CN"/>
        </w:rPr>
        <w:t xml:space="preserve">资质，且具有有效期内的安全生产许可证。（提供有效期内的证书扫描件并加盖供应商电子公章）。</w:t>
      </w:r>
      <w:r>
        <w:rPr>
          <w:rFonts w:hint="eastAsia" w:ascii="宋体" w:hAnsi="宋体" w:eastAsia="宋体" w:cs="宋体"/>
          <w:color w:val="000000"/>
          <w:sz w:val="21"/>
          <w:szCs w:val="21"/>
          <w:highlight w:val="none"/>
          <w:lang w:val="en-US" w:eastAsia="zh-CN"/>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（2）项目负责人须具有</w:t>
      </w:r>
      <w:r>
        <w:rPr>
          <w:rFonts w:hint="eastAsia" w:ascii="宋体" w:hAnsi="宋体" w:eastAsia="宋体" w:cs="宋体"/>
          <w:color w:val="000000"/>
          <w:sz w:val="21"/>
          <w:szCs w:val="21"/>
          <w:highlight w:val="none"/>
          <w:lang w:val="en-US" w:eastAsia="zh-CN"/>
        </w:rPr>
        <w:t xml:space="preserve">注册建造师证机电工程二级及以上</w:t>
      </w:r>
      <w:r>
        <w:rPr>
          <w:rFonts w:hint="eastAsia" w:ascii="宋体" w:hAnsi="宋体" w:eastAsia="宋体" w:cs="宋体"/>
          <w:color w:val="000000"/>
          <w:sz w:val="21"/>
          <w:szCs w:val="21"/>
          <w:highlight w:val="none"/>
          <w:lang w:val="en-US" w:eastAsia="zh-CN"/>
        </w:rPr>
        <w:t xml:space="preserve">，且具有有效的安全生产考核合格证书（B类证）。（提供有效期内的证书扫描件并加盖供应商电子公章，以及供应商与项目负责人签订的有效劳动合同扫描件）。</w:t>
      </w:r>
      <w:r>
        <w:rPr>
          <w:rFonts w:hint="eastAsia" w:ascii="宋体" w:hAnsi="宋体" w:eastAsia="宋体" w:cs="宋体"/>
          <w:color w:val="000000"/>
          <w:sz w:val="21"/>
          <w:szCs w:val="21"/>
          <w:highlight w:val="none"/>
          <w:lang w:val="en-US" w:eastAsia="zh-CN"/>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（3）本项目要求项目经理无在建工程。（提供加盖供应商电子公章的承诺书原件，格式自拟）。</w:t>
      </w:r>
      <w:r>
        <w:rPr>
          <w:rFonts w:hint="eastAsia" w:ascii="宋体" w:hAnsi="宋体" w:eastAsia="宋体" w:cs="宋体"/>
          <w:color w:val="000000"/>
          <w:sz w:val="21"/>
          <w:szCs w:val="21"/>
          <w:highlight w:val="none"/>
          <w:lang w:val="en-US" w:eastAsia="zh-CN"/>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（4）其他要求详见竞争性磋商公告中“七、其他补充事宜”。</w:t>
      </w:r>
      <w:r>
        <w:rPr>
          <w:rFonts w:hint="eastAsia" w:ascii="宋体" w:hAnsi="宋体" w:eastAsia="宋体" w:cs="宋体"/>
          <w:color w:val="000000"/>
          <w:sz w:val="21"/>
          <w:szCs w:val="21"/>
          <w:highlight w:val="none"/>
          <w:lang w:val="en-US" w:eastAsia="zh-CN"/>
        </w:rPr>
      </w:r>
      <w:r/>
    </w:p>
    <w:p>
      <w:pPr>
        <w:pStyle w:val="1063"/>
        <w:contextualSpacing/>
        <w:keepLines w:val="0"/>
        <w:keepNext w:val="0"/>
        <w:pageBreakBefore w:val="0"/>
        <w:spacing w:line="400" w:lineRule="exact"/>
        <w:rPr>
          <w:rFonts w:hint="eastAsia" w:ascii="宋体" w:hAnsi="宋体" w:eastAsia="宋体" w:cs="宋体"/>
          <w:b/>
          <w:bCs/>
          <w:color w:val="000000"/>
          <w:highlight w:val="none"/>
        </w:rPr>
        <w:outlineLvl w:val="9"/>
      </w:pPr>
      <w:r>
        <w:rPr>
          <w:rFonts w:hint="eastAsia" w:ascii="宋体" w:hAnsi="宋体" w:eastAsia="宋体" w:cs="宋体"/>
          <w:b/>
          <w:color w:val="000000"/>
          <w:szCs w:val="21"/>
          <w:highlight w:val="none"/>
        </w:rPr>
        <w:t xml:space="preserve">三、</w:t>
      </w:r>
      <w:r>
        <w:rPr>
          <w:rFonts w:hint="eastAsia" w:ascii="宋体" w:hAnsi="宋体" w:eastAsia="宋体" w:cs="宋体"/>
          <w:b/>
          <w:bCs/>
          <w:color w:val="000000"/>
          <w:highlight w:val="none"/>
        </w:rPr>
        <w:t xml:space="preserve">获取采购文件</w:t>
      </w:r>
      <w:r>
        <w:rPr>
          <w:rFonts w:hint="eastAsia" w:ascii="宋体" w:hAnsi="宋体" w:eastAsia="宋体" w:cs="宋体"/>
          <w:b/>
          <w:color w:val="000000"/>
          <w:szCs w:val="21"/>
          <w:highlight w:val="none"/>
        </w:rPr>
        <w:t xml:space="preserve">：</w:t>
      </w:r>
      <w:r>
        <w:rPr>
          <w:rFonts w:hint="eastAsia" w:ascii="宋体" w:hAnsi="宋体" w:eastAsia="宋体" w:cs="宋体"/>
          <w:b/>
          <w:bCs/>
          <w:color w:val="000000"/>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2、地点：“江苏政府采购网”自行免费下载</w:t>
      </w:r>
      <w:r>
        <w:rPr>
          <w:rFonts w:hint="eastAsia" w:ascii="宋体" w:hAnsi="宋体" w:eastAsia="宋体" w:cs="宋体"/>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3、方式：“苏采云”系统自行免费下载</w:t>
      </w:r>
      <w:r>
        <w:rPr>
          <w:rFonts w:hint="eastAsia" w:ascii="宋体" w:hAnsi="宋体" w:eastAsia="宋体" w:cs="宋体"/>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rPr>
          <w:rFonts w:hint="eastAsia" w:ascii="宋体" w:hAnsi="宋体" w:eastAsia="宋体" w:cs="宋体"/>
          <w:b/>
          <w:color w:val="000000"/>
          <w:szCs w:val="21"/>
          <w:highlight w:val="none"/>
        </w:rPr>
        <w:outlineLvl w:val="9"/>
      </w:pPr>
      <w:r/>
      <w:bookmarkStart w:id="12" w:name="_Toc17945"/>
      <w:r/>
      <w:bookmarkStart w:id="13" w:name="_Toc10954"/>
      <w:r>
        <w:rPr>
          <w:rFonts w:hint="eastAsia" w:ascii="宋体" w:hAnsi="宋体" w:eastAsia="宋体" w:cs="宋体"/>
          <w:b/>
          <w:color w:val="000000"/>
          <w:szCs w:val="21"/>
          <w:highlight w:val="none"/>
        </w:rPr>
        <w:t xml:space="preserve">四、响应文件提交：</w:t>
      </w:r>
      <w:bookmarkEnd w:id="12"/>
      <w:r/>
      <w:bookmarkEnd w:id="13"/>
      <w:r>
        <w:rPr>
          <w:rFonts w:hint="eastAsia" w:ascii="宋体" w:hAnsi="宋体" w:eastAsia="宋体" w:cs="宋体"/>
          <w:b/>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11 14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rPr>
        <w:t xml:space="preserve">地点：江苏省政府采购管理交易系统（苏采云）（以下简称“苏采云”）（网址：http://jszfcg.jsczt.cn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14" w:name="_Toc29337"/>
      <w:r/>
      <w:bookmarkStart w:id="15" w:name="_Toc9793"/>
      <w:r>
        <w:rPr>
          <w:rFonts w:hint="eastAsia" w:ascii="宋体" w:hAnsi="宋体" w:eastAsia="宋体" w:cs="宋体"/>
          <w:b/>
          <w:color w:val="000000"/>
          <w:szCs w:val="21"/>
          <w:highlight w:val="none"/>
        </w:rPr>
        <w:t xml:space="preserve">五、开启：</w:t>
      </w:r>
      <w:bookmarkEnd w:id="14"/>
      <w:r/>
      <w:bookmarkEnd w:id="15"/>
      <w:r>
        <w:rPr>
          <w:rFonts w:hint="eastAsia" w:ascii="宋体" w:hAnsi="宋体" w:eastAsia="宋体" w:cs="宋体"/>
          <w:b/>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11 14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2、地点：</w:t>
      </w:r>
      <w:r>
        <w:rPr>
          <w:rFonts w:hint="eastAsia" w:ascii="宋体" w:hAnsi="宋体" w:eastAsia="宋体" w:cs="宋体"/>
          <w:color w:val="000000"/>
          <w:sz w:val="21"/>
          <w:szCs w:val="21"/>
          <w:highlight w:val="none"/>
        </w:rPr>
        <w:t xml:space="preserve">江苏省政府采购管理交易系统（苏采云）（以下简称“苏采云”）政府采购交易系统网上开标大厅</w:t>
      </w:r>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bookmarkStart w:id="16" w:name="_Toc18545"/>
      <w:r/>
      <w:bookmarkStart w:id="17" w:name="_Toc11938"/>
      <w:r>
        <w:rPr>
          <w:rFonts w:hint="eastAsia" w:ascii="宋体" w:hAnsi="宋体" w:eastAsia="宋体" w:cs="宋体"/>
          <w:b/>
          <w:color w:val="000000"/>
          <w:szCs w:val="21"/>
          <w:highlight w:val="none"/>
        </w:rPr>
        <w:t xml:space="preserve">六、公告期限：</w:t>
      </w:r>
      <w:r>
        <w:rPr>
          <w:rFonts w:hint="eastAsia" w:ascii="宋体" w:hAnsi="宋体" w:eastAsia="宋体" w:cs="宋体"/>
          <w:color w:val="000000"/>
          <w:szCs w:val="21"/>
          <w:highlight w:val="none"/>
        </w:rPr>
        <w:t xml:space="preserve">自本公告发布之日起</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bookmarkEnd w:id="16"/>
      <w:r/>
      <w:bookmarkEnd w:id="17"/>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tabs>
          <w:tab w:val="left" w:pos="900" w:leader="none"/>
        </w:tabs>
        <w:rPr>
          <w:rFonts w:ascii="宋体" w:hAnsi="宋体" w:eastAsia="宋体" w:cs="宋体"/>
          <w:b/>
          <w:color w:val="000000"/>
          <w:szCs w:val="21"/>
          <w:highlight w:val="none"/>
        </w:rPr>
        <w:outlineLvl w:val="9"/>
      </w:pPr>
      <w:r/>
      <w:bookmarkStart w:id="18" w:name="_Toc11482"/>
      <w:r/>
      <w:bookmarkStart w:id="19" w:name="_Toc26904"/>
      <w:r>
        <w:rPr>
          <w:rFonts w:hint="eastAsia" w:ascii="宋体" w:hAnsi="宋体" w:eastAsia="宋体" w:cs="宋体"/>
          <w:b/>
          <w:color w:val="000000"/>
          <w:szCs w:val="21"/>
          <w:highlight w:val="none"/>
        </w:rPr>
        <w:t xml:space="preserve">七、其他补充事宜</w:t>
      </w:r>
      <w:r>
        <w:rPr>
          <w:rFonts w:ascii="宋体" w:hAnsi="宋体" w:eastAsia="宋体" w:cs="宋体"/>
          <w:b/>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bookmarkEnd w:id="18"/>
      <w:r/>
      <w:bookmarkEnd w:id="19"/>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400" w:lineRule="exact"/>
        <w:shd w:val="clear" w:color="auto" w:fill="ffffff"/>
        <w:widowControl/>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464"/>
        <w:jc w:val="left"/>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46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46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46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rPr>
        <w:t xml:space="preserve">3、本项目的特定资格要求</w:t>
      </w:r>
      <w:r>
        <w:rPr>
          <w:rFonts w:hint="eastAsia" w:ascii="宋体" w:hAnsi="宋体" w:eastAsia="宋体" w:cs="宋体"/>
          <w:bCs/>
          <w:color w:val="000000"/>
          <w:sz w:val="21"/>
          <w:szCs w:val="21"/>
          <w:highlight w:val="none"/>
          <w:lang w:val="en-US" w:eastAsia="zh-CN"/>
        </w:rPr>
        <w:t xml:space="preserve">补充内容：</w:t>
      </w:r>
      <w:r>
        <w:rPr>
          <w:rFonts w:hint="eastAsia" w:ascii="宋体" w:hAnsi="宋体" w:eastAsia="宋体" w:cs="宋体"/>
          <w:bCs/>
          <w:color w:val="000000"/>
          <w:sz w:val="21"/>
          <w:szCs w:val="21"/>
          <w:highlight w:val="none"/>
          <w:lang w:val="en-US" w:eastAsia="zh-CN"/>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在政府采购资格审查环节，供应商只需提供书面</w:t>
      </w:r>
      <w:r>
        <w:rPr>
          <w:rFonts w:hint="eastAsia" w:ascii="宋体" w:hAnsi="宋体" w:eastAsia="宋体" w:cs="宋体"/>
          <w:bCs/>
          <w:color w:val="000000"/>
          <w:sz w:val="21"/>
          <w:szCs w:val="21"/>
          <w:highlight w:val="none"/>
          <w:lang w:eastAsia="zh-CN"/>
        </w:rPr>
        <w:t xml:space="preserve">南京市政府采购供应商信用承诺书</w:t>
      </w:r>
      <w:r>
        <w:rPr>
          <w:rFonts w:hint="eastAsia" w:ascii="宋体" w:hAnsi="宋体" w:eastAsia="宋体" w:cs="宋体"/>
          <w:bCs/>
          <w:color w:val="000000"/>
          <w:sz w:val="21"/>
          <w:szCs w:val="21"/>
          <w:highlight w:val="none"/>
        </w:rPr>
        <w:t xml:space="preserve">，即可替代以下证明材料：</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（2）拒绝下述供应商参加本次采购活动：</w:t>
      </w:r>
      <w:r>
        <w:rPr>
          <w:rFonts w:hint="eastAsia" w:ascii="宋体" w:hAnsi="宋体" w:eastAsia="宋体" w:cs="宋体"/>
          <w:bCs/>
          <w:color w:val="000000"/>
          <w:sz w:val="21"/>
          <w:szCs w:val="21"/>
          <w:highlight w:val="none"/>
          <w:lang w:val="en-US" w:eastAsia="zh-CN" w:bidi="ar-SA"/>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lang w:val="en-US" w:eastAsia="zh-CN" w:bidi="ar-SA"/>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②凡为采购项目提供规范编制或者项目管理、监理、检测等服务的供应商，不得再参加本项目的采购活动。</w:t>
      </w:r>
      <w:r>
        <w:rPr>
          <w:rFonts w:hint="eastAsia" w:ascii="宋体" w:hAnsi="宋体" w:eastAsia="宋体" w:cs="宋体"/>
          <w:bCs/>
          <w:color w:val="000000"/>
          <w:sz w:val="21"/>
          <w:szCs w:val="21"/>
          <w:highlight w:val="none"/>
          <w:lang w:val="en-US" w:eastAsia="zh-CN" w:bidi="ar-SA"/>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1"/>
          <w:szCs w:val="21"/>
          <w:highlight w:val="none"/>
          <w:lang w:val="en-US" w:eastAsia="zh-CN" w:bidi="ar-SA"/>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bookmarkStart w:id="20" w:name="_Toc13110"/>
      <w:r/>
      <w:bookmarkStart w:id="21" w:name="_Toc9701"/>
      <w:r>
        <w:rPr>
          <w:rFonts w:hint="eastAsia" w:ascii="宋体" w:hAnsi="宋体" w:eastAsia="宋体" w:cs="宋体"/>
          <w:bCs/>
          <w:color w:val="000000"/>
          <w:sz w:val="21"/>
          <w:szCs w:val="21"/>
          <w:highlight w:val="none"/>
          <w:lang w:val="en-US" w:eastAsia="zh-CN" w:bidi="ar-SA"/>
        </w:rPr>
        <w:t xml:space="preserve">4、本公告发布媒介：江苏政府采购网。有关本次采购的事项若存在变动或修改，敬请各供应商及时关注江苏政府采购网发布的关于本项目的信息更正公告。</w:t>
      </w:r>
      <w:r>
        <w:rPr>
          <w:rFonts w:hint="eastAsia" w:ascii="宋体" w:hAnsi="宋体" w:eastAsia="宋体" w:cs="宋体"/>
          <w:bCs/>
          <w:color w:val="000000"/>
          <w:sz w:val="21"/>
          <w:szCs w:val="21"/>
          <w:highlight w:val="none"/>
          <w:lang w:val="en-US" w:eastAsia="zh-CN" w:bidi="ar-SA"/>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5、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评审委员会对各供应商的资质动态情况进行核查，供应商在响应文件递交截止时间当日，建筑业企业资质动态监管结果处于不合格状态的，作为资格审查不通过（或投标无效）处理。（企业动态资质查询信息以江苏省住建厅综合服务平台发布的信息为准）。</w:t>
      </w:r>
      <w:r>
        <w:rPr>
          <w:rFonts w:hint="eastAsia" w:ascii="宋体" w:hAnsi="宋体" w:eastAsia="宋体" w:cs="宋体"/>
          <w:bCs/>
          <w:color w:val="000000"/>
          <w:sz w:val="21"/>
          <w:szCs w:val="21"/>
          <w:highlight w:val="none"/>
          <w:lang w:val="en-US" w:eastAsia="zh-CN" w:bidi="ar-SA"/>
        </w:rPr>
      </w:r>
      <w:r/>
    </w:p>
    <w:p>
      <w:pPr>
        <w:pStyle w:val="1063"/>
        <w:contextualSpacing/>
        <w:ind w:firstLine="420"/>
        <w:keepLines w:val="0"/>
        <w:keepNext w:val="0"/>
        <w:pageBreakBefore w:val="0"/>
        <w:spacing w:line="400" w:lineRule="exact"/>
        <w:tabs>
          <w:tab w:val="left" w:pos="900" w:leader="none"/>
        </w:tabs>
        <w:rPr>
          <w:rFonts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6、根据住房和城乡建设部办公厅关于全面</w:t>
      </w:r>
      <w:r>
        <w:rPr>
          <w:rFonts w:hint="eastAsia" w:ascii="宋体" w:hAnsi="宋体" w:eastAsia="宋体" w:cs="宋体"/>
          <w:bCs/>
          <w:color w:val="000000"/>
          <w:sz w:val="21"/>
          <w:szCs w:val="21"/>
          <w:highlight w:val="none"/>
          <w:lang w:val="en-US" w:eastAsia="zh-CN" w:bidi="ar-SA"/>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持证人个人手写签名应当与签名图像笔迹一致，证书应当在使用有效期限内。若提供的电子件无法识别有效信息的，视为无效。供应商将自行承担资格审查不通过等相应后果。</w:t>
      </w:r>
      <w:r>
        <w:rPr>
          <w:rFonts w:ascii="宋体" w:hAnsi="宋体" w:eastAsia="宋体" w:cs="宋体"/>
          <w:bCs/>
          <w:color w:val="000000"/>
          <w:sz w:val="21"/>
          <w:szCs w:val="21"/>
          <w:highlight w:val="none"/>
          <w:lang w:val="en-US" w:eastAsia="zh-CN" w:bidi="ar-SA"/>
        </w:rPr>
      </w:r>
      <w:r/>
    </w:p>
    <w:p>
      <w:pPr>
        <w:pStyle w:val="1063"/>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八、凡对本次采购提出询问，请按以下方式联系：</w:t>
      </w:r>
      <w:bookmarkEnd w:id="20"/>
      <w:r/>
      <w:bookmarkEnd w:id="21"/>
      <w:r>
        <w:rPr>
          <w:rFonts w:hint="eastAsia" w:ascii="宋体" w:hAnsi="宋体" w:eastAsia="宋体" w:cs="宋体"/>
          <w:b/>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1、单位名称：</w:t>
      </w:r>
      <w:r>
        <w:rPr>
          <w:rFonts w:hint="eastAsia" w:ascii="宋体" w:hAnsi="宋体" w:eastAsia="宋体" w:cs="宋体"/>
          <w:color w:val="000000"/>
          <w:szCs w:val="21"/>
          <w:highlight w:val="none"/>
          <w:lang w:eastAsia="zh-CN"/>
        </w:rPr>
        <w:t xml:space="preserve">南京市江北新区公共工程建设中心</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江苏省南京市江北新区七里桥北路6号</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2、采购代理机构：江苏建同工程咨询有限公司</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    址： 南京市建邺区南湖路58号南苑大厦12楼</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联系方式：025-83203815-803</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项目联系人： </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 025-83203815-803</w:t>
      </w:r>
      <w:r>
        <w:rPr>
          <w:rFonts w:hint="eastAsia" w:ascii="宋体" w:hAnsi="宋体" w:eastAsia="宋体" w:cs="宋体"/>
          <w:color w:val="000000"/>
          <w:szCs w:val="21"/>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bookmarkStart w:id="22" w:name="_Toc32346"/>
      <w:r>
        <w:rPr>
          <w:rFonts w:hint="eastAsia" w:ascii="宋体" w:hAnsi="宋体" w:eastAsia="宋体" w:cs="宋体"/>
          <w:b/>
          <w:color w:val="000000"/>
          <w:sz w:val="28"/>
          <w:szCs w:val="28"/>
          <w:highlight w:val="none"/>
        </w:rPr>
        <w:t xml:space="preserve">第二章 竞争性磋商须知</w:t>
      </w:r>
      <w:bookmarkEnd w:id="22"/>
      <w:r>
        <w:rPr>
          <w:rFonts w:hint="eastAsia" w:ascii="宋体" w:hAnsi="宋体" w:eastAsia="宋体" w:cs="宋体"/>
          <w:b/>
          <w:color w:val="000000"/>
          <w:sz w:val="28"/>
          <w:szCs w:val="28"/>
          <w:highlight w:val="none"/>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3" w:name="_Toc529893198"/>
      <w:r>
        <w:rPr>
          <w:rFonts w:hint="eastAsia" w:ascii="宋体" w:hAnsi="宋体" w:eastAsia="宋体" w:cs="宋体"/>
          <w:b/>
          <w:color w:val="000000"/>
          <w:sz w:val="21"/>
          <w:szCs w:val="21"/>
          <w:highlight w:val="none"/>
          <w:lang w:val="zh-CN"/>
        </w:rPr>
        <w:t xml:space="preserve">一、总    则</w:t>
      </w:r>
      <w:bookmarkEnd w:id="23"/>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2、定义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2.1 “供应商”</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2.2 “货物、服务和工程”指本采购文件中所述产品及相关货物、服务和工程。</w:t>
      </w:r>
      <w:r>
        <w:rPr>
          <w:rFonts w:hint="eastAsia" w:ascii="宋体" w:hAnsi="宋体" w:eastAsia="宋体" w:cs="宋体"/>
          <w:b/>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2.3 “采购人或使用单位”是指使用服务的单位。</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3、政策功能</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（3）在服务采购项目中，服务由中小企业承接，即提供服务的人员为中小企业依照《中华人民共和国民法典》订立劳动合同的从业人员。</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中小企业供应商参加政府</w:t>
      </w:r>
      <w:r>
        <w:rPr>
          <w:rFonts w:hint="eastAsia" w:ascii="宋体" w:hAnsi="宋体" w:eastAsia="宋体" w:cs="宋体"/>
          <w:color w:val="000000"/>
          <w:sz w:val="21"/>
          <w:szCs w:val="21"/>
          <w:highlight w:val="none"/>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3.8.实施本国产品标准及相关政策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3.8.2本国产品应当符合以下条件：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（1）在中国境内生产</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（2）在中国境内生产的组件成本占比达到规定比例</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（3）特定产品的关键组件、关键工序符合相关要求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3.8.3本国产品标准的适用范围</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3.8.4对本国产品的支持政策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本项目如既有本国产品又有非本国产品参与竞争，依法对本国产品给予价格评审优惠，具体详见第三章。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3.8.5政策执行要求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4、磋商费用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4.1 供应商应承担所有与准备和参加磋商有关的费用，无论采购结果如何，采购代理和采购人在任何情况下均无义务和责任承担这些费用。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bookmarkStart w:id="24" w:name="_Toc529893199"/>
      <w:r>
        <w:rPr>
          <w:rFonts w:hint="eastAsia" w:ascii="宋体" w:hAnsi="宋体" w:eastAsia="宋体" w:cs="宋体"/>
          <w:color w:val="000000"/>
          <w:sz w:val="21"/>
          <w:szCs w:val="21"/>
          <w:highlight w:val="none"/>
          <w:lang w:val="en-US" w:eastAsia="zh-CN"/>
        </w:rPr>
        <w:t xml:space="preserve">4.2本工程专家评审费等费用，由代理机构代收代付。</w:t>
      </w:r>
      <w:r>
        <w:rPr>
          <w:rFonts w:ascii="宋体" w:hAnsi="宋体" w:eastAsia="宋体" w:cs="宋体"/>
          <w:color w:val="000000"/>
          <w:sz w:val="21"/>
          <w:szCs w:val="21"/>
          <w:highlight w:val="none"/>
          <w:lang w:val="en-US" w:eastAsia="zh-CN"/>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二、响应文件编制</w:t>
      </w:r>
      <w:bookmarkEnd w:id="24"/>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color w:val="000000"/>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6、响应文件的语言、计量单位、货币和编制</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6.5 响应文件应按照磋商文件规定的顺序，由于编排混乱导致响应文件被误读或查找不到，责任由供应商承担。</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7、响应文件的组成</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7.1 </w:t>
      </w:r>
      <w:r>
        <w:rPr>
          <w:rFonts w:hint="eastAsia" w:ascii="宋体" w:hAnsi="宋体" w:eastAsia="宋体" w:cs="宋体"/>
          <w:color w:val="000000"/>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1"/>
          <w:szCs w:val="21"/>
          <w:highlight w:val="none"/>
          <w:lang w:val="zh-CN"/>
        </w:rPr>
        <w:t xml:space="preserve">响应文件由商务部分、技术部分、价格部分，以及其他部分组成。</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7.2 </w:t>
      </w:r>
      <w:r>
        <w:rPr>
          <w:rFonts w:hint="eastAsia" w:ascii="宋体" w:hAnsi="宋体" w:eastAsia="宋体" w:cs="宋体"/>
          <w:b/>
          <w:bCs/>
          <w:color w:val="000000"/>
          <w:sz w:val="21"/>
          <w:szCs w:val="21"/>
          <w:highlight w:val="none"/>
          <w:lang w:val="zh-CN"/>
        </w:rPr>
        <w:t xml:space="preserve">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这些文件应能满足竞争性磋商采购文件的要求</w:t>
      </w:r>
      <w:r>
        <w:rPr>
          <w:rFonts w:hint="eastAsia" w:ascii="宋体" w:hAnsi="宋体" w:eastAsia="宋体" w:cs="宋体"/>
          <w:color w:val="000000"/>
          <w:sz w:val="21"/>
          <w:szCs w:val="21"/>
          <w:highlight w:val="none"/>
          <w:lang w:val="zh-CN"/>
        </w:rPr>
        <w:t xml:space="preserve">，包括但不限于下列文件，其中加★项目不得有缺失或无效：</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★（1）磋商申请及声明；</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★（2）法定代表人授权委托书及委托代理人的身份证；</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第一章竞争性磋商邀请中申请人资格要求证明文件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第一章竞争性磋商邀请中采购人根据采购项目的特殊要求规定的特定条件证明文件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）《磋商报价表》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）《已标价工程量清单》；</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《商务条款</w:t>
      </w:r>
      <w:r>
        <w:rPr>
          <w:rFonts w:hint="eastAsia" w:ascii="宋体" w:hAnsi="宋体" w:eastAsia="宋体" w:cs="宋体"/>
          <w:color w:val="000000"/>
          <w:sz w:val="21"/>
          <w:szCs w:val="21"/>
          <w:highlight w:val="none"/>
          <w:lang w:eastAsia="zh-CN"/>
        </w:rPr>
        <w:t xml:space="preserve">偏离</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t xml:space="preserve">南京市政府采购供应商信用承诺书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）项目管理机构组成表</w:t>
      </w:r>
      <w:r>
        <w:rPr>
          <w:rFonts w:hint="eastAsia" w:ascii="宋体" w:hAnsi="宋体" w:eastAsia="宋体" w:cs="宋体"/>
          <w:color w:val="000000"/>
          <w:sz w:val="21"/>
          <w:szCs w:val="21"/>
          <w:highlight w:val="none"/>
          <w:lang w:val="zh-CN"/>
        </w:rPr>
      </w:r>
      <w:r/>
    </w:p>
    <w:p>
      <w:pPr>
        <w:pStyle w:val="106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）供应商认为需要提供的证明文件及材料等。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7.3 </w:t>
      </w:r>
      <w:r>
        <w:rPr>
          <w:rFonts w:hint="eastAsia" w:ascii="宋体" w:hAnsi="宋体" w:eastAsia="宋体" w:cs="宋体"/>
          <w:b/>
          <w:bCs/>
          <w:color w:val="000000"/>
          <w:sz w:val="21"/>
          <w:szCs w:val="21"/>
          <w:highlight w:val="none"/>
          <w:lang w:val="zh-CN"/>
        </w:rPr>
        <w:t xml:space="preserve">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供应商提供的产品和服务是合格的，并符合磋商文件要求的证明文件，以及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7.4 </w:t>
      </w:r>
      <w:r>
        <w:rPr>
          <w:rFonts w:hint="eastAsia" w:ascii="宋体" w:hAnsi="宋体" w:eastAsia="宋体" w:cs="宋体"/>
          <w:b/>
          <w:color w:val="000000"/>
          <w:sz w:val="21"/>
          <w:szCs w:val="21"/>
          <w:highlight w:val="none"/>
          <w:lang w:val="zh-CN"/>
        </w:rPr>
        <w:t xml:space="preserve">响应文件的价格部分</w:t>
      </w:r>
      <w:r>
        <w:rPr>
          <w:rFonts w:hint="eastAsia" w:ascii="宋体" w:hAnsi="宋体" w:eastAsia="宋体" w:cs="宋体"/>
          <w:b/>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（1）工程项目为工程量清单范围内所有内容。项目应采用综合单价报价方式，磋商文件如没有特别说明的话，对每一项工程仅接受一个价格。</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以工程量清单作为总报价依据，供应商应根据现场实际情况，对工程量清单内容进行复核，按照《建设工程工程量清单计价规范》（GB50500-2013）、工程量清单指定的定额等造价计算程序以及现行的法律法规确定分项综合预算单价，并根据供应商实际水平研究确定最后投标价格。</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（3）供应商应在《已标价工程量清单》等标明投标工程的单价、总价以及分项报价。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（4）供应商总报价应包含本工程项目有关的所有费用，以及技术资料、支付给员工的工资和国家强制缴纳的各种社会保障资金，以及供应商认为需要的其他费用等。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（5）供应商响应文件所报的总报价（首次报价或最终报价）不得超过磋商文件规定的预算价、限价，超过磋商文件规定的，按无效响应处理。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（6）经磋商后，如果成交价高于或低于供应商在响应文件所报总报价（首次报价）的，分项报价（除暂列金额、甲供材料费、材料暂估价、专业工程暂估价以外的所有费用）同比例调整。</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7.5 </w:t>
      </w:r>
      <w:r>
        <w:rPr>
          <w:rFonts w:hint="eastAsia" w:ascii="宋体" w:hAnsi="宋体" w:eastAsia="宋体" w:cs="宋体"/>
          <w:b/>
          <w:color w:val="000000"/>
          <w:sz w:val="21"/>
          <w:szCs w:val="21"/>
          <w:highlight w:val="none"/>
          <w:lang w:val="zh-CN"/>
        </w:rPr>
        <w:t xml:space="preserve">响应文件的其他部分。</w:t>
      </w:r>
      <w:r>
        <w:rPr>
          <w:rFonts w:hint="eastAsia" w:ascii="宋体" w:hAnsi="宋体" w:eastAsia="宋体" w:cs="宋体"/>
          <w:color w:val="000000"/>
          <w:sz w:val="21"/>
          <w:szCs w:val="21"/>
          <w:highlight w:val="none"/>
          <w:lang w:val="zh-CN"/>
        </w:rPr>
        <w:t xml:space="preserve">其他部分由供应商根据编制响应文件需要提供的其他相关文件。</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8、磋商保证金</w:t>
      </w:r>
      <w:r>
        <w:rPr>
          <w:rFonts w:hint="eastAsia" w:ascii="宋体" w:hAnsi="宋体" w:eastAsia="宋体" w:cs="宋体"/>
          <w:bCs/>
          <w:color w:val="000000"/>
          <w:sz w:val="21"/>
          <w:szCs w:val="21"/>
          <w:highlight w:val="none"/>
          <w:lang w:val="zh-CN"/>
        </w:rPr>
      </w:r>
      <w:r/>
    </w:p>
    <w:p>
      <w:pPr>
        <w:pStyle w:val="1063"/>
        <w:ind w:left="0"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本项目无需缴纳磋商保证金。</w:t>
      </w:r>
      <w:r>
        <w:rPr>
          <w:rFonts w:hint="eastAsia" w:ascii="宋体" w:hAnsi="宋体" w:eastAsia="宋体" w:cs="宋体"/>
          <w:bCs/>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5" w:name="_Toc529893200"/>
      <w:r>
        <w:rPr>
          <w:rFonts w:hint="eastAsia" w:ascii="宋体" w:hAnsi="宋体" w:eastAsia="宋体" w:cs="宋体"/>
          <w:b/>
          <w:color w:val="000000"/>
          <w:sz w:val="21"/>
          <w:szCs w:val="21"/>
          <w:highlight w:val="none"/>
          <w:lang w:val="zh-CN"/>
        </w:rPr>
        <w:t xml:space="preserve">三、响应文件</w:t>
      </w:r>
      <w:bookmarkEnd w:id="25"/>
      <w:r>
        <w:rPr>
          <w:rFonts w:hint="eastAsia" w:ascii="宋体" w:hAnsi="宋体" w:eastAsia="宋体" w:cs="宋体"/>
          <w:b/>
          <w:color w:val="000000"/>
          <w:sz w:val="21"/>
          <w:szCs w:val="21"/>
          <w:highlight w:val="none"/>
          <w:lang w:val="zh-CN"/>
        </w:rPr>
        <w:t xml:space="preserve">签署与提交</w:t>
      </w:r>
      <w:r>
        <w:rPr>
          <w:rFonts w:hint="eastAsia" w:ascii="宋体" w:hAnsi="宋体" w:eastAsia="宋体" w:cs="宋体"/>
          <w:b/>
          <w:color w:val="000000"/>
          <w:sz w:val="21"/>
          <w:szCs w:val="21"/>
          <w:highlight w:val="none"/>
          <w:lang w:val="zh-CN"/>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bookmarkStart w:id="26" w:name="_Toc529893201"/>
      <w:r>
        <w:rPr>
          <w:rFonts w:hint="eastAsia" w:ascii="宋体" w:hAnsi="宋体" w:eastAsia="宋体" w:cs="宋体"/>
          <w:bCs/>
          <w:color w:val="000000"/>
          <w:sz w:val="21"/>
          <w:szCs w:val="21"/>
          <w:highlight w:val="none"/>
        </w:rPr>
        <w:t xml:space="preserve">9、响应文件的签署与提交</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9.1响应文件</w:t>
      </w:r>
      <w:r>
        <w:rPr>
          <w:rFonts w:hint="eastAsia" w:ascii="宋体" w:hAnsi="宋体" w:eastAsia="宋体" w:cs="宋体"/>
          <w:bCs/>
          <w:color w:val="000000"/>
          <w:sz w:val="21"/>
          <w:szCs w:val="21"/>
          <w:highlight w:val="none"/>
          <w:lang w:eastAsia="zh-CN"/>
        </w:rPr>
        <w:t xml:space="preserve">要求加盖电子公章或法定代表人章（或签字）的地方须按要求</w:t>
      </w:r>
      <w:r>
        <w:rPr>
          <w:rFonts w:hint="eastAsia" w:ascii="宋体" w:hAnsi="宋体" w:eastAsia="宋体" w:cs="宋体"/>
          <w:bCs/>
          <w:color w:val="000000"/>
          <w:sz w:val="21"/>
          <w:szCs w:val="21"/>
          <w:highlight w:val="none"/>
        </w:rPr>
        <w:t xml:space="preserve">加盖电子公章</w:t>
      </w:r>
      <w:r>
        <w:rPr>
          <w:rFonts w:hint="eastAsia" w:ascii="宋体" w:hAnsi="宋体" w:eastAsia="宋体" w:cs="宋体"/>
          <w:bCs/>
          <w:color w:val="000000"/>
          <w:sz w:val="21"/>
          <w:szCs w:val="21"/>
          <w:highlight w:val="none"/>
          <w:lang w:eastAsia="zh-CN"/>
        </w:rPr>
        <w:t xml:space="preserve">或法定代表人章（或签字）</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9.2供应商应当按照《操作手册》、磋商公告、磋商文件的规定，在提交响应文件截止时间前制作并上传电子响应文件。</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w:t>
      </w:r>
      <w:r>
        <w:rPr>
          <w:rFonts w:hint="eastAsia" w:ascii="宋体" w:hAnsi="宋体" w:eastAsia="宋体" w:cs="宋体"/>
          <w:bCs/>
          <w:color w:val="000000"/>
          <w:sz w:val="21"/>
          <w:szCs w:val="21"/>
          <w:highlight w:val="none"/>
          <w:lang w:eastAsia="zh-CN"/>
        </w:rPr>
        <w:t xml:space="preserve">后果</w:t>
      </w:r>
      <w:r>
        <w:rPr>
          <w:rFonts w:hint="eastAsia" w:ascii="宋体" w:hAnsi="宋体" w:eastAsia="宋体" w:cs="宋体"/>
          <w:bCs/>
          <w:color w:val="000000"/>
          <w:sz w:val="21"/>
          <w:szCs w:val="21"/>
          <w:highlight w:val="none"/>
        </w:rPr>
        <w:t xml:space="preserve">均由供应商自行承担。</w:t>
      </w:r>
      <w:r>
        <w:rPr>
          <w:rFonts w:hint="eastAsia" w:ascii="宋体" w:hAnsi="宋体" w:eastAsia="宋体" w:cs="宋体"/>
          <w:bCs/>
          <w:color w:val="000000"/>
          <w:sz w:val="21"/>
          <w:szCs w:val="21"/>
          <w:highlight w:val="none"/>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10、响应文件的解密</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10.1供应商应当按照《操作手册》规定，在苏采云系统规定的时间内对响应文件进行解密。</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 w:val="21"/>
          <w:szCs w:val="21"/>
          <w:highlight w:val="none"/>
          <w:lang w:val="en-US" w:eastAsia="zh-CN"/>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11、有下列情形的响应文件将被拒收：</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（1）在递交截止时间后上传的电子响应文件；</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（2）未在规定时间内解密的响应文件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12、响应文件的修改和撤回</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12.1供应商可在提交响应文件截止时间前撤回其电子响应文件，具体操作方法见《操作手册》。</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12.2 供应商撤回电子响应文件，则认为其不再参与本项目磋商活动。</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12.3 供应商可在提交响应文件截止时间前对其电子响应文件进行修改，具体操作方法见《操作手册》。</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12.4提交响应文件截止时间之后，供应商不得对其电子响应文件作任何修改。</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12.5在提交响应文件截止时间至磋商文件中规定的磋商有效期满之间的这段时间内，供应商不得撤回其响应文件。</w:t>
      </w:r>
      <w:r>
        <w:rPr>
          <w:rFonts w:hint="eastAsia" w:ascii="宋体" w:hAnsi="宋体" w:eastAsia="宋体" w:cs="宋体"/>
          <w:bCs/>
          <w:color w:val="000000"/>
          <w:sz w:val="21"/>
          <w:szCs w:val="21"/>
          <w:highlight w:val="none"/>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四、磋商</w:t>
      </w:r>
      <w:bookmarkEnd w:id="26"/>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bCs/>
          <w:color w:val="000000"/>
          <w:sz w:val="21"/>
          <w:szCs w:val="21"/>
          <w:highlight w:val="none"/>
          <w:lang w:val="zh-CN"/>
        </w:rPr>
        <w:t xml:space="preserve">、联合体</w:t>
      </w:r>
      <w:r>
        <w:rPr>
          <w:rFonts w:hint="eastAsia" w:ascii="宋体" w:hAnsi="宋体" w:eastAsia="宋体" w:cs="宋体"/>
          <w:bCs/>
          <w:color w:val="000000"/>
          <w:sz w:val="21"/>
          <w:szCs w:val="21"/>
          <w:highlight w:val="none"/>
          <w:lang w:val="zh-CN"/>
        </w:rPr>
      </w:r>
      <w:r/>
    </w:p>
    <w:p>
      <w:pPr>
        <w:pStyle w:val="1063"/>
        <w:ind w:left="0" w:firstLine="420"/>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本项目不采用联合体投标。</w:t>
      </w:r>
      <w:r>
        <w:rPr>
          <w:rFonts w:hint="eastAsia" w:ascii="宋体" w:hAnsi="宋体" w:eastAsia="宋体" w:cs="宋体"/>
          <w:b/>
          <w:bCs/>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14、磋商组织</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14.1 在提交响应文件时间截止后，采购代理在规定的时间和地点组织磋商小组分别与供应商进行磋商。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.2 磋商工作由采购代理负责组织，具体磋商事务由依法组建的磋商小组负责。</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、评审过程的保密与公正</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.2供应商不得以任何方式影响评审过程，否则其响应文件将被作为无效响应文件。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.3采购代理机构和磋商小组不向未成交的供应商解释未成交原因，也不公布评审过程中的相关细节。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、评审过程中的澄清</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磋商小组并非对每个供应商都做澄清要求。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.3接到磋商小组澄清、说明和补正要求的供应商如未按规定做出澄清、说明和补正，其风险由供应商自行承担。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、响应文件的审查</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.1响应文件审查分为资格审查和符合性审查。</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.1.1资格审查。依据法律法规和磋商文件的规定，磋商小组对响应文件中的资格证明文件进行审查，以确定供应商是否具备参加磋商的资格。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.3未实质性响应磋商文件的情形：</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（1）未按要求制作电子响应文件及签章的；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（2）最终报价超出采购预算限额或最高限价的；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（3）不具备磋商文件中规定的资格条件的；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（4）不满足磋商文件加★条款的；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（5）响应有效期少于本文件规定有效期的响应文件；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（6）不同供应商的响应文件由同一单位或者个人编制；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（7）不同供应商委托同一单位或者个人办理投标事宜；</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（8）不同供应商的响应文件载明的项目管理成员为同一人；</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（9）不同供应商的响应文件异常一致或者投标报价呈规律性差异；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（10）不同供应商的法定代表人或委托代理人有夫妻、直系血亲关系的；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（11）不同供应商的负责人为同一人或者存在控股、管理关系的；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（12）不同供应商的委托代理人（或法定代表人、项目经理、项目总监、项目负责人等）在采购文件发布日上月至投标截止日当月在同一单位缴纳社会保险的；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（13）响应文件附有采购人不能接受的条件的；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（14）评审小组认为供应商的报价明显低于其他供应商的报价，有可能影响服务质量或者不能诚信履约的，未在磋商合理的时间内提供书面说明或相关证明材料，不能证明其报价合理的；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（15）提供虚假材料的（包括但不限于：营业执照、资格证明文件、技术条款偏离表等）；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（16）未实质性响应磋商文件要求的；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（17）供应商被“信用中国”网站（www.creditchina.gov.cn）、“中国政府采购网”（www.ccgp.gov.cn）列入失信被执行人、重大税收违法案件当事人名单、政府采购严重违法失信行为记录名单。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（18）供应商在苏采云系统规定的时间内未成功解密电子响应文件；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（19）供应商未按照磋商文件要求上传电子响应文件。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）响应文件中已标价工程量清单与磋商文件规定的暂估价、暂列金额及甲供材料价格不一致的；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zh-CN"/>
        </w:rPr>
        <w:t xml:space="preserve">）响应文件中已标价工程量清单与磋商文件明确列出的不可竞争费用项目或费率或计算基础不一致的；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）响应文件中的已标价工程量清单与磋商文件提供的工程量清单中的项目编码、项目名称、项目特征、计量单位、工程量不一致的（措施项目增项除外）；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.4未实质性响应磋商文件的响应文件按无效响应处理。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17.6未通过资格审查或符合性审查的供应商，磋商小组将通过苏采云系统告知具体原因，评审结束后将不再接受有关询问。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lang w:val="en-US" w:eastAsia="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、磋商程序及评审方法与评审标准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18.1磋商程序</w:t>
      </w:r>
      <w:r>
        <w:rPr>
          <w:rFonts w:ascii="宋体" w:hAnsi="宋体" w:eastAsia="宋体" w:cs="宋体"/>
          <w:color w:val="000000"/>
          <w:sz w:val="21"/>
          <w:szCs w:val="21"/>
          <w:highlight w:val="none"/>
          <w:lang w:val="en-US" w:eastAsia="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（4）因重大变故，采购任务取消的；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（5）供应商的报价均超过了采购预算，采购人不能支付的；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（6）所有供应商的响应文件被磋商小组认定为无效的；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（7）采购人需求发生重大变化暂时不能确定或供应商提供的服务不能满足需求等；</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）法律法规规定的其他应当终止的情形。</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、评定成交方法和标准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 w:val="21"/>
          <w:szCs w:val="21"/>
          <w:highlight w:val="none"/>
          <w:lang w:val="zh-CN"/>
        </w:rPr>
        <w:t xml:space="preserve">评审后得分由高到低顺序排列，推荐前3名为成交候选人。</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rPr>
        <w:t xml:space="preserve"> 评审标准详见文件第三章。</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val="zh-CN"/>
        </w:rPr>
        <w:t xml:space="preserve">、确定成交供应商</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.2 成交供应商确定后，将</w:t>
      </w:r>
      <w:r>
        <w:rPr>
          <w:rFonts w:hint="eastAsia" w:ascii="宋体" w:hAnsi="宋体" w:eastAsia="宋体" w:cs="宋体"/>
          <w:color w:val="000000"/>
          <w:sz w:val="21"/>
          <w:szCs w:val="21"/>
          <w:highlight w:val="none"/>
        </w:rPr>
        <w:t xml:space="preserve">在财政部门指定的政府采购信息发布媒体上公告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成交供应商及时领取《成交结果通知书》。</w:t>
      </w:r>
      <w:r>
        <w:rPr>
          <w:rFonts w:hint="eastAsia" w:ascii="宋体" w:hAnsi="宋体" w:eastAsia="宋体" w:cs="宋体"/>
          <w:b/>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.3 成交通知书对采购人和成交供应商具有同等法律效力。</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tabs>
          <w:tab w:val="left" w:pos="12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采购代理对未成交的供应商不作未成交原因的解释。</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.5 所有响应文件都将作为档案保存，不论成交与否，采购代理均不退回。</w:t>
      </w:r>
      <w:r>
        <w:rPr>
          <w:rFonts w:hint="eastAsia" w:ascii="宋体" w:hAnsi="宋体" w:eastAsia="宋体" w:cs="宋体"/>
          <w:b/>
          <w:color w:val="000000"/>
          <w:sz w:val="21"/>
          <w:szCs w:val="21"/>
          <w:highlight w:val="none"/>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rPr>
        <w:t xml:space="preserve">编写评审报告</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 磋商小组根据磋商过程和结果编写评审报告。</w:t>
      </w:r>
      <w:r>
        <w:rPr>
          <w:rFonts w:hint="eastAsia" w:ascii="宋体" w:hAnsi="宋体" w:eastAsia="宋体" w:cs="宋体"/>
          <w:color w:val="000000"/>
          <w:sz w:val="21"/>
          <w:szCs w:val="21"/>
          <w:highlight w:val="none"/>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7" w:name="_Toc529893202"/>
      <w:r>
        <w:rPr>
          <w:rFonts w:hint="eastAsia" w:ascii="宋体" w:hAnsi="宋体" w:eastAsia="宋体" w:cs="宋体"/>
          <w:b/>
          <w:color w:val="000000"/>
          <w:sz w:val="21"/>
          <w:szCs w:val="21"/>
          <w:highlight w:val="none"/>
          <w:lang w:val="zh-CN"/>
        </w:rPr>
        <w:t xml:space="preserve">五、合同</w:t>
      </w:r>
      <w:bookmarkEnd w:id="27"/>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、签订合同</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 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.2 </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.4 </w:t>
      </w:r>
      <w:r>
        <w:rPr>
          <w:rFonts w:hint="eastAsia" w:ascii="宋体" w:hAnsi="宋体" w:eastAsia="宋体" w:cs="宋体"/>
          <w:color w:val="000000"/>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.5 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8" w:name="_Toc529893203"/>
      <w:r>
        <w:rPr>
          <w:rFonts w:hint="eastAsia" w:ascii="宋体" w:hAnsi="宋体" w:eastAsia="宋体" w:cs="宋体"/>
          <w:b/>
          <w:color w:val="000000"/>
          <w:sz w:val="21"/>
          <w:szCs w:val="21"/>
          <w:highlight w:val="none"/>
          <w:lang w:val="zh-CN"/>
        </w:rPr>
        <w:t xml:space="preserve">六、询问、质疑、投诉和诚实信用</w:t>
      </w:r>
      <w:bookmarkEnd w:id="28"/>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、询问</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、质疑</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1"/>
          <w:szCs w:val="21"/>
          <w:highlight w:val="none"/>
          <w:lang w:val="zh-CN"/>
        </w:rPr>
        <w:t xml:space="preserve">将质疑文件原件送达江苏建同工程咨询有限公司。</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.3 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、诚实信用</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.4 供应商不得虚假承诺，否则，按照提供虚假材料谋取成交处理。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七、供应商违约风险提示</w:t>
      </w:r>
      <w:r>
        <w:rPr>
          <w:rFonts w:hint="eastAsia" w:ascii="宋体" w:hAnsi="宋体" w:eastAsia="宋体" w:cs="宋体"/>
          <w:b/>
          <w:bCs/>
          <w:color w:val="000000"/>
          <w:sz w:val="21"/>
          <w:szCs w:val="21"/>
          <w:highlight w:val="none"/>
          <w:lang w:val="en-US" w:eastAsia="zh-CN"/>
        </w:rPr>
      </w:r>
      <w:r/>
    </w:p>
    <w:p>
      <w:pPr>
        <w:pStyle w:val="1063"/>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1"/>
          <w:szCs w:val="21"/>
          <w:highlight w:val="none"/>
          <w:lang w:val="en-US" w:eastAsia="zh-CN"/>
        </w:rPr>
      </w:r>
      <w:r/>
    </w:p>
    <w:p>
      <w:pPr>
        <w:pStyle w:val="1063"/>
        <w:ind w:left="0" w:firstLine="643"/>
        <w:jc w:val="center"/>
        <w:keepLines w:val="0"/>
        <w:keepNext w:val="0"/>
        <w:pageBreakBefore w:val="0"/>
        <w:spacing w:line="400" w:lineRule="exact"/>
        <w:widowControl w:val="off"/>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br w:type="page" w:clear="all"/>
      </w:r>
      <w:bookmarkStart w:id="29" w:name="_Toc2682"/>
      <w:r>
        <w:rPr>
          <w:rFonts w:hint="eastAsia" w:ascii="宋体" w:hAnsi="宋体" w:eastAsia="宋体" w:cs="宋体"/>
          <w:b/>
          <w:color w:val="000000"/>
          <w:sz w:val="32"/>
          <w:szCs w:val="32"/>
          <w:highlight w:val="none"/>
        </w:rPr>
        <w:t xml:space="preserve">第三章 评审办法</w:t>
      </w:r>
      <w:bookmarkEnd w:id="29"/>
      <w:r>
        <w:rPr>
          <w:rFonts w:hint="eastAsia" w:ascii="宋体" w:hAnsi="宋体" w:eastAsia="宋体" w:cs="宋体"/>
          <w:b/>
          <w:color w:val="000000"/>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70"/>
        <w:gridCol w:w="6553"/>
        <w:gridCol w:w="701"/>
      </w:tblGrid>
      <w:tr>
        <w:trPr>
          <w:cantSplit/>
          <w:tblHeader/>
        </w:trPr>
        <w:tc>
          <w:tcPr>
            <w:tcW w:w="629"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bookmarkStart w:id="30" w:name="OLE_LINK1"/>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03"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735"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rPr>
              <w:outlineLvl w:val="9"/>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val="0"/>
                <w:bCs w:val="0"/>
                <w:color w:val="000000"/>
                <w:sz w:val="21"/>
                <w:szCs w:val="21"/>
                <w:highlight w:val="none"/>
              </w:rPr>
            </w:r>
            <w:r/>
          </w:p>
        </w:tc>
      </w:tr>
      <w:tr>
        <w:trPr>
          <w:cantSplit/>
        </w:trPr>
        <w:tc>
          <w:tcPr>
            <w:tcW w:w="629"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3"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pacing w:val="-8"/>
                <w:sz w:val="21"/>
                <w:szCs w:val="21"/>
                <w:highlight w:val="none"/>
              </w:rPr>
              <w:outlineLvl w:val="9"/>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pacing w:val="-8"/>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6735" w:type="dxa"/>
            <w:vAlign w:val="top"/>
            <w:textDirection w:val="lrTb"/>
            <w:noWrap w:val="false"/>
          </w:tcPr>
          <w:p>
            <w:pPr>
              <w:pStyle w:val="1063"/>
              <w:contextualSpacing/>
              <w:jc w:val="both"/>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供应商自</w:t>
            </w:r>
            <w:r>
              <w:rPr>
                <w:rFonts w:hint="eastAsia" w:ascii="宋体" w:hAnsi="宋体" w:eastAsia="宋体" w:cs="宋体"/>
                <w:color w:val="000000"/>
                <w:sz w:val="21"/>
                <w:szCs w:val="21"/>
                <w:highlight w:val="none"/>
                <w:lang w:val="en-US" w:eastAsia="zh-CN"/>
              </w:rPr>
              <w:t xml:space="preserve">2023年8月1日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w:t>
            </w:r>
            <w:r>
              <w:rPr>
                <w:rFonts w:hint="eastAsia" w:ascii="宋体" w:hAnsi="宋体" w:eastAsia="宋体" w:cs="宋体"/>
                <w:color w:val="000000"/>
                <w:sz w:val="21"/>
                <w:szCs w:val="21"/>
                <w:highlight w:val="none"/>
                <w:lang w:eastAsia="zh-CN"/>
              </w:rPr>
              <w:t xml:space="preserve">类似智能化工程</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tc>
        <w:tc>
          <w:tcPr>
            <w:tcW w:w="6735" w:type="dxa"/>
            <w:vAlign w:val="top"/>
            <w:textDirection w:val="lrTb"/>
            <w:noWrap w:val="false"/>
          </w:tcPr>
          <w:p>
            <w:pPr>
              <w:pStyle w:val="1063"/>
              <w:contextualSpacing/>
              <w:jc w:val="both"/>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val="en-US" w:eastAsia="zh-CN"/>
              </w:rPr>
              <w:t xml:space="preserve">2023年8月1日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w:t>
            </w:r>
            <w:r>
              <w:rPr>
                <w:rFonts w:hint="eastAsia" w:ascii="宋体" w:hAnsi="宋体" w:eastAsia="宋体" w:cs="宋体"/>
                <w:color w:val="000000"/>
                <w:sz w:val="21"/>
                <w:szCs w:val="21"/>
                <w:highlight w:val="none"/>
                <w:lang w:eastAsia="zh-CN"/>
              </w:rPr>
              <w:t xml:space="preserve">类似智能化工程</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。企业业绩和项目负责人业绩不可兼得。项目负责人业绩必须是供应商承接的，否则不予认可）</w:t>
            </w:r>
            <w:r>
              <w:rPr>
                <w:rFonts w:hint="eastAsia" w:ascii="宋体" w:hAnsi="宋体" w:eastAsia="宋体" w:cs="宋体"/>
                <w:color w:val="000000"/>
                <w:sz w:val="21"/>
                <w:szCs w:val="21"/>
                <w:highlight w:val="none"/>
                <w:lang w:eastAsia="zh-CN"/>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Height w:val="965"/>
        </w:trPr>
        <w:tc>
          <w:tcPr>
            <w:tcW w:w="629"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03"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拟派项目组人员</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注：同一人员只计取一次，按高项计取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735" w:type="dxa"/>
            <w:vAlign w:val="center"/>
            <w:textDirection w:val="lrTb"/>
            <w:noWrap w:val="false"/>
          </w:tcPr>
          <w:p>
            <w:pPr>
              <w:pStyle w:val="1063"/>
              <w:jc w:val="both"/>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val="en-US" w:eastAsia="zh-CN"/>
              </w:rPr>
              <w:t xml:space="preserve">高级</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4分，具有工程师职称的得1分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r>
            <w:r/>
          </w:p>
        </w:tc>
      </w:tr>
      <w:tr>
        <w:trPr>
          <w:cantSplit/>
          <w:trHeight w:val="885"/>
        </w:trPr>
        <w:tc>
          <w:tcPr>
            <w:tcW w:w="629"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3"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3"/>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）技术负责人具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val="en-US" w:eastAsia="zh-CN"/>
              </w:rPr>
              <w:t xml:space="preserve">工程师职称的得2分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r>
            <w:r/>
          </w:p>
        </w:tc>
      </w:tr>
      <w:tr>
        <w:trPr>
          <w:cantSplit/>
          <w:trHeight w:val="1350"/>
        </w:trPr>
        <w:tc>
          <w:tcPr>
            <w:tcW w:w="629" w:type="dxa"/>
            <w:vAlign w:val="center"/>
            <w:vMerge w:val="continue"/>
            <w:textDirection w:val="lrTb"/>
            <w:noWrap w:val="false"/>
          </w:tcPr>
          <w:p>
            <w:pPr>
              <w:pStyle w:val="1063"/>
              <w:jc w:val="both"/>
              <w:keepLines w:val="0"/>
              <w:keepNext w:val="0"/>
              <w:pageBreakBefore w:val="0"/>
              <w:spacing w:line="360" w:lineRule="exact"/>
              <w:rPr>
                <w:color w:val="000000"/>
                <w:highlight w:val="none"/>
              </w:rPr>
            </w:pPr>
            <w:r>
              <w:rPr>
                <w:color w:val="000000"/>
                <w:highlight w:val="none"/>
              </w:rPr>
            </w:r>
            <w:r/>
          </w:p>
        </w:tc>
        <w:tc>
          <w:tcPr>
            <w:tcW w:w="1203" w:type="dxa"/>
            <w:vAlign w:val="center"/>
            <w:vMerge w:val="continue"/>
            <w:textDirection w:val="lrTb"/>
            <w:noWrap w:val="false"/>
          </w:tcPr>
          <w:p>
            <w:pPr>
              <w:pStyle w:val="1063"/>
              <w:jc w:val="both"/>
              <w:keepLines w:val="0"/>
              <w:keepNext w:val="0"/>
              <w:pageBreakBefore w:val="0"/>
              <w:spacing w:line="360" w:lineRule="exact"/>
              <w:rPr>
                <w:color w:val="000000"/>
                <w:highlight w:val="none"/>
              </w:rPr>
            </w:pPr>
            <w:r>
              <w:rPr>
                <w:color w:val="000000"/>
                <w:highlight w:val="none"/>
              </w:rPr>
            </w:r>
            <w:r/>
          </w:p>
        </w:tc>
        <w:tc>
          <w:tcPr>
            <w:tcW w:w="6735" w:type="dxa"/>
            <w:vAlign w:val="center"/>
            <w:textDirection w:val="lrTb"/>
            <w:noWrap w:val="false"/>
          </w:tcPr>
          <w:p>
            <w:pPr>
              <w:pStyle w:val="1063"/>
              <w:keepLines w:val="0"/>
              <w:keepNext w:val="0"/>
              <w:pageBreakBefore w:val="0"/>
              <w:spacing w:line="360" w:lineRule="exact"/>
              <w:widowControl/>
              <w:rPr>
                <w:rFonts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）项目组成员（项目经理、项目技术负责人除外）须配备施工员、质量（质检）员、安全员、材料员各一名，人员配备齐全得</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，缺1名不得分。（提供有效的证书原件扫描件并加盖电子公章）</w:t>
            </w:r>
            <w:r>
              <w:rPr>
                <w:rFonts w:ascii="宋体" w:hAnsi="宋体" w:eastAsia="宋体" w:cs="宋体"/>
                <w:b/>
                <w:color w:val="000000"/>
                <w:sz w:val="21"/>
                <w:szCs w:val="21"/>
                <w:highlight w:val="none"/>
                <w:lang w:eastAsia="zh-CN"/>
              </w:rPr>
            </w:r>
            <w:r/>
          </w:p>
        </w:tc>
        <w:tc>
          <w:tcPr>
            <w:tcW w:w="721" w:type="dxa"/>
            <w:vAlign w:val="center"/>
            <w:textDirection w:val="lrTb"/>
            <w:noWrap w:val="false"/>
          </w:tcPr>
          <w:p>
            <w:pPr>
              <w:pStyle w:val="1063"/>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r>
        <w:trPr>
          <w:cantSplit/>
          <w:trHeight w:val="810"/>
        </w:trPr>
        <w:tc>
          <w:tcPr>
            <w:tcW w:w="629"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en-US" w:eastAsia="zh-CN"/>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3"/>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（1）供应商承诺能服从采购人管理，按时保质保量的完成全部施工内容，不得引起因施工带来投诉的得4分。（提供加盖电子公章的承诺书原件，格式自拟）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r>
        <w:trPr>
          <w:cantSplit/>
          <w:trHeight w:val="810"/>
        </w:trPr>
        <w:tc>
          <w:tcPr>
            <w:tcW w:w="629"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3"/>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（2）供应商承诺委派的项目负责人具有丰富的现场管理经验，对现场各类日常管理及突发情况具有做出合理应对能力的得4分。（提供加盖电子公章的承诺书原件，格式自拟）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bl>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bookmarkEnd w:id="30"/>
      <w:r>
        <w:rPr>
          <w:rFonts w:hint="eastAsia" w:ascii="宋体" w:hAnsi="宋体" w:eastAsia="宋体" w:cs="宋体"/>
          <w:color w:val="000000"/>
          <w:szCs w:val="21"/>
          <w:highlight w:val="none"/>
        </w:rPr>
        <w:t xml:space="preserve">注：1、以上各项评分内容，如供应商未提供相对应内容，磋商小组不受最低评分标准限制，可予以零分计算。</w:t>
      </w:r>
      <w:r>
        <w:rPr>
          <w:rFonts w:hint="eastAsia" w:ascii="宋体" w:hAnsi="宋体" w:eastAsia="宋体" w:cs="宋体"/>
          <w:color w:val="000000"/>
          <w:szCs w:val="21"/>
          <w:highlight w:val="none"/>
        </w:rPr>
      </w:r>
      <w:r/>
    </w:p>
    <w:p>
      <w:pPr>
        <w:pStyle w:val="1063"/>
        <w:numPr>
          <w:ilvl w:val="0"/>
          <w:numId w:val="8"/>
        </w:numPr>
        <w:contextualSpacing/>
        <w:ind w:firstLine="420"/>
        <w:keepLines w:val="0"/>
        <w:keepNext w:val="0"/>
        <w:pageBreakBefore w:val="0"/>
        <w:spacing w:line="400" w:lineRule="exact"/>
        <w:widowControl w:val="off"/>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供应商提供的证明材料须为中文，如为外文资料须同时提供中文翻译件，否则一律视为未提供。</w:t>
      </w:r>
      <w:r>
        <w:rPr>
          <w:rFonts w:hint="eastAsia" w:ascii="宋体" w:hAnsi="宋体" w:eastAsia="宋体" w:cs="宋体"/>
          <w:color w:val="000000"/>
          <w:szCs w:val="21"/>
          <w:highlight w:val="none"/>
          <w:lang w:val="zh-CN"/>
        </w:rPr>
      </w:r>
      <w:r/>
    </w:p>
    <w:p>
      <w:pPr>
        <w:pStyle w:val="1063"/>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063"/>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1、小微企业的价格扣除：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r>
        <w:rPr>
          <w:rFonts w:hint="eastAsia" w:ascii="宋体" w:hAnsi="宋体" w:eastAsia="宋体" w:cs="宋体"/>
          <w:color w:val="000000"/>
          <w:szCs w:val="21"/>
          <w:highlight w:val="none"/>
          <w:lang w:val="en-US" w:eastAsia="zh-CN"/>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2、监狱和戒毒企业的价格扣除：本项目对监狱和戒毒企业（简称监狱企业），给予5%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残疾人福利性单位的价格扣除：本项目对残疾人福利性单位，给予5%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关于异常低价的审查</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4.1评审过程中出现下列情形之一的，评审委员会应当启动异常低价投标（响应）审查程序：</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（4）评审委员会认定的供应商报价过低、有可能影响产品质量或者不能诚信履约的其他情形。</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4.2评审委员会启动异常低价投标（响应）审查后，属于前述第1项至第4项情形的，应当</w:t>
      </w:r>
      <w:r>
        <w:rPr>
          <w:rFonts w:hint="eastAsia" w:ascii="宋体" w:hAnsi="宋体" w:eastAsia="宋体" w:cs="宋体"/>
          <w:color w:val="000000"/>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bookmarkStart w:id="31" w:name="_Toc19781"/>
      <w:r>
        <w:rPr>
          <w:rFonts w:hint="eastAsia" w:ascii="宋体" w:hAnsi="宋体" w:eastAsia="宋体" w:cs="宋体"/>
          <w:b/>
          <w:color w:val="000000"/>
          <w:sz w:val="32"/>
          <w:szCs w:val="32"/>
          <w:highlight w:val="none"/>
        </w:rPr>
        <w:t xml:space="preserve">第四章 </w:t>
      </w:r>
      <w:bookmarkStart w:id="32" w:name="_Toc150538845"/>
      <w:r>
        <w:rPr>
          <w:rFonts w:hint="eastAsia" w:ascii="宋体" w:hAnsi="宋体" w:eastAsia="宋体" w:cs="宋体"/>
          <w:b/>
          <w:color w:val="000000"/>
          <w:sz w:val="32"/>
          <w:szCs w:val="32"/>
          <w:highlight w:val="none"/>
        </w:rPr>
        <w:t xml:space="preserve">采购需求</w:t>
      </w:r>
      <w:bookmarkEnd w:id="31"/>
      <w:r>
        <w:rPr>
          <w:rFonts w:hint="eastAsia" w:ascii="宋体" w:hAnsi="宋体" w:eastAsia="宋体" w:cs="宋体"/>
          <w:b/>
          <w:color w:val="000000"/>
          <w:sz w:val="32"/>
          <w:szCs w:val="32"/>
          <w:highlight w:val="none"/>
        </w:rPr>
      </w:r>
      <w:r/>
    </w:p>
    <w:p>
      <w:pPr>
        <w:pStyle w:val="1063"/>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bookmarkEnd w:id="32"/>
      <w:r>
        <w:rPr>
          <w:rFonts w:hint="eastAsia" w:ascii="宋体" w:hAnsi="宋体" w:eastAsia="宋体" w:cs="Calibri"/>
          <w:b/>
          <w:bCs w:val="0"/>
          <w:color w:val="000000"/>
          <w:sz w:val="21"/>
          <w:szCs w:val="21"/>
          <w:highlight w:val="none"/>
          <w:lang w:val="en-US" w:eastAsia="zh-CN" w:bidi="ar-SA"/>
        </w:rPr>
        <w:t xml:space="preserve">一、项目属性：</w:t>
      </w:r>
      <w:r>
        <w:rPr>
          <w:rFonts w:hint="eastAsia" w:ascii="宋体" w:hAnsi="宋体" w:eastAsia="宋体" w:cs="Calibri"/>
          <w:bCs/>
          <w:color w:val="000000"/>
          <w:sz w:val="21"/>
          <w:szCs w:val="21"/>
          <w:highlight w:val="none"/>
          <w:lang w:val="en-US" w:eastAsia="zh-CN" w:bidi="ar-SA"/>
        </w:rPr>
        <w:t xml:space="preserve">工程类项目。</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二、项目概况：</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1、招标范围：详见工程量清单和图纸。</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2、项目地点：南京江北新区</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三、拟采购标的需要满足的技术要求</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采购人向每个供应商提供了工程量清单，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供应商应仔细阅读和理解磋商文件中有关采购需求、义务、付款方式、付款条件和时间进度安排，充分考虑市场价格变动以及项目实施过程中的不可预见因素，结合企业自身条件进行报价，采用综合单价报价方式，磋商文件如没有特别说明的话，对每一项工程量仅接受一个价格，如果有漏项，视同让利。供应商的任何错漏、优惠、竞争性报价不得作为减轻责任、减少服务、增加收费、降低服务质量的理由。</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3、工程量清单中每一项单价均应已包括完成一个规定计量单位项目所需的人工费、材料费、机械使用费、材料运输费、二次倒运费、管理费和利润，并考虑风险因素所发生的所有费用。</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4、供应商应严格执行建筑施工规范、安全操作规范、安全防火规定、环境保护规定，施工中所发生的一切安全责任事故均由供应商承担，采购人不承担任何责任。</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5、供应商应做到文明施工，不得扰民，做好施工现场整洁，做好已完工程的保护措施，如有损坏采购人有权要求赔偿，施工垃圾及时清运，清运相关费用由供应商自行解决。</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四、拟采购标的需要满足的商务要求</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★1、合同履行期限：</w:t>
      </w:r>
      <w:r>
        <w:rPr>
          <w:rFonts w:hint="eastAsia" w:ascii="宋体" w:hAnsi="宋体" w:eastAsia="宋体" w:cs="Calibri"/>
          <w:bCs/>
          <w:color w:val="000000"/>
          <w:sz w:val="21"/>
          <w:szCs w:val="21"/>
          <w:highlight w:val="none"/>
          <w:lang w:val="en-US" w:eastAsia="zh-CN" w:bidi="ar-SA"/>
        </w:rPr>
        <w:t xml:space="preserve">70日历天</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★2、质量要求：符合国家质量验收标准。</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组成员管理要求：本项目严禁转包和违法分包，供应商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4、质保及验收要求</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（1）成交供应商应在合同约定的完工时间通过验收并办理相关手续，并向采购人交齐所有合格的竣工资料，如因成交供应商原因影响竣工验收或导致不能通过验收，则应赔偿采购人损失。</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（2）质量保修期：本项目质量保修期为二年，自工程竣工验收合格之日起计算。</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（3）质量保修责任</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①属于保修范围和内容的项目，成交供应商应在接到修理通知之日后3天内派人修理。成交供应商不在约定期限内派人修理，采购人可委托其他人员修理，保修费用从质量保修金内扣除。</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②发生紧急抢修事故，成交供应商接到事故通知后，应立即到达事故现场抢修。非成交供应商施工质量引起的事故，抢修费用由采购人承担。</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③在国家规定的工程合理使用期限内，因成交供应商原因致使工程在合理使用期限内造成人身和财产损害的，应承担损害赔偿责任。</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5、报价要求</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本项目采用固定单价形式，供应商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费以及合同明示或暗示的风险、责任和义务等为完成本工程项目所涉及到的全部费用，上述费用均已包含在总报价中。</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（2）施工现场、交通运输情况及自然地理条件由供应商自行现场勘察，应充分考虑本工程场地现状的特点，可能对工程施工造成的影响并由此增加的费用等，作出考量一并考虑在总报价中。</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6、付款方式</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详见合同</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五、工程量清单和编制说明</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本项目工程量清单和编制说明详见“江苏政府采购网”发布的竞争性磋商公告附件。</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六、特别说明</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为避免供应商非理性报价、防范恶意低价谋取成交影响项目实施，评审委员会认定的供应商报价过低、有可能影响产品质量或者不能诚信履约的其他情形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注：本章加★项均为实质性要求，不允许负偏离，否则作无效响应处理。其中工程量清单的响应以《已标价工程量清单》中填写内容为准，其他实质性要求供应商需在《技术条款偏离表》及《商务条款偏离表》中体现响应情况及偏离情况。</w:t>
      </w:r>
      <w:r>
        <w:rPr>
          <w:rFonts w:hint="eastAsia" w:ascii="宋体" w:hAnsi="宋体" w:eastAsia="宋体" w:cs="Calibri"/>
          <w:bCs/>
          <w:color w:val="000000"/>
          <w:sz w:val="21"/>
          <w:szCs w:val="21"/>
          <w:highlight w:val="none"/>
          <w:lang w:val="en-US" w:eastAsia="zh-CN" w:bidi="ar-SA"/>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color w:val="000000"/>
          <w:highlight w:val="none"/>
        </w:rPr>
        <w:outlineLvl w:val="0"/>
      </w:pPr>
      <w:r/>
      <w:bookmarkStart w:id="33" w:name="_Toc16532"/>
      <w:r>
        <w:rPr>
          <w:rFonts w:hint="eastAsia" w:ascii="宋体" w:hAnsi="宋体" w:eastAsia="宋体" w:cs="宋体"/>
          <w:b/>
          <w:color w:val="000000"/>
          <w:sz w:val="32"/>
          <w:szCs w:val="32"/>
          <w:highlight w:val="none"/>
        </w:rPr>
        <w:t xml:space="preserve">第五章 合同条款</w:t>
      </w:r>
      <w:bookmarkEnd w:id="33"/>
      <w:r>
        <w:rPr>
          <w:rFonts w:hint="eastAsia" w:ascii="宋体" w:hAnsi="宋体" w:eastAsia="宋体" w:cs="宋体"/>
          <w:color w:val="000000"/>
          <w:highlight w:val="none"/>
        </w:rPr>
      </w:r>
      <w:r/>
    </w:p>
    <w:p>
      <w:pPr>
        <w:pStyle w:val="1063"/>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63"/>
        <w:jc w:val="left"/>
        <w:rPr>
          <w:rFonts w:hint="eastAsia" w:ascii="宋体" w:hAnsi="宋体" w:eastAsia="宋体" w:cs="宋体"/>
          <w:bCs/>
          <w:color w:val="000000"/>
          <w:sz w:val="32"/>
          <w:szCs w:val="32"/>
          <w:highlight w:val="none"/>
        </w:rPr>
        <w:outlineLvl w:val="9"/>
      </w:pP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rPr>
      </w:r>
      <w:r/>
    </w:p>
    <w:p>
      <w:pPr>
        <w:pStyle w:val="1063"/>
        <w:rPr>
          <w:rFonts w:eastAsia="华文中宋"/>
          <w:b/>
          <w:color w:val="000000"/>
          <w:sz w:val="52"/>
          <w:szCs w:val="52"/>
          <w:highlight w:val="none"/>
        </w:rPr>
        <w:outlineLvl w:val="9"/>
      </w:pPr>
      <w:r>
        <w:rPr>
          <w:rFonts w:eastAsia="华文中宋"/>
          <w:b/>
          <w:color w:val="000000"/>
          <w:sz w:val="52"/>
          <w:szCs w:val="52"/>
          <w:highlight w:val="none"/>
        </w:rPr>
      </w:r>
      <w:r/>
    </w:p>
    <w:p>
      <w:pPr>
        <w:pStyle w:val="1063"/>
        <w:rPr>
          <w:rFonts w:eastAsia="华文中宋"/>
          <w:b/>
          <w:color w:val="000000"/>
          <w:sz w:val="52"/>
          <w:szCs w:val="52"/>
          <w:highlight w:val="none"/>
        </w:rPr>
        <w:outlineLvl w:val="9"/>
      </w:pPr>
      <w:r>
        <w:rPr>
          <w:rFonts w:eastAsia="华文中宋"/>
          <w:b/>
          <w:color w:val="000000"/>
          <w:sz w:val="52"/>
          <w:szCs w:val="52"/>
          <w:highlight w:val="none"/>
        </w:rPr>
      </w:r>
      <w:r/>
    </w:p>
    <w:p>
      <w:pPr>
        <w:pStyle w:val="1063"/>
        <w:rPr>
          <w:rFonts w:eastAsia="华文中宋"/>
          <w:b/>
          <w:color w:val="000000"/>
          <w:sz w:val="52"/>
          <w:szCs w:val="52"/>
          <w:highlight w:val="none"/>
        </w:rPr>
        <w:outlineLvl w:val="9"/>
      </w:pPr>
      <w:r>
        <w:rPr>
          <w:rFonts w:eastAsia="华文中宋"/>
          <w:b/>
          <w:color w:val="000000"/>
          <w:sz w:val="52"/>
          <w:szCs w:val="52"/>
          <w:highlight w:val="none"/>
        </w:rPr>
      </w:r>
      <w:r/>
    </w:p>
    <w:p>
      <w:pPr>
        <w:pStyle w:val="1063"/>
        <w:rPr>
          <w:rFonts w:eastAsia="华文中宋"/>
          <w:b/>
          <w:color w:val="000000"/>
          <w:sz w:val="52"/>
          <w:szCs w:val="52"/>
          <w:highlight w:val="none"/>
        </w:rPr>
        <w:outlineLvl w:val="9"/>
      </w:pPr>
      <w:r>
        <w:rPr>
          <w:rFonts w:eastAsia="华文中宋"/>
          <w:b/>
          <w:color w:val="000000"/>
          <w:sz w:val="52"/>
          <w:szCs w:val="52"/>
          <w:highlight w:val="none"/>
        </w:rPr>
      </w:r>
      <w:r/>
    </w:p>
    <w:p>
      <w:pPr>
        <w:pStyle w:val="1063"/>
        <w:jc w:val="center"/>
        <w:rPr>
          <w:rFonts w:hint="eastAsia" w:eastAsia="华文中宋"/>
          <w:b/>
          <w:color w:val="000000"/>
          <w:sz w:val="44"/>
          <w:szCs w:val="44"/>
          <w:highlight w:val="none"/>
          <w:lang w:eastAsia="zh-CN"/>
        </w:rPr>
        <w:outlineLvl w:val="9"/>
      </w:pPr>
      <w:r>
        <w:rPr>
          <w:rFonts w:hint="eastAsia" w:eastAsia="华文中宋"/>
          <w:b/>
          <w:color w:val="000000"/>
          <w:sz w:val="56"/>
          <w:szCs w:val="44"/>
          <w:highlight w:val="none"/>
          <w:lang w:eastAsia="zh-CN"/>
        </w:rPr>
        <w:t xml:space="preserve">南京江北新材料科技园封闭化管理优化提升工程</w:t>
      </w:r>
      <w:r>
        <w:rPr>
          <w:rFonts w:hint="eastAsia" w:eastAsia="华文中宋"/>
          <w:b/>
          <w:color w:val="000000"/>
          <w:sz w:val="44"/>
          <w:szCs w:val="44"/>
          <w:highlight w:val="none"/>
          <w:lang w:eastAsia="zh-CN"/>
        </w:rPr>
      </w:r>
      <w:r/>
    </w:p>
    <w:p>
      <w:pPr>
        <w:pStyle w:val="1063"/>
        <w:jc w:val="center"/>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t xml:space="preserve">合同编号：</w:t>
      </w:r>
      <w:r>
        <w:rPr>
          <w:rFonts w:hint="eastAsia" w:ascii="宋体" w:hAnsi="宋体" w:eastAsia="宋体" w:cs="宋体"/>
          <w:b/>
          <w:color w:val="000000"/>
          <w:sz w:val="32"/>
          <w:szCs w:val="32"/>
          <w:highlight w:val="none"/>
        </w:rPr>
      </w:r>
      <w:r/>
    </w:p>
    <w:p>
      <w:pPr>
        <w:pStyle w:val="1063"/>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1063"/>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1063"/>
        <w:jc w:val="center"/>
        <w:rPr>
          <w:rFonts w:eastAsia="黑体"/>
          <w:b/>
          <w:color w:val="000000"/>
          <w:sz w:val="52"/>
          <w:szCs w:val="52"/>
          <w:highlight w:val="none"/>
        </w:rPr>
        <w:outlineLvl w:val="9"/>
      </w:pPr>
      <w:r>
        <w:rPr>
          <w:rFonts w:eastAsia="黑体"/>
          <w:b/>
          <w:color w:val="000000"/>
          <w:sz w:val="52"/>
          <w:szCs w:val="52"/>
          <w:highlight w:val="none"/>
        </w:rPr>
      </w:r>
      <w:r/>
    </w:p>
    <w:p>
      <w:pPr>
        <w:pStyle w:val="1063"/>
        <w:rPr>
          <w:b/>
          <w:color w:val="000000"/>
          <w:sz w:val="28"/>
          <w:szCs w:val="28"/>
          <w:highlight w:val="none"/>
        </w:rPr>
        <w:outlineLvl w:val="9"/>
      </w:pPr>
      <w:r>
        <w:rPr>
          <w:b/>
          <w:color w:val="000000"/>
          <w:sz w:val="28"/>
          <w:szCs w:val="28"/>
          <w:highlight w:val="none"/>
        </w:rPr>
      </w:r>
      <w:r/>
    </w:p>
    <w:p>
      <w:pPr>
        <w:pStyle w:val="1063"/>
        <w:ind w:right="2719"/>
        <w:jc w:val="center"/>
        <w:rPr>
          <w:rFonts w:hint="eastAsia" w:ascii="宋体" w:hAnsi="宋体" w:eastAsia="宋体" w:cs="宋体"/>
          <w:b/>
          <w:color w:val="000000"/>
          <w:sz w:val="32"/>
          <w:szCs w:val="28"/>
          <w:highlight w:val="none"/>
        </w:rPr>
        <w:outlineLvl w:val="9"/>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3856990</wp:posOffset>
                </wp:positionH>
                <wp:positionV relativeFrom="paragraph">
                  <wp:posOffset>158115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63"/>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3"/>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03.7pt;mso-position-horizontal:absolute;mso-position-vertical-relative:text;margin-top:12.4pt;mso-position-vertical:absolute;width:57.0pt;height:36.0pt;mso-wrap-distance-left:9.0pt;mso-wrap-distance-top:0.0pt;mso-wrap-distance-right:9.0pt;mso-wrap-distance-bottom:0.0pt;visibility:visible;" filled="f" strokecolor="#FFFFFF">
                <v:textbox inset="0,0,0,0">
                  <w:txbxContent>
                    <w:p>
                      <w:pPr>
                        <w:pStyle w:val="1063"/>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3"/>
                      </w:pPr>
                      <w:r/>
                      <w:r/>
                    </w:p>
                  </w:txbxContent>
                </v:textbox>
              </v:shape>
            </w:pict>
          </mc:Fallback>
        </mc:AlternateContent>
      </w:r>
      <w:r>
        <w:rPr>
          <w:rFonts w:hint="eastAsia"/>
          <w:b/>
          <w:color w:val="000000"/>
          <w:sz w:val="32"/>
          <w:szCs w:val="28"/>
          <w:highlight w:val="none"/>
        </w:rPr>
        <w:t xml:space="preserve">          </w:t>
      </w:r>
      <w:r>
        <w:rPr>
          <w:rFonts w:hint="eastAsia" w:ascii="宋体" w:hAnsi="宋体" w:eastAsia="宋体" w:cs="宋体"/>
          <w:b/>
          <w:color w:val="000000"/>
          <w:sz w:val="32"/>
          <w:szCs w:val="28"/>
          <w:highlight w:val="none"/>
        </w:rPr>
        <w:t xml:space="preserve">    住 房 城 乡 建 设 部</w:t>
      </w:r>
      <w:r>
        <w:rPr>
          <w:rFonts w:hint="eastAsia" w:ascii="宋体" w:hAnsi="宋体" w:eastAsia="宋体" w:cs="宋体"/>
          <w:b/>
          <w:color w:val="000000"/>
          <w:sz w:val="32"/>
          <w:szCs w:val="28"/>
          <w:highlight w:val="none"/>
        </w:rPr>
      </w:r>
      <w:r/>
    </w:p>
    <w:p>
      <w:pPr>
        <w:pStyle w:val="1063"/>
        <w:ind w:right="2719"/>
        <w:jc w:val="center"/>
        <w:rPr>
          <w:rFonts w:hint="eastAsia" w:ascii="宋体" w:hAnsi="宋体" w:eastAsia="宋体" w:cs="宋体"/>
          <w:b/>
          <w:color w:val="000000"/>
          <w:sz w:val="32"/>
          <w:szCs w:val="28"/>
          <w:highlight w:val="none"/>
        </w:rPr>
        <w:outlineLvl w:val="9"/>
      </w:pPr>
      <w:r>
        <w:rPr>
          <w:rFonts w:hint="eastAsia" w:ascii="宋体" w:hAnsi="宋体" w:eastAsia="宋体" w:cs="宋体"/>
          <w:b/>
          <w:color w:val="000000"/>
          <w:sz w:val="32"/>
          <w:szCs w:val="28"/>
          <w:highlight w:val="none"/>
        </w:rPr>
        <w:t xml:space="preserve">              国家工商行政管理总局</w:t>
      </w:r>
      <w:r>
        <w:rPr>
          <w:rFonts w:hint="eastAsia" w:ascii="宋体" w:hAnsi="宋体" w:eastAsia="宋体" w:cs="宋体"/>
          <w:b/>
          <w:color w:val="000000"/>
          <w:sz w:val="32"/>
          <w:szCs w:val="28"/>
          <w:highlight w:val="none"/>
        </w:rPr>
      </w:r>
      <w:r/>
    </w:p>
    <w:p>
      <w:pPr>
        <w:pStyle w:val="1063"/>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1063"/>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1063"/>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34" w:name="_Toc227984065"/>
      <w:r/>
      <w:bookmarkEnd w:id="34"/>
      <w:r/>
      <w:bookmarkStart w:id="35" w:name="_Toc144974855"/>
      <w:r/>
      <w:bookmarkEnd w:id="35"/>
      <w:r/>
      <w:bookmarkStart w:id="36" w:name="_Toc152045772"/>
      <w:r/>
      <w:bookmarkEnd w:id="36"/>
      <w:r/>
      <w:bookmarkStart w:id="37" w:name="_Toc152045785"/>
      <w:r/>
      <w:bookmarkEnd w:id="37"/>
      <w:r/>
      <w:bookmarkStart w:id="38" w:name="_Toc152042554"/>
      <w:r/>
      <w:bookmarkEnd w:id="38"/>
      <w:r/>
      <w:bookmarkStart w:id="39" w:name="_Toc227984073"/>
      <w:r/>
      <w:bookmarkEnd w:id="39"/>
      <w:r/>
      <w:bookmarkStart w:id="40" w:name="_Toc152042574"/>
      <w:r/>
      <w:bookmarkEnd w:id="40"/>
      <w:r/>
      <w:bookmarkStart w:id="41" w:name="_Toc227984074"/>
      <w:r/>
      <w:bookmarkEnd w:id="41"/>
      <w:r/>
      <w:bookmarkStart w:id="42" w:name="_Toc144974854"/>
      <w:r/>
      <w:bookmarkEnd w:id="42"/>
      <w:r/>
      <w:bookmarkStart w:id="43" w:name="_Toc144974834"/>
      <w:r/>
      <w:bookmarkEnd w:id="43"/>
      <w:r/>
      <w:bookmarkStart w:id="44" w:name="_Toc152045786"/>
      <w:r/>
      <w:bookmarkEnd w:id="44"/>
      <w:r/>
      <w:bookmarkStart w:id="45" w:name="_Toc152045782"/>
      <w:r/>
      <w:bookmarkEnd w:id="45"/>
      <w:r/>
      <w:bookmarkStart w:id="46" w:name="_Toc144974851"/>
      <w:r/>
      <w:bookmarkEnd w:id="46"/>
      <w:r/>
      <w:bookmarkStart w:id="47" w:name="_Toc227984070"/>
      <w:r/>
      <w:bookmarkEnd w:id="47"/>
      <w:r/>
      <w:bookmarkStart w:id="48" w:name="_Toc152042575"/>
      <w:r/>
      <w:bookmarkEnd w:id="48"/>
      <w:r>
        <w:rPr>
          <w:rFonts w:hint="eastAsia" w:ascii="宋体" w:hAnsi="宋体" w:eastAsia="宋体" w:cs="宋体"/>
          <w:color w:val="000000"/>
          <w:sz w:val="21"/>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一、《示范文本》的组成</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《示范文本》由合同协议书、通用合同条款和专用合同条款三部分组成。</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（一）合同协议书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（二）通用合同条款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通用合同条款是合同当事人根据《中华人民共和国建筑法》、《中华人民共和国合同法》等法律法规的规定，就工程建设的实施及相关事项，对合同当事人的权利义务作出的原则性约定。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（三）专用合同条款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1.专用合同条款的编号应与相应的通用合同条款的编号一致；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2.合同当事人可以通过对专用合同条款的修改，满足具体建设工程的特殊要求，避免直接修改通用合同条款；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二、《示范文本》的性质和适用范围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sectPr>
          <w:footerReference w:type="default" r:id="rId16"/>
          <w:footerReference w:type="first" r:id="rId17"/>
          <w:footnotePr/>
          <w:endnotePr/>
          <w:type w:val="nextPage"/>
          <w:pgSz w:w="11906" w:h="16838" w:orient="portrait"/>
          <w:pgMar w:top="1418" w:right="1555" w:bottom="1418" w:left="1531" w:header="851" w:footer="992" w:gutter="0"/>
          <w:pgNumType w:start="1"/>
          <w:cols w:num="1" w:sep="0" w:space="1701" w:equalWidth="1"/>
          <w:docGrid w:linePitch="360"/>
          <w:titlePg/>
        </w:sectPr>
        <w:outlineLvl w:val="9"/>
      </w:pPr>
      <w:r>
        <w:rPr>
          <w:rFonts w:hint="eastAsia" w:ascii="宋体" w:hAnsi="宋体" w:eastAsia="宋体" w:cs="宋体"/>
          <w:color w:val="000000"/>
          <w:sz w:val="21"/>
          <w:szCs w:val="21"/>
          <w:highlight w:val="none"/>
        </w:rPr>
      </w:r>
      <w:r/>
    </w:p>
    <w:p>
      <w:pPr>
        <w:pStyle w:val="1063"/>
        <w:ind w:right="0"/>
        <w:jc w:val="center"/>
        <w:pageBreakBefore w:val="0"/>
        <w:spacing w:line="400" w:lineRule="exact"/>
        <w:rPr>
          <w:rFonts w:hint="eastAsia" w:ascii="宋体" w:hAnsi="宋体" w:eastAsia="宋体" w:cs="宋体"/>
          <w:b/>
          <w:bCs/>
          <w:color w:val="000000"/>
          <w:sz w:val="21"/>
          <w:szCs w:val="21"/>
          <w:highlight w:val="none"/>
        </w:rPr>
        <w:outlineLvl w:val="9"/>
      </w:pPr>
      <w:r/>
      <w:bookmarkStart w:id="49" w:name="_Toc58061969"/>
      <w:r/>
      <w:bookmarkEnd w:id="49"/>
      <w:r/>
      <w:bookmarkStart w:id="50" w:name="_Toc101689181"/>
      <w:r/>
      <w:bookmarkEnd w:id="50"/>
      <w:r/>
      <w:bookmarkStart w:id="51" w:name="_Toc56600967"/>
      <w:r/>
      <w:bookmarkEnd w:id="51"/>
      <w:r>
        <w:rPr>
          <w:rFonts w:hint="eastAsia" w:ascii="宋体" w:hAnsi="宋体" w:eastAsia="宋体" w:cs="宋体"/>
          <w:b/>
          <w:bCs/>
          <w:color w:val="000000"/>
          <w:spacing w:val="-4"/>
          <w:sz w:val="21"/>
          <w:szCs w:val="21"/>
          <w:highlight w:val="none"/>
        </w:rPr>
        <w:t xml:space="preserve">第一部分 合同协议书</w:t>
      </w:r>
      <w:r>
        <w:rPr>
          <w:rFonts w:hint="eastAsia" w:ascii="宋体" w:hAnsi="宋体" w:eastAsia="宋体" w:cs="宋体"/>
          <w:b/>
          <w:bCs/>
          <w:color w:val="000000"/>
          <w:sz w:val="21"/>
          <w:szCs w:val="21"/>
          <w:highlight w:val="none"/>
        </w:rPr>
      </w:r>
      <w:r/>
    </w:p>
    <w:p>
      <w:pPr>
        <w:pStyle w:val="1063"/>
        <w:contextualSpacing/>
        <w:ind w:left="0" w:right="0" w:firstLine="404"/>
        <w:pageBreakBefore w:val="0"/>
        <w:spacing w:line="400" w:lineRule="exact"/>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t xml:space="preserve">发包人（全称）</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u w:val="single"/>
          <w:lang w:eastAsia="zh-CN"/>
        </w:rPr>
        <w:t xml:space="preserve">南京市江北新区公共工程建设中心</w:t>
      </w:r>
      <w:r>
        <w:rPr>
          <w:rFonts w:hint="eastAsia" w:ascii="宋体" w:hAnsi="宋体" w:eastAsia="宋体" w:cs="宋体"/>
          <w:color w:val="000000"/>
          <w:spacing w:val="-4"/>
          <w:sz w:val="21"/>
          <w:szCs w:val="21"/>
          <w:highlight w:val="none"/>
        </w:rPr>
      </w:r>
      <w:r/>
    </w:p>
    <w:p>
      <w:pPr>
        <w:pStyle w:val="1063"/>
        <w:contextualSpacing/>
        <w:ind w:left="0" w:right="0" w:firstLine="420"/>
        <w:pageBreakBefore w:val="0"/>
        <w:spacing w:line="40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pacing w:val="-62"/>
          <w:sz w:val="21"/>
          <w:szCs w:val="21"/>
          <w:highlight w:val="none"/>
        </w:rPr>
        <w:t xml:space="preserve">）</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r>
      <w:r/>
    </w:p>
    <w:p>
      <w:pPr>
        <w:pStyle w:val="1063"/>
        <w:contextualSpacing/>
        <w:ind w:left="0" w:right="0" w:firstLine="392"/>
        <w:pageBreakBefore w:val="0"/>
        <w:spacing w:line="400" w:lineRule="exact"/>
        <w:rPr>
          <w:rFonts w:hint="eastAsia" w:ascii="宋体" w:hAnsi="宋体" w:eastAsia="宋体" w:cs="宋体"/>
          <w:color w:val="000000"/>
          <w:spacing w:val="-4"/>
          <w:sz w:val="21"/>
          <w:szCs w:val="21"/>
          <w:highlight w:val="none"/>
          <w:u w:val="single"/>
        </w:rPr>
        <w:outlineLvl w:val="9"/>
      </w:pPr>
      <w:r>
        <w:rPr>
          <w:rFonts w:hint="eastAsia" w:ascii="宋体" w:hAnsi="宋体" w:eastAsia="宋体" w:cs="宋体"/>
          <w:color w:val="000000"/>
          <w:spacing w:val="-7"/>
          <w:sz w:val="21"/>
          <w:szCs w:val="21"/>
          <w:highlight w:val="none"/>
        </w:rPr>
        <w:t xml:space="preserve">根据《中华人民共和国民法典》、《中华人民共和国建筑法》及有关法律规定，遵循平等、</w:t>
      </w:r>
      <w:r>
        <w:rPr>
          <w:rFonts w:hint="eastAsia" w:ascii="宋体" w:hAnsi="宋体" w:eastAsia="宋体" w:cs="宋体"/>
          <w:color w:val="000000"/>
          <w:spacing w:val="-4"/>
          <w:sz w:val="21"/>
          <w:szCs w:val="21"/>
          <w:highlight w:val="none"/>
        </w:rPr>
        <w:t xml:space="preserve">自愿、公平和诚实信用的原则，双方就</w:t>
      </w:r>
      <w:r>
        <w:rPr>
          <w:rFonts w:hint="eastAsia" w:ascii="宋体" w:hAnsi="宋体" w:eastAsia="宋体" w:cs="宋体"/>
          <w:color w:val="000000"/>
          <w:sz w:val="21"/>
          <w:szCs w:val="21"/>
          <w:highlight w:val="none"/>
          <w:u w:val="single"/>
          <w:lang w:eastAsia="zh-CN"/>
        </w:rPr>
        <w:t xml:space="preserve">南京江北新材料科技园封闭化管理优化提升工程</w:t>
      </w:r>
      <w:r>
        <w:rPr>
          <w:rFonts w:hint="eastAsia" w:ascii="宋体" w:hAnsi="宋体" w:eastAsia="宋体" w:cs="宋体"/>
          <w:color w:val="000000"/>
          <w:spacing w:val="-1"/>
          <w:sz w:val="21"/>
          <w:szCs w:val="21"/>
          <w:highlight w:val="none"/>
        </w:rPr>
        <w:t xml:space="preserve">及有关事项协商一致，共同达成如下协议：</w:t>
      </w:r>
      <w:r>
        <w:rPr>
          <w:rFonts w:hint="eastAsia" w:ascii="宋体" w:hAnsi="宋体" w:eastAsia="宋体" w:cs="宋体"/>
          <w:color w:val="000000"/>
          <w:spacing w:val="-4"/>
          <w:sz w:val="21"/>
          <w:szCs w:val="21"/>
          <w:highlight w:val="none"/>
          <w:u w:val="singl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一、工程概况</w:t>
      </w:r>
      <w:r>
        <w:rPr>
          <w:rFonts w:hint="eastAsia" w:ascii="宋体" w:hAnsi="宋体" w:eastAsia="宋体" w:cs="宋体"/>
          <w:color w:val="000000"/>
          <w:sz w:val="21"/>
          <w:szCs w:val="21"/>
          <w:highlight w:val="none"/>
        </w:rPr>
      </w:r>
      <w:r/>
    </w:p>
    <w:p>
      <w:pPr>
        <w:pStyle w:val="1063"/>
        <w:contextualSpacing/>
        <w:ind w:left="0" w:right="0" w:firstLine="400"/>
        <w:pageBreakBefore w:val="0"/>
        <w:spacing w:line="400" w:lineRule="exact"/>
        <w:rPr>
          <w:rFonts w:hint="eastAsia" w:ascii="宋体" w:hAnsi="宋体" w:eastAsia="宋体" w:cs="宋体"/>
          <w:color w:val="000000"/>
          <w:spacing w:val="-5"/>
          <w:sz w:val="21"/>
          <w:szCs w:val="21"/>
          <w:highlight w:val="none"/>
          <w:lang w:eastAsia="zh-CN"/>
        </w:rPr>
        <w:outlineLvl w:val="9"/>
      </w:pPr>
      <w:r>
        <w:rPr>
          <w:rFonts w:hint="eastAsia" w:ascii="宋体" w:hAnsi="宋体" w:eastAsia="宋体" w:cs="宋体"/>
          <w:color w:val="000000"/>
          <w:spacing w:val="-5"/>
          <w:sz w:val="21"/>
          <w:szCs w:val="21"/>
          <w:highlight w:val="none"/>
        </w:rPr>
        <w:t xml:space="preserve">1.工程名称：</w:t>
      </w:r>
      <w:r>
        <w:rPr>
          <w:rFonts w:hint="eastAsia" w:ascii="宋体" w:hAnsi="宋体" w:eastAsia="宋体" w:cs="宋体"/>
          <w:color w:val="000000"/>
          <w:sz w:val="21"/>
          <w:szCs w:val="21"/>
          <w:highlight w:val="none"/>
          <w:u w:val="single"/>
          <w:lang w:eastAsia="zh-CN"/>
        </w:rPr>
        <w:t xml:space="preserve">南京江北新材料科技园封闭化管理优化提升工程</w:t>
      </w:r>
      <w:r>
        <w:rPr>
          <w:rFonts w:hint="eastAsia" w:ascii="宋体" w:hAnsi="宋体" w:eastAsia="宋体" w:cs="宋体"/>
          <w:color w:val="000000"/>
          <w:spacing w:val="-5"/>
          <w:sz w:val="21"/>
          <w:szCs w:val="21"/>
          <w:highlight w:val="none"/>
          <w:lang w:eastAsia="zh-CN"/>
        </w:rPr>
      </w:r>
      <w:r/>
    </w:p>
    <w:p>
      <w:pPr>
        <w:pStyle w:val="1063"/>
        <w:contextualSpacing/>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2.工程地点：</w:t>
      </w:r>
      <w:r>
        <w:rPr>
          <w:rFonts w:hint="eastAsia" w:ascii="宋体" w:hAnsi="宋体" w:eastAsia="宋体" w:cs="宋体"/>
          <w:color w:val="000000"/>
          <w:sz w:val="21"/>
          <w:szCs w:val="21"/>
          <w:highlight w:val="none"/>
          <w:u w:val="single"/>
          <w:lang w:eastAsia="zh-CN"/>
        </w:rPr>
        <w:t xml:space="preserve">本项目位于南京江北新区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contextualSpacing/>
        <w:ind w:left="0" w:right="0" w:firstLine="392"/>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pacing w:val="-7"/>
          <w:sz w:val="21"/>
          <w:szCs w:val="21"/>
          <w:highlight w:val="none"/>
        </w:rPr>
        <w:t xml:space="preserve">3.工程立项批准文号：</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eastAsia="zh-CN"/>
        </w:rPr>
      </w:r>
      <w:r/>
    </w:p>
    <w:p>
      <w:pPr>
        <w:pStyle w:val="1063"/>
        <w:contextualSpacing/>
        <w:ind w:left="0" w:right="0" w:firstLine="39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7"/>
          <w:sz w:val="21"/>
          <w:szCs w:val="21"/>
          <w:highlight w:val="none"/>
        </w:rPr>
        <w:t xml:space="preserve">4.资金来源：</w:t>
      </w:r>
      <w:r>
        <w:rPr>
          <w:rFonts w:hint="eastAsia" w:ascii="宋体" w:hAnsi="宋体" w:eastAsia="宋体" w:cs="宋体"/>
          <w:color w:val="000000"/>
          <w:sz w:val="21"/>
          <w:szCs w:val="21"/>
          <w:highlight w:val="none"/>
          <w:u w:val="single"/>
          <w:lang w:eastAsia="zh-CN"/>
        </w:rPr>
        <w:t xml:space="preserve">国有政府性资金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contextualSpacing/>
        <w:ind w:left="0" w:right="0" w:firstLine="392"/>
        <w:pageBreakBefore w:val="0"/>
        <w:spacing w:line="400" w:lineRule="exact"/>
        <w:rPr>
          <w:rFonts w:hint="eastAsia" w:ascii="宋体" w:hAnsi="宋体" w:eastAsia="宋体" w:cs="宋体"/>
          <w:color w:val="000000"/>
          <w:spacing w:val="-6"/>
          <w:sz w:val="21"/>
          <w:szCs w:val="21"/>
          <w:highlight w:val="none"/>
          <w:u w:val="single"/>
        </w:rPr>
        <w:outlineLvl w:val="9"/>
      </w:pPr>
      <w:r>
        <w:rPr>
          <w:rFonts w:hint="eastAsia" w:ascii="宋体" w:hAnsi="宋体" w:eastAsia="宋体" w:cs="宋体"/>
          <w:color w:val="000000"/>
          <w:spacing w:val="-7"/>
          <w:sz w:val="21"/>
          <w:szCs w:val="21"/>
          <w:highlight w:val="none"/>
        </w:rPr>
        <w:t xml:space="preserve">5.工程内容：</w:t>
      </w:r>
      <w:r>
        <w:rPr>
          <w:rFonts w:hint="eastAsia" w:ascii="宋体" w:hAnsi="宋体" w:eastAsia="宋体" w:cs="宋体"/>
          <w:color w:val="000000"/>
          <w:sz w:val="21"/>
          <w:szCs w:val="21"/>
          <w:highlight w:val="none"/>
          <w:u w:val="single"/>
          <w:lang w:eastAsia="zh-CN"/>
        </w:rPr>
        <w:t xml:space="preserve">南京江北新材料科技园封闭化管理优化提升工程，具体详见图纸及工程量清单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6"/>
          <w:sz w:val="21"/>
          <w:szCs w:val="21"/>
          <w:highlight w:val="none"/>
          <w:u w:val="single"/>
        </w:rPr>
      </w:r>
      <w:r/>
    </w:p>
    <w:p>
      <w:pPr>
        <w:pStyle w:val="1063"/>
        <w:contextualSpacing/>
        <w:ind w:left="0" w:right="0" w:firstLine="392"/>
        <w:pageBreakBefore w:val="0"/>
        <w:spacing w:line="400" w:lineRule="exact"/>
        <w:rPr>
          <w:rFonts w:hint="eastAsia" w:ascii="宋体" w:hAnsi="宋体" w:eastAsia="宋体" w:cs="宋体"/>
          <w:color w:val="000000"/>
          <w:spacing w:val="-7"/>
          <w:sz w:val="21"/>
          <w:szCs w:val="21"/>
          <w:highlight w:val="none"/>
        </w:rPr>
        <w:outlineLvl w:val="9"/>
      </w:pPr>
      <w:r>
        <w:rPr>
          <w:rFonts w:hint="eastAsia" w:ascii="宋体" w:hAnsi="宋体" w:eastAsia="宋体" w:cs="宋体"/>
          <w:color w:val="000000"/>
          <w:spacing w:val="-7"/>
          <w:sz w:val="21"/>
          <w:szCs w:val="21"/>
          <w:highlight w:val="none"/>
        </w:rPr>
        <w:t xml:space="preserve">群体工程应附《承包人承揽工程项目一览表》（附件1）。</w:t>
      </w:r>
      <w:r>
        <w:rPr>
          <w:rFonts w:hint="eastAsia" w:ascii="宋体" w:hAnsi="宋体" w:eastAsia="宋体" w:cs="宋体"/>
          <w:color w:val="000000"/>
          <w:spacing w:val="-7"/>
          <w:sz w:val="21"/>
          <w:szCs w:val="21"/>
          <w:highlight w:val="none"/>
        </w:rPr>
      </w:r>
      <w:r/>
    </w:p>
    <w:p>
      <w:pPr>
        <w:pStyle w:val="1063"/>
        <w:contextualSpacing/>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6.工程承包范围：</w:t>
      </w:r>
      <w:r>
        <w:rPr>
          <w:rFonts w:hint="eastAsia" w:ascii="宋体" w:hAnsi="宋体" w:eastAsia="宋体" w:cs="宋体"/>
          <w:color w:val="000000"/>
          <w:sz w:val="21"/>
          <w:szCs w:val="21"/>
          <w:highlight w:val="none"/>
          <w:u w:val="single"/>
          <w:lang w:eastAsia="zh-CN"/>
        </w:rPr>
        <w:t xml:space="preserve">南京江北新材料科技园封闭化管理优化提升工程，具体详见图纸及工程量清单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二、合同工期</w:t>
      </w:r>
      <w:r>
        <w:rPr>
          <w:rFonts w:hint="eastAsia" w:ascii="宋体" w:hAnsi="宋体" w:eastAsia="宋体" w:cs="宋体"/>
          <w:color w:val="000000"/>
          <w:sz w:val="21"/>
          <w:szCs w:val="21"/>
          <w:highlight w:val="none"/>
        </w:rPr>
      </w:r>
      <w:r/>
    </w:p>
    <w:p>
      <w:pPr>
        <w:pStyle w:val="1063"/>
        <w:contextualSpacing/>
        <w:ind w:left="0" w:right="0" w:firstLine="38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8"/>
          <w:sz w:val="21"/>
          <w:szCs w:val="21"/>
          <w:highlight w:val="none"/>
        </w:rPr>
        <w:t xml:space="preserve">计划开工日期：</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8"/>
          <w:sz w:val="21"/>
          <w:szCs w:val="21"/>
          <w:highlight w:val="none"/>
        </w:rPr>
        <w:t xml:space="preserve">年</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8"/>
          <w:sz w:val="21"/>
          <w:szCs w:val="21"/>
          <w:highlight w:val="none"/>
        </w:rPr>
        <w:t xml:space="preserve">月</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8"/>
          <w:sz w:val="21"/>
          <w:szCs w:val="21"/>
          <w:highlight w:val="none"/>
        </w:rPr>
        <w:t xml:space="preserve">日（具体以业主的书面开工令日期为准）</w:t>
      </w:r>
      <w:r>
        <w:rPr>
          <w:rFonts w:hint="eastAsia" w:ascii="宋体" w:hAnsi="宋体" w:eastAsia="宋体" w:cs="宋体"/>
          <w:color w:val="000000"/>
          <w:sz w:val="21"/>
          <w:szCs w:val="21"/>
          <w:highlight w:val="none"/>
        </w:rPr>
      </w:r>
      <w:r/>
    </w:p>
    <w:p>
      <w:pPr>
        <w:pStyle w:val="1063"/>
        <w:contextualSpacing/>
        <w:ind w:left="0" w:right="0" w:firstLine="39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7"/>
          <w:sz w:val="21"/>
          <w:szCs w:val="21"/>
          <w:highlight w:val="none"/>
        </w:rPr>
        <w:t xml:space="preserve">计划竣工日期：</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8"/>
          <w:sz w:val="21"/>
          <w:szCs w:val="21"/>
          <w:highlight w:val="none"/>
        </w:rPr>
        <w:t xml:space="preserve">年</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8"/>
          <w:sz w:val="21"/>
          <w:szCs w:val="21"/>
          <w:highlight w:val="none"/>
        </w:rPr>
        <w:t xml:space="preserve">月</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8"/>
          <w:sz w:val="21"/>
          <w:szCs w:val="21"/>
          <w:highlight w:val="none"/>
        </w:rPr>
        <w:t xml:space="preserve">日</w:t>
      </w:r>
      <w:r>
        <w:rPr>
          <w:rFonts w:hint="eastAsia" w:ascii="宋体" w:hAnsi="宋体" w:eastAsia="宋体" w:cs="宋体"/>
          <w:color w:val="000000"/>
          <w:spacing w:val="-7"/>
          <w:sz w:val="21"/>
          <w:szCs w:val="21"/>
          <w:highlight w:val="none"/>
        </w:rPr>
        <w:t xml:space="preserve">（具体以业主、施工单位的两方交接验收报告为准）</w:t>
      </w:r>
      <w:r>
        <w:rPr>
          <w:rFonts w:hint="eastAsia" w:ascii="宋体" w:hAnsi="宋体" w:eastAsia="宋体" w:cs="宋体"/>
          <w:color w:val="000000"/>
          <w:sz w:val="21"/>
          <w:szCs w:val="21"/>
          <w:highlight w:val="none"/>
        </w:rPr>
      </w:r>
      <w:r/>
    </w:p>
    <w:p>
      <w:pPr>
        <w:pStyle w:val="1063"/>
        <w:contextualSpacing/>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工期总日历天数：</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日历天。工期总日历天数与根据前述计划开竣工日期计算的工期天数</w:t>
      </w:r>
      <w:r>
        <w:rPr>
          <w:rFonts w:hint="eastAsia" w:ascii="宋体" w:hAnsi="宋体" w:eastAsia="宋体" w:cs="宋体"/>
          <w:color w:val="000000"/>
          <w:spacing w:val="-1"/>
          <w:sz w:val="21"/>
          <w:szCs w:val="21"/>
          <w:highlight w:val="none"/>
        </w:rPr>
        <w:t xml:space="preserve">不一致的，以工期总日历天数为准。</w:t>
      </w:r>
      <w:r>
        <w:rPr>
          <w:rFonts w:hint="eastAsia" w:ascii="宋体" w:hAnsi="宋体" w:eastAsia="宋体" w:cs="宋体"/>
          <w:color w:val="000000"/>
          <w:sz w:val="21"/>
          <w:szCs w:val="21"/>
          <w:highlight w:val="none"/>
        </w:rPr>
      </w:r>
      <w:r/>
    </w:p>
    <w:p>
      <w:pPr>
        <w:pStyle w:val="1063"/>
        <w:contextualSpacing/>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三、质量标准</w:t>
      </w:r>
      <w:r>
        <w:rPr>
          <w:rFonts w:hint="eastAsia" w:ascii="宋体" w:hAnsi="宋体" w:eastAsia="宋体" w:cs="宋体"/>
          <w:color w:val="000000"/>
          <w:sz w:val="21"/>
          <w:szCs w:val="21"/>
          <w:highlight w:val="none"/>
        </w:rPr>
      </w:r>
      <w:r/>
    </w:p>
    <w:p>
      <w:pPr>
        <w:pStyle w:val="1063"/>
        <w:contextualSpacing/>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工程质量符合</w:t>
      </w:r>
      <w:r>
        <w:rPr>
          <w:rFonts w:hint="eastAsia" w:ascii="宋体" w:hAnsi="宋体" w:eastAsia="宋体" w:cs="宋体"/>
          <w:color w:val="000000"/>
          <w:spacing w:val="-6"/>
          <w:sz w:val="21"/>
          <w:szCs w:val="21"/>
          <w:highlight w:val="none"/>
          <w:u w:val="single"/>
        </w:rPr>
        <w:t xml:space="preserve">合格</w:t>
      </w:r>
      <w:r>
        <w:rPr>
          <w:rFonts w:hint="eastAsia" w:ascii="宋体" w:hAnsi="宋体" w:eastAsia="宋体" w:cs="宋体"/>
          <w:color w:val="000000"/>
          <w:spacing w:val="-6"/>
          <w:sz w:val="21"/>
          <w:szCs w:val="21"/>
          <w:highlight w:val="none"/>
        </w:rPr>
        <w:t xml:space="preserve">标准。</w:t>
      </w:r>
      <w:r>
        <w:rPr>
          <w:rFonts w:hint="eastAsia" w:ascii="宋体" w:hAnsi="宋体" w:eastAsia="宋体" w:cs="宋体"/>
          <w:color w:val="000000"/>
          <w:sz w:val="21"/>
          <w:szCs w:val="21"/>
          <w:highlight w:val="none"/>
        </w:rPr>
      </w:r>
      <w:r/>
    </w:p>
    <w:p>
      <w:pPr>
        <w:pStyle w:val="1063"/>
        <w:contextualSpacing/>
        <w:ind w:left="0" w:right="0" w:firstLine="396"/>
        <w:pageBreakBefore w:val="0"/>
        <w:spacing w:line="400" w:lineRule="exact"/>
        <w:rPr>
          <w:rFonts w:hint="eastAsia" w:ascii="宋体" w:hAnsi="宋体" w:eastAsia="宋体" w:cs="宋体"/>
          <w:color w:val="000000"/>
          <w:spacing w:val="-6"/>
          <w:sz w:val="21"/>
          <w:szCs w:val="21"/>
          <w:highlight w:val="none"/>
        </w:rPr>
        <w:outlineLvl w:val="9"/>
      </w:pPr>
      <w:r>
        <w:rPr>
          <w:rFonts w:hint="eastAsia" w:ascii="宋体" w:hAnsi="宋体" w:eastAsia="宋体" w:cs="宋体"/>
          <w:color w:val="000000"/>
          <w:spacing w:val="-6"/>
          <w:sz w:val="21"/>
          <w:szCs w:val="21"/>
          <w:highlight w:val="none"/>
        </w:rPr>
        <w:t xml:space="preserve">四、签约合同价与合同价格形式</w:t>
      </w:r>
      <w:r>
        <w:rPr>
          <w:rFonts w:hint="eastAsia" w:ascii="宋体" w:hAnsi="宋体" w:eastAsia="宋体" w:cs="宋体"/>
          <w:color w:val="000000"/>
          <w:spacing w:val="-6"/>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1.签约合同价为：</w:t>
      </w:r>
      <w:r>
        <w:rPr>
          <w:rFonts w:hint="eastAsia" w:ascii="宋体" w:hAnsi="宋体" w:eastAsia="宋体" w:cs="宋体"/>
          <w:color w:val="000000"/>
          <w:sz w:val="21"/>
          <w:szCs w:val="21"/>
          <w:highlight w:val="none"/>
        </w:rPr>
      </w:r>
      <w:r/>
    </w:p>
    <w:p>
      <w:pPr>
        <w:pStyle w:val="1063"/>
        <w:contextualSpacing/>
        <w:ind w:left="0" w:right="0" w:firstLine="396"/>
        <w:pageBreakBefore w:val="0"/>
        <w:spacing w:line="400" w:lineRule="exact"/>
        <w:widowControl w:val="off"/>
        <w:rPr>
          <w:rFonts w:hint="eastAsia" w:ascii="宋体" w:hAnsi="宋体" w:eastAsia="宋体" w:cs="宋体"/>
          <w:color w:val="000000"/>
          <w:spacing w:val="-6"/>
          <w:sz w:val="21"/>
          <w:szCs w:val="21"/>
          <w:highlight w:val="none"/>
        </w:rPr>
        <w:outlineLvl w:val="9"/>
      </w:pPr>
      <w:r>
        <w:rPr>
          <w:rFonts w:hint="eastAsia" w:ascii="宋体" w:hAnsi="宋体" w:eastAsia="宋体" w:cs="宋体"/>
          <w:color w:val="000000"/>
          <w:spacing w:val="-6"/>
          <w:sz w:val="21"/>
          <w:szCs w:val="21"/>
          <w:highlight w:val="none"/>
        </w:rPr>
        <w:t xml:space="preserve">人民币（大写）</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元)；税率：</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%，不含税金额人民币（大写）</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元)</w:t>
      </w:r>
      <w:r>
        <w:rPr>
          <w:rFonts w:hint="eastAsia" w:ascii="宋体" w:hAnsi="宋体" w:eastAsia="宋体" w:cs="宋体"/>
          <w:color w:val="000000"/>
          <w:spacing w:val="-6"/>
          <w:sz w:val="21"/>
          <w:szCs w:val="21"/>
          <w:highlight w:val="none"/>
        </w:rPr>
      </w:r>
      <w:r/>
    </w:p>
    <w:p>
      <w:pPr>
        <w:pStyle w:val="1063"/>
        <w:contextualSpacing/>
        <w:ind w:left="0" w:right="0" w:firstLine="404"/>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其中：</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widowControl w:val="off"/>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（1）安全文明施工费：</w:t>
      </w:r>
      <w:r>
        <w:rPr>
          <w:rFonts w:hint="eastAsia" w:ascii="宋体" w:hAnsi="宋体" w:eastAsia="宋体" w:cs="宋体"/>
          <w:color w:val="000000"/>
          <w:spacing w:val="-3"/>
          <w:sz w:val="21"/>
          <w:szCs w:val="21"/>
          <w:highlight w:val="none"/>
        </w:rPr>
      </w:r>
      <w:r/>
    </w:p>
    <w:p>
      <w:pPr>
        <w:pStyle w:val="1063"/>
        <w:contextualSpacing/>
        <w:ind w:left="0" w:right="0" w:firstLine="40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人民币（大写）</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元)；</w:t>
      </w:r>
      <w:r>
        <w:rPr>
          <w:rFonts w:hint="eastAsia" w:ascii="宋体" w:hAnsi="宋体" w:eastAsia="宋体" w:cs="宋体"/>
          <w:color w:val="000000"/>
          <w:sz w:val="21"/>
          <w:szCs w:val="21"/>
          <w:highlight w:val="none"/>
        </w:rPr>
      </w:r>
      <w:r/>
    </w:p>
    <w:p>
      <w:pPr>
        <w:pStyle w:val="1063"/>
        <w:contextualSpacing/>
        <w:ind w:left="0" w:right="0" w:firstLine="392"/>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7"/>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1063"/>
        <w:contextualSpacing/>
        <w:ind w:left="0" w:right="0" w:firstLine="368"/>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3"/>
          <w:sz w:val="21"/>
          <w:szCs w:val="21"/>
          <w:highlight w:val="none"/>
        </w:rPr>
        <w:t xml:space="preserve">人民币</w:t>
      </w:r>
      <w:r>
        <w:rPr>
          <w:rFonts w:hint="eastAsia" w:ascii="宋体" w:hAnsi="宋体" w:eastAsia="宋体" w:cs="宋体"/>
          <w:color w:val="000000"/>
          <w:spacing w:val="-5"/>
          <w:sz w:val="21"/>
          <w:szCs w:val="21"/>
          <w:highlight w:val="none"/>
        </w:rPr>
        <w:t xml:space="preserve">（大写）</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元)</w:t>
      </w:r>
      <w:r>
        <w:rPr>
          <w:rFonts w:hint="eastAsia" w:ascii="宋体" w:hAnsi="宋体" w:eastAsia="宋体" w:cs="宋体"/>
          <w:color w:val="000000"/>
          <w:spacing w:val="-13"/>
          <w:sz w:val="21"/>
          <w:szCs w:val="21"/>
          <w:highlight w:val="none"/>
        </w:rPr>
        <w:t xml:space="preserve">；</w:t>
      </w:r>
      <w:r>
        <w:rPr>
          <w:rFonts w:hint="eastAsia" w:ascii="宋体" w:hAnsi="宋体" w:eastAsia="宋体" w:cs="宋体"/>
          <w:color w:val="000000"/>
          <w:sz w:val="21"/>
          <w:szCs w:val="21"/>
          <w:highlight w:val="none"/>
        </w:rPr>
      </w:r>
      <w:r/>
    </w:p>
    <w:p>
      <w:pPr>
        <w:pStyle w:val="1063"/>
        <w:contextualSpacing/>
        <w:ind w:left="0" w:right="0" w:firstLine="384"/>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9"/>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1063"/>
        <w:contextualSpacing/>
        <w:ind w:left="0" w:right="0" w:firstLine="384"/>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9"/>
          <w:sz w:val="21"/>
          <w:szCs w:val="21"/>
          <w:highlight w:val="none"/>
        </w:rPr>
        <w:t xml:space="preserve">人民币（大写）</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元)；</w:t>
      </w:r>
      <w:r>
        <w:rPr>
          <w:rFonts w:hint="eastAsia" w:ascii="宋体" w:hAnsi="宋体" w:eastAsia="宋体" w:cs="宋体"/>
          <w:color w:val="000000"/>
          <w:sz w:val="21"/>
          <w:szCs w:val="21"/>
          <w:highlight w:val="none"/>
        </w:rPr>
      </w:r>
      <w:r/>
    </w:p>
    <w:p>
      <w:pPr>
        <w:pStyle w:val="1063"/>
        <w:contextualSpacing/>
        <w:ind w:left="0" w:right="0" w:firstLine="384"/>
        <w:pageBreakBefore w:val="0"/>
        <w:spacing w:line="400" w:lineRule="exact"/>
        <w:widowControl w:val="off"/>
        <w:rPr>
          <w:rFonts w:hint="eastAsia" w:ascii="宋体" w:hAnsi="宋体" w:eastAsia="宋体" w:cs="宋体"/>
          <w:color w:val="000000"/>
          <w:spacing w:val="-2"/>
          <w:sz w:val="21"/>
          <w:szCs w:val="21"/>
          <w:highlight w:val="none"/>
        </w:rPr>
        <w:outlineLvl w:val="9"/>
      </w:pPr>
      <w:r>
        <w:rPr>
          <w:rFonts w:hint="eastAsia" w:ascii="宋体" w:hAnsi="宋体" w:eastAsia="宋体" w:cs="宋体"/>
          <w:color w:val="000000"/>
          <w:spacing w:val="-9"/>
          <w:sz w:val="21"/>
          <w:szCs w:val="21"/>
          <w:highlight w:val="none"/>
        </w:rPr>
        <w:t xml:space="preserve">（4）暂列金额：（大写）</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元)</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rPr>
      </w:r>
      <w:r/>
    </w:p>
    <w:p>
      <w:pPr>
        <w:pStyle w:val="1063"/>
        <w:contextualSpacing/>
        <w:ind w:left="0" w:right="0" w:firstLine="412"/>
        <w:pageBreakBefore w:val="0"/>
        <w:spacing w:line="400" w:lineRule="exact"/>
        <w:rPr>
          <w:rFonts w:hint="eastAsia" w:ascii="宋体" w:hAnsi="宋体" w:eastAsia="宋体" w:cs="宋体"/>
          <w:color w:val="000000"/>
          <w:spacing w:val="-2"/>
          <w:sz w:val="21"/>
          <w:szCs w:val="21"/>
          <w:highlight w:val="none"/>
        </w:rPr>
        <w:outlineLvl w:val="9"/>
      </w:pPr>
      <w:r>
        <w:rPr>
          <w:rFonts w:hint="eastAsia" w:ascii="宋体" w:hAnsi="宋体" w:eastAsia="宋体" w:cs="宋体"/>
          <w:color w:val="000000"/>
          <w:spacing w:val="-2"/>
          <w:sz w:val="21"/>
          <w:szCs w:val="21"/>
          <w:highlight w:val="none"/>
        </w:rPr>
        <w:t xml:space="preserve">2.合同价格形式：</w:t>
      </w:r>
      <w:r>
        <w:rPr>
          <w:rFonts w:hint="eastAsia" w:ascii="宋体" w:hAnsi="宋体" w:eastAsia="宋体" w:cs="宋体"/>
          <w:color w:val="000000"/>
          <w:spacing w:val="-6"/>
          <w:sz w:val="21"/>
          <w:szCs w:val="21"/>
          <w:highlight w:val="none"/>
          <w:u w:val="single"/>
        </w:rPr>
        <w:t xml:space="preserve">固定单价合同</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五、项目经理</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承包人项目经理</w:t>
      </w:r>
      <w:r>
        <w:rPr>
          <w:rFonts w:hint="eastAsia" w:ascii="宋体" w:hAnsi="宋体" w:eastAsia="宋体" w:cs="宋体"/>
          <w:color w:val="000000"/>
          <w:spacing w:val="-16"/>
          <w:sz w:val="21"/>
          <w:szCs w:val="21"/>
          <w:highlight w:val="none"/>
        </w:rPr>
        <w:t xml:space="preserve">：</w:t>
      </w:r>
      <w:r>
        <w:rPr>
          <w:rFonts w:hint="eastAsia" w:ascii="宋体" w:hAnsi="宋体" w:eastAsia="宋体" w:cs="宋体"/>
          <w:color w:val="000000"/>
          <w:spacing w:val="-16"/>
          <w:sz w:val="21"/>
          <w:szCs w:val="21"/>
          <w:highlight w:val="none"/>
          <w:u w:val="single"/>
        </w:rPr>
        <w:t xml:space="preserve">         </w:t>
      </w:r>
      <w:r>
        <w:rPr>
          <w:rFonts w:hint="eastAsia" w:ascii="宋体" w:hAnsi="宋体" w:eastAsia="宋体" w:cs="宋体"/>
          <w:color w:val="000000"/>
          <w:spacing w:val="-16"/>
          <w:sz w:val="21"/>
          <w:szCs w:val="21"/>
          <w:highlight w:val="none"/>
        </w:rPr>
        <w:t xml:space="preserve">。</w:t>
      </w:r>
      <w:r>
        <w:rPr>
          <w:rFonts w:hint="eastAsia" w:ascii="宋体" w:hAnsi="宋体" w:eastAsia="宋体" w:cs="宋体"/>
          <w:color w:val="000000"/>
          <w:sz w:val="21"/>
          <w:szCs w:val="21"/>
          <w:highlight w:val="none"/>
        </w:rPr>
      </w:r>
      <w:r/>
    </w:p>
    <w:p>
      <w:pPr>
        <w:pStyle w:val="1063"/>
        <w:contextualSpacing/>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六、合同文件构成</w:t>
      </w:r>
      <w:r>
        <w:rPr>
          <w:rFonts w:hint="eastAsia" w:ascii="宋体" w:hAnsi="宋体" w:eastAsia="宋体" w:cs="宋体"/>
          <w:color w:val="000000"/>
          <w:sz w:val="21"/>
          <w:szCs w:val="21"/>
          <w:highlight w:val="none"/>
        </w:rPr>
      </w:r>
      <w:r/>
    </w:p>
    <w:p>
      <w:pPr>
        <w:pStyle w:val="1063"/>
        <w:contextualSpacing/>
        <w:ind w:left="0" w:right="0" w:firstLine="41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本协议书与下列文件一起构成合同文件：</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（1）中标通知书（如果有）；</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（2）投标函及其附录（如果有）； </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（3）本合同专用合同条款及其附件；</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（4）本合同通用合同条款；</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（5）技术标准和要求；</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（6）图纸；</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（7）已标价工程量清单或预算书；</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（8）其他合同文件。</w:t>
      </w:r>
      <w:r>
        <w:rPr>
          <w:rFonts w:hint="eastAsia" w:ascii="宋体" w:hAnsi="宋体" w:eastAsia="宋体" w:cs="宋体"/>
          <w:color w:val="000000"/>
          <w:spacing w:val="-3"/>
          <w:sz w:val="21"/>
          <w:szCs w:val="21"/>
          <w:highlight w:val="none"/>
        </w:rPr>
      </w:r>
      <w:r/>
    </w:p>
    <w:p>
      <w:pPr>
        <w:pStyle w:val="1063"/>
        <w:contextualSpacing/>
        <w:ind w:left="0" w:right="0" w:firstLine="41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上述各项合同文件包括合同当事人就该项合同文件所作出的补充和修改，属于同一类内容的</w:t>
      </w:r>
      <w:r>
        <w:rPr>
          <w:rFonts w:hint="eastAsia" w:ascii="宋体" w:hAnsi="宋体" w:eastAsia="宋体" w:cs="宋体"/>
          <w:color w:val="000000"/>
          <w:spacing w:val="-1"/>
          <w:sz w:val="21"/>
          <w:szCs w:val="21"/>
          <w:highlight w:val="none"/>
        </w:rPr>
        <w:t xml:space="preserve">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七、承诺</w:t>
      </w:r>
      <w:r>
        <w:rPr>
          <w:rFonts w:hint="eastAsia" w:ascii="宋体" w:hAnsi="宋体" w:eastAsia="宋体" w:cs="宋体"/>
          <w:color w:val="000000"/>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1.发包人承诺按照法律规定履行项目审批手续、筹集工程建设资金并按照合同约定的期限和</w:t>
      </w:r>
      <w:r>
        <w:rPr>
          <w:rFonts w:hint="eastAsia" w:ascii="宋体" w:hAnsi="宋体" w:eastAsia="宋体" w:cs="宋体"/>
          <w:color w:val="000000"/>
          <w:spacing w:val="-2"/>
          <w:sz w:val="21"/>
          <w:szCs w:val="21"/>
          <w:highlight w:val="none"/>
        </w:rPr>
        <w:t xml:space="preserve">方式支付合同价款。</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2.承包人承诺按照法律规定及合同约定组织完成工程施工，确保工程质量和安全，不进行转</w:t>
      </w:r>
      <w:r>
        <w:rPr>
          <w:rFonts w:hint="eastAsia" w:ascii="宋体" w:hAnsi="宋体" w:eastAsia="宋体" w:cs="宋体"/>
          <w:color w:val="000000"/>
          <w:sz w:val="21"/>
          <w:szCs w:val="21"/>
          <w:highlight w:val="none"/>
        </w:rPr>
        <w:t xml:space="preserve">包及违法分包，并在缺陷责任期及保修期内承担相应的工程维修责任。</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3.</w:t>
      </w:r>
      <w:r>
        <w:rPr>
          <w:rFonts w:hint="eastAsia" w:ascii="宋体" w:hAnsi="宋体" w:eastAsia="宋体" w:cs="宋体"/>
          <w:bCs/>
          <w:color w:val="000000"/>
          <w:sz w:val="21"/>
          <w:szCs w:val="21"/>
          <w:highlight w:val="none"/>
        </w:rPr>
        <w:t xml:space="preserve">发包人、发包人和承包人通过招投标形式签订合同的，双方理解并承诺不再就同一工程另行签订与合同实质性内容相背离的协议。</w:t>
      </w:r>
      <w:r>
        <w:rPr>
          <w:rFonts w:hint="eastAsia" w:ascii="宋体" w:hAnsi="宋体" w:eastAsia="宋体" w:cs="宋体"/>
          <w:color w:val="000000"/>
          <w:sz w:val="21"/>
          <w:szCs w:val="21"/>
          <w:highlight w:val="none"/>
        </w:rPr>
      </w:r>
      <w:r/>
    </w:p>
    <w:p>
      <w:pPr>
        <w:pStyle w:val="1063"/>
        <w:contextualSpacing/>
        <w:ind w:left="0" w:right="0" w:firstLine="404"/>
        <w:pageBreakBefore w:val="0"/>
        <w:spacing w:line="400" w:lineRule="exact"/>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t xml:space="preserve">4.（1）承包人承诺在施工现场禁止使用国一及以下和排放不达标的非道路移动机械。</w:t>
      </w:r>
      <w:r>
        <w:rPr>
          <w:rFonts w:hint="eastAsia" w:ascii="宋体" w:hAnsi="宋体" w:eastAsia="宋体" w:cs="宋体"/>
          <w:color w:val="000000"/>
          <w:spacing w:val="-4"/>
          <w:sz w:val="21"/>
          <w:szCs w:val="21"/>
          <w:highlight w:val="none"/>
        </w:rPr>
      </w:r>
      <w:r/>
    </w:p>
    <w:p>
      <w:pPr>
        <w:pStyle w:val="1063"/>
        <w:contextualSpacing/>
        <w:ind w:left="0" w:right="0" w:firstLine="404"/>
        <w:pageBreakBefore w:val="0"/>
        <w:spacing w:line="400" w:lineRule="exact"/>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t xml:space="preserve">（2）承包人承诺在施工现场使用低挥发性有机物含量建筑涂料和胶粘剂。</w:t>
      </w:r>
      <w:r>
        <w:rPr>
          <w:rFonts w:hint="eastAsia" w:ascii="宋体" w:hAnsi="宋体" w:eastAsia="宋体" w:cs="宋体"/>
          <w:color w:val="000000"/>
          <w:spacing w:val="-4"/>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八、词语含义</w:t>
      </w:r>
      <w:r>
        <w:rPr>
          <w:rFonts w:hint="eastAsia" w:ascii="宋体" w:hAnsi="宋体" w:eastAsia="宋体" w:cs="宋体"/>
          <w:color w:val="000000"/>
          <w:sz w:val="21"/>
          <w:szCs w:val="21"/>
          <w:highlight w:val="none"/>
        </w:rPr>
      </w:r>
      <w:r/>
    </w:p>
    <w:p>
      <w:pPr>
        <w:pStyle w:val="1063"/>
        <w:contextualSpacing/>
        <w:ind w:left="0" w:right="0" w:firstLine="41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本协议书中词语含义与第二部分通用合同条款中赋予的含义相同。</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九、签订时间</w:t>
      </w:r>
      <w:r>
        <w:rPr>
          <w:rFonts w:hint="eastAsia" w:ascii="宋体" w:hAnsi="宋体" w:eastAsia="宋体" w:cs="宋体"/>
          <w:color w:val="000000"/>
          <w:sz w:val="21"/>
          <w:szCs w:val="21"/>
          <w:highlight w:val="none"/>
        </w:rPr>
      </w:r>
      <w:r/>
    </w:p>
    <w:p>
      <w:pPr>
        <w:pStyle w:val="1063"/>
        <w:contextualSpacing/>
        <w:ind w:left="0" w:right="0" w:firstLine="38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8"/>
          <w:sz w:val="21"/>
          <w:szCs w:val="21"/>
          <w:highlight w:val="none"/>
        </w:rPr>
        <w:t xml:space="preserve">本合同于</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8"/>
          <w:sz w:val="21"/>
          <w:szCs w:val="21"/>
          <w:highlight w:val="none"/>
        </w:rPr>
        <w:t xml:space="preserve">年</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8"/>
          <w:sz w:val="21"/>
          <w:szCs w:val="21"/>
          <w:highlight w:val="none"/>
        </w:rPr>
        <w:t xml:space="preserve">月</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8"/>
          <w:sz w:val="21"/>
          <w:szCs w:val="21"/>
          <w:highlight w:val="none"/>
        </w:rPr>
        <w:t xml:space="preserve">日</w:t>
      </w:r>
      <w:r>
        <w:rPr>
          <w:rFonts w:hint="eastAsia" w:ascii="宋体" w:hAnsi="宋体" w:eastAsia="宋体" w:cs="宋体"/>
          <w:color w:val="000000"/>
          <w:spacing w:val="-8"/>
          <w:sz w:val="21"/>
          <w:szCs w:val="21"/>
          <w:highlight w:val="none"/>
        </w:rPr>
        <w:t xml:space="preserve">签订。</w:t>
      </w:r>
      <w:r>
        <w:rPr>
          <w:rFonts w:hint="eastAsia" w:ascii="宋体" w:hAnsi="宋体" w:eastAsia="宋体" w:cs="宋体"/>
          <w:color w:val="000000"/>
          <w:sz w:val="21"/>
          <w:szCs w:val="21"/>
          <w:highlight w:val="none"/>
        </w:rPr>
      </w:r>
      <w:r/>
    </w:p>
    <w:p>
      <w:pPr>
        <w:pStyle w:val="1063"/>
        <w:contextualSpacing/>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十、签订地点</w:t>
      </w:r>
      <w:r>
        <w:rPr>
          <w:rFonts w:hint="eastAsia" w:ascii="宋体" w:hAnsi="宋体" w:eastAsia="宋体" w:cs="宋体"/>
          <w:color w:val="000000"/>
          <w:sz w:val="21"/>
          <w:szCs w:val="21"/>
          <w:highlight w:val="none"/>
        </w:rPr>
      </w:r>
      <w:r/>
    </w:p>
    <w:p>
      <w:pPr>
        <w:pStyle w:val="1063"/>
        <w:contextualSpacing/>
        <w:ind w:left="0" w:right="0" w:firstLine="40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本合同在</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签订。</w:t>
      </w:r>
      <w:r>
        <w:rPr>
          <w:rFonts w:hint="eastAsia" w:ascii="宋体" w:hAnsi="宋体" w:eastAsia="宋体" w:cs="宋体"/>
          <w:color w:val="000000"/>
          <w:sz w:val="21"/>
          <w:szCs w:val="21"/>
          <w:highlight w:val="none"/>
        </w:rPr>
      </w:r>
      <w:r/>
    </w:p>
    <w:p>
      <w:pPr>
        <w:pStyle w:val="1063"/>
        <w:contextualSpacing/>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十一、补充协议</w:t>
      </w:r>
      <w:r>
        <w:rPr>
          <w:rFonts w:hint="eastAsia" w:ascii="宋体" w:hAnsi="宋体" w:eastAsia="宋体" w:cs="宋体"/>
          <w:color w:val="000000"/>
          <w:sz w:val="21"/>
          <w:szCs w:val="21"/>
          <w:highlight w:val="none"/>
        </w:rPr>
      </w:r>
      <w:r/>
    </w:p>
    <w:p>
      <w:pPr>
        <w:pStyle w:val="1063"/>
        <w:contextualSpacing/>
        <w:ind w:left="0" w:right="0" w:firstLine="41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合同未尽事宜，合同当事人另行签订补充协议，补充协议是合同的组成部分。</w:t>
      </w:r>
      <w:r>
        <w:rPr>
          <w:rFonts w:hint="eastAsia" w:ascii="宋体" w:hAnsi="宋体" w:eastAsia="宋体" w:cs="宋体"/>
          <w:color w:val="000000"/>
          <w:sz w:val="21"/>
          <w:szCs w:val="21"/>
          <w:highlight w:val="none"/>
        </w:rPr>
      </w:r>
      <w:r/>
    </w:p>
    <w:p>
      <w:pPr>
        <w:pStyle w:val="1063"/>
        <w:contextualSpacing/>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十二、合同生效</w:t>
      </w:r>
      <w:r>
        <w:rPr>
          <w:rFonts w:hint="eastAsia" w:ascii="宋体" w:hAnsi="宋体" w:eastAsia="宋体" w:cs="宋体"/>
          <w:color w:val="000000"/>
          <w:sz w:val="21"/>
          <w:szCs w:val="21"/>
          <w:highlight w:val="none"/>
        </w:rPr>
      </w:r>
      <w:r/>
    </w:p>
    <w:p>
      <w:pPr>
        <w:pStyle w:val="1063"/>
        <w:contextualSpacing/>
        <w:ind w:left="0" w:right="0" w:firstLine="41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本合同自</w:t>
      </w:r>
      <w:r>
        <w:rPr>
          <w:rFonts w:hint="eastAsia" w:ascii="宋体" w:hAnsi="宋体" w:eastAsia="宋体" w:cs="宋体"/>
          <w:color w:val="000000"/>
          <w:spacing w:val="-1"/>
          <w:sz w:val="21"/>
          <w:szCs w:val="21"/>
          <w:highlight w:val="none"/>
          <w:u w:val="single"/>
        </w:rPr>
        <w:t xml:space="preserve">双方法定代表人或其授权的代理人签字并加盖单位公章之日起</w:t>
      </w:r>
      <w:r>
        <w:rPr>
          <w:rFonts w:hint="eastAsia" w:ascii="宋体" w:hAnsi="宋体" w:eastAsia="宋体" w:cs="宋体"/>
          <w:color w:val="000000"/>
          <w:spacing w:val="-1"/>
          <w:sz w:val="21"/>
          <w:szCs w:val="21"/>
          <w:highlight w:val="none"/>
        </w:rPr>
        <w:t xml:space="preserve">生效。</w:t>
      </w:r>
      <w:r>
        <w:rPr>
          <w:rFonts w:hint="eastAsia" w:ascii="宋体" w:hAnsi="宋体" w:eastAsia="宋体" w:cs="宋体"/>
          <w:color w:val="000000"/>
          <w:sz w:val="21"/>
          <w:szCs w:val="21"/>
          <w:highlight w:val="none"/>
        </w:rPr>
      </w:r>
      <w:r/>
    </w:p>
    <w:p>
      <w:pPr>
        <w:pStyle w:val="1063"/>
        <w:contextualSpacing/>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十三、合同份数</w:t>
      </w:r>
      <w:r>
        <w:rPr>
          <w:rFonts w:hint="eastAsia" w:ascii="宋体" w:hAnsi="宋体" w:eastAsia="宋体" w:cs="宋体"/>
          <w:color w:val="000000"/>
          <w:sz w:val="21"/>
          <w:szCs w:val="21"/>
          <w:highlight w:val="none"/>
        </w:rPr>
      </w:r>
      <w:r/>
    </w:p>
    <w:p>
      <w:pPr>
        <w:pStyle w:val="1063"/>
        <w:contextualSpacing/>
        <w:ind w:left="0" w:right="0" w:firstLine="404"/>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本合同一式</w:t>
      </w:r>
      <w:r>
        <w:rPr>
          <w:rFonts w:hint="eastAsia" w:ascii="宋体" w:hAnsi="宋体" w:eastAsia="宋体" w:cs="宋体"/>
          <w:color w:val="000000"/>
          <w:spacing w:val="-4"/>
          <w:sz w:val="21"/>
          <w:szCs w:val="21"/>
          <w:highlight w:val="none"/>
          <w:u w:val="single"/>
          <w:lang w:eastAsia="zh-CN"/>
        </w:rPr>
        <w:t xml:space="preserve">捌</w:t>
      </w:r>
      <w:r>
        <w:rPr>
          <w:rFonts w:hint="eastAsia" w:ascii="宋体" w:hAnsi="宋体" w:eastAsia="宋体" w:cs="宋体"/>
          <w:color w:val="000000"/>
          <w:spacing w:val="-4"/>
          <w:sz w:val="21"/>
          <w:szCs w:val="21"/>
          <w:highlight w:val="none"/>
        </w:rPr>
        <w:t xml:space="preserve">份，均具有同等法律效力，双方各执</w:t>
      </w:r>
      <w:r>
        <w:rPr>
          <w:rFonts w:hint="eastAsia" w:ascii="宋体" w:hAnsi="宋体" w:eastAsia="宋体" w:cs="宋体"/>
          <w:color w:val="000000"/>
          <w:spacing w:val="-4"/>
          <w:sz w:val="21"/>
          <w:szCs w:val="21"/>
          <w:highlight w:val="none"/>
          <w:u w:val="single"/>
        </w:rPr>
        <w:t xml:space="preserve">肆</w:t>
      </w:r>
      <w:r>
        <w:rPr>
          <w:rFonts w:hint="eastAsia" w:ascii="宋体" w:hAnsi="宋体" w:eastAsia="宋体" w:cs="宋体"/>
          <w:color w:val="000000"/>
          <w:spacing w:val="-4"/>
          <w:sz w:val="21"/>
          <w:szCs w:val="21"/>
          <w:highlight w:val="none"/>
        </w:rPr>
        <w:t xml:space="preserve">份。</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  (公章)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    (公章)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法定代表人或其委托代理人（签字）：      法定代表人或其委托代理人（签字）：</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tabs>
          <w:tab w:val="left" w:pos="441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组织机构代码：</w:t>
      </w:r>
      <w:bookmarkStart w:id="52" w:name="Ht43"/>
      <w:r/>
      <w:bookmarkEnd w:id="52"/>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组织机构代码：</w:t>
      </w:r>
      <w:bookmarkStart w:id="53" w:name="Ht53"/>
      <w:r/>
      <w:bookmarkEnd w:id="53"/>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bookmarkStart w:id="54" w:name="Ht44"/>
      <w:r/>
      <w:bookmarkEnd w:id="54"/>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bookmarkStart w:id="55" w:name="Ht54"/>
      <w:r/>
      <w:bookmarkEnd w:id="55"/>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bookmarkStart w:id="56" w:name="Ht45"/>
      <w:r/>
      <w:bookmarkEnd w:id="56"/>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bookmarkStart w:id="57" w:name="Ht55"/>
      <w:r/>
      <w:bookmarkEnd w:id="57"/>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bookmarkStart w:id="58" w:name="Ht46"/>
      <w:r/>
      <w:bookmarkEnd w:id="58"/>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bookmarkStart w:id="59" w:name="Ht56"/>
      <w:r/>
      <w:bookmarkEnd w:id="59"/>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bookmarkStart w:id="60" w:name="Ht47"/>
      <w:r/>
      <w:bookmarkEnd w:id="60"/>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bookmarkStart w:id="61" w:name="Ht57"/>
      <w:r/>
      <w:bookmarkEnd w:id="61"/>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电  话：</w:t>
      </w:r>
      <w:bookmarkStart w:id="62" w:name="Ht48"/>
      <w:r/>
      <w:bookmarkEnd w:id="62"/>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bookmarkStart w:id="63" w:name="Ht58"/>
      <w:r/>
      <w:bookmarkEnd w:id="63"/>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传  真：</w:t>
      </w:r>
      <w:bookmarkStart w:id="64" w:name="Ht49"/>
      <w:r/>
      <w:bookmarkEnd w:id="64"/>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bookmarkStart w:id="65" w:name="Ht59"/>
      <w:r/>
      <w:bookmarkEnd w:id="65"/>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电子信箱：</w:t>
      </w:r>
      <w:bookmarkStart w:id="66" w:name="Ht50"/>
      <w:r/>
      <w:bookmarkEnd w:id="66"/>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bookmarkStart w:id="67" w:name="Ht60"/>
      <w:r/>
      <w:bookmarkEnd w:id="67"/>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bookmarkStart w:id="68" w:name="Ht51"/>
      <w:r/>
      <w:bookmarkEnd w:id="68"/>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bookmarkStart w:id="69" w:name="Ht61"/>
      <w:r/>
      <w:bookmarkEnd w:id="69"/>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账  号：</w:t>
      </w:r>
      <w:bookmarkStart w:id="70" w:name="Ht52"/>
      <w:r/>
      <w:bookmarkEnd w:id="70"/>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bookmarkStart w:id="71" w:name="Ht62"/>
      <w:r/>
      <w:bookmarkEnd w:id="71"/>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3"/>
        <w:ind w:left="0" w:right="0" w:firstLine="412"/>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br w:type="page" w:clear="all"/>
      </w:r>
      <w:r>
        <w:rPr>
          <w:rFonts w:hint="eastAsia" w:ascii="宋体" w:hAnsi="宋体" w:eastAsia="宋体" w:cs="宋体"/>
          <w:b/>
          <w:bCs/>
          <w:color w:val="000000"/>
          <w:spacing w:val="-2"/>
          <w:sz w:val="21"/>
          <w:szCs w:val="21"/>
          <w:highlight w:val="none"/>
        </w:rPr>
        <w:t xml:space="preserve">第二部分</w:t>
      </w:r>
      <w:r>
        <w:rPr>
          <w:rFonts w:hint="eastAsia" w:ascii="宋体" w:hAnsi="宋体" w:eastAsia="宋体" w:cs="宋体"/>
          <w:b/>
          <w:bCs/>
          <w:color w:val="000000"/>
          <w:spacing w:val="-2"/>
          <w:sz w:val="21"/>
          <w:szCs w:val="21"/>
          <w:highlight w:val="none"/>
          <w:lang w:val="en-US" w:eastAsia="zh-CN"/>
        </w:rPr>
        <w:t xml:space="preserve"> </w:t>
      </w:r>
      <w:r>
        <w:rPr>
          <w:rFonts w:hint="eastAsia" w:ascii="宋体" w:hAnsi="宋体" w:eastAsia="宋体" w:cs="宋体"/>
          <w:b/>
          <w:bCs/>
          <w:color w:val="000000"/>
          <w:spacing w:val="-2"/>
          <w:sz w:val="21"/>
          <w:szCs w:val="21"/>
          <w:highlight w:val="none"/>
        </w:rPr>
        <w:t xml:space="preserve">通用合同条款</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2" w:name="_Toc96331452"/>
      <w:r/>
      <w:bookmarkEnd w:id="72"/>
      <w:r/>
      <w:bookmarkStart w:id="73" w:name="_Toc186096905"/>
      <w:r/>
      <w:bookmarkEnd w:id="73"/>
      <w:r/>
      <w:bookmarkStart w:id="74" w:name="_Toc351203495"/>
      <w:r>
        <w:rPr>
          <w:rFonts w:hint="eastAsia" w:ascii="宋体" w:hAnsi="宋体" w:eastAsia="宋体" w:cs="宋体"/>
          <w:b w:val="0"/>
          <w:bCs/>
          <w:color w:val="000000"/>
          <w:sz w:val="21"/>
          <w:szCs w:val="21"/>
          <w:highlight w:val="none"/>
        </w:rPr>
        <w:t xml:space="preserve">1.</w:t>
      </w:r>
      <w:bookmarkEnd w:id="74"/>
      <w:r/>
      <w:bookmarkStart w:id="75" w:name="_Toc303538975"/>
      <w:r/>
      <w:bookmarkEnd w:id="75"/>
      <w:r/>
      <w:bookmarkStart w:id="76" w:name="_Toc303538972"/>
      <w:r/>
      <w:bookmarkEnd w:id="76"/>
      <w:r/>
      <w:bookmarkStart w:id="77" w:name="_Toc303538973"/>
      <w:r/>
      <w:bookmarkEnd w:id="77"/>
      <w:r/>
      <w:bookmarkStart w:id="78" w:name="_Toc296346528"/>
      <w:r/>
      <w:bookmarkEnd w:id="78"/>
      <w:r/>
      <w:bookmarkStart w:id="79" w:name="_Toc303538974"/>
      <w:r/>
      <w:bookmarkEnd w:id="79"/>
      <w:r/>
      <w:bookmarkStart w:id="80" w:name="_Toc303538976"/>
      <w:r/>
      <w:bookmarkEnd w:id="80"/>
      <w:r/>
      <w:bookmarkStart w:id="81" w:name="_Toc296503027"/>
      <w:r>
        <w:rPr>
          <w:rFonts w:hint="eastAsia" w:ascii="宋体" w:hAnsi="宋体" w:eastAsia="宋体" w:cs="宋体"/>
          <w:b w:val="0"/>
          <w:bCs/>
          <w:color w:val="000000"/>
          <w:sz w:val="21"/>
          <w:szCs w:val="21"/>
          <w:highlight w:val="none"/>
        </w:rPr>
        <w:t xml:space="preserve"> 一般约定</w:t>
      </w:r>
      <w:bookmarkEnd w:id="81"/>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 w:name="_Toc296346529"/>
      <w:r/>
      <w:bookmarkEnd w:id="82"/>
      <w:r/>
      <w:bookmarkStart w:id="83" w:name="_Toc337558728"/>
      <w:r/>
      <w:bookmarkEnd w:id="83"/>
      <w:r/>
      <w:bookmarkStart w:id="84" w:name="_Toc296503028"/>
      <w:r/>
      <w:bookmarkEnd w:id="84"/>
      <w:r/>
      <w:bookmarkStart w:id="85" w:name="_Toc96331453"/>
      <w:r/>
      <w:bookmarkEnd w:id="85"/>
      <w:r/>
      <w:bookmarkStart w:id="86" w:name="_Toc186096906"/>
      <w:r/>
      <w:bookmarkEnd w:id="86"/>
      <w:r/>
      <w:bookmarkStart w:id="87" w:name="_Toc351203496"/>
      <w:r>
        <w:rPr>
          <w:rFonts w:hint="eastAsia" w:ascii="宋体" w:hAnsi="宋体" w:eastAsia="宋体" w:cs="宋体"/>
          <w:b w:val="0"/>
          <w:bCs/>
          <w:color w:val="000000"/>
          <w:sz w:val="21"/>
          <w:szCs w:val="21"/>
          <w:highlight w:val="none"/>
        </w:rPr>
        <w:t xml:space="preserve">1.1词语定义</w:t>
      </w:r>
      <w:bookmarkEnd w:id="87"/>
      <w:r>
        <w:rPr>
          <w:rFonts w:hint="eastAsia" w:ascii="宋体" w:hAnsi="宋体" w:eastAsia="宋体" w:cs="宋体"/>
          <w:b w:val="0"/>
          <w:bCs/>
          <w:color w:val="000000"/>
          <w:sz w:val="21"/>
          <w:szCs w:val="21"/>
          <w:highlight w:val="none"/>
        </w:rPr>
        <w:t xml:space="preserve">与解释</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合同协议书、通用合同条款、专用合同条款中的下列词语具有本款所赋予的含义：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 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1.1.1.3 中标通知书：是指构成合同的由发包人通知承包人中标的书面文件。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1.1.1.5 投标函附录：是指构成合同的附在投标函后的称为“投标函附录”的文件。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1.1.1.9 预算书：是指构成合同的由承包人按照发包人规定的格式和要求编制的工程预算文件。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1.1.2 合同当事人及其他相关方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1.1.2.1 合同当事人：是指发包人和（或）承包人。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1.1.2.2 发包人：是指与承包人签订合同协议书的当事人及取得该当事人资格的合法继承人。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1.1.2.4 监理人：是指在专用合同条款中指明的，受发包人委托按照法律规定进行工程监督管理的法人或其他组织。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1.1.2.6 分包人：</w:t>
      </w:r>
      <w:bookmarkStart w:id="88" w:name="#go5"/>
      <w:r/>
      <w:bookmarkEnd w:id="88"/>
      <w:r>
        <w:rPr>
          <w:rFonts w:hint="eastAsia" w:ascii="宋体" w:hAnsi="宋体" w:eastAsia="宋体" w:cs="宋体"/>
          <w:color w:val="000000"/>
          <w:sz w:val="21"/>
          <w:szCs w:val="21"/>
          <w:highlight w:val="none"/>
        </w:rPr>
        <w:t xml:space="preserve">是指按照法律规定和合同约定，分包部分工程或工作，并与承包人签订分包合同的具有相应资质的法人。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1.1.2.7 发包人代表：是指由发包人任命并派驻施工现场在发包人授权范围内行使发包人权利的人。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1.1.2.9 总监理工程师：是指由监理人任命并派驻施工现场进行工程监理的总负责人。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1.1.3.1 工程：是指与合同协议书中工程承包范围对应的永久工程和（或）临时工程。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1.1.3.2 永久工程：是指按合同约定建造并移交给发包人的工程，包括工程设备。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1.1.3.3 临时工程：是指为完成合同约定的永久工程所修建的各类临时性工程，不包括施工设备。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1.1.3.4 单位工程：是指在合同协议书中指明的，具备独立施工条件并能形成独立使用功能的永久工程。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1.1.3.5 工程设备：是指构成永久工程的机电设备、金属结构设备、仪器及其他类似的设备和装置。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1.1.3.6 施工设备：是指为完成合同约定的各项工作所需的设备、器具和其他物品，但不包括工程设备、临时工程和材料。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1.1.3.8临时设施：是指为完成合同约定的各项工作所服务的临时性生产和生活设施。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1.1.3.9 永久占地：是指专用合同条款中指明为实施工程需永久占用的土地。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1.1.3.10 临时占地：是指专用合同条款中指明为实施工程需要临时占用的土地。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 日期和期限</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1.1.4.3 工期：是指在合同协议书约定的承包人完成工程所需的期限，包括按照合同约定所作的期限变更。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1.1.4.5 保修期：是指承包人按照合同约定对工程承担保修责任的期限，从工程竣工验收合格之日起计算。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 合同价格和费用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1.1.5.1 签约合同价：是指发包人和承包人在合同协议书中确定的总金额，包括安全文明施工费、暂估价及暂列金额等。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1.1.5.3 费用：是指为履行合同所发生的或将要发生的所有必需的开支，包括管理费和应分摊的其他费用，但不包括利润。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1.1.5.7 质量保证金</w:t>
      </w:r>
      <w:bookmarkStart w:id="89" w:name="#go2"/>
      <w:r/>
      <w:bookmarkEnd w:id="89"/>
      <w:r>
        <w:rPr>
          <w:rFonts w:hint="eastAsia" w:ascii="宋体" w:hAnsi="宋体" w:eastAsia="宋体" w:cs="宋体"/>
          <w:color w:val="000000"/>
          <w:sz w:val="21"/>
          <w:szCs w:val="21"/>
          <w:highlight w:val="none"/>
        </w:rPr>
        <w:t xml:space="preserve">：是指按照第15.3款〔质量保证金〕约定承包人用于保证其在缺陷责任期内履行缺陷修补义务的担保。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1.1.6 其他</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1.1.6.1 书面形式：是指合同文件、信函、电报、传真等可以有形地表现所载内容的形式。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 w:name="_Toc337558729"/>
      <w:r/>
      <w:bookmarkEnd w:id="90"/>
      <w:r/>
      <w:bookmarkStart w:id="91" w:name="_Toc96331454"/>
      <w:r/>
      <w:bookmarkEnd w:id="91"/>
      <w:r/>
      <w:bookmarkStart w:id="92" w:name="_Toc296346530"/>
      <w:r/>
      <w:bookmarkEnd w:id="92"/>
      <w:r/>
      <w:bookmarkStart w:id="93" w:name="_Toc186096907"/>
      <w:r/>
      <w:bookmarkEnd w:id="93"/>
      <w:r/>
      <w:bookmarkStart w:id="94" w:name="_Toc296503029"/>
      <w:r/>
      <w:bookmarkEnd w:id="94"/>
      <w:r/>
      <w:bookmarkStart w:id="95" w:name="_Toc351203497"/>
      <w:r>
        <w:rPr>
          <w:rFonts w:hint="eastAsia" w:ascii="宋体" w:hAnsi="宋体" w:eastAsia="宋体" w:cs="宋体"/>
          <w:b w:val="0"/>
          <w:bCs/>
          <w:color w:val="000000"/>
          <w:sz w:val="21"/>
          <w:szCs w:val="21"/>
          <w:highlight w:val="none"/>
        </w:rPr>
        <w:t xml:space="preserve">1.2语言文字</w:t>
      </w:r>
      <w:bookmarkEnd w:id="9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96" w:name="_Toc337558730"/>
      <w:r/>
      <w:bookmarkEnd w:id="96"/>
      <w:r/>
      <w:bookmarkStart w:id="97" w:name="_Toc351203498"/>
      <w:r/>
      <w:bookmarkEnd w:id="97"/>
      <w:r/>
      <w:bookmarkStart w:id="98" w:name="_Toc186096908"/>
      <w:r/>
      <w:bookmarkEnd w:id="98"/>
      <w:r/>
      <w:bookmarkStart w:id="99" w:name="_Toc296503030"/>
      <w:r/>
      <w:bookmarkEnd w:id="99"/>
      <w:r/>
      <w:bookmarkStart w:id="100" w:name="_Toc296346531"/>
      <w:r/>
      <w:bookmarkEnd w:id="100"/>
      <w:r/>
      <w:bookmarkStart w:id="101" w:name="_Toc96331455"/>
      <w:r>
        <w:rPr>
          <w:rFonts w:hint="eastAsia" w:ascii="宋体" w:hAnsi="宋体" w:eastAsia="宋体" w:cs="宋体"/>
          <w:b w:val="0"/>
          <w:bCs/>
          <w:color w:val="000000"/>
          <w:sz w:val="21"/>
          <w:szCs w:val="21"/>
          <w:highlight w:val="none"/>
        </w:rPr>
        <w:t xml:space="preserve">1.3法律</w:t>
      </w:r>
      <w:bookmarkEnd w:id="10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合同当事人可以在专用合同条款中约定合同适用的其他规范性文件。</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2" w:name="_Toc96331456"/>
      <w:r/>
      <w:bookmarkEnd w:id="102"/>
      <w:r/>
      <w:bookmarkStart w:id="103" w:name="_Toc351203499"/>
      <w:r/>
      <w:bookmarkEnd w:id="103"/>
      <w:r/>
      <w:bookmarkStart w:id="104" w:name="_Toc186096909"/>
      <w:r>
        <w:rPr>
          <w:rFonts w:hint="eastAsia" w:ascii="宋体" w:hAnsi="宋体" w:eastAsia="宋体" w:cs="宋体"/>
          <w:b w:val="0"/>
          <w:bCs/>
          <w:color w:val="000000"/>
          <w:sz w:val="21"/>
          <w:szCs w:val="21"/>
          <w:highlight w:val="none"/>
        </w:rPr>
        <w:t xml:space="preserve">1.4 标准和规范</w:t>
      </w:r>
      <w:bookmarkEnd w:id="10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5" w:name="_Toc351203500"/>
      <w:r/>
      <w:bookmarkEnd w:id="105"/>
      <w:r/>
      <w:bookmarkStart w:id="106" w:name="_Toc96331457"/>
      <w:r/>
      <w:bookmarkEnd w:id="106"/>
      <w:r/>
      <w:bookmarkStart w:id="107" w:name="_Toc186096910"/>
      <w:r>
        <w:rPr>
          <w:rFonts w:hint="eastAsia" w:ascii="宋体" w:hAnsi="宋体" w:eastAsia="宋体" w:cs="宋体"/>
          <w:b w:val="0"/>
          <w:bCs/>
          <w:color w:val="000000"/>
          <w:sz w:val="21"/>
          <w:szCs w:val="21"/>
          <w:highlight w:val="none"/>
        </w:rPr>
        <w:t xml:space="preserve">1</w:t>
      </w:r>
      <w:bookmarkEnd w:id="107"/>
      <w:r/>
      <w:bookmarkStart w:id="108" w:name="_Toc337558731"/>
      <w:r/>
      <w:bookmarkEnd w:id="108"/>
      <w:r/>
      <w:bookmarkStart w:id="109" w:name="_Toc296346532"/>
      <w:r/>
      <w:bookmarkEnd w:id="109"/>
      <w:r/>
      <w:bookmarkStart w:id="110" w:name="_Toc296503031"/>
      <w:r>
        <w:rPr>
          <w:rFonts w:hint="eastAsia" w:ascii="宋体" w:hAnsi="宋体" w:eastAsia="宋体" w:cs="宋体"/>
          <w:b w:val="0"/>
          <w:bCs/>
          <w:color w:val="000000"/>
          <w:sz w:val="21"/>
          <w:szCs w:val="21"/>
          <w:highlight w:val="none"/>
        </w:rPr>
        <w:t xml:space="preserve">.5 合同文件的优先顺序</w:t>
      </w:r>
      <w:bookmarkEnd w:id="11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组成合同的各项文件应互相解释，互为说明。除专用合同条款另有约定外，解释合同文件的优先顺序如下：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（1）合同协议书；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（2）中标通知书（如果有）；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（3）投标函及其附录（如果有）；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（4）专用合同条款及其附件；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（5）通用合同条款；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（6）技术标准和要求；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（7）图纸；</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（8）已标价工程量清单或预算书；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（9）其他合同文件。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1" w:name="_Toc186096911"/>
      <w:r/>
      <w:bookmarkEnd w:id="111"/>
      <w:r/>
      <w:bookmarkStart w:id="112" w:name="_Toc96331458"/>
      <w:r/>
      <w:bookmarkEnd w:id="112"/>
      <w:r/>
      <w:bookmarkStart w:id="113" w:name="_Toc351203501"/>
      <w:r>
        <w:rPr>
          <w:rFonts w:hint="eastAsia" w:ascii="宋体" w:hAnsi="宋体" w:eastAsia="宋体" w:cs="宋体"/>
          <w:b w:val="0"/>
          <w:bCs/>
          <w:color w:val="000000"/>
          <w:sz w:val="21"/>
          <w:szCs w:val="21"/>
          <w:highlight w:val="none"/>
        </w:rPr>
        <w:t xml:space="preserve">1</w:t>
      </w:r>
      <w:bookmarkEnd w:id="113"/>
      <w:r/>
      <w:bookmarkStart w:id="114" w:name="_Toc296346533"/>
      <w:r/>
      <w:bookmarkEnd w:id="114"/>
      <w:r/>
      <w:bookmarkStart w:id="115" w:name="_Toc337558732"/>
      <w:r/>
      <w:bookmarkEnd w:id="115"/>
      <w:r/>
      <w:bookmarkStart w:id="116" w:name="_Toc296503032"/>
      <w:r>
        <w:rPr>
          <w:rFonts w:hint="eastAsia" w:ascii="宋体" w:hAnsi="宋体" w:eastAsia="宋体" w:cs="宋体"/>
          <w:b w:val="0"/>
          <w:bCs/>
          <w:color w:val="000000"/>
          <w:sz w:val="21"/>
          <w:szCs w:val="21"/>
          <w:highlight w:val="none"/>
        </w:rPr>
        <w:t xml:space="preserve">.6图纸和承包人文件</w:t>
      </w:r>
      <w:bookmarkEnd w:id="11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图纸的提供和交底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 图纸的错误</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1.6.3 图纸的修改和补充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1.6.5 图纸和承包人文件的保管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7" w:name="_Toc186096912"/>
      <w:r/>
      <w:bookmarkEnd w:id="117"/>
      <w:r/>
      <w:bookmarkStart w:id="118" w:name="_Toc351203502"/>
      <w:r/>
      <w:bookmarkEnd w:id="118"/>
      <w:r/>
      <w:bookmarkStart w:id="119" w:name="_Toc96331459"/>
      <w:r>
        <w:rPr>
          <w:rFonts w:hint="eastAsia" w:ascii="宋体" w:hAnsi="宋体" w:eastAsia="宋体" w:cs="宋体"/>
          <w:b w:val="0"/>
          <w:bCs/>
          <w:color w:val="000000"/>
          <w:sz w:val="21"/>
          <w:szCs w:val="21"/>
          <w:highlight w:val="none"/>
        </w:rPr>
        <w:t xml:space="preserve">1</w:t>
      </w:r>
      <w:bookmarkEnd w:id="119"/>
      <w:r/>
      <w:bookmarkStart w:id="120" w:name="_Toc296346534"/>
      <w:r/>
      <w:bookmarkEnd w:id="120"/>
      <w:r/>
      <w:bookmarkStart w:id="121" w:name="_Toc337558733"/>
      <w:r/>
      <w:bookmarkEnd w:id="121"/>
      <w:r/>
      <w:bookmarkStart w:id="122" w:name="_Toc296503033"/>
      <w:r>
        <w:rPr>
          <w:rFonts w:hint="eastAsia" w:ascii="宋体" w:hAnsi="宋体" w:eastAsia="宋体" w:cs="宋体"/>
          <w:b w:val="0"/>
          <w:bCs/>
          <w:color w:val="000000"/>
          <w:sz w:val="21"/>
          <w:szCs w:val="21"/>
          <w:highlight w:val="none"/>
        </w:rPr>
        <w:t xml:space="preserve">.7联络</w:t>
      </w:r>
      <w:bookmarkEnd w:id="12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3" w:name="_Toc96331460"/>
      <w:r/>
      <w:bookmarkEnd w:id="123"/>
      <w:r/>
      <w:bookmarkStart w:id="124" w:name="_Toc186096913"/>
      <w:r/>
      <w:bookmarkEnd w:id="124"/>
      <w:r/>
      <w:bookmarkStart w:id="125" w:name="_Toc351203503"/>
      <w:r>
        <w:rPr>
          <w:rFonts w:hint="eastAsia" w:ascii="宋体" w:hAnsi="宋体" w:eastAsia="宋体" w:cs="宋体"/>
          <w:b w:val="0"/>
          <w:bCs/>
          <w:color w:val="000000"/>
          <w:sz w:val="21"/>
          <w:szCs w:val="21"/>
          <w:highlight w:val="none"/>
        </w:rPr>
        <w:t xml:space="preserve">1</w:t>
      </w:r>
      <w:bookmarkEnd w:id="125"/>
      <w:r/>
      <w:bookmarkStart w:id="126" w:name="_Toc296503035"/>
      <w:r/>
      <w:bookmarkEnd w:id="126"/>
      <w:r/>
      <w:bookmarkStart w:id="127" w:name="_Toc296346536"/>
      <w:r/>
      <w:bookmarkEnd w:id="127"/>
      <w:r/>
      <w:bookmarkStart w:id="128" w:name="_Toc337558734"/>
      <w:r>
        <w:rPr>
          <w:rFonts w:hint="eastAsia" w:ascii="宋体" w:hAnsi="宋体" w:eastAsia="宋体" w:cs="宋体"/>
          <w:b w:val="0"/>
          <w:bCs/>
          <w:color w:val="000000"/>
          <w:sz w:val="21"/>
          <w:szCs w:val="21"/>
          <w:highlight w:val="none"/>
        </w:rPr>
        <w:t xml:space="preserve">.8严禁贿赂</w:t>
      </w:r>
      <w:bookmarkEnd w:id="12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9" w:name="_Toc96331461"/>
      <w:r/>
      <w:bookmarkEnd w:id="129"/>
      <w:r/>
      <w:bookmarkStart w:id="130" w:name="_Toc186096914"/>
      <w:r/>
      <w:bookmarkEnd w:id="130"/>
      <w:r/>
      <w:bookmarkStart w:id="131" w:name="_Toc351203504"/>
      <w:r>
        <w:rPr>
          <w:rFonts w:hint="eastAsia" w:ascii="宋体" w:hAnsi="宋体" w:eastAsia="宋体" w:cs="宋体"/>
          <w:b w:val="0"/>
          <w:bCs/>
          <w:color w:val="000000"/>
          <w:sz w:val="21"/>
          <w:szCs w:val="21"/>
          <w:highlight w:val="none"/>
        </w:rPr>
        <w:t xml:space="preserve">1</w:t>
      </w:r>
      <w:bookmarkEnd w:id="131"/>
      <w:r/>
      <w:bookmarkStart w:id="132" w:name="_Toc296346537"/>
      <w:r/>
      <w:bookmarkEnd w:id="132"/>
      <w:r/>
      <w:bookmarkStart w:id="133" w:name="_Toc337558735"/>
      <w:r/>
      <w:bookmarkEnd w:id="133"/>
      <w:r/>
      <w:bookmarkStart w:id="134" w:name="_Toc296503036"/>
      <w:r>
        <w:rPr>
          <w:rFonts w:hint="eastAsia" w:ascii="宋体" w:hAnsi="宋体" w:eastAsia="宋体" w:cs="宋体"/>
          <w:b w:val="0"/>
          <w:bCs/>
          <w:color w:val="000000"/>
          <w:sz w:val="21"/>
          <w:szCs w:val="21"/>
          <w:highlight w:val="none"/>
        </w:rPr>
        <w:t xml:space="preserve">.9化石、文物</w:t>
      </w:r>
      <w:bookmarkEnd w:id="13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 w:name="_Toc351203505"/>
      <w:r/>
      <w:bookmarkEnd w:id="135"/>
      <w:r/>
      <w:bookmarkStart w:id="136" w:name="_Toc96331462"/>
      <w:r/>
      <w:bookmarkEnd w:id="136"/>
      <w:r/>
      <w:bookmarkStart w:id="137" w:name="_Toc186096915"/>
      <w:r>
        <w:rPr>
          <w:rFonts w:hint="eastAsia" w:ascii="宋体" w:hAnsi="宋体" w:eastAsia="宋体" w:cs="宋体"/>
          <w:b w:val="0"/>
          <w:bCs/>
          <w:color w:val="000000"/>
          <w:sz w:val="21"/>
          <w:szCs w:val="21"/>
          <w:highlight w:val="none"/>
        </w:rPr>
        <w:t xml:space="preserve">1</w:t>
      </w:r>
      <w:bookmarkEnd w:id="137"/>
      <w:r/>
      <w:bookmarkStart w:id="138" w:name="_Toc337558736"/>
      <w:r>
        <w:rPr>
          <w:rFonts w:hint="eastAsia" w:ascii="宋体" w:hAnsi="宋体" w:eastAsia="宋体" w:cs="宋体"/>
          <w:b w:val="0"/>
          <w:bCs/>
          <w:color w:val="000000"/>
          <w:sz w:val="21"/>
          <w:szCs w:val="21"/>
          <w:highlight w:val="none"/>
        </w:rPr>
        <w:t xml:space="preserve">.10交通运输</w:t>
      </w:r>
      <w:bookmarkEnd w:id="13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1.10.1出入现场的权利</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1.10.2场外交通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1.10.3场内交通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场外交通和场内交通的边界由合同当事人在专用合同条款中约定。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1.10.5道路和桥梁的损坏责任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1.10.6水路和航空运输</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 w:name="_Toc186096916"/>
      <w:r/>
      <w:bookmarkEnd w:id="139"/>
      <w:r/>
      <w:bookmarkStart w:id="140" w:name="_Toc96331463"/>
      <w:r/>
      <w:bookmarkEnd w:id="140"/>
      <w:r/>
      <w:bookmarkStart w:id="141" w:name="_Toc351203506"/>
      <w:r>
        <w:rPr>
          <w:rFonts w:hint="eastAsia" w:ascii="宋体" w:hAnsi="宋体" w:eastAsia="宋体" w:cs="宋体"/>
          <w:b w:val="0"/>
          <w:bCs/>
          <w:color w:val="000000"/>
          <w:sz w:val="21"/>
          <w:szCs w:val="21"/>
          <w:highlight w:val="none"/>
        </w:rPr>
        <w:t xml:space="preserve">1</w:t>
      </w:r>
      <w:bookmarkEnd w:id="141"/>
      <w:r/>
      <w:bookmarkStart w:id="142" w:name="_Toc337558737"/>
      <w:r/>
      <w:bookmarkEnd w:id="142"/>
      <w:r/>
      <w:bookmarkStart w:id="143" w:name="_Toc296503037"/>
      <w:r/>
      <w:bookmarkEnd w:id="143"/>
      <w:r/>
      <w:bookmarkStart w:id="144" w:name="_Toc296346538"/>
      <w:r>
        <w:rPr>
          <w:rFonts w:hint="eastAsia" w:ascii="宋体" w:hAnsi="宋体" w:eastAsia="宋体" w:cs="宋体"/>
          <w:b w:val="0"/>
          <w:bCs/>
          <w:color w:val="000000"/>
          <w:sz w:val="21"/>
          <w:szCs w:val="21"/>
          <w:highlight w:val="none"/>
        </w:rPr>
        <w:t xml:space="preserve">.11知识产权</w:t>
      </w:r>
      <w:bookmarkEnd w:id="14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5" w:name="_Toc351203507"/>
      <w:r/>
      <w:bookmarkEnd w:id="145"/>
      <w:r/>
      <w:bookmarkStart w:id="146" w:name="_Toc96331464"/>
      <w:r/>
      <w:bookmarkEnd w:id="146"/>
      <w:r/>
      <w:bookmarkStart w:id="147" w:name="_Toc186096917"/>
      <w:r>
        <w:rPr>
          <w:rFonts w:hint="eastAsia" w:ascii="宋体" w:hAnsi="宋体" w:eastAsia="宋体" w:cs="宋体"/>
          <w:b w:val="0"/>
          <w:bCs/>
          <w:color w:val="000000"/>
          <w:sz w:val="21"/>
          <w:szCs w:val="21"/>
          <w:highlight w:val="none"/>
        </w:rPr>
        <w:t xml:space="preserve">1</w:t>
      </w:r>
      <w:bookmarkEnd w:id="147"/>
      <w:r/>
      <w:bookmarkStart w:id="148" w:name="_Toc337558738"/>
      <w:r>
        <w:rPr>
          <w:rFonts w:hint="eastAsia" w:ascii="宋体" w:hAnsi="宋体" w:eastAsia="宋体" w:cs="宋体"/>
          <w:b w:val="0"/>
          <w:bCs/>
          <w:color w:val="000000"/>
          <w:sz w:val="21"/>
          <w:szCs w:val="21"/>
          <w:highlight w:val="none"/>
        </w:rPr>
        <w:t xml:space="preserve">.12保密</w:t>
      </w:r>
      <w:bookmarkEnd w:id="14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9" w:name="_Toc96331465"/>
      <w:r/>
      <w:bookmarkEnd w:id="149"/>
      <w:r/>
      <w:bookmarkStart w:id="150" w:name="_Toc186096918"/>
      <w:r/>
      <w:bookmarkEnd w:id="150"/>
      <w:r/>
      <w:bookmarkStart w:id="151" w:name="_Toc351203508"/>
      <w:r>
        <w:rPr>
          <w:rFonts w:hint="eastAsia" w:ascii="宋体" w:hAnsi="宋体" w:eastAsia="宋体" w:cs="宋体"/>
          <w:b w:val="0"/>
          <w:bCs/>
          <w:color w:val="000000"/>
          <w:sz w:val="21"/>
          <w:szCs w:val="21"/>
          <w:highlight w:val="none"/>
        </w:rPr>
        <w:t xml:space="preserve">1.13工程量清单错误的修正</w:t>
      </w:r>
      <w:bookmarkEnd w:id="15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（1）工程量清单存在缺项、漏项的；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（2）工程量清单偏差超出专用合同条款约定的工程量偏差范围的；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（3）未按照国家现行计量规范强制性规定计量的。</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52" w:name="_Toc96331466"/>
      <w:r/>
      <w:bookmarkEnd w:id="152"/>
      <w:r/>
      <w:bookmarkStart w:id="153" w:name="_Toc186096919"/>
      <w:r/>
      <w:bookmarkEnd w:id="153"/>
      <w:r/>
      <w:bookmarkStart w:id="154" w:name="_Toc351203509"/>
      <w:r>
        <w:rPr>
          <w:rFonts w:hint="eastAsia" w:ascii="宋体" w:hAnsi="宋体" w:eastAsia="宋体" w:cs="宋体"/>
          <w:b w:val="0"/>
          <w:bCs/>
          <w:color w:val="000000"/>
          <w:sz w:val="21"/>
          <w:szCs w:val="21"/>
          <w:highlight w:val="none"/>
        </w:rPr>
        <w:t xml:space="preserve">2</w:t>
      </w:r>
      <w:bookmarkEnd w:id="154"/>
      <w:r/>
      <w:bookmarkStart w:id="155" w:name="_Toc296503038"/>
      <w:r/>
      <w:bookmarkEnd w:id="155"/>
      <w:r/>
      <w:bookmarkStart w:id="156" w:name="_Toc337558739"/>
      <w:r/>
      <w:bookmarkEnd w:id="156"/>
      <w:r/>
      <w:bookmarkStart w:id="157" w:name="_Toc296346539"/>
      <w:r>
        <w:rPr>
          <w:rFonts w:hint="eastAsia" w:ascii="宋体" w:hAnsi="宋体" w:eastAsia="宋体" w:cs="宋体"/>
          <w:b w:val="0"/>
          <w:bCs/>
          <w:color w:val="000000"/>
          <w:sz w:val="21"/>
          <w:szCs w:val="21"/>
          <w:highlight w:val="none"/>
        </w:rPr>
        <w:t xml:space="preserve">. 发包人</w:t>
      </w:r>
      <w:bookmarkEnd w:id="157"/>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58" w:name="_Toc186096920"/>
      <w:r/>
      <w:bookmarkEnd w:id="158"/>
      <w:r/>
      <w:bookmarkStart w:id="159" w:name="_Toc96331467"/>
      <w:r/>
      <w:bookmarkEnd w:id="159"/>
      <w:r/>
      <w:bookmarkStart w:id="160" w:name="_Toc351203510"/>
      <w:r/>
      <w:bookmarkEnd w:id="160"/>
      <w:r>
        <w:rPr>
          <w:rFonts w:hint="eastAsia" w:ascii="宋体" w:hAnsi="宋体" w:eastAsia="宋体" w:cs="宋体"/>
          <w:b w:val="0"/>
          <w:bCs/>
          <w:color w:val="000000"/>
          <w:sz w:val="21"/>
          <w:szCs w:val="21"/>
          <w:highlight w:val="none"/>
        </w:rPr>
        <w:t xml:space="preserve">2</w:t>
      </w:r>
      <w:bookmarkStart w:id="161" w:name="_Toc337558740"/>
      <w:r/>
      <w:bookmarkEnd w:id="161"/>
      <w:r/>
      <w:bookmarkStart w:id="162" w:name="_Toc296503039"/>
      <w:r/>
      <w:bookmarkEnd w:id="162"/>
      <w:r/>
      <w:bookmarkStart w:id="163" w:name="_Toc296346540"/>
      <w:r>
        <w:rPr>
          <w:rFonts w:hint="eastAsia" w:ascii="宋体" w:hAnsi="宋体" w:eastAsia="宋体" w:cs="宋体"/>
          <w:b w:val="0"/>
          <w:bCs/>
          <w:color w:val="000000"/>
          <w:sz w:val="21"/>
          <w:szCs w:val="21"/>
          <w:highlight w:val="none"/>
        </w:rPr>
        <w:t xml:space="preserve">.1 许可或批准</w:t>
      </w:r>
      <w:bookmarkEnd w:id="16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遵守法律，并办理法律规定由其办理的许可、批准或备案，包含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4" w:name="_Toc186096921"/>
      <w:r/>
      <w:bookmarkEnd w:id="164"/>
      <w:r/>
      <w:bookmarkStart w:id="165" w:name="_Toc351203511"/>
      <w:r/>
      <w:bookmarkEnd w:id="165"/>
      <w:r/>
      <w:bookmarkStart w:id="166" w:name="_Toc96331468"/>
      <w:r>
        <w:rPr>
          <w:rFonts w:hint="eastAsia" w:ascii="宋体" w:hAnsi="宋体" w:eastAsia="宋体" w:cs="宋体"/>
          <w:b w:val="0"/>
          <w:bCs/>
          <w:color w:val="000000"/>
          <w:sz w:val="21"/>
          <w:szCs w:val="21"/>
          <w:highlight w:val="none"/>
        </w:rPr>
        <w:t xml:space="preserve">2.2 发包人代表</w:t>
      </w:r>
      <w:bookmarkEnd w:id="16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不属于法定必须监理的工程，监理人的职权可以由发包人代表或发包人指定的其他人员行使。</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7" w:name="_Toc96331469"/>
      <w:r/>
      <w:bookmarkEnd w:id="167"/>
      <w:r/>
      <w:bookmarkStart w:id="168" w:name="_Toc186096922"/>
      <w:r/>
      <w:bookmarkEnd w:id="168"/>
      <w:r/>
      <w:bookmarkStart w:id="169" w:name="_Toc351203512"/>
      <w:r>
        <w:rPr>
          <w:rFonts w:hint="eastAsia" w:ascii="宋体" w:hAnsi="宋体" w:eastAsia="宋体" w:cs="宋体"/>
          <w:b w:val="0"/>
          <w:bCs/>
          <w:color w:val="000000"/>
          <w:sz w:val="21"/>
          <w:szCs w:val="21"/>
          <w:highlight w:val="none"/>
        </w:rPr>
        <w:t xml:space="preserve">2.3 发包人人员</w:t>
      </w:r>
      <w:bookmarkEnd w:id="16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发包人人员包括发包人代表及其他由发包人派驻施工现场的人员。</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70" w:name="_Toc351203513"/>
      <w:r/>
      <w:bookmarkEnd w:id="170"/>
      <w:r/>
      <w:bookmarkStart w:id="171" w:name="_Toc186096923"/>
      <w:r/>
      <w:bookmarkEnd w:id="171"/>
      <w:r/>
      <w:bookmarkStart w:id="172" w:name="_Toc96331470"/>
      <w:r>
        <w:rPr>
          <w:rFonts w:hint="eastAsia" w:ascii="宋体" w:hAnsi="宋体" w:eastAsia="宋体" w:cs="宋体"/>
          <w:b w:val="0"/>
          <w:bCs/>
          <w:color w:val="000000"/>
          <w:sz w:val="21"/>
          <w:szCs w:val="21"/>
          <w:highlight w:val="none"/>
        </w:rPr>
        <w:t xml:space="preserve">2</w:t>
      </w:r>
      <w:bookmarkEnd w:id="172"/>
      <w:r/>
      <w:bookmarkStart w:id="173" w:name="_Toc296503040"/>
      <w:r/>
      <w:bookmarkEnd w:id="173"/>
      <w:r/>
      <w:bookmarkStart w:id="174" w:name="_Toc296346541"/>
      <w:r/>
      <w:bookmarkEnd w:id="174"/>
      <w:r/>
      <w:bookmarkStart w:id="175" w:name="_Toc337558741"/>
      <w:r>
        <w:rPr>
          <w:rFonts w:hint="eastAsia" w:ascii="宋体" w:hAnsi="宋体" w:eastAsia="宋体" w:cs="宋体"/>
          <w:b w:val="0"/>
          <w:bCs/>
          <w:color w:val="000000"/>
          <w:sz w:val="21"/>
          <w:szCs w:val="21"/>
          <w:highlight w:val="none"/>
        </w:rPr>
        <w:t xml:space="preserve">.4 施工现场、施工条件和基础资料的提供</w:t>
      </w:r>
      <w:bookmarkEnd w:id="17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除专用合同条款另有约定外，发包人应最迟于开工日期7天前向承包人移交施工现场。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除专用合同条款另有约定外，发包人应负责提供施工所需要的条件，包括：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（1）将施工用水、电力、通讯线路等施工所必需的条件接至施工现场内；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（2）保证向承包人提供正常施工所需要的进入施工现场的交通条件；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（3）协调处理施工现场周围地下管线和邻近建筑物、构筑物、古树名木的保护工作，并承担相关费用；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（4）按照专用合同条款约定应提供的其他设施和条件。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2.4.3 提供基础资料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2.4.4 逾期提供的责任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76" w:name="_Toc96331471"/>
      <w:r/>
      <w:bookmarkEnd w:id="176"/>
      <w:r/>
      <w:bookmarkStart w:id="177" w:name="_Toc351203514"/>
      <w:r/>
      <w:bookmarkEnd w:id="177"/>
      <w:r/>
      <w:bookmarkStart w:id="178" w:name="_Toc186096924"/>
      <w:r>
        <w:rPr>
          <w:rFonts w:hint="eastAsia" w:ascii="宋体" w:hAnsi="宋体" w:eastAsia="宋体" w:cs="宋体"/>
          <w:b w:val="0"/>
          <w:bCs/>
          <w:color w:val="000000"/>
          <w:sz w:val="21"/>
          <w:szCs w:val="21"/>
          <w:highlight w:val="none"/>
        </w:rPr>
        <w:t xml:space="preserve">2</w:t>
      </w:r>
      <w:bookmarkEnd w:id="178"/>
      <w:r/>
      <w:bookmarkStart w:id="179" w:name="_Toc296346543"/>
      <w:r/>
      <w:bookmarkEnd w:id="179"/>
      <w:r/>
      <w:bookmarkStart w:id="180" w:name="_Toc337558745"/>
      <w:r/>
      <w:bookmarkEnd w:id="180"/>
      <w:r/>
      <w:bookmarkStart w:id="181" w:name="_Toc296503042"/>
      <w:r>
        <w:rPr>
          <w:rFonts w:hint="eastAsia" w:ascii="宋体" w:hAnsi="宋体" w:eastAsia="宋体" w:cs="宋体"/>
          <w:b w:val="0"/>
          <w:bCs/>
          <w:color w:val="000000"/>
          <w:sz w:val="21"/>
          <w:szCs w:val="21"/>
          <w:highlight w:val="none"/>
        </w:rPr>
        <w:t xml:space="preserve">.5 资</w:t>
      </w:r>
      <w:bookmarkEnd w:id="181"/>
      <w:r>
        <w:rPr>
          <w:rFonts w:hint="eastAsia" w:ascii="宋体" w:hAnsi="宋体" w:eastAsia="宋体" w:cs="宋体"/>
          <w:b w:val="0"/>
          <w:bCs/>
          <w:color w:val="000000"/>
          <w:sz w:val="21"/>
          <w:szCs w:val="21"/>
          <w:highlight w:val="none"/>
        </w:rPr>
        <w:t xml:space="preserve">金来源证明及支付担保</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2" w:name="_Toc96331472"/>
      <w:r/>
      <w:bookmarkEnd w:id="182"/>
      <w:r/>
      <w:bookmarkStart w:id="183" w:name="_Toc351203515"/>
      <w:r/>
      <w:bookmarkEnd w:id="183"/>
      <w:r/>
      <w:bookmarkStart w:id="184" w:name="_Toc186096925"/>
      <w:r>
        <w:rPr>
          <w:rFonts w:hint="eastAsia" w:ascii="宋体" w:hAnsi="宋体" w:eastAsia="宋体" w:cs="宋体"/>
          <w:b w:val="0"/>
          <w:bCs/>
          <w:color w:val="000000"/>
          <w:sz w:val="21"/>
          <w:szCs w:val="21"/>
          <w:highlight w:val="none"/>
        </w:rPr>
        <w:t xml:space="preserve">2.6 支付合同价款</w:t>
      </w:r>
      <w:bookmarkEnd w:id="18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发包人应按合同约定向承包人及时支付合同价款。</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5" w:name="_Toc351203516"/>
      <w:r/>
      <w:bookmarkEnd w:id="185"/>
      <w:r/>
      <w:bookmarkStart w:id="186" w:name="_Toc186096926"/>
      <w:r/>
      <w:bookmarkEnd w:id="186"/>
      <w:r/>
      <w:bookmarkStart w:id="187" w:name="_Toc96331473"/>
      <w:r>
        <w:rPr>
          <w:rFonts w:hint="eastAsia" w:ascii="宋体" w:hAnsi="宋体" w:eastAsia="宋体" w:cs="宋体"/>
          <w:b w:val="0"/>
          <w:bCs/>
          <w:color w:val="000000"/>
          <w:sz w:val="21"/>
          <w:szCs w:val="21"/>
          <w:highlight w:val="none"/>
        </w:rPr>
        <w:t xml:space="preserve">2.7 组织竣工验收</w:t>
      </w:r>
      <w:bookmarkEnd w:id="18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发包人应按合同约定及时组织竣工验收。</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8" w:name="_Toc96331474"/>
      <w:r/>
      <w:bookmarkEnd w:id="188"/>
      <w:r/>
      <w:bookmarkStart w:id="189" w:name="_Toc351203517"/>
      <w:r/>
      <w:bookmarkEnd w:id="189"/>
      <w:r/>
      <w:bookmarkStart w:id="190" w:name="_Toc186096927"/>
      <w:r>
        <w:rPr>
          <w:rFonts w:hint="eastAsia" w:ascii="宋体" w:hAnsi="宋体" w:eastAsia="宋体" w:cs="宋体"/>
          <w:b w:val="0"/>
          <w:bCs/>
          <w:color w:val="000000"/>
          <w:sz w:val="21"/>
          <w:szCs w:val="21"/>
          <w:highlight w:val="none"/>
        </w:rPr>
        <w:t xml:space="preserve">2.8 现场统一管理协议</w:t>
      </w:r>
      <w:bookmarkEnd w:id="19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91" w:name="_Toc351203518"/>
      <w:r/>
      <w:bookmarkEnd w:id="191"/>
      <w:r/>
      <w:bookmarkStart w:id="192" w:name="_Toc96331475"/>
      <w:r/>
      <w:bookmarkEnd w:id="192"/>
      <w:r/>
      <w:bookmarkStart w:id="193" w:name="_Toc186096928"/>
      <w:r>
        <w:rPr>
          <w:rFonts w:hint="eastAsia" w:ascii="宋体" w:hAnsi="宋体" w:eastAsia="宋体" w:cs="宋体"/>
          <w:b w:val="0"/>
          <w:bCs/>
          <w:color w:val="000000"/>
          <w:sz w:val="21"/>
          <w:szCs w:val="21"/>
          <w:highlight w:val="none"/>
        </w:rPr>
        <w:t xml:space="preserve">3</w:t>
      </w:r>
      <w:bookmarkEnd w:id="193"/>
      <w:r/>
      <w:bookmarkStart w:id="194" w:name="_Toc337558746"/>
      <w:r/>
      <w:bookmarkEnd w:id="194"/>
      <w:r/>
      <w:bookmarkStart w:id="195" w:name="_Toc296503045"/>
      <w:r/>
      <w:bookmarkEnd w:id="195"/>
      <w:r/>
      <w:bookmarkStart w:id="196" w:name="_Toc296346546"/>
      <w:r>
        <w:rPr>
          <w:rFonts w:hint="eastAsia" w:ascii="宋体" w:hAnsi="宋体" w:eastAsia="宋体" w:cs="宋体"/>
          <w:b w:val="0"/>
          <w:bCs/>
          <w:color w:val="000000"/>
          <w:sz w:val="21"/>
          <w:szCs w:val="21"/>
          <w:highlight w:val="none"/>
        </w:rPr>
        <w:t xml:space="preserve">. 承包人</w:t>
      </w:r>
      <w:bookmarkEnd w:id="196"/>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97" w:name="_Toc351203519"/>
      <w:r/>
      <w:bookmarkEnd w:id="197"/>
      <w:r/>
      <w:bookmarkStart w:id="198" w:name="_Toc186096929"/>
      <w:r/>
      <w:bookmarkEnd w:id="198"/>
      <w:r/>
      <w:bookmarkStart w:id="199" w:name="_Toc96331476"/>
      <w:r/>
      <w:bookmarkEnd w:id="199"/>
      <w:r>
        <w:rPr>
          <w:rFonts w:hint="eastAsia" w:ascii="宋体" w:hAnsi="宋体" w:eastAsia="宋体" w:cs="宋体"/>
          <w:b w:val="0"/>
          <w:bCs/>
          <w:color w:val="000000"/>
          <w:sz w:val="21"/>
          <w:szCs w:val="21"/>
          <w:highlight w:val="none"/>
        </w:rPr>
        <w:t xml:space="preserve">3</w:t>
      </w:r>
      <w:bookmarkStart w:id="200" w:name="_Toc296503046"/>
      <w:r/>
      <w:bookmarkEnd w:id="200"/>
      <w:r/>
      <w:bookmarkStart w:id="201" w:name="_Toc337558747"/>
      <w:r/>
      <w:bookmarkEnd w:id="201"/>
      <w:r/>
      <w:bookmarkStart w:id="202" w:name="_Toc296346547"/>
      <w:r>
        <w:rPr>
          <w:rFonts w:hint="eastAsia" w:ascii="宋体" w:hAnsi="宋体" w:eastAsia="宋体" w:cs="宋体"/>
          <w:b w:val="0"/>
          <w:bCs/>
          <w:color w:val="000000"/>
          <w:sz w:val="21"/>
          <w:szCs w:val="21"/>
          <w:highlight w:val="none"/>
        </w:rPr>
        <w:t xml:space="preserve">.1 承包人的一般义务</w:t>
      </w:r>
      <w:bookmarkEnd w:id="20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承包人在履行合同过程中应遵守法律和工程建设标准规范，并履行以下义务：</w:t>
      </w:r>
      <w:r>
        <w:rPr>
          <w:rFonts w:hint="eastAsia" w:ascii="宋体" w:hAnsi="宋体" w:eastAsia="宋体" w:cs="宋体"/>
          <w:color w:val="000000"/>
          <w:sz w:val="21"/>
          <w:szCs w:val="21"/>
          <w:highlight w:val="none"/>
        </w:rPr>
      </w:r>
      <w:r/>
    </w:p>
    <w:p>
      <w:pPr>
        <w:pStyle w:val="1063"/>
        <w:numPr>
          <w:ilvl w:val="0"/>
          <w:numId w:val="9"/>
        </w:numPr>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办理法律规定应由承包人办理的许可和批准，并将办理结果书面报送发包人留存；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（2）按法律规定和合同约定完成工程，并在保修期内承担保修义务；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（6）按照第6.3款〔环境保护〕约定负责施工场地及其周边环境与生态的保护工作；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（10）应履行的其他义务。</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03" w:name="_Toc351203520"/>
      <w:r/>
      <w:bookmarkEnd w:id="203"/>
      <w:r/>
      <w:bookmarkStart w:id="204" w:name="_Toc96331477"/>
      <w:r/>
      <w:bookmarkEnd w:id="204"/>
      <w:r/>
      <w:bookmarkStart w:id="205" w:name="_Toc186096930"/>
      <w:r>
        <w:rPr>
          <w:rFonts w:hint="eastAsia" w:ascii="宋体" w:hAnsi="宋体" w:eastAsia="宋体" w:cs="宋体"/>
          <w:b w:val="0"/>
          <w:bCs/>
          <w:color w:val="000000"/>
          <w:sz w:val="21"/>
          <w:szCs w:val="21"/>
          <w:highlight w:val="none"/>
        </w:rPr>
        <w:t xml:space="preserve">3</w:t>
      </w:r>
      <w:bookmarkEnd w:id="205"/>
      <w:r/>
      <w:bookmarkStart w:id="206" w:name="_Toc337558748"/>
      <w:r/>
      <w:bookmarkEnd w:id="206"/>
      <w:r/>
      <w:bookmarkStart w:id="207" w:name="_Toc296503047"/>
      <w:r/>
      <w:bookmarkEnd w:id="207"/>
      <w:r/>
      <w:bookmarkStart w:id="208" w:name="_Toc296346548"/>
      <w:r>
        <w:rPr>
          <w:rFonts w:hint="eastAsia" w:ascii="宋体" w:hAnsi="宋体" w:eastAsia="宋体" w:cs="宋体"/>
          <w:b w:val="0"/>
          <w:bCs/>
          <w:color w:val="000000"/>
          <w:sz w:val="21"/>
          <w:szCs w:val="21"/>
          <w:highlight w:val="none"/>
        </w:rPr>
        <w:t xml:space="preserve">.2 </w:t>
      </w:r>
      <w:bookmarkEnd w:id="208"/>
      <w:r>
        <w:rPr>
          <w:rFonts w:hint="eastAsia" w:ascii="宋体" w:hAnsi="宋体" w:eastAsia="宋体" w:cs="宋体"/>
          <w:b w:val="0"/>
          <w:bCs/>
          <w:color w:val="000000"/>
          <w:sz w:val="21"/>
          <w:szCs w:val="21"/>
          <w:highlight w:val="none"/>
        </w:rPr>
        <w:t xml:space="preserve">项目经理</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承包人违反上述约定的，应按照专用合同条款的约定，承担违约责任。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09" w:name="_Toc96331478"/>
      <w:r/>
      <w:bookmarkEnd w:id="209"/>
      <w:r/>
      <w:bookmarkStart w:id="210" w:name="_Toc186096931"/>
      <w:r/>
      <w:bookmarkEnd w:id="210"/>
      <w:r/>
      <w:bookmarkStart w:id="211" w:name="_Toc351203521"/>
      <w:r>
        <w:rPr>
          <w:rFonts w:hint="eastAsia" w:ascii="宋体" w:hAnsi="宋体" w:eastAsia="宋体" w:cs="宋体"/>
          <w:b w:val="0"/>
          <w:bCs/>
          <w:color w:val="000000"/>
          <w:sz w:val="21"/>
          <w:szCs w:val="21"/>
          <w:highlight w:val="none"/>
        </w:rPr>
        <w:t xml:space="preserve">3</w:t>
      </w:r>
      <w:bookmarkEnd w:id="211"/>
      <w:r/>
      <w:bookmarkStart w:id="212" w:name="_Toc296346549"/>
      <w:r/>
      <w:bookmarkEnd w:id="212"/>
      <w:r/>
      <w:bookmarkStart w:id="213" w:name="_Toc296503048"/>
      <w:r/>
      <w:bookmarkEnd w:id="213"/>
      <w:r/>
      <w:bookmarkStart w:id="214" w:name="_Toc337558749"/>
      <w:r>
        <w:rPr>
          <w:rFonts w:hint="eastAsia" w:ascii="宋体" w:hAnsi="宋体" w:eastAsia="宋体" w:cs="宋体"/>
          <w:b w:val="0"/>
          <w:bCs/>
          <w:color w:val="000000"/>
          <w:sz w:val="21"/>
          <w:szCs w:val="21"/>
          <w:highlight w:val="none"/>
        </w:rPr>
        <w:t xml:space="preserve">.3 </w:t>
      </w:r>
      <w:bookmarkEnd w:id="214"/>
      <w:r>
        <w:rPr>
          <w:rFonts w:hint="eastAsia" w:ascii="宋体" w:hAnsi="宋体" w:eastAsia="宋体" w:cs="宋体"/>
          <w:b w:val="0"/>
          <w:bCs/>
          <w:color w:val="000000"/>
          <w:sz w:val="21"/>
          <w:szCs w:val="21"/>
          <w:highlight w:val="none"/>
        </w:rPr>
        <w:t xml:space="preserve">承包人人员</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特殊工种作业人员均应持有相应的资格证明，监理人可以随时检查。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15" w:name="_Toc351203522"/>
      <w:r/>
      <w:bookmarkEnd w:id="215"/>
      <w:r/>
      <w:bookmarkStart w:id="216" w:name="_Toc96331479"/>
      <w:r/>
      <w:bookmarkEnd w:id="216"/>
      <w:r/>
      <w:bookmarkStart w:id="217" w:name="_Toc186096932"/>
      <w:r>
        <w:rPr>
          <w:rFonts w:hint="eastAsia" w:ascii="宋体" w:hAnsi="宋体" w:eastAsia="宋体" w:cs="宋体"/>
          <w:b w:val="0"/>
          <w:bCs/>
          <w:color w:val="000000"/>
          <w:sz w:val="21"/>
          <w:szCs w:val="21"/>
          <w:highlight w:val="none"/>
        </w:rPr>
        <w:t xml:space="preserve">3</w:t>
      </w:r>
      <w:bookmarkEnd w:id="217"/>
      <w:r/>
      <w:bookmarkStart w:id="218" w:name="_Toc337558750"/>
      <w:r/>
      <w:bookmarkEnd w:id="218"/>
      <w:r/>
      <w:bookmarkStart w:id="219" w:name="_Toc296503050"/>
      <w:r/>
      <w:bookmarkEnd w:id="219"/>
      <w:r/>
      <w:bookmarkStart w:id="220" w:name="_Toc296346551"/>
      <w:r>
        <w:rPr>
          <w:rFonts w:hint="eastAsia" w:ascii="宋体" w:hAnsi="宋体" w:eastAsia="宋体" w:cs="宋体"/>
          <w:b w:val="0"/>
          <w:bCs/>
          <w:color w:val="000000"/>
          <w:sz w:val="21"/>
          <w:szCs w:val="21"/>
          <w:highlight w:val="none"/>
        </w:rPr>
        <w:t xml:space="preserve">.4 承包人现场查勘</w:t>
      </w:r>
      <w:bookmarkEnd w:id="22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21" w:name="_Toc351203523"/>
      <w:r/>
      <w:bookmarkEnd w:id="221"/>
      <w:r/>
      <w:bookmarkStart w:id="222" w:name="_Toc186096933"/>
      <w:r/>
      <w:bookmarkEnd w:id="222"/>
      <w:r/>
      <w:bookmarkStart w:id="223" w:name="_Toc96331480"/>
      <w:r>
        <w:rPr>
          <w:rFonts w:hint="eastAsia" w:ascii="宋体" w:hAnsi="宋体" w:eastAsia="宋体" w:cs="宋体"/>
          <w:b w:val="0"/>
          <w:bCs/>
          <w:color w:val="000000"/>
          <w:sz w:val="21"/>
          <w:szCs w:val="21"/>
          <w:highlight w:val="none"/>
        </w:rPr>
        <w:t xml:space="preserve">3</w:t>
      </w:r>
      <w:bookmarkEnd w:id="223"/>
      <w:r/>
      <w:bookmarkStart w:id="224" w:name="_Toc296503051"/>
      <w:r/>
      <w:bookmarkEnd w:id="224"/>
      <w:r/>
      <w:bookmarkStart w:id="225" w:name="_Toc296346552"/>
      <w:r/>
      <w:bookmarkEnd w:id="225"/>
      <w:r/>
      <w:bookmarkStart w:id="226" w:name="_Toc337558751"/>
      <w:r>
        <w:rPr>
          <w:rFonts w:hint="eastAsia" w:ascii="宋体" w:hAnsi="宋体" w:eastAsia="宋体" w:cs="宋体"/>
          <w:b w:val="0"/>
          <w:bCs/>
          <w:color w:val="000000"/>
          <w:sz w:val="21"/>
          <w:szCs w:val="21"/>
          <w:highlight w:val="none"/>
        </w:rPr>
        <w:t xml:space="preserve">.5 分包</w:t>
      </w:r>
      <w:bookmarkEnd w:id="22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承包人不得以劳务分包的名义转包或违法分包工程。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3.5.2 分包的确定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3.5.3 分包管理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承包人应向监理人提交分包人的主要施工管理人员表，并对分包人的施工人员进行实名制管理，包含但不限于进出场管理、登记造册以及各种证照的办理。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（2）生效法律文书要求发包人向分包人支付分包合同价款的，发包人有权从应付承包人工程款中扣除该部分款项。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3.5.5 分包合同权益的转让</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27" w:name="_Toc351203524"/>
      <w:r/>
      <w:bookmarkEnd w:id="227"/>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28" w:name="_Toc186096934"/>
      <w:r/>
      <w:bookmarkEnd w:id="228"/>
      <w:r/>
      <w:bookmarkStart w:id="229" w:name="_Toc96331481"/>
      <w:r>
        <w:rPr>
          <w:rFonts w:hint="eastAsia" w:ascii="宋体" w:hAnsi="宋体" w:eastAsia="宋体" w:cs="宋体"/>
          <w:b w:val="0"/>
          <w:bCs/>
          <w:color w:val="000000"/>
          <w:sz w:val="21"/>
          <w:szCs w:val="21"/>
          <w:highlight w:val="none"/>
        </w:rPr>
        <w:t xml:space="preserve">3.6 工程照管与成品、半成品保护</w:t>
      </w:r>
      <w:bookmarkEnd w:id="22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30" w:name="_Toc96331482"/>
      <w:r/>
      <w:bookmarkEnd w:id="230"/>
      <w:r/>
      <w:bookmarkStart w:id="231" w:name="_Toc186096935"/>
      <w:r/>
      <w:bookmarkEnd w:id="231"/>
      <w:r/>
      <w:bookmarkStart w:id="232" w:name="_Toc351203525"/>
      <w:r>
        <w:rPr>
          <w:rFonts w:hint="eastAsia" w:ascii="宋体" w:hAnsi="宋体" w:eastAsia="宋体" w:cs="宋体"/>
          <w:b w:val="0"/>
          <w:bCs/>
          <w:color w:val="000000"/>
          <w:sz w:val="21"/>
          <w:szCs w:val="21"/>
          <w:highlight w:val="none"/>
        </w:rPr>
        <w:t xml:space="preserve">3</w:t>
      </w:r>
      <w:bookmarkEnd w:id="232"/>
      <w:r/>
      <w:bookmarkStart w:id="233" w:name="_Toc296503052"/>
      <w:r/>
      <w:bookmarkEnd w:id="233"/>
      <w:r/>
      <w:bookmarkStart w:id="234" w:name="_Toc337558752"/>
      <w:r/>
      <w:bookmarkEnd w:id="234"/>
      <w:r/>
      <w:bookmarkStart w:id="235" w:name="_Toc296346553"/>
      <w:r>
        <w:rPr>
          <w:rFonts w:hint="eastAsia" w:ascii="宋体" w:hAnsi="宋体" w:eastAsia="宋体" w:cs="宋体"/>
          <w:b w:val="0"/>
          <w:bCs/>
          <w:color w:val="000000"/>
          <w:sz w:val="21"/>
          <w:szCs w:val="21"/>
          <w:highlight w:val="none"/>
        </w:rPr>
        <w:t xml:space="preserve">.7 履约担保</w:t>
      </w:r>
      <w:bookmarkEnd w:id="23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36" w:name="_Toc351203526"/>
      <w:r/>
      <w:bookmarkEnd w:id="236"/>
      <w:r/>
      <w:bookmarkStart w:id="237" w:name="_Toc186096936"/>
      <w:r/>
      <w:bookmarkEnd w:id="237"/>
      <w:r/>
      <w:bookmarkStart w:id="238" w:name="_Toc96331483"/>
      <w:r>
        <w:rPr>
          <w:rFonts w:hint="eastAsia" w:ascii="宋体" w:hAnsi="宋体" w:eastAsia="宋体" w:cs="宋体"/>
          <w:b w:val="0"/>
          <w:bCs/>
          <w:color w:val="000000"/>
          <w:sz w:val="21"/>
          <w:szCs w:val="21"/>
          <w:highlight w:val="none"/>
        </w:rPr>
        <w:t xml:space="preserve">3.8 联合体</w:t>
      </w:r>
      <w:bookmarkEnd w:id="23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3.8.1 联合体各方应共同与发包人签订合同协议书。联合体各方应为履行合同向发包人承担连带责任。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3.8.2 联合体协议经发包人确认后作为合同附件。在履行合同过程中，未经发包人同意，不得修改联合体协议。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3.8.3 联合体牵头人负责与发包人和监理人联系，并接受指示，负责组织联合体各成员全面履行合同。</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39" w:name="_Toc351203527"/>
      <w:r/>
      <w:bookmarkEnd w:id="239"/>
      <w:r/>
      <w:bookmarkStart w:id="240" w:name="_Toc186096937"/>
      <w:r/>
      <w:bookmarkEnd w:id="240"/>
      <w:r/>
      <w:bookmarkStart w:id="241" w:name="_Toc96331484"/>
      <w:r>
        <w:rPr>
          <w:rFonts w:hint="eastAsia" w:ascii="宋体" w:hAnsi="宋体" w:eastAsia="宋体" w:cs="宋体"/>
          <w:b w:val="0"/>
          <w:bCs/>
          <w:color w:val="000000"/>
          <w:sz w:val="21"/>
          <w:szCs w:val="21"/>
          <w:highlight w:val="none"/>
        </w:rPr>
        <w:t xml:space="preserve">4</w:t>
      </w:r>
      <w:bookmarkEnd w:id="241"/>
      <w:r/>
      <w:bookmarkStart w:id="242" w:name="_Toc296346554"/>
      <w:r/>
      <w:bookmarkEnd w:id="242"/>
      <w:r/>
      <w:bookmarkStart w:id="243" w:name="_Toc296503053"/>
      <w:r/>
      <w:bookmarkEnd w:id="243"/>
      <w:r/>
      <w:bookmarkStart w:id="244" w:name="_Toc337558753"/>
      <w:r>
        <w:rPr>
          <w:rFonts w:hint="eastAsia" w:ascii="宋体" w:hAnsi="宋体" w:eastAsia="宋体" w:cs="宋体"/>
          <w:b w:val="0"/>
          <w:bCs/>
          <w:color w:val="000000"/>
          <w:sz w:val="21"/>
          <w:szCs w:val="21"/>
          <w:highlight w:val="none"/>
        </w:rPr>
        <w:t xml:space="preserve">. 监</w:t>
      </w:r>
      <w:bookmarkEnd w:id="244"/>
      <w:r>
        <w:rPr>
          <w:rFonts w:hint="eastAsia" w:ascii="宋体" w:hAnsi="宋体" w:eastAsia="宋体" w:cs="宋体"/>
          <w:b w:val="0"/>
          <w:bCs/>
          <w:color w:val="000000"/>
          <w:sz w:val="21"/>
          <w:szCs w:val="21"/>
          <w:highlight w:val="none"/>
        </w:rPr>
        <w:t xml:space="preserve">理人</w:t>
      </w:r>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45" w:name="_Toc96331485"/>
      <w:r/>
      <w:bookmarkEnd w:id="245"/>
      <w:r/>
      <w:bookmarkStart w:id="246" w:name="_Toc351203528"/>
      <w:r/>
      <w:bookmarkEnd w:id="246"/>
      <w:r/>
      <w:bookmarkStart w:id="247" w:name="_Toc186096938"/>
      <w:r>
        <w:rPr>
          <w:rFonts w:hint="eastAsia" w:ascii="宋体" w:hAnsi="宋体" w:eastAsia="宋体" w:cs="宋体"/>
          <w:b w:val="0"/>
          <w:bCs/>
          <w:color w:val="000000"/>
          <w:sz w:val="21"/>
          <w:szCs w:val="21"/>
          <w:highlight w:val="none"/>
        </w:rPr>
        <w:t xml:space="preserve">4</w:t>
      </w:r>
      <w:bookmarkEnd w:id="247"/>
      <w:r/>
      <w:bookmarkStart w:id="248" w:name="_Toc337558754"/>
      <w:r/>
      <w:bookmarkEnd w:id="248"/>
      <w:r/>
      <w:bookmarkStart w:id="249" w:name="_Toc296346555"/>
      <w:r/>
      <w:bookmarkEnd w:id="249"/>
      <w:r/>
      <w:bookmarkStart w:id="250" w:name="_Toc296503054"/>
      <w:r>
        <w:rPr>
          <w:rFonts w:hint="eastAsia" w:ascii="宋体" w:hAnsi="宋体" w:eastAsia="宋体" w:cs="宋体"/>
          <w:b w:val="0"/>
          <w:bCs/>
          <w:color w:val="000000"/>
          <w:sz w:val="21"/>
          <w:szCs w:val="21"/>
          <w:highlight w:val="none"/>
        </w:rPr>
        <w:t xml:space="preserve">.1监理人的一般规定</w:t>
      </w:r>
      <w:bookmarkEnd w:id="25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除专用合同条款另有约定外，监理人在施工现场的办公场所、生活场所由承包人提供，所发生的费用由发包人承担。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51" w:name="_Toc186096939"/>
      <w:r/>
      <w:bookmarkEnd w:id="251"/>
      <w:r/>
      <w:bookmarkStart w:id="252" w:name="_Toc96331486"/>
      <w:r/>
      <w:bookmarkEnd w:id="252"/>
      <w:r/>
      <w:bookmarkStart w:id="253" w:name="_Toc351203529"/>
      <w:r>
        <w:rPr>
          <w:rFonts w:hint="eastAsia" w:ascii="宋体" w:hAnsi="宋体" w:eastAsia="宋体" w:cs="宋体"/>
          <w:b w:val="0"/>
          <w:bCs/>
          <w:color w:val="000000"/>
          <w:sz w:val="21"/>
          <w:szCs w:val="21"/>
          <w:highlight w:val="none"/>
        </w:rPr>
        <w:t xml:space="preserve">4</w:t>
      </w:r>
      <w:bookmarkEnd w:id="253"/>
      <w:r/>
      <w:bookmarkStart w:id="254" w:name="_Toc337558755"/>
      <w:r>
        <w:rPr>
          <w:rFonts w:hint="eastAsia" w:ascii="宋体" w:hAnsi="宋体" w:eastAsia="宋体" w:cs="宋体"/>
          <w:b w:val="0"/>
          <w:bCs/>
          <w:color w:val="000000"/>
          <w:sz w:val="21"/>
          <w:szCs w:val="21"/>
          <w:highlight w:val="none"/>
        </w:rPr>
        <w:t xml:space="preserve">.2监理人员</w:t>
      </w:r>
      <w:bookmarkEnd w:id="25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55" w:name="_Toc186096940"/>
      <w:r/>
      <w:bookmarkEnd w:id="255"/>
      <w:r/>
      <w:bookmarkStart w:id="256" w:name="_Toc351203530"/>
      <w:r/>
      <w:bookmarkEnd w:id="256"/>
      <w:r/>
      <w:bookmarkStart w:id="257" w:name="_Toc96331487"/>
      <w:r>
        <w:rPr>
          <w:rFonts w:hint="eastAsia" w:ascii="宋体" w:hAnsi="宋体" w:eastAsia="宋体" w:cs="宋体"/>
          <w:b w:val="0"/>
          <w:bCs/>
          <w:color w:val="000000"/>
          <w:sz w:val="21"/>
          <w:szCs w:val="21"/>
          <w:highlight w:val="none"/>
        </w:rPr>
        <w:t xml:space="preserve">4</w:t>
      </w:r>
      <w:bookmarkEnd w:id="257"/>
      <w:r/>
      <w:bookmarkStart w:id="258" w:name="_Toc296346556"/>
      <w:r/>
      <w:bookmarkEnd w:id="258"/>
      <w:r/>
      <w:bookmarkStart w:id="259" w:name="_Toc296503055"/>
      <w:r/>
      <w:bookmarkEnd w:id="259"/>
      <w:r/>
      <w:bookmarkStart w:id="260" w:name="_Toc337558756"/>
      <w:r>
        <w:rPr>
          <w:rFonts w:hint="eastAsia" w:ascii="宋体" w:hAnsi="宋体" w:eastAsia="宋体" w:cs="宋体"/>
          <w:b w:val="0"/>
          <w:bCs/>
          <w:color w:val="000000"/>
          <w:sz w:val="21"/>
          <w:szCs w:val="21"/>
          <w:highlight w:val="none"/>
        </w:rPr>
        <w:t xml:space="preserve">.3</w:t>
      </w:r>
      <w:bookmarkEnd w:id="260"/>
      <w:r>
        <w:rPr>
          <w:rFonts w:hint="eastAsia" w:ascii="宋体" w:hAnsi="宋体" w:eastAsia="宋体" w:cs="宋体"/>
          <w:b w:val="0"/>
          <w:bCs/>
          <w:color w:val="000000"/>
          <w:sz w:val="21"/>
          <w:szCs w:val="21"/>
          <w:highlight w:val="none"/>
        </w:rPr>
        <w:t xml:space="preserve">监理人的指示</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61" w:name="_Toc186096941"/>
      <w:r/>
      <w:bookmarkEnd w:id="261"/>
      <w:r/>
      <w:bookmarkStart w:id="262" w:name="_Toc96331488"/>
      <w:r/>
      <w:bookmarkEnd w:id="262"/>
      <w:r/>
      <w:bookmarkStart w:id="263" w:name="_Toc351203531"/>
      <w:r>
        <w:rPr>
          <w:rFonts w:hint="eastAsia" w:ascii="宋体" w:hAnsi="宋体" w:eastAsia="宋体" w:cs="宋体"/>
          <w:b w:val="0"/>
          <w:bCs/>
          <w:color w:val="000000"/>
          <w:sz w:val="21"/>
          <w:szCs w:val="21"/>
          <w:highlight w:val="none"/>
        </w:rPr>
        <w:t xml:space="preserve">4</w:t>
      </w:r>
      <w:bookmarkEnd w:id="263"/>
      <w:r/>
      <w:bookmarkStart w:id="264" w:name="_Toc337558757"/>
      <w:r/>
      <w:bookmarkEnd w:id="264"/>
      <w:r/>
      <w:bookmarkStart w:id="265" w:name="_Toc296346558"/>
      <w:r/>
      <w:bookmarkEnd w:id="265"/>
      <w:r/>
      <w:bookmarkStart w:id="266" w:name="_Toc296503057"/>
      <w:r>
        <w:rPr>
          <w:rFonts w:hint="eastAsia" w:ascii="宋体" w:hAnsi="宋体" w:eastAsia="宋体" w:cs="宋体"/>
          <w:b w:val="0"/>
          <w:bCs/>
          <w:color w:val="000000"/>
          <w:sz w:val="21"/>
          <w:szCs w:val="21"/>
          <w:highlight w:val="none"/>
        </w:rPr>
        <w:t xml:space="preserve">.4 商定或确定</w:t>
      </w:r>
      <w:bookmarkEnd w:id="26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67" w:name="_Toc351203532"/>
      <w:r/>
      <w:bookmarkEnd w:id="267"/>
      <w:r/>
      <w:bookmarkStart w:id="268" w:name="_Toc96331489"/>
      <w:r/>
      <w:bookmarkEnd w:id="268"/>
      <w:r/>
      <w:bookmarkStart w:id="269" w:name="_Toc186096942"/>
      <w:r>
        <w:rPr>
          <w:rFonts w:hint="eastAsia" w:ascii="宋体" w:hAnsi="宋体" w:eastAsia="宋体" w:cs="宋体"/>
          <w:b w:val="0"/>
          <w:bCs/>
          <w:color w:val="000000"/>
          <w:sz w:val="21"/>
          <w:szCs w:val="21"/>
          <w:highlight w:val="none"/>
        </w:rPr>
        <w:t xml:space="preserve">5</w:t>
      </w:r>
      <w:bookmarkEnd w:id="269"/>
      <w:r/>
      <w:bookmarkStart w:id="270" w:name="_Toc337558758"/>
      <w:r>
        <w:rPr>
          <w:rFonts w:hint="eastAsia" w:ascii="宋体" w:hAnsi="宋体" w:eastAsia="宋体" w:cs="宋体"/>
          <w:b w:val="0"/>
          <w:bCs/>
          <w:color w:val="000000"/>
          <w:sz w:val="21"/>
          <w:szCs w:val="21"/>
          <w:highlight w:val="none"/>
        </w:rPr>
        <w:t xml:space="preserve">. 工程质量</w:t>
      </w:r>
      <w:bookmarkEnd w:id="270"/>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71" w:name="_Toc186096943"/>
      <w:r/>
      <w:bookmarkEnd w:id="271"/>
      <w:r/>
      <w:bookmarkStart w:id="272" w:name="_Toc96331490"/>
      <w:r/>
      <w:bookmarkEnd w:id="272"/>
      <w:r/>
      <w:bookmarkStart w:id="273" w:name="_Toc351203533"/>
      <w:r>
        <w:rPr>
          <w:rFonts w:hint="eastAsia" w:ascii="宋体" w:hAnsi="宋体" w:eastAsia="宋体" w:cs="宋体"/>
          <w:b w:val="0"/>
          <w:bCs/>
          <w:color w:val="000000"/>
          <w:sz w:val="21"/>
          <w:szCs w:val="21"/>
          <w:highlight w:val="none"/>
        </w:rPr>
        <w:t xml:space="preserve">5</w:t>
      </w:r>
      <w:bookmarkEnd w:id="273"/>
      <w:r/>
      <w:bookmarkStart w:id="274" w:name="_Toc337558759"/>
      <w:r>
        <w:rPr>
          <w:rFonts w:hint="eastAsia" w:ascii="宋体" w:hAnsi="宋体" w:eastAsia="宋体" w:cs="宋体"/>
          <w:b w:val="0"/>
          <w:bCs/>
          <w:color w:val="000000"/>
          <w:sz w:val="21"/>
          <w:szCs w:val="21"/>
          <w:highlight w:val="none"/>
        </w:rPr>
        <w:t xml:space="preserve">.1质量要求</w:t>
      </w:r>
      <w:bookmarkEnd w:id="27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75" w:name="_Toc351203534"/>
      <w:r/>
      <w:bookmarkEnd w:id="275"/>
      <w:r/>
      <w:bookmarkStart w:id="276" w:name="_Toc96331491"/>
      <w:r/>
      <w:bookmarkEnd w:id="276"/>
      <w:r/>
      <w:bookmarkStart w:id="277" w:name="_Toc186096944"/>
      <w:r>
        <w:rPr>
          <w:rFonts w:hint="eastAsia" w:ascii="宋体" w:hAnsi="宋体" w:eastAsia="宋体" w:cs="宋体"/>
          <w:b w:val="0"/>
          <w:bCs/>
          <w:color w:val="000000"/>
          <w:sz w:val="21"/>
          <w:szCs w:val="21"/>
          <w:highlight w:val="none"/>
        </w:rPr>
        <w:t xml:space="preserve">5</w:t>
      </w:r>
      <w:bookmarkEnd w:id="277"/>
      <w:r/>
      <w:bookmarkStart w:id="278" w:name="_Toc337558760"/>
      <w:r>
        <w:rPr>
          <w:rFonts w:hint="eastAsia" w:ascii="宋体" w:hAnsi="宋体" w:eastAsia="宋体" w:cs="宋体"/>
          <w:b w:val="0"/>
          <w:bCs/>
          <w:color w:val="000000"/>
          <w:sz w:val="21"/>
          <w:szCs w:val="21"/>
          <w:highlight w:val="none"/>
        </w:rPr>
        <w:t xml:space="preserve">.2质量保证措施</w:t>
      </w:r>
      <w:bookmarkEnd w:id="27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5.2.1 发包人的质量管理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发包人应按照法律规定及合同约定完成与工程质量有关的各项工作。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5.2.2 承包人的质量管理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5.2.3 监理人的质量检查和检验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79" w:name="_Toc96331492"/>
      <w:r/>
      <w:bookmarkEnd w:id="279"/>
      <w:r/>
      <w:bookmarkStart w:id="280" w:name="_Toc351203535"/>
      <w:r/>
      <w:bookmarkEnd w:id="280"/>
      <w:r/>
      <w:bookmarkStart w:id="281" w:name="_Toc186096945"/>
      <w:r>
        <w:rPr>
          <w:rFonts w:hint="eastAsia" w:ascii="宋体" w:hAnsi="宋体" w:eastAsia="宋体" w:cs="宋体"/>
          <w:b w:val="0"/>
          <w:bCs/>
          <w:color w:val="000000"/>
          <w:sz w:val="21"/>
          <w:szCs w:val="21"/>
          <w:highlight w:val="none"/>
        </w:rPr>
        <w:t xml:space="preserve">5</w:t>
      </w:r>
      <w:bookmarkEnd w:id="281"/>
      <w:r/>
      <w:bookmarkStart w:id="282" w:name="_Toc337558761"/>
      <w:r>
        <w:rPr>
          <w:rFonts w:hint="eastAsia" w:ascii="宋体" w:hAnsi="宋体" w:eastAsia="宋体" w:cs="宋体"/>
          <w:b w:val="0"/>
          <w:bCs/>
          <w:color w:val="000000"/>
          <w:sz w:val="21"/>
          <w:szCs w:val="21"/>
          <w:highlight w:val="none"/>
        </w:rPr>
        <w:t xml:space="preserve">.3 隐蔽工程检查</w:t>
      </w:r>
      <w:bookmarkEnd w:id="28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5.3.1承包人自检</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承包人应当对工程隐蔽部位进行自检，并经自检确认是否具备覆盖条件。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5.3.2检查程序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5.3.3 重新检查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5.3.4 承包人私自覆盖</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3" w:name="_Toc351203536"/>
      <w:r/>
      <w:bookmarkEnd w:id="283"/>
      <w:r/>
      <w:bookmarkStart w:id="284" w:name="_Toc96331493"/>
      <w:r/>
      <w:bookmarkEnd w:id="284"/>
      <w:r/>
      <w:bookmarkStart w:id="285" w:name="_Toc186096946"/>
      <w:r>
        <w:rPr>
          <w:rFonts w:hint="eastAsia" w:ascii="宋体" w:hAnsi="宋体" w:eastAsia="宋体" w:cs="宋体"/>
          <w:b w:val="0"/>
          <w:bCs/>
          <w:color w:val="000000"/>
          <w:sz w:val="21"/>
          <w:szCs w:val="21"/>
          <w:highlight w:val="none"/>
        </w:rPr>
        <w:t xml:space="preserve">5</w:t>
      </w:r>
      <w:bookmarkEnd w:id="285"/>
      <w:r/>
      <w:bookmarkStart w:id="286" w:name="_Toc337558762"/>
      <w:r>
        <w:rPr>
          <w:rFonts w:hint="eastAsia" w:ascii="宋体" w:hAnsi="宋体" w:eastAsia="宋体" w:cs="宋体"/>
          <w:b w:val="0"/>
          <w:bCs/>
          <w:color w:val="000000"/>
          <w:sz w:val="21"/>
          <w:szCs w:val="21"/>
          <w:highlight w:val="none"/>
        </w:rPr>
        <w:t xml:space="preserve">.4不合格工程的处理</w:t>
      </w:r>
      <w:bookmarkEnd w:id="28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7" w:name="_Toc351203537"/>
      <w:r/>
      <w:bookmarkEnd w:id="287"/>
      <w:r/>
      <w:bookmarkStart w:id="288" w:name="_Toc96331494"/>
      <w:r/>
      <w:bookmarkEnd w:id="288"/>
      <w:r/>
      <w:bookmarkStart w:id="289" w:name="_Toc186096947"/>
      <w:r>
        <w:rPr>
          <w:rFonts w:hint="eastAsia" w:ascii="宋体" w:hAnsi="宋体" w:eastAsia="宋体" w:cs="宋体"/>
          <w:b w:val="0"/>
          <w:bCs/>
          <w:color w:val="000000"/>
          <w:sz w:val="21"/>
          <w:szCs w:val="21"/>
          <w:highlight w:val="none"/>
        </w:rPr>
        <w:t xml:space="preserve">5.5 质量争议检测</w:t>
      </w:r>
      <w:bookmarkEnd w:id="28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合同当事人均有责任的，由双方根据其责任分别承担。合同当事人无法达成一致的，按照第4.4款〔商定或确定〕执行。</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0" w:name="_Toc186096948"/>
      <w:r/>
      <w:bookmarkEnd w:id="290"/>
      <w:r/>
      <w:bookmarkStart w:id="291" w:name="_Toc351203538"/>
      <w:r/>
      <w:bookmarkEnd w:id="291"/>
      <w:r/>
      <w:bookmarkStart w:id="292" w:name="_Toc96331495"/>
      <w:r>
        <w:rPr>
          <w:rFonts w:hint="eastAsia" w:ascii="宋体" w:hAnsi="宋体" w:eastAsia="宋体" w:cs="宋体"/>
          <w:b w:val="0"/>
          <w:bCs/>
          <w:color w:val="000000"/>
          <w:sz w:val="21"/>
          <w:szCs w:val="21"/>
          <w:highlight w:val="none"/>
        </w:rPr>
        <w:t xml:space="preserve">6</w:t>
      </w:r>
      <w:bookmarkEnd w:id="292"/>
      <w:r/>
      <w:bookmarkStart w:id="293" w:name="_Toc337558763"/>
      <w:r>
        <w:rPr>
          <w:rFonts w:hint="eastAsia" w:ascii="宋体" w:hAnsi="宋体" w:eastAsia="宋体" w:cs="宋体"/>
          <w:b w:val="0"/>
          <w:bCs/>
          <w:color w:val="000000"/>
          <w:sz w:val="21"/>
          <w:szCs w:val="21"/>
          <w:highlight w:val="none"/>
        </w:rPr>
        <w:t xml:space="preserve">. 安全文明施工与环境保护</w:t>
      </w:r>
      <w:bookmarkEnd w:id="293"/>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4" w:name="_Toc96331496"/>
      <w:r/>
      <w:bookmarkEnd w:id="294"/>
      <w:r/>
      <w:bookmarkStart w:id="295" w:name="_Toc351203539"/>
      <w:r/>
      <w:bookmarkEnd w:id="295"/>
      <w:r/>
      <w:bookmarkStart w:id="296" w:name="_Toc186096949"/>
      <w:r>
        <w:rPr>
          <w:rFonts w:hint="eastAsia" w:ascii="宋体" w:hAnsi="宋体" w:eastAsia="宋体" w:cs="宋体"/>
          <w:b w:val="0"/>
          <w:bCs/>
          <w:color w:val="000000"/>
          <w:sz w:val="21"/>
          <w:szCs w:val="21"/>
          <w:highlight w:val="none"/>
        </w:rPr>
        <w:t xml:space="preserve">6</w:t>
      </w:r>
      <w:bookmarkEnd w:id="296"/>
      <w:r/>
      <w:bookmarkStart w:id="297" w:name="_Toc337558764"/>
      <w:r>
        <w:rPr>
          <w:rFonts w:hint="eastAsia" w:ascii="宋体" w:hAnsi="宋体" w:eastAsia="宋体" w:cs="宋体"/>
          <w:b w:val="0"/>
          <w:bCs/>
          <w:color w:val="000000"/>
          <w:sz w:val="21"/>
          <w:szCs w:val="21"/>
          <w:highlight w:val="none"/>
        </w:rPr>
        <w:t xml:space="preserve">.1安全文明施工</w:t>
      </w:r>
      <w:bookmarkEnd w:id="29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6.1.1安全生产要求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因安全生产需要暂停施工的，按照第7.8款〔暂停施工〕的约定执行。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6.1.2 安全生产保证措施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6.1.3特别安全生产事项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6.1.4 治安保卫</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6.1.6 安全文明施工费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6.1.7 紧急情况处理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6.1.8 事故处理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6.1.9 安全生产责任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6.1.9.1 发包人的安全责任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发包人应负责赔偿以下各种情况造成的损失：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（1）工程或工程的任何部分对土地的占用所造成的第三者财产损失；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（2）由于发包人原因在施工场地及其毗邻地带造成的第三者人身伤亡和财产损失；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（3）由于发包人原因对承包人、监理人造成的人员人身伤亡和财产损失；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（4）由于发包人原因造成的发包人自身人员的人身伤害以及财产损失。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6.1.9.2 承包人的安全责任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8" w:name="_Toc351203540"/>
      <w:r/>
      <w:bookmarkEnd w:id="298"/>
      <w:r/>
      <w:bookmarkStart w:id="299" w:name="_Toc96331497"/>
      <w:r/>
      <w:bookmarkEnd w:id="299"/>
      <w:r/>
      <w:bookmarkStart w:id="300" w:name="_Toc186096950"/>
      <w:r>
        <w:rPr>
          <w:rFonts w:hint="eastAsia" w:ascii="宋体" w:hAnsi="宋体" w:eastAsia="宋体" w:cs="宋体"/>
          <w:b w:val="0"/>
          <w:bCs/>
          <w:color w:val="000000"/>
          <w:sz w:val="21"/>
          <w:szCs w:val="21"/>
          <w:highlight w:val="none"/>
        </w:rPr>
        <w:t xml:space="preserve">6</w:t>
      </w:r>
      <w:bookmarkEnd w:id="300"/>
      <w:r/>
      <w:bookmarkStart w:id="301" w:name="_Toc337558765"/>
      <w:r>
        <w:rPr>
          <w:rFonts w:hint="eastAsia" w:ascii="宋体" w:hAnsi="宋体" w:eastAsia="宋体" w:cs="宋体"/>
          <w:b w:val="0"/>
          <w:bCs/>
          <w:color w:val="000000"/>
          <w:sz w:val="21"/>
          <w:szCs w:val="21"/>
          <w:highlight w:val="none"/>
        </w:rPr>
        <w:t xml:space="preserve">.2 职业健康</w:t>
      </w:r>
      <w:bookmarkEnd w:id="30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6.2.1 劳动保护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6.2.2 生活条件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02" w:name="_Toc186096951"/>
      <w:r/>
      <w:bookmarkEnd w:id="302"/>
      <w:r/>
      <w:bookmarkStart w:id="303" w:name="_Toc351203541"/>
      <w:r/>
      <w:bookmarkEnd w:id="303"/>
      <w:r/>
      <w:bookmarkStart w:id="304" w:name="_Toc96331498"/>
      <w:r>
        <w:rPr>
          <w:rFonts w:hint="eastAsia" w:ascii="宋体" w:hAnsi="宋体" w:eastAsia="宋体" w:cs="宋体"/>
          <w:b w:val="0"/>
          <w:bCs/>
          <w:color w:val="000000"/>
          <w:sz w:val="21"/>
          <w:szCs w:val="21"/>
          <w:highlight w:val="none"/>
        </w:rPr>
        <w:t xml:space="preserve">6</w:t>
      </w:r>
      <w:bookmarkEnd w:id="304"/>
      <w:r/>
      <w:bookmarkStart w:id="305" w:name="_Toc337558766"/>
      <w:r>
        <w:rPr>
          <w:rFonts w:hint="eastAsia" w:ascii="宋体" w:hAnsi="宋体" w:eastAsia="宋体" w:cs="宋体"/>
          <w:b w:val="0"/>
          <w:bCs/>
          <w:color w:val="000000"/>
          <w:sz w:val="21"/>
          <w:szCs w:val="21"/>
          <w:highlight w:val="none"/>
        </w:rPr>
        <w:t xml:space="preserve">.3 环境保护</w:t>
      </w:r>
      <w:bookmarkEnd w:id="30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06" w:name="_Toc96331499"/>
      <w:r/>
      <w:bookmarkEnd w:id="306"/>
      <w:r/>
      <w:bookmarkStart w:id="307" w:name="_Toc351203542"/>
      <w:r/>
      <w:bookmarkEnd w:id="307"/>
      <w:r/>
      <w:bookmarkStart w:id="308" w:name="_Toc186096952"/>
      <w:r>
        <w:rPr>
          <w:rFonts w:hint="eastAsia" w:ascii="宋体" w:hAnsi="宋体" w:eastAsia="宋体" w:cs="宋体"/>
          <w:b w:val="0"/>
          <w:bCs/>
          <w:color w:val="000000"/>
          <w:sz w:val="21"/>
          <w:szCs w:val="21"/>
          <w:highlight w:val="none"/>
        </w:rPr>
        <w:t xml:space="preserve">7</w:t>
      </w:r>
      <w:bookmarkEnd w:id="308"/>
      <w:r/>
      <w:bookmarkStart w:id="309" w:name="_Toc337558767"/>
      <w:r>
        <w:rPr>
          <w:rFonts w:hint="eastAsia" w:ascii="宋体" w:hAnsi="宋体" w:eastAsia="宋体" w:cs="宋体"/>
          <w:b w:val="0"/>
          <w:bCs/>
          <w:color w:val="000000"/>
          <w:sz w:val="21"/>
          <w:szCs w:val="21"/>
          <w:highlight w:val="none"/>
        </w:rPr>
        <w:t xml:space="preserve">. 工期和进度</w:t>
      </w:r>
      <w:bookmarkEnd w:id="309"/>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10" w:name="_Toc351203543"/>
      <w:r/>
      <w:bookmarkEnd w:id="310"/>
      <w:r/>
      <w:bookmarkStart w:id="311" w:name="_Toc186096953"/>
      <w:r/>
      <w:bookmarkEnd w:id="311"/>
      <w:r/>
      <w:bookmarkStart w:id="312" w:name="_Toc96331500"/>
      <w:r>
        <w:rPr>
          <w:rFonts w:hint="eastAsia" w:ascii="宋体" w:hAnsi="宋体" w:eastAsia="宋体" w:cs="宋体"/>
          <w:b w:val="0"/>
          <w:bCs/>
          <w:color w:val="000000"/>
          <w:sz w:val="21"/>
          <w:szCs w:val="21"/>
          <w:highlight w:val="none"/>
        </w:rPr>
        <w:t xml:space="preserve">7</w:t>
      </w:r>
      <w:bookmarkEnd w:id="312"/>
      <w:r/>
      <w:bookmarkStart w:id="313" w:name="_Toc337558768"/>
      <w:r/>
      <w:bookmarkEnd w:id="313"/>
      <w:r/>
      <w:bookmarkStart w:id="314" w:name="_Toc296503066"/>
      <w:r/>
      <w:bookmarkEnd w:id="314"/>
      <w:r/>
      <w:bookmarkStart w:id="315" w:name="_Toc296346567"/>
      <w:r>
        <w:rPr>
          <w:rFonts w:hint="eastAsia" w:ascii="宋体" w:hAnsi="宋体" w:eastAsia="宋体" w:cs="宋体"/>
          <w:b w:val="0"/>
          <w:bCs/>
          <w:color w:val="000000"/>
          <w:sz w:val="21"/>
          <w:szCs w:val="21"/>
          <w:highlight w:val="none"/>
        </w:rPr>
        <w:t xml:space="preserve">.1施工组织设计</w:t>
      </w:r>
      <w:bookmarkEnd w:id="31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7.1.1 施工组织设计的内容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施工组织设计应包含以下内容：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（1）施工方案；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（2）施工现场平面布置图；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（3）施工进度计划和保证措施；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（4）劳动力及材料供应计划；</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（5）施工机械设备的选用；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（6）质量保证体系及措施；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（7）安全生产、文明施工措施；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（8）环境保护、成本控制措施；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（9）合同当事人约定的其他内容。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7.1.2 施工组织设计的提交和修改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施工进度计划的编制和修改按照第7.2款〔施工进度计划〕执行。</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16" w:name="_Toc351203544"/>
      <w:r/>
      <w:bookmarkEnd w:id="316"/>
      <w:r/>
      <w:bookmarkStart w:id="317" w:name="_Toc186096954"/>
      <w:r/>
      <w:bookmarkEnd w:id="317"/>
      <w:r/>
      <w:bookmarkStart w:id="318" w:name="_Toc96331501"/>
      <w:r>
        <w:rPr>
          <w:rFonts w:hint="eastAsia" w:ascii="宋体" w:hAnsi="宋体" w:eastAsia="宋体" w:cs="宋体"/>
          <w:b w:val="0"/>
          <w:bCs/>
          <w:color w:val="000000"/>
          <w:sz w:val="21"/>
          <w:szCs w:val="21"/>
          <w:highlight w:val="none"/>
        </w:rPr>
        <w:t xml:space="preserve">7</w:t>
      </w:r>
      <w:bookmarkEnd w:id="318"/>
      <w:r/>
      <w:bookmarkStart w:id="319" w:name="_Toc337558769"/>
      <w:r>
        <w:rPr>
          <w:rFonts w:hint="eastAsia" w:ascii="宋体" w:hAnsi="宋体" w:eastAsia="宋体" w:cs="宋体"/>
          <w:b w:val="0"/>
          <w:bCs/>
          <w:color w:val="000000"/>
          <w:sz w:val="21"/>
          <w:szCs w:val="21"/>
          <w:highlight w:val="none"/>
        </w:rPr>
        <w:t xml:space="preserve">.2 施工进度计划</w:t>
      </w:r>
      <w:bookmarkEnd w:id="31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7.2.1 施工进度计划的编制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20" w:name="_Toc351203545"/>
      <w:r/>
      <w:bookmarkEnd w:id="320"/>
      <w:r/>
      <w:bookmarkStart w:id="321" w:name="_Toc96331502"/>
      <w:r/>
      <w:bookmarkEnd w:id="321"/>
      <w:r/>
      <w:bookmarkStart w:id="322" w:name="_Toc186096955"/>
      <w:r>
        <w:rPr>
          <w:rFonts w:hint="eastAsia" w:ascii="宋体" w:hAnsi="宋体" w:eastAsia="宋体" w:cs="宋体"/>
          <w:b w:val="0"/>
          <w:bCs/>
          <w:color w:val="000000"/>
          <w:sz w:val="21"/>
          <w:szCs w:val="21"/>
          <w:highlight w:val="none"/>
        </w:rPr>
        <w:t xml:space="preserve">7</w:t>
      </w:r>
      <w:bookmarkEnd w:id="322"/>
      <w:r/>
      <w:bookmarkStart w:id="323" w:name="_Toc337558770"/>
      <w:r>
        <w:rPr>
          <w:rFonts w:hint="eastAsia" w:ascii="宋体" w:hAnsi="宋体" w:eastAsia="宋体" w:cs="宋体"/>
          <w:b w:val="0"/>
          <w:bCs/>
          <w:color w:val="000000"/>
          <w:sz w:val="21"/>
          <w:szCs w:val="21"/>
          <w:highlight w:val="none"/>
        </w:rPr>
        <w:t xml:space="preserve">.3 开工</w:t>
      </w:r>
      <w:bookmarkEnd w:id="32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除专用合同条款另有约定外，合同当事人应按约定完成开工准备工作。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7.3.2 开工通知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24" w:name="_Toc186096956"/>
      <w:r/>
      <w:bookmarkEnd w:id="324"/>
      <w:r/>
      <w:bookmarkStart w:id="325" w:name="_Toc96331503"/>
      <w:r/>
      <w:bookmarkEnd w:id="325"/>
      <w:r/>
      <w:bookmarkStart w:id="326" w:name="_Toc351203546"/>
      <w:r>
        <w:rPr>
          <w:rFonts w:hint="eastAsia" w:ascii="宋体" w:hAnsi="宋体" w:eastAsia="宋体" w:cs="宋体"/>
          <w:b w:val="0"/>
          <w:bCs/>
          <w:color w:val="000000"/>
          <w:sz w:val="21"/>
          <w:szCs w:val="21"/>
          <w:highlight w:val="none"/>
        </w:rPr>
        <w:t xml:space="preserve">7.4测量放线</w:t>
      </w:r>
      <w:bookmarkEnd w:id="32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施工过程中对施工现场内水准点等测量标志物的保护工作由承包人负责。</w:t>
      </w:r>
      <w:bookmarkStart w:id="327" w:name="_Toc351203547"/>
      <w:r/>
      <w:bookmarkEnd w:id="327"/>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28" w:name="_Toc186096957"/>
      <w:r/>
      <w:bookmarkEnd w:id="328"/>
      <w:r/>
      <w:bookmarkStart w:id="329" w:name="_Toc96331504"/>
      <w:r>
        <w:rPr>
          <w:rFonts w:hint="eastAsia" w:ascii="宋体" w:hAnsi="宋体" w:eastAsia="宋体" w:cs="宋体"/>
          <w:b w:val="0"/>
          <w:bCs/>
          <w:color w:val="000000"/>
          <w:sz w:val="21"/>
          <w:szCs w:val="21"/>
          <w:highlight w:val="none"/>
        </w:rPr>
        <w:t xml:space="preserve">7</w:t>
      </w:r>
      <w:bookmarkEnd w:id="329"/>
      <w:r/>
      <w:bookmarkStart w:id="330" w:name="_Toc296346574"/>
      <w:r/>
      <w:bookmarkEnd w:id="330"/>
      <w:r/>
      <w:bookmarkStart w:id="331" w:name="_Toc296503073"/>
      <w:r/>
      <w:bookmarkEnd w:id="331"/>
      <w:r/>
      <w:bookmarkStart w:id="332" w:name="_Toc337558772"/>
      <w:r>
        <w:rPr>
          <w:rFonts w:hint="eastAsia" w:ascii="宋体" w:hAnsi="宋体" w:eastAsia="宋体" w:cs="宋体"/>
          <w:b w:val="0"/>
          <w:bCs/>
          <w:color w:val="000000"/>
          <w:sz w:val="21"/>
          <w:szCs w:val="21"/>
          <w:highlight w:val="none"/>
        </w:rPr>
        <w:t xml:space="preserve">.5工期延误</w:t>
      </w:r>
      <w:bookmarkEnd w:id="33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（1）发包人未能按合同约定提供图纸或所提供图纸不符合合同约定的；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（2）发包人未能按合同约定提供施工现场、施工条件、基础资料、许可、批准等开工条件的；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（3）发包人提供的测量基准点、基准线和水准点及其书面资料存在错误或疏漏的；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（4）发包人未能在计划开工日期之日起7天内同意下达开工通知的；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（5）发包人未能按合同约定日期支付工程预付款、进度款或竣工结算款的；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（6）监理人未按合同约定发出指示、批准等文件的；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（7）专用合同条款中约定的其他情形。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333" w:name="_Toc296503076"/>
      <w:r/>
      <w:bookmarkEnd w:id="333"/>
      <w:r/>
      <w:bookmarkStart w:id="334" w:name="_Toc296346577"/>
      <w:r>
        <w:rPr>
          <w:rFonts w:hint="eastAsia" w:ascii="宋体" w:hAnsi="宋体" w:eastAsia="宋体" w:cs="宋体"/>
          <w:color w:val="000000"/>
          <w:sz w:val="21"/>
          <w:szCs w:val="21"/>
          <w:highlight w:val="none"/>
        </w:rPr>
        <w:t xml:space="preserve">因</w:t>
      </w:r>
      <w:bookmarkEnd w:id="334"/>
      <w:r>
        <w:rPr>
          <w:rFonts w:hint="eastAsia" w:ascii="宋体" w:hAnsi="宋体" w:eastAsia="宋体" w:cs="宋体"/>
          <w:color w:val="000000"/>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35" w:name="_Toc351203548"/>
      <w:r/>
      <w:bookmarkEnd w:id="335"/>
      <w:r/>
      <w:bookmarkStart w:id="336" w:name="_Toc186096958"/>
      <w:r/>
      <w:bookmarkEnd w:id="336"/>
      <w:r/>
      <w:bookmarkStart w:id="337" w:name="_Toc96331505"/>
      <w:r>
        <w:rPr>
          <w:rFonts w:hint="eastAsia" w:ascii="宋体" w:hAnsi="宋体" w:eastAsia="宋体" w:cs="宋体"/>
          <w:b w:val="0"/>
          <w:bCs/>
          <w:color w:val="000000"/>
          <w:sz w:val="21"/>
          <w:szCs w:val="21"/>
          <w:highlight w:val="none"/>
        </w:rPr>
        <w:t xml:space="preserve">7</w:t>
      </w:r>
      <w:bookmarkEnd w:id="337"/>
      <w:r/>
      <w:bookmarkStart w:id="338" w:name="_Toc337558773"/>
      <w:r/>
      <w:bookmarkEnd w:id="338"/>
      <w:r/>
      <w:bookmarkStart w:id="339" w:name="_Toc296503077"/>
      <w:r/>
      <w:bookmarkEnd w:id="339"/>
      <w:r/>
      <w:bookmarkStart w:id="340" w:name="_Toc296503074"/>
      <w:r/>
      <w:bookmarkEnd w:id="340"/>
      <w:r/>
      <w:bookmarkStart w:id="341" w:name="_Toc296346575"/>
      <w:r/>
      <w:bookmarkEnd w:id="341"/>
      <w:r/>
      <w:bookmarkStart w:id="342" w:name="_Toc296346578"/>
      <w:r>
        <w:rPr>
          <w:rFonts w:hint="eastAsia" w:ascii="宋体" w:hAnsi="宋体" w:eastAsia="宋体" w:cs="宋体"/>
          <w:b w:val="0"/>
          <w:bCs/>
          <w:color w:val="000000"/>
          <w:sz w:val="21"/>
          <w:szCs w:val="21"/>
          <w:highlight w:val="none"/>
        </w:rPr>
        <w:t xml:space="preserve">.6 不利物质条件</w:t>
      </w:r>
      <w:bookmarkEnd w:id="34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43" w:name="_Toc186096959"/>
      <w:r/>
      <w:bookmarkEnd w:id="343"/>
      <w:r/>
      <w:bookmarkStart w:id="344" w:name="_Toc96331506"/>
      <w:r/>
      <w:bookmarkEnd w:id="344"/>
      <w:r/>
      <w:bookmarkStart w:id="345" w:name="_Toc351203549"/>
      <w:r>
        <w:rPr>
          <w:rFonts w:hint="eastAsia" w:ascii="宋体" w:hAnsi="宋体" w:eastAsia="宋体" w:cs="宋体"/>
          <w:b w:val="0"/>
          <w:bCs/>
          <w:color w:val="000000"/>
          <w:sz w:val="21"/>
          <w:szCs w:val="21"/>
          <w:highlight w:val="none"/>
        </w:rPr>
        <w:t xml:space="preserve">7</w:t>
      </w:r>
      <w:bookmarkEnd w:id="345"/>
      <w:r/>
      <w:bookmarkStart w:id="346" w:name="_Toc296503075"/>
      <w:r/>
      <w:bookmarkEnd w:id="346"/>
      <w:r/>
      <w:bookmarkStart w:id="347" w:name="_Toc296346576"/>
      <w:r/>
      <w:bookmarkEnd w:id="347"/>
      <w:r/>
      <w:bookmarkStart w:id="348" w:name="_Toc337558774"/>
      <w:r>
        <w:rPr>
          <w:rFonts w:hint="eastAsia" w:ascii="宋体" w:hAnsi="宋体" w:eastAsia="宋体" w:cs="宋体"/>
          <w:b w:val="0"/>
          <w:bCs/>
          <w:color w:val="000000"/>
          <w:sz w:val="21"/>
          <w:szCs w:val="21"/>
          <w:highlight w:val="none"/>
        </w:rPr>
        <w:t xml:space="preserve">.7异常恶劣的气候条件</w:t>
      </w:r>
      <w:bookmarkEnd w:id="34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49" w:name="_Toc351203550"/>
      <w:r/>
      <w:bookmarkEnd w:id="349"/>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0" w:name="_Toc96331507"/>
      <w:r/>
      <w:bookmarkEnd w:id="350"/>
      <w:r/>
      <w:bookmarkStart w:id="351" w:name="_Toc186096960"/>
      <w:r>
        <w:rPr>
          <w:rFonts w:hint="eastAsia" w:ascii="宋体" w:hAnsi="宋体" w:eastAsia="宋体" w:cs="宋体"/>
          <w:b w:val="0"/>
          <w:bCs/>
          <w:color w:val="000000"/>
          <w:sz w:val="21"/>
          <w:szCs w:val="21"/>
          <w:highlight w:val="none"/>
        </w:rPr>
        <w:t xml:space="preserve">7</w:t>
      </w:r>
      <w:bookmarkEnd w:id="351"/>
      <w:r/>
      <w:bookmarkStart w:id="352" w:name="_Toc337558775"/>
      <w:r>
        <w:rPr>
          <w:rFonts w:hint="eastAsia" w:ascii="宋体" w:hAnsi="宋体" w:eastAsia="宋体" w:cs="宋体"/>
          <w:b w:val="0"/>
          <w:bCs/>
          <w:color w:val="000000"/>
          <w:sz w:val="21"/>
          <w:szCs w:val="21"/>
          <w:highlight w:val="none"/>
        </w:rPr>
        <w:t xml:space="preserve">.8暂停施工</w:t>
      </w:r>
      <w:bookmarkEnd w:id="35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7.8.1发包人原因引起的暂停施工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因发包人原因引起的暂停施工，发包人应承担由此增加的费用和（或）延误的工期，并支付承包人合理的利润。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7.8.2 承包人原因引起的暂停施工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7.8.3 指示暂停施工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监理人认为有必要时，并经发包人批准后，可向承包人作出暂停施工的指示，承包人应按监理人指示暂停施工。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7.8.4 紧急情况下的暂停施工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7.8.5 暂停施工后的复工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7.8.6 暂停施工持续56天以上</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7.8.7 暂停施工期间的工程照管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暂停施工期间，承包人应负责妥善照管工程并提供安全保障，由此增加的费用由责任方承担。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7.8.8 暂停施工的措施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暂停施工期间，发包人和承包人均应采取必要的措施确保工程质量及安全，防止因暂停施工扩大损失。</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3" w:name="_Toc186096961"/>
      <w:r/>
      <w:bookmarkEnd w:id="353"/>
      <w:r/>
      <w:bookmarkStart w:id="354" w:name="_Toc351203551"/>
      <w:r/>
      <w:bookmarkEnd w:id="354"/>
      <w:r/>
      <w:bookmarkStart w:id="355" w:name="_Toc96331508"/>
      <w:r>
        <w:rPr>
          <w:rFonts w:hint="eastAsia" w:ascii="宋体" w:hAnsi="宋体" w:eastAsia="宋体" w:cs="宋体"/>
          <w:b w:val="0"/>
          <w:bCs/>
          <w:color w:val="000000"/>
          <w:sz w:val="21"/>
          <w:szCs w:val="21"/>
          <w:highlight w:val="none"/>
        </w:rPr>
        <w:t xml:space="preserve">7.9提前竣工</w:t>
      </w:r>
      <w:bookmarkEnd w:id="35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6" w:name="_Toc351203552"/>
      <w:r/>
      <w:bookmarkEnd w:id="356"/>
      <w:r/>
      <w:bookmarkStart w:id="357" w:name="_Toc186096962"/>
      <w:r/>
      <w:bookmarkEnd w:id="357"/>
      <w:r/>
      <w:bookmarkStart w:id="358" w:name="_Toc96331509"/>
      <w:r>
        <w:rPr>
          <w:rFonts w:hint="eastAsia" w:ascii="宋体" w:hAnsi="宋体" w:eastAsia="宋体" w:cs="宋体"/>
          <w:b w:val="0"/>
          <w:bCs/>
          <w:color w:val="000000"/>
          <w:sz w:val="21"/>
          <w:szCs w:val="21"/>
          <w:highlight w:val="none"/>
        </w:rPr>
        <w:t xml:space="preserve">8</w:t>
      </w:r>
      <w:bookmarkEnd w:id="358"/>
      <w:r/>
      <w:bookmarkStart w:id="359" w:name="_Toc296346559"/>
      <w:r/>
      <w:bookmarkEnd w:id="359"/>
      <w:r/>
      <w:bookmarkStart w:id="360" w:name="_Toc296503058"/>
      <w:r/>
      <w:bookmarkEnd w:id="360"/>
      <w:r/>
      <w:bookmarkStart w:id="361" w:name="_Toc337558776"/>
      <w:r>
        <w:rPr>
          <w:rFonts w:hint="eastAsia" w:ascii="宋体" w:hAnsi="宋体" w:eastAsia="宋体" w:cs="宋体"/>
          <w:b w:val="0"/>
          <w:bCs/>
          <w:color w:val="000000"/>
          <w:sz w:val="21"/>
          <w:szCs w:val="21"/>
          <w:highlight w:val="none"/>
        </w:rPr>
        <w:t xml:space="preserve">. 材料与设备</w:t>
      </w:r>
      <w:bookmarkEnd w:id="361"/>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62" w:name="_Toc186096963"/>
      <w:r/>
      <w:bookmarkEnd w:id="362"/>
      <w:r/>
      <w:bookmarkStart w:id="363" w:name="_Toc351203553"/>
      <w:r/>
      <w:bookmarkEnd w:id="363"/>
      <w:r/>
      <w:bookmarkStart w:id="364" w:name="_Toc96331510"/>
      <w:r/>
      <w:bookmarkEnd w:id="364"/>
      <w:r>
        <w:rPr>
          <w:rFonts w:hint="eastAsia" w:ascii="宋体" w:hAnsi="宋体" w:eastAsia="宋体" w:cs="宋体"/>
          <w:b w:val="0"/>
          <w:bCs/>
          <w:color w:val="000000"/>
          <w:sz w:val="21"/>
          <w:szCs w:val="21"/>
          <w:highlight w:val="none"/>
        </w:rPr>
        <w:t xml:space="preserve">8</w:t>
      </w:r>
      <w:bookmarkStart w:id="365" w:name="_Toc296503059"/>
      <w:r/>
      <w:bookmarkEnd w:id="365"/>
      <w:r/>
      <w:bookmarkStart w:id="366" w:name="_Toc337558777"/>
      <w:r/>
      <w:bookmarkEnd w:id="366"/>
      <w:r/>
      <w:bookmarkStart w:id="367" w:name="_Toc296346560"/>
      <w:r/>
      <w:bookmarkEnd w:id="367"/>
      <w:r/>
      <w:bookmarkStart w:id="368" w:name="_Toc468936960"/>
      <w:r>
        <w:rPr>
          <w:rFonts w:hint="eastAsia" w:ascii="宋体" w:hAnsi="宋体" w:eastAsia="宋体" w:cs="宋体"/>
          <w:b w:val="0"/>
          <w:bCs/>
          <w:color w:val="000000"/>
          <w:sz w:val="21"/>
          <w:szCs w:val="21"/>
          <w:highlight w:val="none"/>
        </w:rPr>
        <w:t xml:space="preserve">.1发包人供应材料与工程设备</w:t>
      </w:r>
      <w:bookmarkEnd w:id="36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color w:val="000000"/>
          <w:sz w:val="21"/>
          <w:szCs w:val="21"/>
          <w:highlight w:val="none"/>
        </w:rPr>
        <w:outlineLvl w:val="9"/>
      </w:pPr>
      <w:r/>
      <w:bookmarkStart w:id="369" w:name="_Toc186096964"/>
      <w:r/>
      <w:bookmarkEnd w:id="369"/>
      <w:r/>
      <w:bookmarkStart w:id="370" w:name="_Toc96331511"/>
      <w:r/>
      <w:bookmarkEnd w:id="370"/>
      <w:r/>
      <w:bookmarkStart w:id="371" w:name="_Toc351203554"/>
      <w:r>
        <w:rPr>
          <w:rFonts w:hint="eastAsia" w:ascii="宋体" w:hAnsi="宋体" w:eastAsia="宋体" w:cs="宋体"/>
          <w:b w:val="0"/>
          <w:bCs/>
          <w:color w:val="000000"/>
          <w:sz w:val="21"/>
          <w:szCs w:val="21"/>
          <w:highlight w:val="none"/>
        </w:rPr>
        <w:t xml:space="preserve">8</w:t>
      </w:r>
      <w:bookmarkEnd w:id="371"/>
      <w:r/>
      <w:bookmarkStart w:id="372" w:name="_Toc337558778"/>
      <w:r/>
      <w:bookmarkEnd w:id="372"/>
      <w:r/>
      <w:bookmarkStart w:id="373" w:name="_Toc296503060"/>
      <w:r/>
      <w:bookmarkEnd w:id="373"/>
      <w:r/>
      <w:bookmarkStart w:id="374" w:name="_Toc296346561"/>
      <w:r>
        <w:rPr>
          <w:rFonts w:hint="eastAsia" w:ascii="宋体" w:hAnsi="宋体" w:eastAsia="宋体" w:cs="宋体"/>
          <w:b w:val="0"/>
          <w:bCs/>
          <w:color w:val="000000"/>
          <w:sz w:val="21"/>
          <w:szCs w:val="21"/>
          <w:highlight w:val="none"/>
        </w:rPr>
        <w:t xml:space="preserve">.2承包人采购材料与工程设备</w:t>
      </w:r>
      <w:bookmarkEnd w:id="374"/>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75" w:name="_Toc96331512"/>
      <w:r/>
      <w:bookmarkEnd w:id="375"/>
      <w:r/>
      <w:bookmarkStart w:id="376" w:name="_Toc186096965"/>
      <w:r/>
      <w:bookmarkEnd w:id="376"/>
      <w:r/>
      <w:bookmarkStart w:id="377" w:name="_Toc351203555"/>
      <w:r>
        <w:rPr>
          <w:rFonts w:hint="eastAsia" w:ascii="宋体" w:hAnsi="宋体" w:eastAsia="宋体" w:cs="宋体"/>
          <w:b w:val="0"/>
          <w:bCs/>
          <w:color w:val="000000"/>
          <w:sz w:val="21"/>
          <w:szCs w:val="21"/>
          <w:highlight w:val="none"/>
        </w:rPr>
        <w:t xml:space="preserve">8</w:t>
      </w:r>
      <w:bookmarkEnd w:id="377"/>
      <w:r/>
      <w:bookmarkStart w:id="378" w:name="_Toc296346562"/>
      <w:r/>
      <w:bookmarkEnd w:id="378"/>
      <w:r/>
      <w:bookmarkStart w:id="379" w:name="_Toc296503061"/>
      <w:r/>
      <w:bookmarkEnd w:id="379"/>
      <w:r/>
      <w:bookmarkStart w:id="380" w:name="_Toc337558779"/>
      <w:r>
        <w:rPr>
          <w:rFonts w:hint="eastAsia" w:ascii="宋体" w:hAnsi="宋体" w:eastAsia="宋体" w:cs="宋体"/>
          <w:b w:val="0"/>
          <w:bCs/>
          <w:color w:val="000000"/>
          <w:sz w:val="21"/>
          <w:szCs w:val="21"/>
          <w:highlight w:val="none"/>
        </w:rPr>
        <w:t xml:space="preserve">.3材料与工程设备的接收与拒收</w:t>
      </w:r>
      <w:bookmarkEnd w:id="38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8.3.2 承包人采购的材料和工程设备，应保证产品质量合格，承包人应在材料和工程设备到货前24小时通知监理人检验。承</w:t>
      </w:r>
      <w:bookmarkStart w:id="381" w:name="_Toc250655469"/>
      <w:r>
        <w:rPr>
          <w:rFonts w:hint="eastAsia" w:ascii="宋体" w:hAnsi="宋体" w:eastAsia="宋体" w:cs="宋体"/>
          <w:color w:val="000000"/>
          <w:sz w:val="21"/>
          <w:szCs w:val="21"/>
          <w:highlight w:val="none"/>
        </w:rPr>
        <w:t xml:space="preserve">包人进行永久设备、材料的制造和生产的，应符合相关质量标准，并向监理人提交材料的样本以及有关资料，并应在使用该材料或工程设备之前获得监理人同意。</w:t>
      </w:r>
      <w:bookmarkEnd w:id="381"/>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82" w:name="_Toc96331513"/>
      <w:r/>
      <w:bookmarkEnd w:id="382"/>
      <w:r/>
      <w:bookmarkStart w:id="383" w:name="_Toc351203556"/>
      <w:r/>
      <w:bookmarkEnd w:id="383"/>
      <w:r/>
      <w:bookmarkStart w:id="384" w:name="_Toc186096966"/>
      <w:r>
        <w:rPr>
          <w:rFonts w:hint="eastAsia" w:ascii="宋体" w:hAnsi="宋体" w:eastAsia="宋体" w:cs="宋体"/>
          <w:b w:val="0"/>
          <w:bCs/>
          <w:color w:val="000000"/>
          <w:sz w:val="21"/>
          <w:szCs w:val="21"/>
          <w:highlight w:val="none"/>
        </w:rPr>
        <w:t xml:space="preserve">8</w:t>
      </w:r>
      <w:bookmarkEnd w:id="384"/>
      <w:r/>
      <w:bookmarkStart w:id="385" w:name="_Toc296503062"/>
      <w:r/>
      <w:bookmarkEnd w:id="385"/>
      <w:r/>
      <w:bookmarkStart w:id="386" w:name="_Toc296346563"/>
      <w:r/>
      <w:bookmarkEnd w:id="386"/>
      <w:r/>
      <w:bookmarkStart w:id="387" w:name="_Toc337558780"/>
      <w:r>
        <w:rPr>
          <w:rFonts w:hint="eastAsia" w:ascii="宋体" w:hAnsi="宋体" w:eastAsia="宋体" w:cs="宋体"/>
          <w:b w:val="0"/>
          <w:bCs/>
          <w:color w:val="000000"/>
          <w:sz w:val="21"/>
          <w:szCs w:val="21"/>
          <w:highlight w:val="none"/>
        </w:rPr>
        <w:t xml:space="preserve">.4材料与工程设备的保管与使用</w:t>
      </w:r>
      <w:bookmarkEnd w:id="38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8.4.1 发包人供应材料与工程设备的保管与使用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发包人供应的材料和工程设备使用前，由承包人负责检验，检验费用由发包人承担，不合格的不得使用。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8.4.2 承包人采购材料与工程设备的保管与使用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88" w:name="_Toc96331514"/>
      <w:r/>
      <w:bookmarkEnd w:id="388"/>
      <w:r/>
      <w:bookmarkStart w:id="389" w:name="_Toc351203557"/>
      <w:r/>
      <w:bookmarkEnd w:id="389"/>
      <w:r/>
      <w:bookmarkStart w:id="390" w:name="_Toc186096967"/>
      <w:r>
        <w:rPr>
          <w:rFonts w:hint="eastAsia" w:ascii="宋体" w:hAnsi="宋体" w:eastAsia="宋体" w:cs="宋体"/>
          <w:b w:val="0"/>
          <w:bCs/>
          <w:color w:val="000000"/>
          <w:sz w:val="21"/>
          <w:szCs w:val="21"/>
          <w:highlight w:val="none"/>
        </w:rPr>
        <w:t xml:space="preserve">8.5禁止使用不合格的材料和工程设备</w:t>
      </w:r>
      <w:bookmarkEnd w:id="39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1" w:name="_Toc96331515"/>
      <w:r/>
      <w:bookmarkEnd w:id="391"/>
      <w:r/>
      <w:bookmarkStart w:id="392" w:name="_Toc186096968"/>
      <w:r/>
      <w:bookmarkEnd w:id="392"/>
      <w:r/>
      <w:bookmarkStart w:id="393" w:name="_Toc351203558"/>
      <w:r>
        <w:rPr>
          <w:rFonts w:hint="eastAsia" w:ascii="宋体" w:hAnsi="宋体" w:eastAsia="宋体" w:cs="宋体"/>
          <w:b w:val="0"/>
          <w:bCs/>
          <w:color w:val="000000"/>
          <w:sz w:val="21"/>
          <w:szCs w:val="21"/>
          <w:highlight w:val="none"/>
        </w:rPr>
        <w:t xml:space="preserve">8.6 样品</w:t>
      </w:r>
      <w:bookmarkEnd w:id="39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8.6.2 样品的保管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4" w:name="_Toc351203559"/>
      <w:r/>
      <w:bookmarkEnd w:id="394"/>
      <w:r/>
      <w:bookmarkStart w:id="395" w:name="_Toc186096969"/>
      <w:r/>
      <w:bookmarkEnd w:id="395"/>
      <w:r/>
      <w:bookmarkStart w:id="396" w:name="_Toc96331516"/>
      <w:r>
        <w:rPr>
          <w:rFonts w:hint="eastAsia" w:ascii="宋体" w:hAnsi="宋体" w:eastAsia="宋体" w:cs="宋体"/>
          <w:b w:val="0"/>
          <w:bCs/>
          <w:color w:val="000000"/>
          <w:sz w:val="21"/>
          <w:szCs w:val="21"/>
          <w:highlight w:val="none"/>
        </w:rPr>
        <w:t xml:space="preserve">8.7材料与工程设备的替代</w:t>
      </w:r>
      <w:bookmarkEnd w:id="39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8.7.1 出现下列情况需要使用替代材料和工程设备的，承包人应按照第8.7.2项约定的程序执行：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（1）基准日期后生效的法律规定禁止使用的；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（2）发包人要求使用替代品的；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（3）因其他原因必须使用替代品的。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8.7.2 承包人应在使用替代材料和工程设备28天前书面通知监理人，并附下列文件：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（1）被替代的材料和工程设备的名称、数量、规格、型号、品牌、性能、价格及其他相关资料；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（2）替代品的名称、数量、规格、型号、品牌、性能、价格及其他相关资料；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（3）替代品与被替代产品之间的差异以及使用替代品可能对工程产生的影响；</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（4）替代品与被替代产品的价格差异；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（5）使用替代品的理由和原因说明；</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（6）监理人要求的其他文件。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7" w:name="_Toc96331517"/>
      <w:r/>
      <w:bookmarkEnd w:id="397"/>
      <w:r/>
      <w:bookmarkStart w:id="398" w:name="_Toc351203560"/>
      <w:r/>
      <w:bookmarkEnd w:id="398"/>
      <w:r/>
      <w:bookmarkStart w:id="399" w:name="_Toc186096970"/>
      <w:r>
        <w:rPr>
          <w:rFonts w:hint="eastAsia" w:ascii="宋体" w:hAnsi="宋体" w:eastAsia="宋体" w:cs="宋体"/>
          <w:b w:val="0"/>
          <w:bCs/>
          <w:color w:val="000000"/>
          <w:sz w:val="21"/>
          <w:szCs w:val="21"/>
          <w:highlight w:val="none"/>
        </w:rPr>
        <w:t xml:space="preserve">8.8施工设备和临时设施</w:t>
      </w:r>
      <w:bookmarkEnd w:id="39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8.8.2发包人提供的施工设备和临时设施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发包人提供的施工设备或临时设施在专用合同条款中约定。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8.8.3要求承包人增加或更换施工设备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00" w:name="_Toc351203561"/>
      <w:r/>
      <w:bookmarkEnd w:id="400"/>
      <w:r/>
      <w:bookmarkStart w:id="401" w:name="_Toc186096971"/>
      <w:r/>
      <w:bookmarkEnd w:id="401"/>
      <w:r/>
      <w:bookmarkStart w:id="402" w:name="_Toc96331518"/>
      <w:r>
        <w:rPr>
          <w:rFonts w:hint="eastAsia" w:ascii="宋体" w:hAnsi="宋体" w:eastAsia="宋体" w:cs="宋体"/>
          <w:b w:val="0"/>
          <w:bCs/>
          <w:color w:val="000000"/>
          <w:sz w:val="21"/>
          <w:szCs w:val="21"/>
          <w:highlight w:val="none"/>
        </w:rPr>
        <w:t xml:space="preserve">8</w:t>
      </w:r>
      <w:bookmarkEnd w:id="402"/>
      <w:r/>
      <w:bookmarkStart w:id="403" w:name="_Toc296503063"/>
      <w:r/>
      <w:bookmarkEnd w:id="403"/>
      <w:r/>
      <w:bookmarkStart w:id="404" w:name="_Toc296346564"/>
      <w:r/>
      <w:bookmarkEnd w:id="404"/>
      <w:r/>
      <w:bookmarkStart w:id="405" w:name="_Toc337558781"/>
      <w:r>
        <w:rPr>
          <w:rFonts w:hint="eastAsia" w:ascii="宋体" w:hAnsi="宋体" w:eastAsia="宋体" w:cs="宋体"/>
          <w:b w:val="0"/>
          <w:bCs/>
          <w:color w:val="000000"/>
          <w:sz w:val="21"/>
          <w:szCs w:val="21"/>
          <w:highlight w:val="none"/>
        </w:rPr>
        <w:t xml:space="preserve">.9材料与设备专用</w:t>
      </w:r>
      <w:bookmarkEnd w:id="405"/>
      <w:r>
        <w:rPr>
          <w:rFonts w:hint="eastAsia" w:ascii="宋体" w:hAnsi="宋体" w:eastAsia="宋体" w:cs="宋体"/>
          <w:b w:val="0"/>
          <w:bCs/>
          <w:color w:val="000000"/>
          <w:sz w:val="21"/>
          <w:szCs w:val="21"/>
          <w:highlight w:val="none"/>
        </w:rPr>
        <w:t xml:space="preserve">要求</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06" w:name="_Toc96331519"/>
      <w:r/>
      <w:bookmarkEnd w:id="406"/>
      <w:r/>
      <w:bookmarkStart w:id="407" w:name="_Toc186096972"/>
      <w:r/>
      <w:bookmarkEnd w:id="407"/>
      <w:r/>
      <w:bookmarkStart w:id="408" w:name="_Toc351203562"/>
      <w:r>
        <w:rPr>
          <w:rFonts w:hint="eastAsia" w:ascii="宋体" w:hAnsi="宋体" w:eastAsia="宋体" w:cs="宋体"/>
          <w:b w:val="0"/>
          <w:bCs/>
          <w:color w:val="000000"/>
          <w:sz w:val="21"/>
          <w:szCs w:val="21"/>
          <w:highlight w:val="none"/>
        </w:rPr>
        <w:t xml:space="preserve">9</w:t>
      </w:r>
      <w:bookmarkEnd w:id="408"/>
      <w:r/>
      <w:bookmarkStart w:id="409" w:name="_Toc296346584"/>
      <w:r/>
      <w:bookmarkEnd w:id="409"/>
      <w:r/>
      <w:bookmarkStart w:id="410" w:name="_Toc337558782"/>
      <w:r/>
      <w:bookmarkEnd w:id="410"/>
      <w:r/>
      <w:bookmarkStart w:id="411" w:name="_Toc296503083"/>
      <w:r>
        <w:rPr>
          <w:rFonts w:hint="eastAsia" w:ascii="宋体" w:hAnsi="宋体" w:eastAsia="宋体" w:cs="宋体"/>
          <w:b w:val="0"/>
          <w:bCs/>
          <w:color w:val="000000"/>
          <w:sz w:val="21"/>
          <w:szCs w:val="21"/>
          <w:highlight w:val="none"/>
        </w:rPr>
        <w:t xml:space="preserve">. 试验与检验</w:t>
      </w:r>
      <w:bookmarkEnd w:id="411"/>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12" w:name="_Toc186096973"/>
      <w:r/>
      <w:bookmarkEnd w:id="412"/>
      <w:r/>
      <w:bookmarkStart w:id="413" w:name="_Toc351203563"/>
      <w:r/>
      <w:bookmarkEnd w:id="413"/>
      <w:r/>
      <w:bookmarkStart w:id="414" w:name="_Toc96331520"/>
      <w:r>
        <w:rPr>
          <w:rFonts w:hint="eastAsia" w:ascii="宋体" w:hAnsi="宋体" w:eastAsia="宋体" w:cs="宋体"/>
          <w:b w:val="0"/>
          <w:bCs/>
          <w:color w:val="000000"/>
          <w:sz w:val="21"/>
          <w:szCs w:val="21"/>
          <w:highlight w:val="none"/>
        </w:rPr>
        <w:t xml:space="preserve">9</w:t>
      </w:r>
      <w:bookmarkEnd w:id="414"/>
      <w:r/>
      <w:bookmarkStart w:id="415" w:name="_Toc337558783"/>
      <w:r>
        <w:rPr>
          <w:rFonts w:hint="eastAsia" w:ascii="宋体" w:hAnsi="宋体" w:eastAsia="宋体" w:cs="宋体"/>
          <w:b w:val="0"/>
          <w:bCs/>
          <w:color w:val="000000"/>
          <w:sz w:val="21"/>
          <w:szCs w:val="21"/>
          <w:highlight w:val="none"/>
        </w:rPr>
        <w:t xml:space="preserve">.1试验设备与试验人员</w:t>
      </w:r>
      <w:bookmarkEnd w:id="41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9.1.2 承包人应按专用合同条款的约定提供试验设备、取样装置、试验场所和试验条件，并向监理人提交相应进场计划表。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16" w:name="_Toc351203564"/>
      <w:r/>
      <w:bookmarkEnd w:id="416"/>
      <w:r/>
      <w:bookmarkStart w:id="417" w:name="_Toc96331521"/>
      <w:r/>
      <w:bookmarkEnd w:id="417"/>
      <w:r/>
      <w:bookmarkStart w:id="418" w:name="_Toc186096974"/>
      <w:r>
        <w:rPr>
          <w:rFonts w:hint="eastAsia" w:ascii="宋体" w:hAnsi="宋体" w:eastAsia="宋体" w:cs="宋体"/>
          <w:b w:val="0"/>
          <w:bCs/>
          <w:color w:val="000000"/>
          <w:sz w:val="21"/>
          <w:szCs w:val="21"/>
          <w:highlight w:val="none"/>
        </w:rPr>
        <w:t xml:space="preserve">9</w:t>
      </w:r>
      <w:bookmarkEnd w:id="418"/>
      <w:r/>
      <w:bookmarkStart w:id="419" w:name="_Toc337558784"/>
      <w:r>
        <w:rPr>
          <w:rFonts w:hint="eastAsia" w:ascii="宋体" w:hAnsi="宋体" w:eastAsia="宋体" w:cs="宋体"/>
          <w:b w:val="0"/>
          <w:bCs/>
          <w:color w:val="000000"/>
          <w:sz w:val="21"/>
          <w:szCs w:val="21"/>
          <w:highlight w:val="none"/>
        </w:rPr>
        <w:t xml:space="preserve">.2取样</w:t>
      </w:r>
      <w:bookmarkEnd w:id="41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0" w:name="_Toc186096975"/>
      <w:r/>
      <w:bookmarkEnd w:id="420"/>
      <w:r/>
      <w:bookmarkStart w:id="421" w:name="_Toc96331522"/>
      <w:r/>
      <w:bookmarkEnd w:id="421"/>
      <w:r/>
      <w:bookmarkStart w:id="422" w:name="_Toc351203565"/>
      <w:r>
        <w:rPr>
          <w:rFonts w:hint="eastAsia" w:ascii="宋体" w:hAnsi="宋体" w:eastAsia="宋体" w:cs="宋体"/>
          <w:b w:val="0"/>
          <w:bCs/>
          <w:color w:val="000000"/>
          <w:sz w:val="21"/>
          <w:szCs w:val="21"/>
          <w:highlight w:val="none"/>
        </w:rPr>
        <w:t xml:space="preserve">9</w:t>
      </w:r>
      <w:bookmarkEnd w:id="422"/>
      <w:r/>
      <w:bookmarkStart w:id="423" w:name="_Toc337558785"/>
      <w:r>
        <w:rPr>
          <w:rFonts w:hint="eastAsia" w:ascii="宋体" w:hAnsi="宋体" w:eastAsia="宋体" w:cs="宋体"/>
          <w:b w:val="0"/>
          <w:bCs/>
          <w:color w:val="000000"/>
          <w:sz w:val="21"/>
          <w:szCs w:val="21"/>
          <w:highlight w:val="none"/>
        </w:rPr>
        <w:t xml:space="preserve">.3材料、工程设备和工程的试验和检验</w:t>
      </w:r>
      <w:bookmarkEnd w:id="42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4" w:name="_Toc186096976"/>
      <w:r/>
      <w:bookmarkEnd w:id="424"/>
      <w:r/>
      <w:bookmarkStart w:id="425" w:name="_Toc96331523"/>
      <w:r/>
      <w:bookmarkEnd w:id="425"/>
      <w:r/>
      <w:bookmarkStart w:id="426" w:name="_Toc351203566"/>
      <w:r>
        <w:rPr>
          <w:rFonts w:hint="eastAsia" w:ascii="宋体" w:hAnsi="宋体" w:eastAsia="宋体" w:cs="宋体"/>
          <w:b w:val="0"/>
          <w:bCs/>
          <w:color w:val="000000"/>
          <w:sz w:val="21"/>
          <w:szCs w:val="21"/>
          <w:highlight w:val="none"/>
        </w:rPr>
        <w:t xml:space="preserve">9</w:t>
      </w:r>
      <w:bookmarkEnd w:id="426"/>
      <w:r/>
      <w:bookmarkStart w:id="427" w:name="_Toc337558786"/>
      <w:r>
        <w:rPr>
          <w:rFonts w:hint="eastAsia" w:ascii="宋体" w:hAnsi="宋体" w:eastAsia="宋体" w:cs="宋体"/>
          <w:b w:val="0"/>
          <w:bCs/>
          <w:color w:val="000000"/>
          <w:sz w:val="21"/>
          <w:szCs w:val="21"/>
          <w:highlight w:val="none"/>
        </w:rPr>
        <w:t xml:space="preserve">.4现场工艺试验</w:t>
      </w:r>
      <w:bookmarkEnd w:id="42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8" w:name="_Toc351203567"/>
      <w:r/>
      <w:bookmarkEnd w:id="428"/>
      <w:r/>
      <w:bookmarkStart w:id="429" w:name="_Toc186096977"/>
      <w:r/>
      <w:bookmarkEnd w:id="429"/>
      <w:r/>
      <w:bookmarkStart w:id="430" w:name="_Toc96331524"/>
      <w:r>
        <w:rPr>
          <w:rFonts w:hint="eastAsia" w:ascii="宋体" w:hAnsi="宋体" w:eastAsia="宋体" w:cs="宋体"/>
          <w:b w:val="0"/>
          <w:bCs/>
          <w:color w:val="000000"/>
          <w:sz w:val="21"/>
          <w:szCs w:val="21"/>
          <w:highlight w:val="none"/>
        </w:rPr>
        <w:t xml:space="preserve">1</w:t>
      </w:r>
      <w:bookmarkEnd w:id="430"/>
      <w:r/>
      <w:bookmarkStart w:id="431" w:name="_Toc337558787"/>
      <w:r>
        <w:rPr>
          <w:rFonts w:hint="eastAsia" w:ascii="宋体" w:hAnsi="宋体" w:eastAsia="宋体" w:cs="宋体"/>
          <w:b w:val="0"/>
          <w:bCs/>
          <w:color w:val="000000"/>
          <w:sz w:val="21"/>
          <w:szCs w:val="21"/>
          <w:highlight w:val="none"/>
        </w:rPr>
        <w:t xml:space="preserve">0. 变更</w:t>
      </w:r>
      <w:bookmarkEnd w:id="431"/>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32" w:name="_Toc96331525"/>
      <w:r/>
      <w:bookmarkEnd w:id="432"/>
      <w:r/>
      <w:bookmarkStart w:id="433" w:name="_Toc186096978"/>
      <w:r/>
      <w:bookmarkEnd w:id="433"/>
      <w:r/>
      <w:bookmarkStart w:id="434" w:name="_Toc351203568"/>
      <w:r>
        <w:rPr>
          <w:rFonts w:hint="eastAsia" w:ascii="宋体" w:hAnsi="宋体" w:eastAsia="宋体" w:cs="宋体"/>
          <w:b w:val="0"/>
          <w:bCs/>
          <w:color w:val="000000"/>
          <w:sz w:val="21"/>
          <w:szCs w:val="21"/>
          <w:highlight w:val="none"/>
        </w:rPr>
        <w:t xml:space="preserve">1</w:t>
      </w:r>
      <w:bookmarkEnd w:id="434"/>
      <w:r/>
      <w:bookmarkStart w:id="435" w:name="_Toc337558788"/>
      <w:r/>
      <w:bookmarkEnd w:id="435"/>
      <w:r/>
      <w:bookmarkStart w:id="436" w:name="_Toc296346585"/>
      <w:r/>
      <w:bookmarkEnd w:id="436"/>
      <w:r/>
      <w:bookmarkStart w:id="437" w:name="_Toc296503084"/>
      <w:r>
        <w:rPr>
          <w:rFonts w:hint="eastAsia" w:ascii="宋体" w:hAnsi="宋体" w:eastAsia="宋体" w:cs="宋体"/>
          <w:b w:val="0"/>
          <w:bCs/>
          <w:color w:val="000000"/>
          <w:sz w:val="21"/>
          <w:szCs w:val="21"/>
          <w:highlight w:val="none"/>
        </w:rPr>
        <w:t xml:space="preserve">0.1变更的范围</w:t>
      </w:r>
      <w:bookmarkEnd w:id="43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除专用合同条款另有约定外，合同履行过程中发生以下情形的，应按照本条约定进行变更：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（1）增加或减少合同中任何工作，或追加额外的工作；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（2）取消合同中任何工作，但转由他人实施的工作除外；</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（3）改变合同中任何工作的质量标准或其他特性；</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（4）改变工程的基线、标高、位置和尺寸；</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（5）改变工程的时间安排或实施顺序。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38" w:name="_Toc351203569"/>
      <w:r/>
      <w:bookmarkEnd w:id="438"/>
      <w:r/>
      <w:bookmarkStart w:id="439" w:name="_Toc186096979"/>
      <w:r/>
      <w:bookmarkEnd w:id="439"/>
      <w:r/>
      <w:bookmarkStart w:id="440" w:name="_Toc96331526"/>
      <w:r>
        <w:rPr>
          <w:rFonts w:hint="eastAsia" w:ascii="宋体" w:hAnsi="宋体" w:eastAsia="宋体" w:cs="宋体"/>
          <w:b w:val="0"/>
          <w:bCs/>
          <w:color w:val="000000"/>
          <w:sz w:val="21"/>
          <w:szCs w:val="21"/>
          <w:highlight w:val="none"/>
        </w:rPr>
        <w:t xml:space="preserve">1</w:t>
      </w:r>
      <w:bookmarkEnd w:id="440"/>
      <w:r/>
      <w:bookmarkStart w:id="441" w:name="_Toc337558789"/>
      <w:r/>
      <w:bookmarkEnd w:id="441"/>
      <w:r/>
      <w:bookmarkStart w:id="442" w:name="_Toc296346586"/>
      <w:r/>
      <w:bookmarkEnd w:id="442"/>
      <w:r/>
      <w:bookmarkStart w:id="443" w:name="_Toc296503085"/>
      <w:r>
        <w:rPr>
          <w:rFonts w:hint="eastAsia" w:ascii="宋体" w:hAnsi="宋体" w:eastAsia="宋体" w:cs="宋体"/>
          <w:b w:val="0"/>
          <w:bCs/>
          <w:color w:val="000000"/>
          <w:sz w:val="21"/>
          <w:szCs w:val="21"/>
          <w:highlight w:val="none"/>
        </w:rPr>
        <w:t xml:space="preserve">0.2变更权</w:t>
      </w:r>
      <w:bookmarkEnd w:id="44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44" w:name="_Toc351203570"/>
      <w:r/>
      <w:bookmarkEnd w:id="444"/>
      <w:r/>
      <w:bookmarkStart w:id="445" w:name="_Toc186096980"/>
      <w:r/>
      <w:bookmarkEnd w:id="445"/>
      <w:r/>
      <w:bookmarkStart w:id="446" w:name="_Toc96331527"/>
      <w:r>
        <w:rPr>
          <w:rFonts w:hint="eastAsia" w:ascii="宋体" w:hAnsi="宋体" w:eastAsia="宋体" w:cs="宋体"/>
          <w:b w:val="0"/>
          <w:bCs/>
          <w:color w:val="000000"/>
          <w:sz w:val="21"/>
          <w:szCs w:val="21"/>
          <w:highlight w:val="none"/>
        </w:rPr>
        <w:t xml:space="preserve">1</w:t>
      </w:r>
      <w:bookmarkEnd w:id="446"/>
      <w:r/>
      <w:bookmarkStart w:id="447" w:name="_Toc337558790"/>
      <w:r/>
      <w:bookmarkEnd w:id="447"/>
      <w:r/>
      <w:bookmarkStart w:id="448" w:name="_Toc296503086"/>
      <w:r/>
      <w:bookmarkEnd w:id="448"/>
      <w:r/>
      <w:bookmarkStart w:id="449" w:name="_Toc296346587"/>
      <w:r>
        <w:rPr>
          <w:rFonts w:hint="eastAsia" w:ascii="宋体" w:hAnsi="宋体" w:eastAsia="宋体" w:cs="宋体"/>
          <w:b w:val="0"/>
          <w:bCs/>
          <w:color w:val="000000"/>
          <w:sz w:val="21"/>
          <w:szCs w:val="21"/>
          <w:highlight w:val="none"/>
        </w:rPr>
        <w:t xml:space="preserve">0.3变更程序</w:t>
      </w:r>
      <w:bookmarkEnd w:id="44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10.3.1 发包人提出变更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发包人提出变更的，应通过监理人向承包人发出变更指示，变更指示应说明计划变更的工程范围和变更的内容。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10.3.2 监理人提出变更建议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10.3.3 变更执行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50" w:name="_Toc186096981"/>
      <w:r/>
      <w:bookmarkEnd w:id="450"/>
      <w:r/>
      <w:bookmarkStart w:id="451" w:name="_Toc351203571"/>
      <w:r/>
      <w:bookmarkEnd w:id="451"/>
      <w:r/>
      <w:bookmarkStart w:id="452" w:name="_Toc96331528"/>
      <w:r>
        <w:rPr>
          <w:rFonts w:hint="eastAsia" w:ascii="宋体" w:hAnsi="宋体" w:eastAsia="宋体" w:cs="宋体"/>
          <w:b w:val="0"/>
          <w:bCs/>
          <w:color w:val="000000"/>
          <w:sz w:val="21"/>
          <w:szCs w:val="21"/>
          <w:highlight w:val="none"/>
        </w:rPr>
        <w:t xml:space="preserve">1</w:t>
      </w:r>
      <w:bookmarkEnd w:id="452"/>
      <w:r/>
      <w:bookmarkStart w:id="453" w:name="_Toc296346588"/>
      <w:r/>
      <w:bookmarkEnd w:id="453"/>
      <w:r/>
      <w:bookmarkStart w:id="454" w:name="_Toc337558791"/>
      <w:r/>
      <w:bookmarkEnd w:id="454"/>
      <w:r/>
      <w:bookmarkStart w:id="455" w:name="_Toc296503087"/>
      <w:r>
        <w:rPr>
          <w:rFonts w:hint="eastAsia" w:ascii="宋体" w:hAnsi="宋体" w:eastAsia="宋体" w:cs="宋体"/>
          <w:b w:val="0"/>
          <w:bCs/>
          <w:color w:val="000000"/>
          <w:sz w:val="21"/>
          <w:szCs w:val="21"/>
          <w:highlight w:val="none"/>
        </w:rPr>
        <w:t xml:space="preserve">0.4变更估价</w:t>
      </w:r>
      <w:bookmarkEnd w:id="45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除专用合同条款另有约定外，变更估价按照本款约定处理：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（1）已标价工程量清单或预算书有相同项目的，按照相同项目单价认定；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（2）已标价工程量清单或预算书中无相同项目，但有类似项目的，参照类似项目的单价认定；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10.4.2 变更估价程序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因变更引起的价格调整应计入最近一期的进度款中支付。</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56" w:name="_Toc96331529"/>
      <w:r/>
      <w:bookmarkEnd w:id="456"/>
      <w:r/>
      <w:bookmarkStart w:id="457" w:name="_Toc186096982"/>
      <w:r/>
      <w:bookmarkEnd w:id="457"/>
      <w:r/>
      <w:bookmarkStart w:id="458" w:name="_Toc351203572"/>
      <w:r>
        <w:rPr>
          <w:rFonts w:hint="eastAsia" w:ascii="宋体" w:hAnsi="宋体" w:eastAsia="宋体" w:cs="宋体"/>
          <w:b w:val="0"/>
          <w:bCs/>
          <w:color w:val="000000"/>
          <w:sz w:val="21"/>
          <w:szCs w:val="21"/>
          <w:highlight w:val="none"/>
        </w:rPr>
        <w:t xml:space="preserve">1</w:t>
      </w:r>
      <w:bookmarkEnd w:id="458"/>
      <w:r/>
      <w:bookmarkStart w:id="459" w:name="_Toc296503094"/>
      <w:r/>
      <w:bookmarkEnd w:id="459"/>
      <w:r/>
      <w:bookmarkStart w:id="460" w:name="_Toc296346595"/>
      <w:r/>
      <w:bookmarkEnd w:id="460"/>
      <w:r/>
      <w:bookmarkStart w:id="461" w:name="_Toc337558792"/>
      <w:r>
        <w:rPr>
          <w:rFonts w:hint="eastAsia" w:ascii="宋体" w:hAnsi="宋体" w:eastAsia="宋体" w:cs="宋体"/>
          <w:b w:val="0"/>
          <w:bCs/>
          <w:color w:val="000000"/>
          <w:sz w:val="21"/>
          <w:szCs w:val="21"/>
          <w:highlight w:val="none"/>
        </w:rPr>
        <w:t xml:space="preserve">0.5承包人的合理化建议</w:t>
      </w:r>
      <w:bookmarkEnd w:id="46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color w:val="000000"/>
          <w:sz w:val="21"/>
          <w:szCs w:val="21"/>
          <w:highlight w:val="none"/>
        </w:rPr>
        <w:outlineLvl w:val="9"/>
      </w:pPr>
      <w:r/>
      <w:bookmarkStart w:id="462" w:name="_Toc186096983"/>
      <w:r/>
      <w:bookmarkEnd w:id="462"/>
      <w:r/>
      <w:bookmarkStart w:id="463" w:name="_Toc96331530"/>
      <w:r/>
      <w:bookmarkEnd w:id="463"/>
      <w:r/>
      <w:bookmarkStart w:id="464" w:name="_Toc351203573"/>
      <w:r>
        <w:rPr>
          <w:rFonts w:hint="eastAsia" w:ascii="宋体" w:hAnsi="宋体" w:eastAsia="宋体" w:cs="宋体"/>
          <w:b w:val="0"/>
          <w:bCs/>
          <w:color w:val="000000"/>
          <w:sz w:val="21"/>
          <w:szCs w:val="21"/>
          <w:highlight w:val="none"/>
        </w:rPr>
        <w:t xml:space="preserve">1</w:t>
      </w:r>
      <w:bookmarkEnd w:id="464"/>
      <w:r/>
      <w:bookmarkStart w:id="465" w:name="_Toc337558793"/>
      <w:r>
        <w:rPr>
          <w:rFonts w:hint="eastAsia" w:ascii="宋体" w:hAnsi="宋体" w:eastAsia="宋体" w:cs="宋体"/>
          <w:b w:val="0"/>
          <w:bCs/>
          <w:color w:val="000000"/>
          <w:sz w:val="21"/>
          <w:szCs w:val="21"/>
          <w:highlight w:val="none"/>
        </w:rPr>
        <w:t xml:space="preserve">0.6变更引起的工期调整</w:t>
      </w:r>
      <w:bookmarkEnd w:id="465"/>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66" w:name="_Toc96331531"/>
      <w:r/>
      <w:bookmarkEnd w:id="466"/>
      <w:r/>
      <w:bookmarkStart w:id="467" w:name="_Toc186096984"/>
      <w:r/>
      <w:bookmarkEnd w:id="467"/>
      <w:r/>
      <w:bookmarkStart w:id="468" w:name="_Toc351203574"/>
      <w:r>
        <w:rPr>
          <w:rFonts w:hint="eastAsia" w:ascii="宋体" w:hAnsi="宋体" w:eastAsia="宋体" w:cs="宋体"/>
          <w:b w:val="0"/>
          <w:bCs/>
          <w:color w:val="000000"/>
          <w:sz w:val="21"/>
          <w:szCs w:val="21"/>
          <w:highlight w:val="none"/>
        </w:rPr>
        <w:t xml:space="preserve">10.7暂估价</w:t>
      </w:r>
      <w:bookmarkEnd w:id="46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暂估价专业分包工程、服务、材料和工程设备的明细由合同当事人在专用合同条款中约定。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10.7.1 依法必须招标的暂估价项目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对于依法必须招标的暂估价项目，采取以下第1种方式确定。合同当事人也可以在专用合同条款中选择其他招标方式。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第1种方式：对于依法必须招标的暂估价项目，由承包人招标，对该暂估价项目的确认和批准按照以下约定执行：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10.7.2不属于依法必须招标的暂估价项目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除专用合同条款另有约定外，对于不属于依法必须招标的暂估价项目，采取以下第1种方式确定：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第1种方式：对于不属于依法必须招标的暂估价项目，按本项约定确认和批准：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（3）承包人应当在签订暂估价合同后7天内，将暂估价合同副本报送发包人留存。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第2种方式：承包人按照第10.7.1项〔依法必须招标的暂估价项目〕约定的第1种方式确定暂估价项目。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第3种方式：承包人直接实施的暂估价项目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69" w:name="_Toc351203575"/>
      <w:r/>
      <w:bookmarkEnd w:id="469"/>
      <w:r/>
      <w:bookmarkStart w:id="470" w:name="_Toc96331532"/>
      <w:r/>
      <w:bookmarkEnd w:id="470"/>
      <w:r/>
      <w:bookmarkStart w:id="471" w:name="_Toc186096985"/>
      <w:r>
        <w:rPr>
          <w:rFonts w:hint="eastAsia" w:ascii="宋体" w:hAnsi="宋体" w:eastAsia="宋体" w:cs="宋体"/>
          <w:b w:val="0"/>
          <w:bCs/>
          <w:color w:val="000000"/>
          <w:sz w:val="21"/>
          <w:szCs w:val="21"/>
          <w:highlight w:val="none"/>
        </w:rPr>
        <w:t xml:space="preserve">1</w:t>
      </w:r>
      <w:bookmarkEnd w:id="471"/>
      <w:r/>
      <w:bookmarkStart w:id="472" w:name="_Toc296503090"/>
      <w:r/>
      <w:bookmarkEnd w:id="472"/>
      <w:r/>
      <w:bookmarkStart w:id="473" w:name="_Toc322522561"/>
      <w:r/>
      <w:bookmarkEnd w:id="473"/>
      <w:r/>
      <w:bookmarkStart w:id="474" w:name="_Toc337558794"/>
      <w:r/>
      <w:bookmarkEnd w:id="474"/>
      <w:r/>
      <w:bookmarkStart w:id="475" w:name="_Toc296346591"/>
      <w:r>
        <w:rPr>
          <w:rFonts w:hint="eastAsia" w:ascii="宋体" w:hAnsi="宋体" w:eastAsia="宋体" w:cs="宋体"/>
          <w:b w:val="0"/>
          <w:bCs/>
          <w:color w:val="000000"/>
          <w:sz w:val="21"/>
          <w:szCs w:val="21"/>
          <w:highlight w:val="none"/>
        </w:rPr>
        <w:t xml:space="preserve">0.8暂列金额</w:t>
      </w:r>
      <w:bookmarkEnd w:id="47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76" w:name="_Toc186096986"/>
      <w:r/>
      <w:bookmarkEnd w:id="476"/>
      <w:r/>
      <w:bookmarkStart w:id="477" w:name="_Toc351203576"/>
      <w:r/>
      <w:bookmarkEnd w:id="477"/>
      <w:r/>
      <w:bookmarkStart w:id="478" w:name="_Toc96331533"/>
      <w:r/>
      <w:bookmarkEnd w:id="478"/>
      <w:r>
        <w:rPr>
          <w:rFonts w:hint="eastAsia" w:ascii="宋体" w:hAnsi="宋体" w:eastAsia="宋体" w:cs="宋体"/>
          <w:b w:val="0"/>
          <w:bCs/>
          <w:color w:val="000000"/>
          <w:sz w:val="21"/>
          <w:szCs w:val="21"/>
          <w:highlight w:val="none"/>
        </w:rPr>
        <w:t xml:space="preserve">1</w:t>
      </w:r>
      <w:bookmarkStart w:id="479" w:name="_Toc296346592"/>
      <w:r/>
      <w:bookmarkEnd w:id="479"/>
      <w:r/>
      <w:bookmarkStart w:id="480" w:name="_Toc337558796"/>
      <w:r/>
      <w:bookmarkEnd w:id="480"/>
      <w:r/>
      <w:bookmarkStart w:id="481" w:name="_Toc296503091"/>
      <w:r>
        <w:rPr>
          <w:rFonts w:hint="eastAsia" w:ascii="宋体" w:hAnsi="宋体" w:eastAsia="宋体" w:cs="宋体"/>
          <w:b w:val="0"/>
          <w:bCs/>
          <w:color w:val="000000"/>
          <w:sz w:val="21"/>
          <w:szCs w:val="21"/>
          <w:highlight w:val="none"/>
        </w:rPr>
        <w:t xml:space="preserve">0.9计日工</w:t>
      </w:r>
      <w:bookmarkEnd w:id="48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采用计日工计价的任何一项工作，承包人应在该项工作实施过程中，每天提交以下报表和有关凭证报送监理人审查：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（1）工作名称、内容和数量；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（2）投入该工作的所有人员的姓名、专业、工种、级别和耗用工时；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（3）投入该工作的材料类别和数量；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（4）投入该工作的施工设备型号、台数和耗用台时；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（5）其他有关资料和凭证。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计日工由承包人汇总后，列入最近一期进度付款申请单，由监理人审查并经发包人批准后列入进度付款。</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82" w:name="_Toc96331534"/>
      <w:r/>
      <w:bookmarkEnd w:id="482"/>
      <w:r/>
      <w:bookmarkStart w:id="483" w:name="_Toc186096987"/>
      <w:r/>
      <w:bookmarkEnd w:id="483"/>
      <w:r/>
      <w:bookmarkStart w:id="484" w:name="_Toc351203577"/>
      <w:r>
        <w:rPr>
          <w:rFonts w:hint="eastAsia" w:ascii="宋体" w:hAnsi="宋体" w:eastAsia="宋体" w:cs="宋体"/>
          <w:b w:val="0"/>
          <w:bCs/>
          <w:color w:val="000000"/>
          <w:sz w:val="21"/>
          <w:szCs w:val="21"/>
          <w:highlight w:val="none"/>
        </w:rPr>
        <w:t xml:space="preserve">11. 价格调整</w:t>
      </w:r>
      <w:bookmarkEnd w:id="484"/>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85" w:name="_Toc337558797"/>
      <w:r/>
      <w:bookmarkEnd w:id="485"/>
      <w:r/>
      <w:bookmarkStart w:id="486" w:name="_Toc351203578"/>
      <w:r/>
      <w:bookmarkEnd w:id="486"/>
      <w:r/>
      <w:bookmarkStart w:id="487" w:name="_Toc296346593"/>
      <w:r/>
      <w:bookmarkEnd w:id="487"/>
      <w:r/>
      <w:bookmarkStart w:id="488" w:name="_Toc96331535"/>
      <w:r/>
      <w:bookmarkEnd w:id="488"/>
      <w:r/>
      <w:bookmarkStart w:id="489" w:name="_Toc186096988"/>
      <w:r/>
      <w:bookmarkEnd w:id="489"/>
      <w:r/>
      <w:bookmarkStart w:id="490" w:name="_Toc296503092"/>
      <w:r>
        <w:rPr>
          <w:rFonts w:hint="eastAsia" w:ascii="宋体" w:hAnsi="宋体" w:eastAsia="宋体" w:cs="宋体"/>
          <w:b w:val="0"/>
          <w:bCs/>
          <w:color w:val="000000"/>
          <w:sz w:val="21"/>
          <w:szCs w:val="21"/>
          <w:highlight w:val="none"/>
        </w:rPr>
        <w:t xml:space="preserve">11.1市场价格波动引起的调整</w:t>
      </w:r>
      <w:bookmarkEnd w:id="49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（1）价格调整公式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4571365" cy="56190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57136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9.9pt;height:44.2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公式中：ΔP——需调整的价格差额；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28421"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28421"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0pt;height:18.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A——定值权重（即不调部分的权重）；</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285875" cy="26659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85875" cy="266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21.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1"/>
          <w:szCs w:val="21"/>
          <w:highlight w:val="none"/>
        </w:rPr>
        <w:t xml:space="preserve">——各可调因子的变值权重（即可调部分的权重），为各可调因子在签约合同价中所占的比例；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295400" cy="25705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95400" cy="257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0pt;height:20.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1"/>
          <w:szCs w:val="21"/>
          <w:highlight w:val="none"/>
        </w:rPr>
        <w:t xml:space="preserve">——各可调因子的现行价格指数，指约定的付款证书相关周期最后一天的前42天的各可调因子的价格指数；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371600" cy="25705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71600" cy="257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0pt;height:20.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1"/>
          <w:szCs w:val="21"/>
          <w:highlight w:val="none"/>
        </w:rPr>
        <w:t xml:space="preserve">——各可调因子的基本价格指数，指基准日期的各可调因子的价格指数。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（2）暂时确定调整差额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（3）权重的调整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因变更导致合同约定的权重不合理时，按照第4.4款〔商定或确定〕执行。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（4）因承包人原因工期延误后的价格调整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（2）材料、工程设备价格变化的价款调整按照发包人提供的基准价格，按以下风险范围规定执行: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第3种方式：专用合同条款约定的其他方式。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91" w:name="_Toc96331536"/>
      <w:r/>
      <w:bookmarkEnd w:id="491"/>
      <w:r/>
      <w:bookmarkStart w:id="492" w:name="_Toc296346594"/>
      <w:r/>
      <w:bookmarkEnd w:id="492"/>
      <w:r/>
      <w:bookmarkStart w:id="493" w:name="_Toc351203579"/>
      <w:r/>
      <w:bookmarkEnd w:id="493"/>
      <w:r/>
      <w:bookmarkStart w:id="494" w:name="_Toc186096989"/>
      <w:r/>
      <w:bookmarkEnd w:id="494"/>
      <w:r/>
      <w:bookmarkStart w:id="495" w:name="_Toc337558798"/>
      <w:r/>
      <w:bookmarkEnd w:id="495"/>
      <w:r/>
      <w:bookmarkStart w:id="496" w:name="_Toc296503093"/>
      <w:r>
        <w:rPr>
          <w:rFonts w:hint="eastAsia" w:ascii="宋体" w:hAnsi="宋体" w:eastAsia="宋体" w:cs="宋体"/>
          <w:b w:val="0"/>
          <w:bCs/>
          <w:color w:val="000000"/>
          <w:sz w:val="21"/>
          <w:szCs w:val="21"/>
          <w:highlight w:val="none"/>
        </w:rPr>
        <w:t xml:space="preserve">11.2法律变化引起的调整</w:t>
      </w:r>
      <w:bookmarkEnd w:id="49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97" w:name="_Toc337558799"/>
      <w:r/>
      <w:bookmarkEnd w:id="497"/>
      <w:r/>
      <w:bookmarkStart w:id="498" w:name="_Toc186096990"/>
      <w:r/>
      <w:bookmarkEnd w:id="498"/>
      <w:r/>
      <w:bookmarkStart w:id="499" w:name="_Toc351203580"/>
      <w:r/>
      <w:bookmarkEnd w:id="499"/>
      <w:r/>
      <w:bookmarkStart w:id="500" w:name="_Toc296503096"/>
      <w:r/>
      <w:bookmarkEnd w:id="500"/>
      <w:r/>
      <w:bookmarkStart w:id="501" w:name="_Toc296346597"/>
      <w:r/>
      <w:bookmarkEnd w:id="501"/>
      <w:r/>
      <w:bookmarkStart w:id="502" w:name="_Toc96331537"/>
      <w:r>
        <w:rPr>
          <w:rFonts w:hint="eastAsia" w:ascii="宋体" w:hAnsi="宋体" w:eastAsia="宋体" w:cs="宋体"/>
          <w:b w:val="0"/>
          <w:bCs/>
          <w:color w:val="000000"/>
          <w:sz w:val="21"/>
          <w:szCs w:val="21"/>
          <w:highlight w:val="none"/>
        </w:rPr>
        <w:t xml:space="preserve">12. 合同价格、计量与支付</w:t>
      </w:r>
      <w:bookmarkEnd w:id="502"/>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03" w:name="_Toc186096991"/>
      <w:r/>
      <w:bookmarkEnd w:id="503"/>
      <w:r/>
      <w:bookmarkStart w:id="504" w:name="_Toc337558800"/>
      <w:r/>
      <w:bookmarkEnd w:id="504"/>
      <w:r/>
      <w:bookmarkStart w:id="505" w:name="_Toc96331538"/>
      <w:r/>
      <w:bookmarkEnd w:id="505"/>
      <w:r/>
      <w:bookmarkStart w:id="506" w:name="_Toc351203581"/>
      <w:r>
        <w:rPr>
          <w:rFonts w:hint="eastAsia" w:ascii="宋体" w:hAnsi="宋体" w:eastAsia="宋体" w:cs="宋体"/>
          <w:b w:val="0"/>
          <w:bCs/>
          <w:color w:val="000000"/>
          <w:sz w:val="21"/>
          <w:szCs w:val="21"/>
          <w:highlight w:val="none"/>
        </w:rPr>
        <w:t xml:space="preserve">12.1 合同价</w:t>
      </w:r>
      <w:bookmarkEnd w:id="506"/>
      <w:r>
        <w:rPr>
          <w:rFonts w:hint="eastAsia" w:ascii="宋体" w:hAnsi="宋体" w:eastAsia="宋体" w:cs="宋体"/>
          <w:b w:val="0"/>
          <w:bCs/>
          <w:color w:val="000000"/>
          <w:sz w:val="21"/>
          <w:szCs w:val="21"/>
          <w:highlight w:val="none"/>
        </w:rPr>
        <w:t xml:space="preserve">格形式</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发包人和承包人应在合同协议书中选择下列一种合同价格形式：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3.其它价格形式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合同当事人可在专用合同条款中约定其他合同价格形式。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07" w:name="_Toc296503097"/>
      <w:r/>
      <w:bookmarkEnd w:id="507"/>
      <w:r/>
      <w:bookmarkStart w:id="508" w:name="_Toc96331539"/>
      <w:r/>
      <w:bookmarkEnd w:id="508"/>
      <w:r/>
      <w:bookmarkStart w:id="509" w:name="_Toc186096992"/>
      <w:r/>
      <w:bookmarkEnd w:id="509"/>
      <w:r/>
      <w:bookmarkStart w:id="510" w:name="_Toc351203582"/>
      <w:r/>
      <w:bookmarkEnd w:id="510"/>
      <w:r/>
      <w:bookmarkStart w:id="511" w:name="_Toc296346598"/>
      <w:r/>
      <w:bookmarkEnd w:id="511"/>
      <w:r/>
      <w:bookmarkStart w:id="512" w:name="_Toc337558801"/>
      <w:r>
        <w:rPr>
          <w:rFonts w:hint="eastAsia" w:ascii="宋体" w:hAnsi="宋体" w:eastAsia="宋体" w:cs="宋体"/>
          <w:b w:val="0"/>
          <w:bCs/>
          <w:color w:val="000000"/>
          <w:sz w:val="21"/>
          <w:szCs w:val="21"/>
          <w:highlight w:val="none"/>
        </w:rPr>
        <w:t xml:space="preserve">12.2预</w:t>
      </w:r>
      <w:bookmarkEnd w:id="512"/>
      <w:r/>
      <w:bookmarkStart w:id="513" w:name="_Toc296503100"/>
      <w:r/>
      <w:bookmarkEnd w:id="513"/>
      <w:r/>
      <w:bookmarkStart w:id="514" w:name="_Toc296346601"/>
      <w:r/>
      <w:bookmarkEnd w:id="514"/>
      <w:r>
        <w:rPr>
          <w:rFonts w:hint="eastAsia" w:ascii="宋体" w:hAnsi="宋体" w:eastAsia="宋体" w:cs="宋体"/>
          <w:b w:val="0"/>
          <w:bCs/>
          <w:color w:val="000000"/>
          <w:sz w:val="21"/>
          <w:szCs w:val="21"/>
          <w:highlight w:val="none"/>
        </w:rPr>
        <w:t xml:space="preserve">付款</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12.2.1预付款的支付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15" w:name="_Toc186096993"/>
      <w:r/>
      <w:bookmarkEnd w:id="515"/>
      <w:r/>
      <w:bookmarkStart w:id="516" w:name="_Toc351203583"/>
      <w:r/>
      <w:bookmarkEnd w:id="516"/>
      <w:r/>
      <w:bookmarkStart w:id="517" w:name="_Toc96331540"/>
      <w:r/>
      <w:bookmarkEnd w:id="517"/>
      <w:r/>
      <w:bookmarkStart w:id="518" w:name="_Toc337558802"/>
      <w:r>
        <w:rPr>
          <w:rFonts w:hint="eastAsia" w:ascii="宋体" w:hAnsi="宋体" w:eastAsia="宋体" w:cs="宋体"/>
          <w:b w:val="0"/>
          <w:bCs/>
          <w:color w:val="000000"/>
          <w:sz w:val="21"/>
          <w:szCs w:val="21"/>
          <w:highlight w:val="none"/>
        </w:rPr>
        <w:t xml:space="preserve">12.3计量</w:t>
      </w:r>
      <w:bookmarkEnd w:id="51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除专用合同条款另有约定外，工程量的计量按月进行。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除专用合同条款另有约定外，单价合同的计量按照本项约定执行：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除专用合同条款另有约定外，按月计量支付的总价合同，按照本项约定执行：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合同当事人可在专用合同条款中约定其他价格形式合同的计量方式和程序。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19" w:name="_Toc96331541"/>
      <w:r/>
      <w:bookmarkEnd w:id="519"/>
      <w:r/>
      <w:bookmarkStart w:id="520" w:name="_Toc296346602"/>
      <w:r/>
      <w:bookmarkEnd w:id="520"/>
      <w:r/>
      <w:bookmarkStart w:id="521" w:name="_Toc351203584"/>
      <w:r/>
      <w:bookmarkEnd w:id="521"/>
      <w:r/>
      <w:bookmarkStart w:id="522" w:name="_Toc296503101"/>
      <w:r/>
      <w:bookmarkEnd w:id="522"/>
      <w:r/>
      <w:bookmarkStart w:id="523" w:name="_Toc186096994"/>
      <w:r/>
      <w:bookmarkEnd w:id="523"/>
      <w:r/>
      <w:bookmarkStart w:id="524" w:name="_Toc337558803"/>
      <w:r>
        <w:rPr>
          <w:rFonts w:hint="eastAsia" w:ascii="宋体" w:hAnsi="宋体" w:eastAsia="宋体" w:cs="宋体"/>
          <w:b w:val="0"/>
          <w:bCs/>
          <w:color w:val="000000"/>
          <w:sz w:val="21"/>
          <w:szCs w:val="21"/>
          <w:highlight w:val="none"/>
        </w:rPr>
        <w:t xml:space="preserve">12.4工程进度款支</w:t>
      </w:r>
      <w:bookmarkEnd w:id="524"/>
      <w:r>
        <w:rPr>
          <w:rFonts w:hint="eastAsia" w:ascii="宋体" w:hAnsi="宋体" w:eastAsia="宋体" w:cs="宋体"/>
          <w:b w:val="0"/>
          <w:bCs/>
          <w:color w:val="000000"/>
          <w:sz w:val="21"/>
          <w:szCs w:val="21"/>
          <w:highlight w:val="none"/>
        </w:rPr>
        <w:t xml:space="preserve">付</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除专用合同条款另有约定外，付款周期应按照第12.3.2项〔计量周期〕的约定与计量周期保持一致。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除专用合同条款另有约定外，进度付款申请单应包括下列内容：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（1）截至本次付款周期已完成工作对应的金额；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（2）根据第10条〔变更〕应增加和扣减的变更金额；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（3）根据第12.2款〔预付款〕约定应支付的预付款和扣减的返还预付款；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（4）根据第15.3款〔质量保证金〕约定应扣减的质量保证金；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（5）根据第19条〔索赔〕应增加和扣减的索赔金额；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（6）对已签发的进度款支付证书中出现错误的修正，应在本次进度付款中支付或扣除的金额；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（7）根据合同约定应增加和扣减的其他金额。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（1）单价合同进度付款申请单的提交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（2）总价合同进度付款申请单的提交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（3）其他价格形式合同的进度付款申请单的提交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合同当事人可在专用合同条款中约定其他价格形式合同的进度付款申请单的编制和提交程序。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12.4.5 进度付款的修正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12.4.6 支付分解表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1.支付分解表的编制要求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（1）支付分解表中所列的每期付款金额，应为第12.4.2项〔进度付款申请单的编制〕第（1）目的估算金额；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（2）实际进度与施工进度计划不一致的，合同当事人可按照第4.4款〔商定或确定〕修改支付分解表；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（3）不采用支付分解表的，承包人应向发包人和监理人提交按季度编制的支付估算分解表，用于支付参考。</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（3）发包人逾期未完成支付分解表审批的，也未及时要求承包人进行修正和提供补充资料的，则承包人提交的支付分解表视为已经获得发包人批准。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25" w:name="_Toc351203585"/>
      <w:r/>
      <w:bookmarkEnd w:id="525"/>
      <w:r/>
      <w:bookmarkStart w:id="526" w:name="_Toc96331542"/>
      <w:r/>
      <w:bookmarkEnd w:id="526"/>
      <w:r/>
      <w:bookmarkStart w:id="527" w:name="_Toc186096995"/>
      <w:r>
        <w:rPr>
          <w:rFonts w:hint="eastAsia" w:ascii="宋体" w:hAnsi="宋体" w:eastAsia="宋体" w:cs="宋体"/>
          <w:b w:val="0"/>
          <w:bCs/>
          <w:color w:val="000000"/>
          <w:sz w:val="21"/>
          <w:szCs w:val="21"/>
          <w:highlight w:val="none"/>
        </w:rPr>
        <w:t xml:space="preserve">12.5支付账户</w:t>
      </w:r>
      <w:bookmarkEnd w:id="52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发包人应将合同价款支付至合同协议书中约定的承包人账户。</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28" w:name="_Toc96331543"/>
      <w:r/>
      <w:bookmarkEnd w:id="528"/>
      <w:r/>
      <w:bookmarkStart w:id="529" w:name="_Toc322522574"/>
      <w:r/>
      <w:bookmarkEnd w:id="529"/>
      <w:r/>
      <w:bookmarkStart w:id="530" w:name="_Toc296346607"/>
      <w:r/>
      <w:bookmarkEnd w:id="530"/>
      <w:r/>
      <w:bookmarkStart w:id="531" w:name="_Toc337558804"/>
      <w:r/>
      <w:bookmarkEnd w:id="531"/>
      <w:r/>
      <w:bookmarkStart w:id="532" w:name="_Toc351203586"/>
      <w:r/>
      <w:bookmarkEnd w:id="532"/>
      <w:r/>
      <w:bookmarkStart w:id="533" w:name="_Toc186096996"/>
      <w:r/>
      <w:bookmarkEnd w:id="533"/>
      <w:r/>
      <w:bookmarkStart w:id="534" w:name="_Toc296503106"/>
      <w:r>
        <w:rPr>
          <w:rFonts w:hint="eastAsia" w:ascii="宋体" w:hAnsi="宋体" w:eastAsia="宋体" w:cs="宋体"/>
          <w:b w:val="0"/>
          <w:bCs/>
          <w:color w:val="000000"/>
          <w:sz w:val="21"/>
          <w:szCs w:val="21"/>
          <w:highlight w:val="none"/>
        </w:rPr>
        <w:t xml:space="preserve">13. 验收和工程试车</w:t>
      </w:r>
      <w:bookmarkEnd w:id="534"/>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35" w:name="_Toc351203587"/>
      <w:r/>
      <w:bookmarkEnd w:id="535"/>
      <w:r/>
      <w:bookmarkStart w:id="536" w:name="_Toc186096997"/>
      <w:r/>
      <w:bookmarkEnd w:id="536"/>
      <w:r/>
      <w:bookmarkStart w:id="537" w:name="_Toc96331544"/>
      <w:r/>
      <w:bookmarkEnd w:id="537"/>
      <w:r/>
      <w:bookmarkStart w:id="538" w:name="_Toc337558805"/>
      <w:r/>
      <w:bookmarkEnd w:id="538"/>
      <w:r/>
      <w:bookmarkStart w:id="539" w:name="_Toc296346611"/>
      <w:r/>
      <w:bookmarkEnd w:id="539"/>
      <w:r/>
      <w:bookmarkStart w:id="540" w:name="_Toc296503110"/>
      <w:r>
        <w:rPr>
          <w:rFonts w:hint="eastAsia" w:ascii="宋体" w:hAnsi="宋体" w:eastAsia="宋体" w:cs="宋体"/>
          <w:b w:val="0"/>
          <w:bCs/>
          <w:color w:val="000000"/>
          <w:sz w:val="21"/>
          <w:szCs w:val="21"/>
          <w:highlight w:val="none"/>
        </w:rPr>
        <w:t xml:space="preserve">13.1分部分项工程验收</w:t>
      </w:r>
      <w:bookmarkEnd w:id="54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分部分项工程的验收资料应当作为竣工资料的组成部分。</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41" w:name="_Toc96331545"/>
      <w:r/>
      <w:bookmarkEnd w:id="541"/>
      <w:r/>
      <w:bookmarkStart w:id="542" w:name="_Toc351203588"/>
      <w:r/>
      <w:bookmarkEnd w:id="542"/>
      <w:r/>
      <w:bookmarkStart w:id="543" w:name="_Toc186096998"/>
      <w:r/>
      <w:bookmarkEnd w:id="543"/>
      <w:r/>
      <w:bookmarkStart w:id="544" w:name="_Toc337558806"/>
      <w:r>
        <w:rPr>
          <w:rFonts w:hint="eastAsia" w:ascii="宋体" w:hAnsi="宋体" w:eastAsia="宋体" w:cs="宋体"/>
          <w:b w:val="0"/>
          <w:bCs/>
          <w:color w:val="000000"/>
          <w:sz w:val="21"/>
          <w:szCs w:val="21"/>
          <w:highlight w:val="none"/>
        </w:rPr>
        <w:t xml:space="preserve">13.2竣工验收</w:t>
      </w:r>
      <w:bookmarkEnd w:id="54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13.2.1竣工验收条件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工程具备以下条件的，承包人可以申请竣工验收：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（2）已按合同约定编制了甩项工作和缺陷修补工作清单以及相应的施工计划；</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（3）已按合同约定的内容和份数备齐竣工资料。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除专用合同条款另有约定外，承包人申请竣工验收的，应当按照以下程序进行：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13.2.3竣工日期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45" w:name="#go14"/>
      <w:r/>
      <w:bookmarkEnd w:id="545"/>
      <w:r>
        <w:rPr>
          <w:rFonts w:hint="eastAsia" w:ascii="宋体" w:hAnsi="宋体" w:eastAsia="宋体" w:cs="宋体"/>
          <w:color w:val="000000"/>
          <w:sz w:val="21"/>
          <w:szCs w:val="21"/>
          <w:highlight w:val="none"/>
        </w:rPr>
        <w:t xml:space="preserve">收申请报告的日期为实际竣工日期；工程未经竣工验收，发包人擅自使用的，以转移占有工程之日为实际竣工日期。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13.2.4 拒绝接收全部或部分工程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13.2.5 移交、接收全部与部分工程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除专用合同条款另有约定外，合同当事人应当在颁发工程接收证书后7天内完成工程的移交。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46" w:name="_Toc96331546"/>
      <w:r/>
      <w:bookmarkEnd w:id="546"/>
      <w:r/>
      <w:bookmarkStart w:id="547" w:name="_Toc337558807"/>
      <w:r/>
      <w:bookmarkEnd w:id="547"/>
      <w:r/>
      <w:bookmarkStart w:id="548" w:name="_Toc296503111"/>
      <w:r/>
      <w:bookmarkEnd w:id="548"/>
      <w:r/>
      <w:bookmarkStart w:id="549" w:name="_Toc351203589"/>
      <w:r/>
      <w:bookmarkEnd w:id="549"/>
      <w:r/>
      <w:bookmarkStart w:id="550" w:name="_Toc186096999"/>
      <w:r/>
      <w:bookmarkEnd w:id="550"/>
      <w:r/>
      <w:bookmarkStart w:id="551" w:name="_Toc296346612"/>
      <w:r>
        <w:rPr>
          <w:rFonts w:hint="eastAsia" w:ascii="宋体" w:hAnsi="宋体" w:eastAsia="宋体" w:cs="宋体"/>
          <w:b w:val="0"/>
          <w:bCs/>
          <w:color w:val="000000"/>
          <w:sz w:val="21"/>
          <w:szCs w:val="21"/>
          <w:highlight w:val="none"/>
        </w:rPr>
        <w:t xml:space="preserve">13.3工程试车</w:t>
      </w:r>
      <w:bookmarkEnd w:id="55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13.3.1试车程序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13.3.2 试车中的责任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52" w:name="_Toc351203590"/>
      <w:r/>
      <w:bookmarkEnd w:id="552"/>
      <w:r/>
      <w:bookmarkStart w:id="553" w:name="_Toc186097000"/>
      <w:r/>
      <w:bookmarkEnd w:id="553"/>
      <w:r/>
      <w:bookmarkStart w:id="554" w:name="_Toc96331547"/>
      <w:r/>
      <w:bookmarkEnd w:id="554"/>
      <w:r/>
      <w:bookmarkStart w:id="555" w:name="_Toc337558808"/>
      <w:r>
        <w:rPr>
          <w:rFonts w:hint="eastAsia" w:ascii="宋体" w:hAnsi="宋体" w:eastAsia="宋体" w:cs="宋体"/>
          <w:b w:val="0"/>
          <w:bCs/>
          <w:color w:val="000000"/>
          <w:sz w:val="21"/>
          <w:szCs w:val="21"/>
          <w:highlight w:val="none"/>
        </w:rPr>
        <w:t xml:space="preserve">13.4提前交付单位工程的验收</w:t>
      </w:r>
      <w:bookmarkEnd w:id="55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56" w:name="_Toc351203591"/>
      <w:r/>
      <w:bookmarkEnd w:id="556"/>
      <w:r/>
      <w:bookmarkStart w:id="557" w:name="_Toc186097001"/>
      <w:r/>
      <w:bookmarkEnd w:id="557"/>
      <w:r/>
      <w:bookmarkStart w:id="558" w:name="_Toc96331548"/>
      <w:r>
        <w:rPr>
          <w:rFonts w:hint="eastAsia" w:ascii="宋体" w:hAnsi="宋体" w:eastAsia="宋体" w:cs="宋体"/>
          <w:b w:val="0"/>
          <w:bCs/>
          <w:color w:val="000000"/>
          <w:sz w:val="21"/>
          <w:szCs w:val="21"/>
          <w:highlight w:val="none"/>
        </w:rPr>
        <w:t xml:space="preserve">13.5 施工期运行</w:t>
      </w:r>
      <w:bookmarkEnd w:id="55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13.5.2 在施工期运行中发现工程或工程设备损坏或存在缺陷的，由承包人按第15.2款〔缺陷责任期〕约定进行修复。</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59" w:name="_Toc296503112"/>
      <w:r/>
      <w:bookmarkEnd w:id="559"/>
      <w:r/>
      <w:bookmarkStart w:id="560" w:name="_Toc186097002"/>
      <w:r/>
      <w:bookmarkEnd w:id="560"/>
      <w:r/>
      <w:bookmarkStart w:id="561" w:name="_Toc96331549"/>
      <w:r/>
      <w:bookmarkEnd w:id="561"/>
      <w:r/>
      <w:bookmarkStart w:id="562" w:name="_Toc296346613"/>
      <w:r/>
      <w:bookmarkEnd w:id="562"/>
      <w:r/>
      <w:bookmarkStart w:id="563" w:name="_Toc351203592"/>
      <w:r/>
      <w:bookmarkEnd w:id="563"/>
      <w:r/>
      <w:bookmarkStart w:id="564" w:name="_Toc337558809"/>
      <w:r>
        <w:rPr>
          <w:rFonts w:hint="eastAsia" w:ascii="宋体" w:hAnsi="宋体" w:eastAsia="宋体" w:cs="宋体"/>
          <w:b w:val="0"/>
          <w:bCs/>
          <w:color w:val="000000"/>
          <w:sz w:val="21"/>
          <w:szCs w:val="21"/>
          <w:highlight w:val="none"/>
        </w:rPr>
        <w:t xml:space="preserve">13.6 竣工退</w:t>
      </w:r>
      <w:bookmarkEnd w:id="564"/>
      <w:r>
        <w:rPr>
          <w:rFonts w:hint="eastAsia" w:ascii="宋体" w:hAnsi="宋体" w:eastAsia="宋体" w:cs="宋体"/>
          <w:b w:val="0"/>
          <w:bCs/>
          <w:color w:val="000000"/>
          <w:sz w:val="21"/>
          <w:szCs w:val="21"/>
          <w:highlight w:val="none"/>
        </w:rPr>
        <w:t xml:space="preserve">场</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颁发工程接收证书后，承包人应按以下要求对施工现场进行清理：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（1）施工现场内残留的垃圾已全部清除出场；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（2）临时工程已拆除，场地已进行清理、平整或复原；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（3）按合同约定应撤离的人员、承包人施工设备和剩余的材料，包括废弃的施工设备和材料，已按计划撤离施工现场；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（4）施工现场周边及其附近道路、河道的施工堆积物，已全部清理；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（5）施工现场其他场地清理工作已全部完成。</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13.6.2 地表还原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65" w:name="_Toc351203593"/>
      <w:r/>
      <w:bookmarkEnd w:id="565"/>
      <w:r/>
      <w:bookmarkStart w:id="566" w:name="_Toc296346614"/>
      <w:r/>
      <w:bookmarkEnd w:id="566"/>
      <w:r/>
      <w:bookmarkStart w:id="567" w:name="_Toc96331550"/>
      <w:r/>
      <w:bookmarkEnd w:id="567"/>
      <w:r/>
      <w:bookmarkStart w:id="568" w:name="_Toc337558810"/>
      <w:r/>
      <w:bookmarkEnd w:id="568"/>
      <w:r/>
      <w:bookmarkStart w:id="569" w:name="_Toc186097003"/>
      <w:r/>
      <w:bookmarkEnd w:id="569"/>
      <w:r/>
      <w:bookmarkStart w:id="570" w:name="_Toc296503113"/>
      <w:r>
        <w:rPr>
          <w:rFonts w:hint="eastAsia" w:ascii="宋体" w:hAnsi="宋体" w:eastAsia="宋体" w:cs="宋体"/>
          <w:b w:val="0"/>
          <w:bCs/>
          <w:color w:val="000000"/>
          <w:sz w:val="21"/>
          <w:szCs w:val="21"/>
          <w:highlight w:val="none"/>
        </w:rPr>
        <w:t xml:space="preserve">14. 竣工结算</w:t>
      </w:r>
      <w:bookmarkEnd w:id="570"/>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71" w:name="_Toc351203594"/>
      <w:r/>
      <w:bookmarkEnd w:id="571"/>
      <w:r/>
      <w:bookmarkStart w:id="572" w:name="_Toc96331551"/>
      <w:r/>
      <w:bookmarkEnd w:id="572"/>
      <w:r/>
      <w:bookmarkStart w:id="573" w:name="_Toc186097004"/>
      <w:r/>
      <w:bookmarkEnd w:id="573"/>
      <w:r/>
      <w:bookmarkStart w:id="574" w:name="_Toc337558811"/>
      <w:r>
        <w:rPr>
          <w:rFonts w:hint="eastAsia" w:ascii="宋体" w:hAnsi="宋体" w:eastAsia="宋体" w:cs="宋体"/>
          <w:b w:val="0"/>
          <w:bCs/>
          <w:color w:val="000000"/>
          <w:sz w:val="21"/>
          <w:szCs w:val="21"/>
          <w:highlight w:val="none"/>
        </w:rPr>
        <w:t xml:space="preserve">14.1 竣工结算申请</w:t>
      </w:r>
      <w:bookmarkEnd w:id="57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除专用合同条款另有约定外，竣工结算申请单应包括以下内容：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（1）竣工结算合同价格；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（2）发包人已支付承包人的款项；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（3）应扣留的质量保证金。已缴纳履约保证金的或提供其他工程质量担保方式的除外；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（4）发包人应支付承包人的合同价款。</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75" w:name="_Toc351203595"/>
      <w:r/>
      <w:bookmarkEnd w:id="575"/>
      <w:r/>
      <w:bookmarkStart w:id="576" w:name="_Toc96331552"/>
      <w:r/>
      <w:bookmarkEnd w:id="576"/>
      <w:r/>
      <w:bookmarkStart w:id="577" w:name="_Toc186097005"/>
      <w:r/>
      <w:bookmarkEnd w:id="577"/>
      <w:r/>
      <w:bookmarkStart w:id="578" w:name="_Toc337558812"/>
      <w:r>
        <w:rPr>
          <w:rFonts w:hint="eastAsia" w:ascii="宋体" w:hAnsi="宋体" w:eastAsia="宋体" w:cs="宋体"/>
          <w:b w:val="0"/>
          <w:bCs/>
          <w:color w:val="000000"/>
          <w:sz w:val="21"/>
          <w:szCs w:val="21"/>
          <w:highlight w:val="none"/>
        </w:rPr>
        <w:t xml:space="preserve">14.2 竣工结算审核</w:t>
      </w:r>
      <w:bookmarkEnd w:id="57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79" w:name="_Toc351203596"/>
      <w:r/>
      <w:bookmarkEnd w:id="579"/>
      <w:r/>
      <w:bookmarkStart w:id="580" w:name="_Toc96331553"/>
      <w:r/>
      <w:bookmarkEnd w:id="580"/>
      <w:r/>
      <w:bookmarkStart w:id="581" w:name="_Toc186097006"/>
      <w:r/>
      <w:bookmarkEnd w:id="581"/>
      <w:r/>
      <w:bookmarkStart w:id="582" w:name="_Toc337558813"/>
      <w:r>
        <w:rPr>
          <w:rFonts w:hint="eastAsia" w:ascii="宋体" w:hAnsi="宋体" w:eastAsia="宋体" w:cs="宋体"/>
          <w:b w:val="0"/>
          <w:bCs/>
          <w:color w:val="000000"/>
          <w:sz w:val="21"/>
          <w:szCs w:val="21"/>
          <w:highlight w:val="none"/>
        </w:rPr>
        <w:t xml:space="preserve">14.3 甩项竣工协议</w:t>
      </w:r>
      <w:bookmarkEnd w:id="58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3" w:name="_Toc186097007"/>
      <w:r/>
      <w:bookmarkEnd w:id="583"/>
      <w:r/>
      <w:bookmarkStart w:id="584" w:name="_Toc337558814"/>
      <w:r/>
      <w:bookmarkEnd w:id="584"/>
      <w:r/>
      <w:bookmarkStart w:id="585" w:name="_Toc351203597"/>
      <w:r/>
      <w:bookmarkEnd w:id="585"/>
      <w:r/>
      <w:bookmarkStart w:id="586" w:name="_Toc96331554"/>
      <w:r>
        <w:rPr>
          <w:rFonts w:hint="eastAsia" w:ascii="宋体" w:hAnsi="宋体" w:eastAsia="宋体" w:cs="宋体"/>
          <w:b w:val="0"/>
          <w:bCs/>
          <w:color w:val="000000"/>
          <w:sz w:val="21"/>
          <w:szCs w:val="21"/>
          <w:highlight w:val="none"/>
        </w:rPr>
        <w:t xml:space="preserve">14.4 最终结清</w:t>
      </w:r>
      <w:bookmarkEnd w:id="58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除专用合同条款另有约定外，最终结清申请单应列明质量保证金、应扣除的质量保证金、缺陷责任期内发生的增减费用。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（3）承包人对发包人颁发的最终结清证书有异议的，按第20条〔争议解决〕的约定办理。</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7" w:name="_Toc351203598"/>
      <w:r/>
      <w:bookmarkEnd w:id="587"/>
      <w:r/>
      <w:bookmarkStart w:id="588" w:name="_Toc186097008"/>
      <w:r/>
      <w:bookmarkEnd w:id="588"/>
      <w:r/>
      <w:bookmarkStart w:id="589" w:name="_Toc96331555"/>
      <w:r/>
      <w:bookmarkEnd w:id="589"/>
      <w:r/>
      <w:bookmarkStart w:id="590" w:name="_Toc337558815"/>
      <w:r>
        <w:rPr>
          <w:rFonts w:hint="eastAsia" w:ascii="宋体" w:hAnsi="宋体" w:eastAsia="宋体" w:cs="宋体"/>
          <w:b w:val="0"/>
          <w:bCs/>
          <w:color w:val="000000"/>
          <w:sz w:val="21"/>
          <w:szCs w:val="21"/>
          <w:highlight w:val="none"/>
        </w:rPr>
        <w:t xml:space="preserve">15. 缺陷责任与保修</w:t>
      </w:r>
      <w:bookmarkEnd w:id="590"/>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91" w:name="_Toc186097009"/>
      <w:r/>
      <w:bookmarkEnd w:id="591"/>
      <w:r/>
      <w:bookmarkStart w:id="592" w:name="_Toc337558816"/>
      <w:r/>
      <w:bookmarkEnd w:id="592"/>
      <w:r/>
      <w:bookmarkStart w:id="593" w:name="_Toc296503114"/>
      <w:r/>
      <w:bookmarkEnd w:id="593"/>
      <w:r/>
      <w:bookmarkStart w:id="594" w:name="_Toc351203599"/>
      <w:r/>
      <w:bookmarkEnd w:id="594"/>
      <w:r/>
      <w:bookmarkStart w:id="595" w:name="_Toc96331556"/>
      <w:r/>
      <w:bookmarkEnd w:id="595"/>
      <w:r/>
      <w:bookmarkStart w:id="596" w:name="_Toc296346615"/>
      <w:r>
        <w:rPr>
          <w:rFonts w:hint="eastAsia" w:ascii="宋体" w:hAnsi="宋体" w:eastAsia="宋体" w:cs="宋体"/>
          <w:b w:val="0"/>
          <w:bCs/>
          <w:color w:val="000000"/>
          <w:sz w:val="21"/>
          <w:szCs w:val="21"/>
          <w:highlight w:val="none"/>
        </w:rPr>
        <w:t xml:space="preserve">15.1 工程保修的原则</w:t>
      </w:r>
      <w:bookmarkEnd w:id="59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97" w:name="_Toc186097010"/>
      <w:r/>
      <w:bookmarkEnd w:id="597"/>
      <w:r/>
      <w:bookmarkStart w:id="598" w:name="_Toc351203600"/>
      <w:r/>
      <w:bookmarkEnd w:id="598"/>
      <w:r/>
      <w:bookmarkStart w:id="599" w:name="_Toc96331557"/>
      <w:r/>
      <w:bookmarkEnd w:id="599"/>
      <w:r/>
      <w:bookmarkStart w:id="600" w:name="_Toc337558817"/>
      <w:r>
        <w:rPr>
          <w:rFonts w:hint="eastAsia" w:ascii="宋体" w:hAnsi="宋体" w:eastAsia="宋体" w:cs="宋体"/>
          <w:b w:val="0"/>
          <w:bCs/>
          <w:color w:val="000000"/>
          <w:sz w:val="21"/>
          <w:szCs w:val="21"/>
          <w:highlight w:val="none"/>
        </w:rPr>
        <w:t xml:space="preserve">15.2 缺陷责任期</w:t>
      </w:r>
      <w:bookmarkEnd w:id="60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highlight w:val="none"/>
        </w:rPr>
        <w:t xml:space="preserve">包人延长缺陷责任期，</w:t>
      </w:r>
      <w:r>
        <w:rPr>
          <w:rFonts w:hint="eastAsia" w:ascii="宋体" w:hAnsi="宋体" w:eastAsia="宋体" w:cs="宋体"/>
          <w:color w:val="000000"/>
          <w:sz w:val="21"/>
          <w:szCs w:val="21"/>
          <w:highlight w:val="none"/>
        </w:rPr>
        <w:t xml:space="preserve">并应在原缺陷责任期届满前发出延长通知。</w:t>
      </w:r>
      <w:r>
        <w:rPr>
          <w:rFonts w:hint="eastAsia" w:ascii="宋体" w:hAnsi="宋体" w:eastAsia="宋体" w:cs="宋体"/>
          <w:bCs/>
          <w:color w:val="000000"/>
          <w:sz w:val="21"/>
          <w:szCs w:val="21"/>
          <w:highlight w:val="none"/>
        </w:rPr>
        <w:t xml:space="preserve">但缺陷责任期（含延长部分）最长</w:t>
      </w:r>
      <w:r>
        <w:rPr>
          <w:rFonts w:hint="eastAsia" w:ascii="宋体" w:hAnsi="宋体" w:eastAsia="宋体" w:cs="宋体"/>
          <w:color w:val="000000"/>
          <w:sz w:val="21"/>
          <w:szCs w:val="21"/>
          <w:highlight w:val="none"/>
        </w:rPr>
        <w:t xml:space="preserve">不能超过24个月。</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由他人原因造成的缺陷，发包人负责组织维修，承包人不承担费用，且发包人不得从保证金中扣除费用。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01" w:name="_Toc96331558"/>
      <w:r/>
      <w:bookmarkEnd w:id="601"/>
      <w:r/>
      <w:bookmarkStart w:id="602" w:name="_Toc337558818"/>
      <w:r/>
      <w:bookmarkEnd w:id="602"/>
      <w:r/>
      <w:bookmarkStart w:id="603" w:name="_Toc296503115"/>
      <w:r/>
      <w:bookmarkEnd w:id="603"/>
      <w:r/>
      <w:bookmarkStart w:id="604" w:name="_Toc351203601"/>
      <w:r/>
      <w:bookmarkEnd w:id="604"/>
      <w:r/>
      <w:bookmarkStart w:id="605" w:name="_Toc186097011"/>
      <w:r/>
      <w:bookmarkEnd w:id="605"/>
      <w:r/>
      <w:bookmarkStart w:id="606" w:name="_Toc296346616"/>
      <w:r>
        <w:rPr>
          <w:rFonts w:hint="eastAsia" w:ascii="宋体" w:hAnsi="宋体" w:eastAsia="宋体" w:cs="宋体"/>
          <w:b w:val="0"/>
          <w:bCs/>
          <w:color w:val="000000"/>
          <w:sz w:val="21"/>
          <w:szCs w:val="21"/>
          <w:highlight w:val="none"/>
        </w:rPr>
        <w:t xml:space="preserve">15.3 质量保证金</w:t>
      </w:r>
      <w:bookmarkEnd w:id="60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经合同当事人协商一致扣留质量保证金的，应在专用合同条款中予以明确。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在工程项目竣工前，承包人已经提供履约担保的，发包人不得同时预留工程质量保证金。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承包人提供质量保证金有以下三种方式：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（1）质量保证金保函；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（2）相应比例的工程款；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（3）双方约定的其他方式。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除专用合同条款另有约定外，质量保证金原则上采用上述第（1）种方式。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15.3.2 质量保证金的扣留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质量保证金的扣留有以下三种方式：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（2）工</w:t>
      </w:r>
      <w:bookmarkStart w:id="607" w:name="#go6"/>
      <w:r/>
      <w:bookmarkEnd w:id="607"/>
      <w:r>
        <w:rPr>
          <w:rFonts w:hint="eastAsia" w:ascii="宋体" w:hAnsi="宋体" w:eastAsia="宋体" w:cs="宋体"/>
          <w:color w:val="000000"/>
          <w:sz w:val="21"/>
          <w:szCs w:val="21"/>
          <w:highlight w:val="none"/>
        </w:rPr>
        <w:t xml:space="preserve">程竣工结算时一次性扣留质量保证金；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（3）双方约定的其他扣留方式。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除专用合同条款另有约定外，质量保证金的扣留原则上采用上述第（1）种方式。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w:t>
      </w:r>
      <w:bookmarkStart w:id="608" w:name="#go4"/>
      <w:r/>
      <w:bookmarkEnd w:id="608"/>
      <w:r>
        <w:rPr>
          <w:rFonts w:hint="eastAsia" w:ascii="宋体" w:hAnsi="宋体" w:eastAsia="宋体" w:cs="宋体"/>
          <w:color w:val="000000"/>
          <w:sz w:val="21"/>
          <w:szCs w:val="21"/>
          <w:highlight w:val="none"/>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发包人在退还质量保证金的同时按照中国人民银行发布的同期同类贷款基准利率支付利息。</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15.3.3 质量保证金的退还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缺陷责任期内，承包人认真履行合同约定的责任，到期后，承包人可向发包人申请返还保证金。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09" w:name="_Toc351203602"/>
      <w:r/>
      <w:bookmarkEnd w:id="609"/>
      <w:r/>
      <w:bookmarkStart w:id="610" w:name="_Toc186097012"/>
      <w:r/>
      <w:bookmarkEnd w:id="610"/>
      <w:r/>
      <w:bookmarkStart w:id="611" w:name="_Toc96331559"/>
      <w:r/>
      <w:bookmarkEnd w:id="611"/>
      <w:r/>
      <w:bookmarkStart w:id="612" w:name="_Toc337558819"/>
      <w:r>
        <w:rPr>
          <w:rFonts w:hint="eastAsia" w:ascii="宋体" w:hAnsi="宋体" w:eastAsia="宋体" w:cs="宋体"/>
          <w:b w:val="0"/>
          <w:bCs/>
          <w:color w:val="000000"/>
          <w:sz w:val="21"/>
          <w:szCs w:val="21"/>
          <w:highlight w:val="none"/>
        </w:rPr>
        <w:t xml:space="preserve">15.4 保修</w:t>
      </w:r>
      <w:bookmarkEnd w:id="61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15.4.1保修责任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发包人未经竣工验收擅自使用工程的，保修期自转移占有之日起算。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15.4.2 修复费用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保修期内，修复的费用按照以下约定处理：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15.4.4 未能修复</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15.4.5 承包人出入权</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13" w:name="_Toc96331560"/>
      <w:r/>
      <w:bookmarkEnd w:id="613"/>
      <w:r/>
      <w:bookmarkStart w:id="614" w:name="_Toc186097013"/>
      <w:r/>
      <w:bookmarkEnd w:id="614"/>
      <w:r/>
      <w:bookmarkStart w:id="615" w:name="_Toc351203603"/>
      <w:r/>
      <w:bookmarkEnd w:id="615"/>
      <w:r/>
      <w:bookmarkStart w:id="616" w:name="_Toc337558820"/>
      <w:r>
        <w:rPr>
          <w:rFonts w:hint="eastAsia" w:ascii="宋体" w:hAnsi="宋体" w:eastAsia="宋体" w:cs="宋体"/>
          <w:b w:val="0"/>
          <w:bCs/>
          <w:color w:val="000000"/>
          <w:sz w:val="21"/>
          <w:szCs w:val="21"/>
          <w:highlight w:val="none"/>
        </w:rPr>
        <w:t xml:space="preserve">16. 违约</w:t>
      </w:r>
      <w:bookmarkEnd w:id="616"/>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17" w:name="_Toc186097014"/>
      <w:r/>
      <w:bookmarkEnd w:id="617"/>
      <w:r/>
      <w:bookmarkStart w:id="618" w:name="_Toc96331561"/>
      <w:r/>
      <w:bookmarkEnd w:id="618"/>
      <w:r/>
      <w:bookmarkStart w:id="619" w:name="_Toc296346630"/>
      <w:r/>
      <w:bookmarkEnd w:id="619"/>
      <w:r/>
      <w:bookmarkStart w:id="620" w:name="_Toc351203604"/>
      <w:r/>
      <w:bookmarkEnd w:id="620"/>
      <w:r/>
      <w:bookmarkStart w:id="621" w:name="_Toc296503129"/>
      <w:r/>
      <w:bookmarkEnd w:id="621"/>
      <w:r/>
      <w:bookmarkStart w:id="622" w:name="_Toc337558821"/>
      <w:r>
        <w:rPr>
          <w:rFonts w:hint="eastAsia" w:ascii="宋体" w:hAnsi="宋体" w:eastAsia="宋体" w:cs="宋体"/>
          <w:b w:val="0"/>
          <w:bCs/>
          <w:color w:val="000000"/>
          <w:sz w:val="21"/>
          <w:szCs w:val="21"/>
          <w:highlight w:val="none"/>
        </w:rPr>
        <w:t xml:space="preserve">16.1 发</w:t>
      </w:r>
      <w:bookmarkEnd w:id="622"/>
      <w:r>
        <w:rPr>
          <w:rFonts w:hint="eastAsia" w:ascii="宋体" w:hAnsi="宋体" w:eastAsia="宋体" w:cs="宋体"/>
          <w:b w:val="0"/>
          <w:bCs/>
          <w:color w:val="000000"/>
          <w:sz w:val="21"/>
          <w:szCs w:val="21"/>
          <w:highlight w:val="none"/>
        </w:rPr>
        <w:t xml:space="preserve">包人违约</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16.1.1 发包人违约的情形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在合同履行过程中发生的下列情形，属于发包人违约：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（1）因发包人原因未能在计划开工日期前7天内下达开工通知的；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（2）因发包人原因未能按合同约定支付合同价款的；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（5）因发包人违反合同约定造成暂停施工的；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（6）发包人无正当理由没有在约定期限内发出复工指示，导致承包人无法复工的；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（7）发包人明确表示或者以其行为表明不履行合同主要义务的；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（8）发包人未能按照合同约定履行其他义务的。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16.1.4 因发包人违约解除合同后的付款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承包人按照本款约定解除合同的，发包人应在解除合同后28天内支付下列款项，并解除履约担保：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（1）合同解除前所完成工作的价款；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（2）承包人为工程施工订购并已付款的材料、工程设备和其他物品的价款；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（3）承包人撤离施工现场以及遣散承包人人员的款项；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（4）按照合同约定在合同解除前应支付的违约金；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（5）按照合同约定应当支付给承包人的其他款项；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（6）按照合同约定应退还的质量保证金；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（7）因解除合同给承包人造成的损失。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合同当事人未能就解除合同后的结清达成一致的，按照第20条〔争议解决〕的约定处理。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3" w:name="_Toc96331562"/>
      <w:r/>
      <w:bookmarkEnd w:id="623"/>
      <w:r/>
      <w:bookmarkStart w:id="624" w:name="_Toc337558822"/>
      <w:r/>
      <w:bookmarkEnd w:id="624"/>
      <w:r/>
      <w:bookmarkStart w:id="625" w:name="_Toc186097015"/>
      <w:r/>
      <w:bookmarkEnd w:id="625"/>
      <w:r/>
      <w:bookmarkStart w:id="626" w:name="_Toc296503131"/>
      <w:r/>
      <w:bookmarkEnd w:id="626"/>
      <w:r/>
      <w:bookmarkStart w:id="627" w:name="_Toc351203605"/>
      <w:r/>
      <w:bookmarkEnd w:id="627"/>
      <w:r/>
      <w:bookmarkStart w:id="628" w:name="_Toc296346632"/>
      <w:r>
        <w:rPr>
          <w:rFonts w:hint="eastAsia" w:ascii="宋体" w:hAnsi="宋体" w:eastAsia="宋体" w:cs="宋体"/>
          <w:b w:val="0"/>
          <w:bCs/>
          <w:color w:val="000000"/>
          <w:sz w:val="21"/>
          <w:szCs w:val="21"/>
          <w:highlight w:val="none"/>
        </w:rPr>
        <w:t xml:space="preserve">16.2 承包人违约</w:t>
      </w:r>
      <w:bookmarkEnd w:id="62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在合同履行过程中发生的下列情形，属于承包人违约：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（1）承包人违反合同约定进行转包或违法分包的；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（2）承包人违反合同约定采购和使用不合格的材料和工程设备的；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（3）因承包人原因导致工程质量不符合合同要求的；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（5）承包人未能按施工进度计划及时完成合同约定的工作，造成工期延误的；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（7）承包人明确表示或者以其行为表明不履行合同主要义务的；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（8）承包人未能按照合同约定履行其他义务的。</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承包人发生除本项第（7）目约定以外的其他违约情况时，监理人可向承包人发出整改通知，要求其在指定的期限内改正。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16.2.2 承包人违约的责任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16.2.4因承包人违约解除合同后的处理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（2）合同解除后，承包人应支付的违约金；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（3）合同解除后，因解除合同给发包人造成的损失；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（4）合同解除后，承包人应按照发包人要求和监理人的指示完成现场的清理和撤离；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（5）发包人和承包人应在合同解除后进行清算，出具最终结清付款证书，结清全部款项。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16.2.5采购合同权益转让</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9" w:name="_Toc351203606"/>
      <w:r/>
      <w:bookmarkEnd w:id="629"/>
      <w:r/>
      <w:bookmarkStart w:id="630" w:name="_Toc186097016"/>
      <w:r/>
      <w:bookmarkEnd w:id="630"/>
      <w:r/>
      <w:bookmarkStart w:id="631" w:name="_Toc96331563"/>
      <w:r>
        <w:rPr>
          <w:rFonts w:hint="eastAsia" w:ascii="宋体" w:hAnsi="宋体" w:eastAsia="宋体" w:cs="宋体"/>
          <w:b w:val="0"/>
          <w:bCs/>
          <w:color w:val="000000"/>
          <w:sz w:val="21"/>
          <w:szCs w:val="21"/>
          <w:highlight w:val="none"/>
        </w:rPr>
        <w:t xml:space="preserve">16.3 第三人造成的违约</w:t>
      </w:r>
      <w:bookmarkEnd w:id="63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32" w:name="_Toc296503116"/>
      <w:r/>
      <w:bookmarkEnd w:id="632"/>
      <w:r/>
      <w:bookmarkStart w:id="633" w:name="_Toc351203607"/>
      <w:r/>
      <w:bookmarkEnd w:id="633"/>
      <w:r/>
      <w:bookmarkStart w:id="634" w:name="_Toc296346617"/>
      <w:r/>
      <w:bookmarkEnd w:id="634"/>
      <w:r/>
      <w:bookmarkStart w:id="635" w:name="_Toc337558823"/>
      <w:r/>
      <w:bookmarkEnd w:id="635"/>
      <w:r/>
      <w:bookmarkStart w:id="636" w:name="_Toc96331564"/>
      <w:r/>
      <w:bookmarkEnd w:id="636"/>
      <w:r/>
      <w:bookmarkStart w:id="637" w:name="_Toc186097017"/>
      <w:r>
        <w:rPr>
          <w:rFonts w:hint="eastAsia" w:ascii="宋体" w:hAnsi="宋体" w:eastAsia="宋体" w:cs="宋体"/>
          <w:b w:val="0"/>
          <w:bCs/>
          <w:color w:val="000000"/>
          <w:sz w:val="21"/>
          <w:szCs w:val="21"/>
          <w:highlight w:val="none"/>
        </w:rPr>
        <w:t xml:space="preserve">17. 不可抗力</w:t>
      </w:r>
      <w:bookmarkEnd w:id="637"/>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38" w:name="_Toc186097018"/>
      <w:r/>
      <w:bookmarkEnd w:id="638"/>
      <w:r/>
      <w:bookmarkStart w:id="639" w:name="_Toc351203608"/>
      <w:r/>
      <w:bookmarkEnd w:id="639"/>
      <w:r/>
      <w:bookmarkStart w:id="640" w:name="_Toc337558824"/>
      <w:r/>
      <w:bookmarkEnd w:id="640"/>
      <w:r/>
      <w:bookmarkStart w:id="641" w:name="_Toc296346618"/>
      <w:r/>
      <w:bookmarkEnd w:id="641"/>
      <w:r/>
      <w:bookmarkStart w:id="642" w:name="_Toc96331565"/>
      <w:r/>
      <w:bookmarkEnd w:id="642"/>
      <w:r/>
      <w:bookmarkStart w:id="643" w:name="_Toc296503117"/>
      <w:r>
        <w:rPr>
          <w:rFonts w:hint="eastAsia" w:ascii="宋体" w:hAnsi="宋体" w:eastAsia="宋体" w:cs="宋体"/>
          <w:b w:val="0"/>
          <w:bCs/>
          <w:color w:val="000000"/>
          <w:sz w:val="21"/>
          <w:szCs w:val="21"/>
          <w:highlight w:val="none"/>
        </w:rPr>
        <w:t xml:space="preserve">17.1 不可抗力的确认</w:t>
      </w:r>
      <w:bookmarkEnd w:id="64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44" w:name="_Toc96331566"/>
      <w:r/>
      <w:bookmarkEnd w:id="644"/>
      <w:r/>
      <w:bookmarkStart w:id="645" w:name="_Toc186097019"/>
      <w:r/>
      <w:bookmarkEnd w:id="645"/>
      <w:r/>
      <w:bookmarkStart w:id="646" w:name="_Toc337558825"/>
      <w:r/>
      <w:bookmarkEnd w:id="646"/>
      <w:r/>
      <w:bookmarkStart w:id="647" w:name="_Toc351203609"/>
      <w:r/>
      <w:bookmarkEnd w:id="647"/>
      <w:r/>
      <w:bookmarkStart w:id="648" w:name="_Toc296346619"/>
      <w:r/>
      <w:bookmarkEnd w:id="648"/>
      <w:r/>
      <w:bookmarkStart w:id="649" w:name="_Toc296503118"/>
      <w:r>
        <w:rPr>
          <w:rFonts w:hint="eastAsia" w:ascii="宋体" w:hAnsi="宋体" w:eastAsia="宋体" w:cs="宋体"/>
          <w:b w:val="0"/>
          <w:bCs/>
          <w:color w:val="000000"/>
          <w:sz w:val="21"/>
          <w:szCs w:val="21"/>
          <w:highlight w:val="none"/>
        </w:rPr>
        <w:t xml:space="preserve">17.2 不可抗力的通知</w:t>
      </w:r>
      <w:bookmarkEnd w:id="64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50" w:name="_Toc186097020"/>
      <w:r/>
      <w:bookmarkEnd w:id="650"/>
      <w:r/>
      <w:bookmarkStart w:id="651" w:name="_Toc96331567"/>
      <w:r/>
      <w:bookmarkEnd w:id="651"/>
      <w:r/>
      <w:bookmarkStart w:id="652" w:name="_Toc351203610"/>
      <w:r/>
      <w:bookmarkEnd w:id="652"/>
      <w:r/>
      <w:bookmarkStart w:id="653" w:name="_Toc337558826"/>
      <w:r/>
      <w:bookmarkEnd w:id="653"/>
      <w:r/>
      <w:bookmarkStart w:id="654" w:name="_Toc296503119"/>
      <w:r/>
      <w:bookmarkEnd w:id="654"/>
      <w:r/>
      <w:bookmarkStart w:id="655" w:name="_Toc296346620"/>
      <w:r>
        <w:rPr>
          <w:rFonts w:hint="eastAsia" w:ascii="宋体" w:hAnsi="宋体" w:eastAsia="宋体" w:cs="宋体"/>
          <w:b w:val="0"/>
          <w:bCs/>
          <w:color w:val="000000"/>
          <w:sz w:val="21"/>
          <w:szCs w:val="21"/>
          <w:highlight w:val="none"/>
        </w:rPr>
        <w:t xml:space="preserve">17.3 不可抗力后果的承担</w:t>
      </w:r>
      <w:bookmarkEnd w:id="65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17.3.2 不可抗力导致的人员伤亡、财产损失、费用增加和（或）工期延误等后果，由合同当事人按以下原则承担：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（2）承包人施工设备的损坏由承包人承担；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（3）发包人和承包人承担各自人员伤亡和财产的损失；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（5）因不可抗力引起或将引起工期延误，发包人要求赶工的，由此增加的赶工费用由发包人承担；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（6）承包人在停工期间按照发包人要求照管、清理和修复工程的费用由发包人承担。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因合同一方迟延履行合同义务，在迟延履行期间遭遇不可抗力的，不免除其违约责任。</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56" w:name="_Toc186097021"/>
      <w:r/>
      <w:bookmarkEnd w:id="656"/>
      <w:r/>
      <w:bookmarkStart w:id="657" w:name="_Toc96331568"/>
      <w:r/>
      <w:bookmarkEnd w:id="657"/>
      <w:r/>
      <w:bookmarkStart w:id="658" w:name="_Toc351203611"/>
      <w:r/>
      <w:bookmarkEnd w:id="658"/>
      <w:r/>
      <w:bookmarkStart w:id="659" w:name="_Toc337558827"/>
      <w:r>
        <w:rPr>
          <w:rFonts w:hint="eastAsia" w:ascii="宋体" w:hAnsi="宋体" w:eastAsia="宋体" w:cs="宋体"/>
          <w:b w:val="0"/>
          <w:bCs/>
          <w:color w:val="000000"/>
          <w:sz w:val="21"/>
          <w:szCs w:val="21"/>
          <w:highlight w:val="none"/>
        </w:rPr>
        <w:t xml:space="preserve">17.4 因不可抗力解除合同</w:t>
      </w:r>
      <w:bookmarkEnd w:id="65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（1）合同解除前承包人已完成工作的价款；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（2）承包人为工程订购的并已交付给承包人，或承包人有责任接受交付的材料、工程设备和其他物品的价款；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（3）发包人要求承包人退货或解除订货合同而产生的费用，或因不能退货或解除合同而产生的损失；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（4）承包人撤离施工现场以及遣散承包人人员的费用；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（5）按照合同约定在合同解除前应支付给承包人的其他款项；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（6）扣减承包人按照合同约定应向发包人支付的款项；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（7）双方商定或确定的其他款项。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除专用合同条款另有约定外，合同解除后，发包人应在商定或确定上述款项后28天内完成上述款项的支付。</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60" w:name="_Toc96331569"/>
      <w:r/>
      <w:bookmarkEnd w:id="660"/>
      <w:r/>
      <w:bookmarkStart w:id="661" w:name="_Toc186097022"/>
      <w:r/>
      <w:bookmarkEnd w:id="661"/>
      <w:r/>
      <w:bookmarkStart w:id="662" w:name="_Toc337558828"/>
      <w:r/>
      <w:bookmarkEnd w:id="662"/>
      <w:r/>
      <w:bookmarkStart w:id="663" w:name="_Toc296346621"/>
      <w:r/>
      <w:bookmarkEnd w:id="663"/>
      <w:r/>
      <w:bookmarkStart w:id="664" w:name="_Toc351203612"/>
      <w:r/>
      <w:bookmarkEnd w:id="664"/>
      <w:r/>
      <w:bookmarkStart w:id="665" w:name="_Toc296503120"/>
      <w:r>
        <w:rPr>
          <w:rFonts w:hint="eastAsia" w:ascii="宋体" w:hAnsi="宋体" w:eastAsia="宋体" w:cs="宋体"/>
          <w:b w:val="0"/>
          <w:bCs/>
          <w:color w:val="000000"/>
          <w:sz w:val="21"/>
          <w:szCs w:val="21"/>
          <w:highlight w:val="none"/>
        </w:rPr>
        <w:t xml:space="preserve">18. 保险</w:t>
      </w:r>
      <w:bookmarkEnd w:id="665"/>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66" w:name="_Toc351203613"/>
      <w:r/>
      <w:bookmarkEnd w:id="666"/>
      <w:r/>
      <w:bookmarkStart w:id="667" w:name="_Toc186097023"/>
      <w:r/>
      <w:bookmarkEnd w:id="667"/>
      <w:r/>
      <w:bookmarkStart w:id="668" w:name="_Toc296346622"/>
      <w:r/>
      <w:bookmarkEnd w:id="668"/>
      <w:r/>
      <w:bookmarkStart w:id="669" w:name="_Toc337558829"/>
      <w:r/>
      <w:bookmarkEnd w:id="669"/>
      <w:r/>
      <w:bookmarkStart w:id="670" w:name="_Toc96331570"/>
      <w:r/>
      <w:bookmarkEnd w:id="670"/>
      <w:r/>
      <w:bookmarkStart w:id="671" w:name="_Toc296503121"/>
      <w:r>
        <w:rPr>
          <w:rFonts w:hint="eastAsia" w:ascii="宋体" w:hAnsi="宋体" w:eastAsia="宋体" w:cs="宋体"/>
          <w:b w:val="0"/>
          <w:bCs/>
          <w:color w:val="000000"/>
          <w:sz w:val="21"/>
          <w:szCs w:val="21"/>
          <w:highlight w:val="none"/>
        </w:rPr>
        <w:t xml:space="preserve">18.1 工程保险</w:t>
      </w:r>
      <w:bookmarkEnd w:id="67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72" w:name="_Toc186097024"/>
      <w:r/>
      <w:bookmarkEnd w:id="672"/>
      <w:r/>
      <w:bookmarkStart w:id="673" w:name="_Toc351203614"/>
      <w:r/>
      <w:bookmarkEnd w:id="673"/>
      <w:r/>
      <w:bookmarkStart w:id="674" w:name="_Toc296503122"/>
      <w:r/>
      <w:bookmarkEnd w:id="674"/>
      <w:r/>
      <w:bookmarkStart w:id="675" w:name="_Toc296346623"/>
      <w:r/>
      <w:bookmarkEnd w:id="675"/>
      <w:r/>
      <w:bookmarkStart w:id="676" w:name="_Toc96331571"/>
      <w:r/>
      <w:bookmarkEnd w:id="676"/>
      <w:r/>
      <w:bookmarkStart w:id="677" w:name="_Toc337558830"/>
      <w:r>
        <w:rPr>
          <w:rFonts w:hint="eastAsia" w:ascii="宋体" w:hAnsi="宋体" w:eastAsia="宋体" w:cs="宋体"/>
          <w:b w:val="0"/>
          <w:bCs/>
          <w:color w:val="000000"/>
          <w:sz w:val="21"/>
          <w:szCs w:val="21"/>
          <w:highlight w:val="none"/>
        </w:rPr>
        <w:t xml:space="preserve">18.2 工伤保险</w:t>
      </w:r>
      <w:bookmarkEnd w:id="67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78" w:name="_Toc351203615"/>
      <w:r/>
      <w:bookmarkEnd w:id="678"/>
      <w:r/>
      <w:bookmarkStart w:id="679" w:name="_Toc96331572"/>
      <w:r/>
      <w:bookmarkEnd w:id="679"/>
      <w:r/>
      <w:bookmarkStart w:id="680" w:name="_Toc337558831"/>
      <w:r/>
      <w:bookmarkEnd w:id="680"/>
      <w:r/>
      <w:bookmarkStart w:id="681" w:name="_Toc296346626"/>
      <w:r/>
      <w:bookmarkEnd w:id="681"/>
      <w:r/>
      <w:bookmarkStart w:id="682" w:name="_Toc186097025"/>
      <w:r/>
      <w:bookmarkEnd w:id="682"/>
      <w:r/>
      <w:bookmarkStart w:id="683" w:name="_Toc296503125"/>
      <w:r>
        <w:rPr>
          <w:rFonts w:hint="eastAsia" w:ascii="宋体" w:hAnsi="宋体" w:eastAsia="宋体" w:cs="宋体"/>
          <w:b w:val="0"/>
          <w:bCs/>
          <w:color w:val="000000"/>
          <w:sz w:val="21"/>
          <w:szCs w:val="21"/>
          <w:highlight w:val="none"/>
        </w:rPr>
        <w:t xml:space="preserve">18.3其他保险</w:t>
      </w:r>
      <w:bookmarkEnd w:id="68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除专用合同条款另有约定外，承包人应为其施工设备等办理财产保险。</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84" w:name="_Toc96331573"/>
      <w:r/>
      <w:bookmarkEnd w:id="684"/>
      <w:r/>
      <w:bookmarkStart w:id="685" w:name="_Toc351203616"/>
      <w:r/>
      <w:bookmarkEnd w:id="685"/>
      <w:r/>
      <w:bookmarkStart w:id="686" w:name="_Toc186097026"/>
      <w:r>
        <w:rPr>
          <w:rFonts w:hint="eastAsia" w:ascii="宋体" w:hAnsi="宋体" w:eastAsia="宋体" w:cs="宋体"/>
          <w:b w:val="0"/>
          <w:bCs/>
          <w:color w:val="000000"/>
          <w:sz w:val="21"/>
          <w:szCs w:val="21"/>
          <w:highlight w:val="none"/>
        </w:rPr>
        <w:t xml:space="preserve">18.4持续保险</w:t>
      </w:r>
      <w:bookmarkEnd w:id="68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合同当事人应与保险人保持联系，使保险人能够随时了解工程实施中的变动，并确保按保险合同条款要求持续保险。</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87" w:name="_Toc351203617"/>
      <w:r/>
      <w:bookmarkEnd w:id="687"/>
      <w:r/>
      <w:bookmarkStart w:id="688" w:name="_Toc337558832"/>
      <w:r/>
      <w:bookmarkEnd w:id="688"/>
      <w:r/>
      <w:bookmarkStart w:id="689" w:name="_Toc186097027"/>
      <w:r/>
      <w:bookmarkEnd w:id="689"/>
      <w:r/>
      <w:bookmarkStart w:id="690" w:name="_Toc296503126"/>
      <w:r/>
      <w:bookmarkEnd w:id="690"/>
      <w:r/>
      <w:bookmarkStart w:id="691" w:name="_Toc96331574"/>
      <w:r/>
      <w:bookmarkEnd w:id="691"/>
      <w:r/>
      <w:bookmarkStart w:id="692" w:name="_Toc296346627"/>
      <w:r>
        <w:rPr>
          <w:rFonts w:hint="eastAsia" w:ascii="宋体" w:hAnsi="宋体" w:eastAsia="宋体" w:cs="宋体"/>
          <w:b w:val="0"/>
          <w:bCs/>
          <w:color w:val="000000"/>
          <w:sz w:val="21"/>
          <w:szCs w:val="21"/>
          <w:highlight w:val="none"/>
        </w:rPr>
        <w:t xml:space="preserve">18.5 保险凭证</w:t>
      </w:r>
      <w:bookmarkEnd w:id="69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合同当事人应及时向另一方当事人提交其已投保的各项保险的凭证和保险单复印件。</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3" w:name="_Toc96331575"/>
      <w:r/>
      <w:bookmarkEnd w:id="693"/>
      <w:r/>
      <w:bookmarkStart w:id="694" w:name="_Toc186097028"/>
      <w:r/>
      <w:bookmarkEnd w:id="694"/>
      <w:r/>
      <w:bookmarkStart w:id="695" w:name="_Toc296503127"/>
      <w:r/>
      <w:bookmarkEnd w:id="695"/>
      <w:r/>
      <w:bookmarkStart w:id="696" w:name="_Toc351203618"/>
      <w:r/>
      <w:bookmarkEnd w:id="696"/>
      <w:r/>
      <w:bookmarkStart w:id="697" w:name="_Toc296346628"/>
      <w:r/>
      <w:bookmarkEnd w:id="697"/>
      <w:r/>
      <w:bookmarkStart w:id="698" w:name="_Toc337558833"/>
      <w:r>
        <w:rPr>
          <w:rFonts w:hint="eastAsia" w:ascii="宋体" w:hAnsi="宋体" w:eastAsia="宋体" w:cs="宋体"/>
          <w:b w:val="0"/>
          <w:bCs/>
          <w:color w:val="000000"/>
          <w:sz w:val="21"/>
          <w:szCs w:val="21"/>
          <w:highlight w:val="none"/>
        </w:rPr>
        <w:t xml:space="preserve">18.6 未按约定投保的补救</w:t>
      </w:r>
      <w:bookmarkEnd w:id="69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9" w:name="_Toc186097029"/>
      <w:r/>
      <w:bookmarkEnd w:id="699"/>
      <w:r/>
      <w:bookmarkStart w:id="700" w:name="_Toc351203619"/>
      <w:r/>
      <w:bookmarkEnd w:id="700"/>
      <w:r/>
      <w:bookmarkStart w:id="701" w:name="_Toc96331576"/>
      <w:r/>
      <w:bookmarkEnd w:id="701"/>
      <w:r/>
      <w:bookmarkStart w:id="702" w:name="_Toc337558834"/>
      <w:r>
        <w:rPr>
          <w:rFonts w:hint="eastAsia" w:ascii="宋体" w:hAnsi="宋体" w:eastAsia="宋体" w:cs="宋体"/>
          <w:b w:val="0"/>
          <w:bCs/>
          <w:color w:val="000000"/>
          <w:sz w:val="21"/>
          <w:szCs w:val="21"/>
          <w:highlight w:val="none"/>
        </w:rPr>
        <w:t xml:space="preserve">18.7 通知义务</w:t>
      </w:r>
      <w:bookmarkEnd w:id="70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03" w:name="_Toc96331577"/>
      <w:r/>
      <w:bookmarkEnd w:id="703"/>
      <w:r/>
      <w:bookmarkStart w:id="704" w:name="_Toc351203620"/>
      <w:r/>
      <w:bookmarkEnd w:id="704"/>
      <w:r/>
      <w:bookmarkStart w:id="705" w:name="_Toc186097030"/>
      <w:r/>
      <w:bookmarkEnd w:id="705"/>
      <w:r/>
      <w:bookmarkStart w:id="706" w:name="_Toc296346641"/>
      <w:r/>
      <w:bookmarkEnd w:id="706"/>
      <w:r/>
      <w:bookmarkStart w:id="707" w:name="_Toc296503140"/>
      <w:r/>
      <w:bookmarkEnd w:id="707"/>
      <w:r/>
      <w:bookmarkStart w:id="708" w:name="_Toc337558835"/>
      <w:r>
        <w:rPr>
          <w:rFonts w:hint="eastAsia" w:ascii="宋体" w:hAnsi="宋体" w:eastAsia="宋体" w:cs="宋体"/>
          <w:b w:val="0"/>
          <w:bCs/>
          <w:color w:val="000000"/>
          <w:sz w:val="21"/>
          <w:szCs w:val="21"/>
          <w:highlight w:val="none"/>
        </w:rPr>
        <w:t xml:space="preserve">19. 索赔</w:t>
      </w:r>
      <w:bookmarkEnd w:id="708"/>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09" w:name="_Toc296503141"/>
      <w:r/>
      <w:bookmarkEnd w:id="709"/>
      <w:r/>
      <w:bookmarkStart w:id="710" w:name="_Toc337558836"/>
      <w:r/>
      <w:bookmarkEnd w:id="710"/>
      <w:r/>
      <w:bookmarkStart w:id="711" w:name="_Toc96331578"/>
      <w:r/>
      <w:bookmarkEnd w:id="711"/>
      <w:r/>
      <w:bookmarkStart w:id="712" w:name="_Toc186097031"/>
      <w:r/>
      <w:bookmarkEnd w:id="712"/>
      <w:r/>
      <w:bookmarkStart w:id="713" w:name="_Toc351203621"/>
      <w:r/>
      <w:bookmarkEnd w:id="713"/>
      <w:r/>
      <w:bookmarkStart w:id="714" w:name="_Toc296346642"/>
      <w:r>
        <w:rPr>
          <w:rFonts w:hint="eastAsia" w:ascii="宋体" w:hAnsi="宋体" w:eastAsia="宋体" w:cs="宋体"/>
          <w:b w:val="0"/>
          <w:bCs/>
          <w:color w:val="000000"/>
          <w:sz w:val="21"/>
          <w:szCs w:val="21"/>
          <w:highlight w:val="none"/>
        </w:rPr>
        <w:t xml:space="preserve">19.1承包人的索赔</w:t>
      </w:r>
      <w:bookmarkEnd w:id="71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根据合同约定，承包人认为有权得到追加付款和（或）延长工期的，应按以下程序向发包人提出索赔：</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15" w:name="_Toc96331579"/>
      <w:r/>
      <w:bookmarkEnd w:id="715"/>
      <w:r/>
      <w:bookmarkStart w:id="716" w:name="_Toc296346643"/>
      <w:r/>
      <w:bookmarkEnd w:id="716"/>
      <w:r/>
      <w:bookmarkStart w:id="717" w:name="_Toc186097032"/>
      <w:r/>
      <w:bookmarkEnd w:id="717"/>
      <w:r/>
      <w:bookmarkStart w:id="718" w:name="_Toc296503142"/>
      <w:r/>
      <w:bookmarkEnd w:id="718"/>
      <w:r/>
      <w:bookmarkStart w:id="719" w:name="_Toc351203622"/>
      <w:r/>
      <w:bookmarkEnd w:id="719"/>
      <w:r/>
      <w:bookmarkStart w:id="720" w:name="_Toc337558837"/>
      <w:r>
        <w:rPr>
          <w:rFonts w:hint="eastAsia" w:ascii="宋体" w:hAnsi="宋体" w:eastAsia="宋体" w:cs="宋体"/>
          <w:b w:val="0"/>
          <w:bCs/>
          <w:color w:val="000000"/>
          <w:sz w:val="21"/>
          <w:szCs w:val="21"/>
          <w:highlight w:val="none"/>
        </w:rPr>
        <w:t xml:space="preserve">19.2 对承包人索赔的处理</w:t>
      </w:r>
      <w:bookmarkEnd w:id="72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对承包人索赔的处理如下：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21" w:name="_Toc351203623"/>
      <w:r/>
      <w:bookmarkEnd w:id="721"/>
      <w:r/>
      <w:bookmarkStart w:id="722" w:name="_Toc186097033"/>
      <w:r/>
      <w:bookmarkEnd w:id="722"/>
      <w:r/>
      <w:bookmarkStart w:id="723" w:name="_Toc96331580"/>
      <w:r/>
      <w:bookmarkEnd w:id="723"/>
      <w:r/>
      <w:bookmarkStart w:id="724" w:name="_Toc337558838"/>
      <w:r/>
      <w:bookmarkEnd w:id="724"/>
      <w:r/>
      <w:bookmarkStart w:id="725" w:name="_Toc296503143"/>
      <w:r/>
      <w:bookmarkEnd w:id="725"/>
      <w:r/>
      <w:bookmarkStart w:id="726" w:name="_Toc296346644"/>
      <w:r>
        <w:rPr>
          <w:rFonts w:hint="eastAsia" w:ascii="宋体" w:hAnsi="宋体" w:eastAsia="宋体" w:cs="宋体"/>
          <w:b w:val="0"/>
          <w:bCs/>
          <w:color w:val="000000"/>
          <w:sz w:val="21"/>
          <w:szCs w:val="21"/>
          <w:highlight w:val="none"/>
        </w:rPr>
        <w:t xml:space="preserve">19.3发包人的索赔</w:t>
      </w:r>
      <w:bookmarkEnd w:id="72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27" w:name="_Toc351203624"/>
      <w:r/>
      <w:bookmarkEnd w:id="727"/>
      <w:r/>
      <w:bookmarkStart w:id="728" w:name="_Toc296503144"/>
      <w:r/>
      <w:bookmarkEnd w:id="728"/>
      <w:r/>
      <w:bookmarkStart w:id="729" w:name="_Toc186097034"/>
      <w:r/>
      <w:bookmarkEnd w:id="729"/>
      <w:r/>
      <w:bookmarkStart w:id="730" w:name="_Toc296346645"/>
      <w:r/>
      <w:bookmarkEnd w:id="730"/>
      <w:r/>
      <w:bookmarkStart w:id="731" w:name="_Toc96331581"/>
      <w:r/>
      <w:bookmarkEnd w:id="731"/>
      <w:r/>
      <w:bookmarkStart w:id="732" w:name="_Toc337558839"/>
      <w:r>
        <w:rPr>
          <w:rFonts w:hint="eastAsia" w:ascii="宋体" w:hAnsi="宋体" w:eastAsia="宋体" w:cs="宋体"/>
          <w:b w:val="0"/>
          <w:bCs/>
          <w:color w:val="000000"/>
          <w:sz w:val="21"/>
          <w:szCs w:val="21"/>
          <w:highlight w:val="none"/>
        </w:rPr>
        <w:t xml:space="preserve">19.4 对发包人索赔的处理</w:t>
      </w:r>
      <w:bookmarkEnd w:id="73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对发包人索赔的处理如下：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（1）承包人收到发包人提交的索赔报告后，应及时审查索赔报告的内容、查验发包人证明材料；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3" w:name="_Toc351203625"/>
      <w:r/>
      <w:bookmarkEnd w:id="733"/>
      <w:r/>
      <w:bookmarkStart w:id="734" w:name="_Toc96331582"/>
      <w:r/>
      <w:bookmarkEnd w:id="734"/>
      <w:r/>
      <w:bookmarkStart w:id="735" w:name="_Toc186097035"/>
      <w:r>
        <w:rPr>
          <w:rFonts w:hint="eastAsia" w:ascii="宋体" w:hAnsi="宋体" w:eastAsia="宋体" w:cs="宋体"/>
          <w:b w:val="0"/>
          <w:bCs/>
          <w:color w:val="000000"/>
          <w:sz w:val="21"/>
          <w:szCs w:val="21"/>
          <w:highlight w:val="none"/>
        </w:rPr>
        <w:t xml:space="preserve">19.5 提出索赔的期限</w:t>
      </w:r>
      <w:bookmarkEnd w:id="73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6" w:name="_Toc96331583"/>
      <w:r/>
      <w:bookmarkEnd w:id="736"/>
      <w:r/>
      <w:bookmarkStart w:id="737" w:name="_Toc186097036"/>
      <w:r/>
      <w:bookmarkEnd w:id="737"/>
      <w:r/>
      <w:bookmarkStart w:id="738" w:name="_Toc351203626"/>
      <w:r>
        <w:rPr>
          <w:rFonts w:hint="eastAsia" w:ascii="宋体" w:hAnsi="宋体" w:eastAsia="宋体" w:cs="宋体"/>
          <w:b w:val="0"/>
          <w:bCs/>
          <w:color w:val="000000"/>
          <w:sz w:val="21"/>
          <w:szCs w:val="21"/>
          <w:highlight w:val="none"/>
        </w:rPr>
        <w:t xml:space="preserve">20</w:t>
      </w:r>
      <w:bookmarkEnd w:id="738"/>
      <w:r/>
      <w:bookmarkStart w:id="739" w:name="_Toc337558840"/>
      <w:r/>
      <w:bookmarkEnd w:id="739"/>
      <w:r/>
      <w:bookmarkStart w:id="740" w:name="_Toc296346647"/>
      <w:r/>
      <w:bookmarkEnd w:id="740"/>
      <w:r/>
      <w:bookmarkStart w:id="741" w:name="_Toc296503146"/>
      <w:r>
        <w:rPr>
          <w:rFonts w:hint="eastAsia" w:ascii="宋体" w:hAnsi="宋体" w:eastAsia="宋体" w:cs="宋体"/>
          <w:b w:val="0"/>
          <w:bCs/>
          <w:color w:val="000000"/>
          <w:sz w:val="21"/>
          <w:szCs w:val="21"/>
          <w:highlight w:val="none"/>
        </w:rPr>
        <w:t xml:space="preserve">. 争议解决</w:t>
      </w:r>
      <w:bookmarkEnd w:id="741"/>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42" w:name="_Toc351203627"/>
      <w:r/>
      <w:bookmarkEnd w:id="742"/>
      <w:r/>
      <w:bookmarkStart w:id="743" w:name="_Toc186097037"/>
      <w:r/>
      <w:bookmarkEnd w:id="743"/>
      <w:r/>
      <w:bookmarkStart w:id="744" w:name="_Toc96331584"/>
      <w:r/>
      <w:bookmarkEnd w:id="744"/>
      <w:r/>
      <w:bookmarkStart w:id="745" w:name="_Toc296503147"/>
      <w:r/>
      <w:bookmarkEnd w:id="745"/>
      <w:r/>
      <w:bookmarkStart w:id="746" w:name="_Toc337558841"/>
      <w:r/>
      <w:bookmarkEnd w:id="746"/>
      <w:r/>
      <w:bookmarkStart w:id="747" w:name="_Toc296346648"/>
      <w:r>
        <w:rPr>
          <w:rFonts w:hint="eastAsia" w:ascii="宋体" w:hAnsi="宋体" w:eastAsia="宋体" w:cs="宋体"/>
          <w:b w:val="0"/>
          <w:bCs/>
          <w:color w:val="000000"/>
          <w:sz w:val="21"/>
          <w:szCs w:val="21"/>
          <w:highlight w:val="none"/>
        </w:rPr>
        <w:t xml:space="preserve">20.1和解</w:t>
      </w:r>
      <w:bookmarkEnd w:id="74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48" w:name="_Toc96331585"/>
      <w:r/>
      <w:bookmarkEnd w:id="748"/>
      <w:r/>
      <w:bookmarkStart w:id="749" w:name="_Toc186097038"/>
      <w:r/>
      <w:bookmarkEnd w:id="749"/>
      <w:r/>
      <w:bookmarkStart w:id="750" w:name="_Toc351203628"/>
      <w:r>
        <w:rPr>
          <w:rFonts w:hint="eastAsia" w:ascii="宋体" w:hAnsi="宋体" w:eastAsia="宋体" w:cs="宋体"/>
          <w:b w:val="0"/>
          <w:bCs/>
          <w:color w:val="000000"/>
          <w:sz w:val="21"/>
          <w:szCs w:val="21"/>
          <w:highlight w:val="none"/>
        </w:rPr>
        <w:t xml:space="preserve">20</w:t>
      </w:r>
      <w:bookmarkEnd w:id="750"/>
      <w:r/>
      <w:bookmarkStart w:id="751" w:name="_Toc296346649"/>
      <w:r/>
      <w:bookmarkEnd w:id="751"/>
      <w:r/>
      <w:bookmarkStart w:id="752" w:name="_Toc337558842"/>
      <w:r/>
      <w:bookmarkEnd w:id="752"/>
      <w:r/>
      <w:bookmarkStart w:id="753" w:name="_Toc296503148"/>
      <w:r>
        <w:rPr>
          <w:rFonts w:hint="eastAsia" w:ascii="宋体" w:hAnsi="宋体" w:eastAsia="宋体" w:cs="宋体"/>
          <w:b w:val="0"/>
          <w:bCs/>
          <w:color w:val="000000"/>
          <w:sz w:val="21"/>
          <w:szCs w:val="21"/>
          <w:highlight w:val="none"/>
        </w:rPr>
        <w:t xml:space="preserve">.2调解</w:t>
      </w:r>
      <w:bookmarkEnd w:id="75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54" w:name="_Toc337558843"/>
      <w:r/>
      <w:bookmarkEnd w:id="754"/>
      <w:r/>
      <w:bookmarkStart w:id="755" w:name="_Toc96331586"/>
      <w:r/>
      <w:bookmarkEnd w:id="755"/>
      <w:r/>
      <w:bookmarkStart w:id="756" w:name="_Toc351203629"/>
      <w:r/>
      <w:bookmarkEnd w:id="756"/>
      <w:r/>
      <w:bookmarkStart w:id="757" w:name="_Toc296346650"/>
      <w:r/>
      <w:bookmarkEnd w:id="757"/>
      <w:r/>
      <w:bookmarkStart w:id="758" w:name="_Toc186097039"/>
      <w:r/>
      <w:bookmarkEnd w:id="758"/>
      <w:r/>
      <w:bookmarkStart w:id="759" w:name="_Toc296503149"/>
      <w:r>
        <w:rPr>
          <w:rFonts w:hint="eastAsia" w:ascii="宋体" w:hAnsi="宋体" w:eastAsia="宋体" w:cs="宋体"/>
          <w:b w:val="0"/>
          <w:bCs/>
          <w:color w:val="000000"/>
          <w:sz w:val="21"/>
          <w:szCs w:val="21"/>
          <w:highlight w:val="none"/>
        </w:rPr>
        <w:t xml:space="preserve">20.3争议评审</w:t>
      </w:r>
      <w:bookmarkEnd w:id="75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合同当事人在专用合同条款中约定采取争议评审方式解决争议以及评审规则，并按下列约定执行：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除专用合同条款另有约定外，评审员报酬由发包人和承包人各承担一半。</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20.3.3 争议评审小组决定的效力</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60" w:name="_Toc337558844"/>
      <w:r/>
      <w:bookmarkEnd w:id="760"/>
      <w:r/>
      <w:bookmarkStart w:id="761" w:name="_Toc296346651"/>
      <w:r/>
      <w:bookmarkEnd w:id="761"/>
      <w:r/>
      <w:bookmarkStart w:id="762" w:name="_Toc96331587"/>
      <w:r/>
      <w:bookmarkEnd w:id="762"/>
      <w:r/>
      <w:bookmarkStart w:id="763" w:name="_Toc186097040"/>
      <w:r/>
      <w:bookmarkEnd w:id="763"/>
      <w:r/>
      <w:bookmarkStart w:id="764" w:name="_Toc351203630"/>
      <w:r/>
      <w:bookmarkEnd w:id="764"/>
      <w:r/>
      <w:bookmarkStart w:id="765" w:name="_Toc296503150"/>
      <w:r>
        <w:rPr>
          <w:rFonts w:hint="eastAsia" w:ascii="宋体" w:hAnsi="宋体" w:eastAsia="宋体" w:cs="宋体"/>
          <w:b w:val="0"/>
          <w:bCs/>
          <w:color w:val="000000"/>
          <w:sz w:val="21"/>
          <w:szCs w:val="21"/>
          <w:highlight w:val="none"/>
        </w:rPr>
        <w:t xml:space="preserve">20.4仲裁或诉讼</w:t>
      </w:r>
      <w:bookmarkEnd w:id="76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因合同及合同有关事项产生的争议，合同当事人可以在专用合同条款中约定以下一种方式解决争议：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（1）向约定的仲裁委员会申请仲裁；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（2）向有管辖权的人民法院起诉。</w:t>
      </w:r>
      <w:r>
        <w:rPr>
          <w:rFonts w:hint="eastAsia" w:ascii="宋体" w:hAnsi="宋体" w:eastAsia="宋体" w:cs="宋体"/>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66" w:name="_Toc296503152"/>
      <w:r/>
      <w:bookmarkEnd w:id="766"/>
      <w:r/>
      <w:bookmarkStart w:id="767" w:name="_Toc96331588"/>
      <w:r/>
      <w:bookmarkEnd w:id="767"/>
      <w:r/>
      <w:bookmarkStart w:id="768" w:name="_Toc186097041"/>
      <w:r/>
      <w:bookmarkEnd w:id="768"/>
      <w:r/>
      <w:bookmarkStart w:id="769" w:name="_Toc351203631"/>
      <w:r/>
      <w:bookmarkEnd w:id="769"/>
      <w:r/>
      <w:bookmarkStart w:id="770" w:name="_Toc296346653"/>
      <w:r/>
      <w:bookmarkEnd w:id="770"/>
      <w:r/>
      <w:bookmarkStart w:id="771" w:name="_Toc337558845"/>
      <w:r>
        <w:rPr>
          <w:rFonts w:hint="eastAsia" w:ascii="宋体" w:hAnsi="宋体" w:eastAsia="宋体" w:cs="宋体"/>
          <w:b w:val="0"/>
          <w:bCs/>
          <w:color w:val="000000"/>
          <w:sz w:val="21"/>
          <w:szCs w:val="21"/>
          <w:highlight w:val="none"/>
        </w:rPr>
        <w:t xml:space="preserve">20.5争议解决条款效力</w:t>
      </w:r>
      <w:bookmarkEnd w:id="77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合同有关争议解决的条款独立存在，合同的变更、解除、终止、无效或者被撤销均不影响其效力。</w:t>
      </w:r>
      <w:r>
        <w:rPr>
          <w:rFonts w:hint="eastAsia" w:ascii="宋体" w:hAnsi="宋体" w:eastAsia="宋体" w:cs="宋体"/>
          <w:color w:val="000000"/>
          <w:sz w:val="21"/>
          <w:szCs w:val="21"/>
          <w:highlight w:val="none"/>
        </w:rPr>
      </w:r>
      <w:r/>
    </w:p>
    <w:p>
      <w:pPr>
        <w:pStyle w:val="1063"/>
        <w:ind w:left="0" w:right="0" w:firstLine="412"/>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br w:type="page" w:clear="all"/>
      </w:r>
      <w:r>
        <w:rPr>
          <w:rFonts w:hint="eastAsia" w:ascii="宋体" w:hAnsi="宋体" w:eastAsia="宋体" w:cs="宋体"/>
          <w:b/>
          <w:bCs/>
          <w:color w:val="000000"/>
          <w:spacing w:val="-2"/>
          <w:sz w:val="21"/>
          <w:szCs w:val="21"/>
          <w:highlight w:val="none"/>
        </w:rPr>
        <w:t xml:space="preserve">第三部分</w:t>
      </w:r>
      <w:r>
        <w:rPr>
          <w:rFonts w:hint="eastAsia" w:ascii="宋体" w:hAnsi="宋体" w:eastAsia="宋体" w:cs="宋体"/>
          <w:b/>
          <w:bCs/>
          <w:color w:val="000000"/>
          <w:spacing w:val="-2"/>
          <w:sz w:val="21"/>
          <w:szCs w:val="21"/>
          <w:highlight w:val="none"/>
          <w:lang w:val="en-US" w:eastAsia="zh-CN"/>
        </w:rPr>
        <w:t xml:space="preserve"> </w:t>
      </w:r>
      <w:r>
        <w:rPr>
          <w:rFonts w:hint="eastAsia" w:ascii="宋体" w:hAnsi="宋体" w:eastAsia="宋体" w:cs="宋体"/>
          <w:b/>
          <w:bCs/>
          <w:color w:val="000000"/>
          <w:spacing w:val="-2"/>
          <w:sz w:val="21"/>
          <w:szCs w:val="21"/>
          <w:highlight w:val="none"/>
        </w:rPr>
        <w:t xml:space="preserve">专用合同条款</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72" w:name="_Toc186097042"/>
      <w:r/>
      <w:bookmarkEnd w:id="772"/>
      <w:r/>
      <w:bookmarkStart w:id="773" w:name="_Toc96331590"/>
      <w:r/>
      <w:bookmarkEnd w:id="773"/>
      <w:r/>
      <w:bookmarkStart w:id="774" w:name="_Toc351203633"/>
      <w:r>
        <w:rPr>
          <w:rFonts w:hint="eastAsia" w:ascii="宋体" w:hAnsi="宋体" w:eastAsia="宋体" w:cs="宋体"/>
          <w:b w:val="0"/>
          <w:bCs/>
          <w:color w:val="000000"/>
          <w:sz w:val="21"/>
          <w:szCs w:val="21"/>
          <w:highlight w:val="none"/>
        </w:rPr>
        <w:t xml:space="preserve">1</w:t>
      </w:r>
      <w:bookmarkEnd w:id="774"/>
      <w:r/>
      <w:bookmarkStart w:id="775" w:name="_Toc297048342"/>
      <w:r/>
      <w:bookmarkEnd w:id="775"/>
      <w:r/>
      <w:bookmarkStart w:id="776" w:name="_Toc296346657"/>
      <w:r/>
      <w:bookmarkEnd w:id="776"/>
      <w:r/>
      <w:bookmarkStart w:id="777" w:name="_Toc292559361"/>
      <w:r/>
      <w:bookmarkEnd w:id="777"/>
      <w:r/>
      <w:bookmarkStart w:id="778" w:name="_Toc296944495"/>
      <w:r/>
      <w:bookmarkEnd w:id="778"/>
      <w:r/>
      <w:bookmarkStart w:id="779" w:name="_Toc296891196"/>
      <w:r/>
      <w:bookmarkEnd w:id="779"/>
      <w:r/>
      <w:bookmarkStart w:id="780" w:name="_Toc296890984"/>
      <w:r/>
      <w:bookmarkEnd w:id="780"/>
      <w:r/>
      <w:bookmarkStart w:id="781" w:name="_Toc297120456"/>
      <w:r/>
      <w:bookmarkEnd w:id="781"/>
      <w:r/>
      <w:bookmarkStart w:id="782" w:name="_Toc292559866"/>
      <w:r/>
      <w:bookmarkEnd w:id="782"/>
      <w:r/>
      <w:bookmarkStart w:id="783" w:name="_Toc296503156"/>
      <w:r/>
      <w:bookmarkEnd w:id="783"/>
      <w:r/>
      <w:bookmarkStart w:id="784" w:name="_Toc296347155"/>
      <w:r>
        <w:rPr>
          <w:rFonts w:hint="eastAsia" w:ascii="宋体" w:hAnsi="宋体" w:eastAsia="宋体" w:cs="宋体"/>
          <w:b w:val="0"/>
          <w:bCs/>
          <w:color w:val="000000"/>
          <w:sz w:val="21"/>
          <w:szCs w:val="21"/>
          <w:highlight w:val="none"/>
        </w:rPr>
        <w:t xml:space="preserve">. 一般约定</w:t>
      </w:r>
      <w:bookmarkEnd w:id="784"/>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5" w:name="_Toc186097043"/>
      <w:r/>
      <w:bookmarkEnd w:id="785"/>
      <w:r/>
      <w:bookmarkStart w:id="786" w:name="_Toc96331591"/>
      <w:r/>
      <w:bookmarkEnd w:id="786"/>
      <w:r>
        <w:rPr>
          <w:rFonts w:hint="eastAsia" w:ascii="宋体" w:hAnsi="宋体" w:eastAsia="宋体" w:cs="宋体"/>
          <w:b w:val="0"/>
          <w:bCs/>
          <w:color w:val="000000"/>
          <w:sz w:val="21"/>
          <w:szCs w:val="21"/>
          <w:highlight w:val="none"/>
        </w:rPr>
        <w:t xml:space="preserve">1.1 词语定义</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（1）招标文件及其附件；（2）发包人相应的管理规定；（3）投标文件其他内容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承包人须严格控制施工场所在项目建设用地红线范围内。如承包人需在建设用地红线外使用其他场所，相关费用已包含在签约合同价中，结算不另行计量计价。</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787" w:name="_Toc96331592"/>
      <w:r/>
      <w:bookmarkEnd w:id="787"/>
      <w:r>
        <w:rPr>
          <w:rFonts w:hint="eastAsia" w:ascii="宋体" w:hAnsi="宋体" w:eastAsia="宋体" w:cs="宋体"/>
          <w:color w:val="000000"/>
          <w:sz w:val="21"/>
          <w:szCs w:val="21"/>
          <w:highlight w:val="none"/>
          <w:u w:val="single"/>
        </w:rPr>
        <w:t xml:space="preserve">承包人驻地的办公室、食堂、宿舍、道路和机械设备停放场、材料堆放场、预制场、拌和场、仓库、进场临时道路、临时便道、便桥等。发包人不负责提供临时占地，如承包人需使用临时占地，由承包人向土地管理部门申请并办理租用手续，发包人提供协助，临时占地退还前承包人应恢复到临时占地使用前的状况。租用（包含但不限于勘测定界、用地补偿、林地使用、农地使用等）、恢复等相关费用已包含在签约合同价中，结算不另行计量计价。</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8" w:name="_Toc186097044"/>
      <w:r/>
      <w:bookmarkEnd w:id="788"/>
      <w:r>
        <w:rPr>
          <w:rFonts w:hint="eastAsia" w:ascii="宋体" w:hAnsi="宋体" w:eastAsia="宋体" w:cs="宋体"/>
          <w:b w:val="0"/>
          <w:bCs/>
          <w:color w:val="000000"/>
          <w:sz w:val="21"/>
          <w:szCs w:val="21"/>
          <w:highlight w:val="none"/>
        </w:rPr>
        <w:t xml:space="preserve">1.3法律</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9" w:name="_Toc186097045"/>
      <w:r/>
      <w:bookmarkEnd w:id="789"/>
      <w:r/>
      <w:bookmarkStart w:id="790" w:name="_Toc96331593"/>
      <w:r>
        <w:rPr>
          <w:rFonts w:hint="eastAsia" w:ascii="宋体" w:hAnsi="宋体" w:eastAsia="宋体" w:cs="宋体"/>
          <w:b w:val="0"/>
          <w:bCs/>
          <w:color w:val="000000"/>
          <w:sz w:val="21"/>
          <w:szCs w:val="21"/>
          <w:highlight w:val="none"/>
        </w:rPr>
        <w:t xml:space="preserve">1.4 标准和规范</w:t>
      </w:r>
      <w:bookmarkEnd w:id="79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1" w:name="_Toc96331594"/>
      <w:r/>
      <w:bookmarkEnd w:id="791"/>
      <w:r/>
      <w:bookmarkStart w:id="792" w:name="_Toc186097046"/>
      <w:r>
        <w:rPr>
          <w:rFonts w:hint="eastAsia" w:ascii="宋体" w:hAnsi="宋体" w:eastAsia="宋体" w:cs="宋体"/>
          <w:b w:val="0"/>
          <w:bCs/>
          <w:color w:val="000000"/>
          <w:sz w:val="21"/>
          <w:szCs w:val="21"/>
          <w:highlight w:val="none"/>
        </w:rPr>
        <w:t xml:space="preserve">1.5 合同文件的优先顺序</w:t>
      </w:r>
      <w:bookmarkEnd w:id="79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合同协议书；（2）中标通知书；（3）投标函及投标函附录；（4）专用合同条款及附件；（5）通用合同条款；（6）技术标准和要求；（7）图纸；（8）招标文件及其附件；（9）已标价工程量清单或预算书；（10）发包人相应的管理规定；（11）投标文件其他内容。</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3" w:name="_Toc96331595"/>
      <w:r/>
      <w:bookmarkEnd w:id="793"/>
      <w:r/>
      <w:bookmarkStart w:id="794" w:name="_Toc186097047"/>
      <w:r>
        <w:rPr>
          <w:rFonts w:hint="eastAsia" w:ascii="宋体" w:hAnsi="宋体" w:eastAsia="宋体" w:cs="宋体"/>
          <w:b w:val="0"/>
          <w:bCs/>
          <w:color w:val="000000"/>
          <w:sz w:val="21"/>
          <w:szCs w:val="21"/>
          <w:highlight w:val="none"/>
        </w:rPr>
        <w:t xml:space="preserve">1.6 图纸和承包人文件</w:t>
      </w:r>
      <w:bookmarkEnd w:id="79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开工前7天内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3套（不含竣工图），如承包人需要增加图纸，发包人可协调设计人代为复制，费用由承包人承担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工程承包范围内的施工图（纸质及电子文件）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（1）提供用于办理施工许可证要求的资料，包括拟投入机械设备合格证书及相应的检测报告、承包人及项目部相关人员资质证书、所投入施工的所有人员名单、开工前的申请报告以及所要求的各类报表；</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（2）提供施工组织设计、专项施工方案、应急预案、总进度计划、材料设备采购计划；</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（3）本合同、发包人、监理人要求提供的其他文件。</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用于办理施工许可证的资料、施工组织设计、应急预案、总进度计划，承包人最迟不晚于计划开始现场施工日期前14天提供；专项施工方案、材料设备采购计划承包人最迟不晚于相应部位施工、采购前28天提供；发包人、监理人对承包人文件提出质疑和合理建议，承包人须在7天内完成修改并重新提交；其他文件提供的时间按发包人、监理人要求。</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不少于4份（合同有其他约定的从其约定）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纸质及电子文件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收到相应文件后14天内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5" w:name="_Toc96331596"/>
      <w:r/>
      <w:bookmarkEnd w:id="795"/>
      <w:r/>
      <w:bookmarkStart w:id="796" w:name="_Toc186097048"/>
      <w:r>
        <w:rPr>
          <w:rFonts w:hint="eastAsia" w:ascii="宋体" w:hAnsi="宋体" w:eastAsia="宋体" w:cs="宋体"/>
          <w:b w:val="0"/>
          <w:bCs/>
          <w:color w:val="000000"/>
          <w:sz w:val="21"/>
          <w:szCs w:val="21"/>
          <w:highlight w:val="none"/>
        </w:rPr>
        <w:t xml:space="preserve">1.7 联络</w:t>
      </w:r>
      <w:bookmarkEnd w:id="79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3</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项目现场发包人代表办公室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发包人代表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项目现场项目经理办公室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项目经理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项目现场监理办公室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总监理工程师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7" w:name="_Toc186097049"/>
      <w:r/>
      <w:bookmarkEnd w:id="797"/>
      <w:r/>
      <w:bookmarkStart w:id="798" w:name="_Toc96331597"/>
      <w:r>
        <w:rPr>
          <w:rFonts w:hint="eastAsia" w:ascii="宋体" w:hAnsi="宋体" w:eastAsia="宋体" w:cs="宋体"/>
          <w:b w:val="0"/>
          <w:bCs/>
          <w:color w:val="000000"/>
          <w:sz w:val="21"/>
          <w:szCs w:val="21"/>
          <w:highlight w:val="none"/>
        </w:rPr>
        <w:t xml:space="preserve">1.10 交通运输</w:t>
      </w:r>
      <w:bookmarkEnd w:id="79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bookmarkStart w:id="799" w:name="_Toc304295521"/>
      <w:r/>
      <w:bookmarkEnd w:id="799"/>
      <w:r/>
      <w:bookmarkStart w:id="800" w:name="_Toc303539100"/>
      <w:r/>
      <w:bookmarkEnd w:id="800"/>
      <w:r/>
      <w:bookmarkStart w:id="801" w:name="_Toc318581155"/>
      <w:r/>
      <w:bookmarkEnd w:id="801"/>
      <w:r/>
      <w:bookmarkStart w:id="802" w:name="_Toc312677986"/>
      <w:r/>
      <w:bookmarkEnd w:id="802"/>
      <w:r/>
      <w:bookmarkStart w:id="803" w:name="_Toc300934943"/>
      <w:r>
        <w:rPr>
          <w:rFonts w:hint="eastAsia" w:ascii="宋体" w:hAnsi="宋体" w:eastAsia="宋体" w:cs="宋体"/>
          <w:color w:val="000000"/>
          <w:sz w:val="21"/>
          <w:szCs w:val="21"/>
          <w:highlight w:val="none"/>
        </w:rPr>
        <w:t xml:space="preserve">.10.1 出入现场的权利</w:t>
      </w:r>
      <w:bookmarkEnd w:id="803"/>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bookmarkStart w:id="804" w:name="_Toc312677987"/>
      <w:r/>
      <w:bookmarkEnd w:id="804"/>
      <w:r/>
      <w:bookmarkStart w:id="805" w:name="_Toc303539101"/>
      <w:r/>
      <w:bookmarkEnd w:id="805"/>
      <w:r/>
      <w:bookmarkStart w:id="806" w:name="_Toc304295522"/>
      <w:r/>
      <w:bookmarkEnd w:id="806"/>
      <w:r/>
      <w:bookmarkStart w:id="807" w:name="_Toc300934944"/>
      <w:r/>
      <w:bookmarkEnd w:id="807"/>
      <w:r/>
      <w:bookmarkStart w:id="808" w:name="_Toc318581156"/>
      <w:r>
        <w:rPr>
          <w:rFonts w:hint="eastAsia" w:ascii="宋体" w:hAnsi="宋体" w:eastAsia="宋体" w:cs="宋体"/>
          <w:color w:val="000000"/>
          <w:sz w:val="21"/>
          <w:szCs w:val="21"/>
          <w:highlight w:val="none"/>
        </w:rPr>
        <w:t xml:space="preserve">.10.3 场内交通</w:t>
      </w:r>
      <w:bookmarkEnd w:id="808"/>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规划红线内为场内交通，规划红线外为场外交通。</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承包人如认为现状场外交通无法满足施工需要的，应向发包人、监理人提出建议方案，并向城管部门申办道路占用挖掘等相关手续，发包人提供协助。费用已包含在签约合同价中，结算不另行计量计价。</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rPr>
        <w:t xml:space="preserve">场内道路和交通设施以投标时状况为准。场内道路由承包人使用、管理，承包人应保证施工期间车辆、人员通行的畅通及安全，交通设施由承包人自备。相关费用已包含在签约合同价中，结算不另行计量计价。</w:t>
      </w:r>
      <w:bookmarkStart w:id="809" w:name="_Toc318581157"/>
      <w:r/>
      <w:bookmarkEnd w:id="809"/>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10" w:name="_Toc96331598"/>
      <w:r/>
      <w:bookmarkEnd w:id="810"/>
      <w:r/>
      <w:bookmarkStart w:id="811" w:name="_Toc186097050"/>
      <w:r>
        <w:rPr>
          <w:rFonts w:hint="eastAsia" w:ascii="宋体" w:hAnsi="宋体" w:eastAsia="宋体" w:cs="宋体"/>
          <w:b w:val="0"/>
          <w:bCs/>
          <w:color w:val="000000"/>
          <w:sz w:val="21"/>
          <w:szCs w:val="21"/>
          <w:highlight w:val="none"/>
        </w:rPr>
        <w:t xml:space="preserve">1.11 知识产权</w:t>
      </w:r>
      <w:bookmarkEnd w:id="81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00"/>
          <w:sz w:val="21"/>
          <w:szCs w:val="21"/>
          <w:highlight w:val="none"/>
          <w:u w:val="single"/>
        </w:rPr>
        <w:t xml:space="preserve">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12" w:name="_Toc186097051"/>
      <w:r/>
      <w:bookmarkEnd w:id="812"/>
      <w:r>
        <w:rPr>
          <w:rFonts w:hint="eastAsia" w:ascii="宋体" w:hAnsi="宋体" w:eastAsia="宋体" w:cs="宋体"/>
          <w:b w:val="0"/>
          <w:bCs/>
          <w:color w:val="000000"/>
          <w:sz w:val="21"/>
          <w:szCs w:val="21"/>
          <w:highlight w:val="none"/>
        </w:rPr>
        <w:t xml:space="preserve">1.13工程量清单错误的修正</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工程量清单存在缺项、漏项、错误时，可调整合同价格。</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如经分析不存在严重不平衡报价，单价的调整按以下规则执行：</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如计量工程量与清单工程量相比增加超过15%，超出15%以外部分单价下浮5%，其余不调整。</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如经分析存在严重不平衡报价，单价的调整按以下规则执行：</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如计量工程量与清单工程量相比增加，增加部分的单价取已标价工程量清单单价、招标控制价单价×（1-下浮率）两者较低者。如计量工程量与清单工程量相比减少，减少部分的单价取已标价工程量清单单价、招标控制价单价×（1-下浮率）两者较高者，但结算时须从签约合同价中扣除以下数额的价款：减少部分的工程量×（已标价工程量清单单价、招标控制价单价×（1-下浮率）两者较高者）。</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严重不平衡报价是指：已标价工程量清单单价偏差率超过±15%（含）。偏差率=｛1已标价工程量清单单价/[招标控制价单价×（1－下浮率）]｝×100%。下浮率=[1－（签约合同价－暂估价－暂列金）/（招标控制价－暂估价－暂列金）]×100%。</w:t>
      </w:r>
      <w:r>
        <w:rPr>
          <w:rFonts w:hint="eastAsia" w:ascii="宋体" w:hAnsi="宋体" w:eastAsia="宋体" w:cs="宋体"/>
          <w:color w:val="000000"/>
          <w:sz w:val="21"/>
          <w:szCs w:val="21"/>
          <w:highlight w:val="none"/>
          <w:u w:val="single"/>
        </w:rPr>
      </w:r>
      <w:r/>
    </w:p>
    <w:p>
      <w:pPr>
        <w:pStyle w:val="1063"/>
        <w:ind w:left="0" w:right="0" w:firstLine="420"/>
        <w:jc w:val="both"/>
        <w:keepLines/>
        <w:keepNext/>
        <w:pageBreakBefore w:val="0"/>
        <w:spacing w:line="400" w:lineRule="exact"/>
        <w:widowControl w:val="off"/>
        <w:rPr>
          <w:rFonts w:hint="eastAsia" w:ascii="宋体" w:hAnsi="宋体" w:eastAsia="宋体" w:cs="宋体"/>
          <w:bCs/>
          <w:color w:val="000000"/>
          <w:sz w:val="21"/>
          <w:szCs w:val="21"/>
          <w:highlight w:val="none"/>
        </w:rPr>
        <w:outlineLvl w:val="9"/>
      </w:pPr>
      <w:r/>
      <w:bookmarkStart w:id="813" w:name="_Toc186097052"/>
      <w:r/>
      <w:bookmarkEnd w:id="813"/>
      <w:r>
        <w:rPr>
          <w:rFonts w:hint="eastAsia" w:ascii="宋体" w:hAnsi="宋体" w:eastAsia="宋体" w:cs="宋体"/>
          <w:bCs/>
          <w:color w:val="000000"/>
          <w:sz w:val="21"/>
          <w:szCs w:val="21"/>
          <w:highlight w:val="none"/>
        </w:rPr>
        <w:t xml:space="preserve">增加1.14 建筑信息模型技术的应用</w:t>
      </w:r>
      <w:r>
        <w:rPr>
          <w:rFonts w:hint="eastAsia" w:ascii="宋体" w:hAnsi="宋体" w:eastAsia="宋体" w:cs="宋体"/>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关于建筑信息模型技术的开发、使用、存储、传输、交付及费用约定如下：</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r>
      <w:r/>
    </w:p>
    <w:p>
      <w:pPr>
        <w:pStyle w:val="1063"/>
        <w:ind w:left="0" w:right="0" w:firstLine="422"/>
        <w:pageBreakBefore w:val="0"/>
        <w:spacing w:line="400" w:lineRule="exact"/>
        <w:rPr>
          <w:rFonts w:hint="eastAsia" w:ascii="宋体" w:hAnsi="宋体" w:eastAsia="宋体" w:cs="宋体"/>
          <w:b/>
          <w:color w:val="000000"/>
          <w:sz w:val="21"/>
          <w:szCs w:val="21"/>
          <w:highlight w:val="none"/>
        </w:rPr>
        <w:outlineLvl w:val="9"/>
      </w:pPr>
      <w:r/>
      <w:bookmarkStart w:id="814" w:name="_Toc351203634"/>
      <w:r/>
      <w:bookmarkEnd w:id="814"/>
      <w:r/>
      <w:bookmarkStart w:id="815" w:name="_Toc96331599"/>
      <w:r>
        <w:rPr>
          <w:rFonts w:hint="eastAsia" w:ascii="宋体" w:hAnsi="宋体" w:eastAsia="宋体" w:cs="宋体"/>
          <w:b/>
          <w:color w:val="000000"/>
          <w:sz w:val="21"/>
          <w:szCs w:val="21"/>
          <w:highlight w:val="none"/>
        </w:rPr>
        <w:t xml:space="preserve">2</w:t>
      </w:r>
      <w:bookmarkEnd w:id="815"/>
      <w:r/>
      <w:bookmarkStart w:id="816" w:name="_Toc296347156"/>
      <w:r/>
      <w:bookmarkEnd w:id="816"/>
      <w:r/>
      <w:bookmarkStart w:id="817" w:name="_Toc292559362"/>
      <w:r/>
      <w:bookmarkEnd w:id="817"/>
      <w:r/>
      <w:bookmarkStart w:id="818" w:name="_Toc297048343"/>
      <w:r/>
      <w:bookmarkEnd w:id="818"/>
      <w:r/>
      <w:bookmarkStart w:id="819" w:name="_Toc296890985"/>
      <w:r/>
      <w:bookmarkEnd w:id="819"/>
      <w:r/>
      <w:bookmarkStart w:id="820" w:name="_Toc297120457"/>
      <w:r/>
      <w:bookmarkEnd w:id="820"/>
      <w:r/>
      <w:bookmarkStart w:id="821" w:name="_Toc296891197"/>
      <w:r/>
      <w:bookmarkEnd w:id="821"/>
      <w:r/>
      <w:bookmarkStart w:id="822" w:name="_Toc296503157"/>
      <w:r/>
      <w:bookmarkEnd w:id="822"/>
      <w:r/>
      <w:bookmarkStart w:id="823" w:name="_Toc296346658"/>
      <w:r/>
      <w:bookmarkEnd w:id="823"/>
      <w:r/>
      <w:bookmarkStart w:id="824" w:name="_Toc292559867"/>
      <w:r/>
      <w:bookmarkEnd w:id="824"/>
      <w:r/>
      <w:bookmarkStart w:id="825" w:name="_Toc296944496"/>
      <w:r>
        <w:rPr>
          <w:rFonts w:hint="eastAsia" w:ascii="宋体" w:hAnsi="宋体" w:eastAsia="宋体" w:cs="宋体"/>
          <w:b/>
          <w:color w:val="000000"/>
          <w:sz w:val="21"/>
          <w:szCs w:val="21"/>
          <w:highlight w:val="none"/>
        </w:rPr>
        <w:t xml:space="preserve">. </w:t>
      </w:r>
      <w:bookmarkEnd w:id="825"/>
      <w:r>
        <w:rPr>
          <w:rFonts w:hint="eastAsia" w:ascii="宋体" w:hAnsi="宋体" w:eastAsia="宋体" w:cs="宋体"/>
          <w:b/>
          <w:color w:val="000000"/>
          <w:sz w:val="21"/>
          <w:szCs w:val="21"/>
          <w:highlight w:val="none"/>
        </w:rPr>
        <w:t xml:space="preserve">发包人</w:t>
      </w:r>
      <w:r>
        <w:rPr>
          <w:rFonts w:hint="eastAsia" w:ascii="宋体" w:hAnsi="宋体" w:eastAsia="宋体" w:cs="宋体"/>
          <w:b/>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6" w:name="_Toc96331600"/>
      <w:r/>
      <w:bookmarkEnd w:id="826"/>
      <w:r/>
      <w:bookmarkStart w:id="827" w:name="_Toc186097053"/>
      <w:r/>
      <w:bookmarkEnd w:id="827"/>
      <w:r>
        <w:rPr>
          <w:rFonts w:hint="eastAsia" w:ascii="宋体" w:hAnsi="宋体" w:eastAsia="宋体" w:cs="宋体"/>
          <w:b w:val="0"/>
          <w:bCs/>
          <w:color w:val="000000"/>
          <w:sz w:val="21"/>
          <w:szCs w:val="21"/>
          <w:highlight w:val="none"/>
        </w:rPr>
        <w:t xml:space="preserve">2.2 发包人代表</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代表发包人在现场行使权利和履行义务，对工程进度、质量、投资、安全、环境进行总体监督控制，组织合同管理、信息管理，协调施工现场各方面关系等。</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需要取得发包人批准才能行使的职权：</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（1）发出可能引起工程范围扩大或缩小、工程质量标准的提高或降低、合同价款增加、合同工期延长的相关指令； </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（2）批准或同意承包人提出的追加或变更合同价款、补偿损失申请、索赔申请；</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（3）批准或同意承包人提出的顺延工期申请；</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（4）批准或同意承包人采购材料设备、分包申请；</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（5）确认工程竣工验收报告或甩项验收报告及工程缺陷证书；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（6）确认工程竣工结算价款；</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（7）撤换项目经理及项目副经理、技术负责人、</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"http://www.so.com/s?q=%E5%AE%89%E5%85%A8%E5%91%98&amp;ie=utf-8&amp;src=internal_wenda_recommend_textn" </w:instrText>
      </w:r>
      <w:r>
        <w:rPr>
          <w:rFonts w:hint="eastAsia" w:ascii="宋体" w:hAnsi="宋体" w:eastAsia="宋体" w:cs="宋体"/>
          <w:color w:val="000000"/>
          <w:sz w:val="21"/>
          <w:szCs w:val="21"/>
          <w:highlight w:val="none"/>
        </w:rPr>
        <w:fldChar w:fldCharType="separate"/>
      </w:r>
      <w:r>
        <w:rPr>
          <w:rStyle w:val="1153"/>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u w:val="single"/>
        </w:rPr>
        <w:t xml:space="preserve">员、质量管理员；</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（8）变更合同权利义务或解除合同。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包人代表在发出上述指令、批准或同意时应附上加盖发包人公章的书面文件。承包人在收到发包人代表的上述指令、批准或同意时应核对有无发包人的书面确认，一旦发包人代表未经发包人确认作出上述指令、批准或同意，承包人应立即将该情况通知发包人，要求发包人予以书面追认。发包人未予追认的或承包人未通知的，发包人代表的该行为对发包人无约束力。</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8" w:name="_Toc96331601"/>
      <w:r/>
      <w:bookmarkEnd w:id="828"/>
      <w:r/>
      <w:bookmarkStart w:id="829" w:name="_Toc186097054"/>
      <w:r>
        <w:rPr>
          <w:rFonts w:hint="eastAsia" w:ascii="宋体" w:hAnsi="宋体" w:eastAsia="宋体" w:cs="宋体"/>
          <w:b w:val="0"/>
          <w:bCs/>
          <w:color w:val="000000"/>
          <w:sz w:val="21"/>
          <w:szCs w:val="21"/>
          <w:highlight w:val="none"/>
        </w:rPr>
        <w:t xml:space="preserve">2.4 施工现场、施工条件和基础资料的提供</w:t>
      </w:r>
      <w:bookmarkEnd w:id="82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（1）临时道路、施工场地等场内工作条件</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以承包人投标前应自行踏勘的现场状况为准。承包人若认为承担本项目施工需对场内工作条件进行更改、加固、调整、建造等，相关费用已包含在签约合同价中，结算不另行计量计价。</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（1）临时供电</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开工前发包人不提供电源，根据施工需要，承包人可以直接与供电部门联系安排适当的电源或自备发电机组或向周边单位协调接电等多种方式。任何一种方式均由承包人自行考虑并自行解决，所有从电源至施工用电设备线路的安装由承包人负责实施，安装费、线路购置费及施工过程中发生的所有电费，使用发电机的所有台班费用等均应包含在承包人投标报价中，发包人不为此承担任何费用。</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（2）临时用水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包人不负责提供水源点，由承包人负责新增水源点并接入施工现场，施工现场的管路安装及布置均由承包人负责实施（含水源点的管路安装及布置），相关费用已包含在签约合同价中，结算不另行计量计价。发包人配合协调。</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（3）水准点与坐标控制点</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开工前，发包人向承包人提供水准点与坐标控制点，由发包人、承包人、监理人三方人员对水准点与坐标控制点数据进行现场交验，交验完毕即由承包人负责保护，相关费用已包含在签约合同价中，结算不另行计量计价。此后由于破坏或失准带来的重新测量、放点等费用及由此造成的其他损失均由承包人承担。</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（4）施工场地内工程地质、地下管线、地下设施等有关资料</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包人在开工前向承包人提供已有的工程地质和地下管线资料，但该资料仅起重要危险源或者重要保护物的提示作用，承包人须采用人工槽探或物探等方式对重要管线、重要保护物、危险源区域进行复测、排查，防止资料标示与实际位置出现偏移或错误，确保重要保护对象安全，相关费用已包含在签约合同价中，结算不另行计量计价。如因承包人未尽职排查导致的后果及损失由承包人承担。其他确应由发包人提供的资料，由承包人在需要使用资料前至少28天向发包人提出，发包人准备完备后向承包人提供。</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（5）施工所需的水、电讯线路同上，均由承包人自行解决，费用包含在承包人投标报价中，发包人不为此承担任何费用。</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（6）施工场地周围地下管线和邻近建筑物、构筑物（含文物以及地下文物保护建筑）、古树名木的保护由发包人交底承包人保护，所有费用由承包人承担。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30" w:name="_Toc186097055"/>
      <w:r/>
      <w:bookmarkEnd w:id="830"/>
      <w:r/>
      <w:bookmarkStart w:id="831" w:name="_Toc96331602"/>
      <w:r>
        <w:rPr>
          <w:rFonts w:hint="eastAsia" w:ascii="宋体" w:hAnsi="宋体" w:eastAsia="宋体" w:cs="宋体"/>
          <w:b w:val="0"/>
          <w:bCs/>
          <w:color w:val="000000"/>
          <w:sz w:val="21"/>
          <w:szCs w:val="21"/>
          <w:highlight w:val="none"/>
        </w:rPr>
        <w:t xml:space="preserve">2.5 资金来源证明及支付担保</w:t>
      </w:r>
      <w:bookmarkEnd w:id="83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不提供资金来源证明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建设单位是否提供支付担保：</w:t>
      </w:r>
      <w:r>
        <w:rPr>
          <w:rFonts w:hint="eastAsia" w:ascii="宋体" w:hAnsi="宋体" w:eastAsia="宋体" w:cs="宋体"/>
          <w:color w:val="000000"/>
          <w:sz w:val="21"/>
          <w:szCs w:val="21"/>
          <w:highlight w:val="none"/>
          <w:u w:val="single"/>
        </w:rPr>
        <w:t xml:space="preserve">建设单位</w:t>
      </w:r>
      <w:r>
        <w:rPr>
          <w:rFonts w:hint="eastAsia" w:ascii="宋体" w:hAnsi="宋体" w:eastAsia="宋体" w:cs="宋体"/>
          <w:color w:val="000000"/>
          <w:sz w:val="21"/>
          <w:szCs w:val="21"/>
          <w:highlight w:val="none"/>
          <w:u w:val="single"/>
        </w:rPr>
        <w:t xml:space="preserve">提供支付担保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建设单位提供支付担保的形式：</w:t>
      </w:r>
      <w:r>
        <w:rPr>
          <w:rFonts w:hint="eastAsia" w:ascii="宋体" w:hAnsi="宋体" w:eastAsia="宋体" w:cs="宋体"/>
          <w:color w:val="000000"/>
          <w:sz w:val="21"/>
          <w:szCs w:val="21"/>
          <w:highlight w:val="none"/>
          <w:u w:val="single"/>
        </w:rPr>
        <w:t xml:space="preserve">支付担保的形式：银行保函等；支付担保的金额：与履约保证金等额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32" w:name="_Toc351203635"/>
      <w:r/>
      <w:bookmarkEnd w:id="832"/>
      <w:r/>
      <w:bookmarkStart w:id="833" w:name="_Toc96331603"/>
      <w:r/>
      <w:bookmarkEnd w:id="833"/>
      <w:r/>
      <w:bookmarkStart w:id="834" w:name="_Toc186097056"/>
      <w:r>
        <w:rPr>
          <w:rFonts w:hint="eastAsia" w:ascii="宋体" w:hAnsi="宋体" w:eastAsia="宋体" w:cs="宋体"/>
          <w:b w:val="0"/>
          <w:bCs/>
          <w:color w:val="000000"/>
          <w:sz w:val="21"/>
          <w:szCs w:val="21"/>
          <w:highlight w:val="none"/>
        </w:rPr>
        <w:t xml:space="preserve">3</w:t>
      </w:r>
      <w:bookmarkEnd w:id="834"/>
      <w:r/>
      <w:bookmarkStart w:id="835" w:name="_Toc296891198"/>
      <w:r/>
      <w:bookmarkEnd w:id="835"/>
      <w:r/>
      <w:bookmarkStart w:id="836" w:name="_Toc296503158"/>
      <w:r/>
      <w:bookmarkEnd w:id="836"/>
      <w:r/>
      <w:bookmarkStart w:id="837" w:name="_Toc297120458"/>
      <w:r/>
      <w:bookmarkEnd w:id="837"/>
      <w:r/>
      <w:bookmarkStart w:id="838" w:name="_Toc296944497"/>
      <w:r/>
      <w:bookmarkEnd w:id="838"/>
      <w:r/>
      <w:bookmarkStart w:id="839" w:name="_Toc292559363"/>
      <w:r/>
      <w:bookmarkEnd w:id="839"/>
      <w:r/>
      <w:bookmarkStart w:id="840" w:name="_Toc296890986"/>
      <w:r/>
      <w:bookmarkEnd w:id="840"/>
      <w:r/>
      <w:bookmarkStart w:id="841" w:name="_Toc296346659"/>
      <w:r/>
      <w:bookmarkEnd w:id="841"/>
      <w:r/>
      <w:bookmarkStart w:id="842" w:name="_Toc296347157"/>
      <w:r/>
      <w:bookmarkEnd w:id="842"/>
      <w:r/>
      <w:bookmarkStart w:id="843" w:name="_Toc297048344"/>
      <w:r/>
      <w:bookmarkEnd w:id="843"/>
      <w:r/>
      <w:bookmarkStart w:id="844" w:name="_Toc292559868"/>
      <w:r>
        <w:rPr>
          <w:rFonts w:hint="eastAsia" w:ascii="宋体" w:hAnsi="宋体" w:eastAsia="宋体" w:cs="宋体"/>
          <w:b w:val="0"/>
          <w:bCs/>
          <w:color w:val="000000"/>
          <w:sz w:val="21"/>
          <w:szCs w:val="21"/>
          <w:highlight w:val="none"/>
        </w:rPr>
        <w:t xml:space="preserve">. 承包人</w:t>
      </w:r>
      <w:bookmarkEnd w:id="844"/>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5" w:name="_Toc96331604"/>
      <w:r/>
      <w:bookmarkEnd w:id="845"/>
      <w:r/>
      <w:bookmarkStart w:id="846" w:name="_Toc186097057"/>
      <w:r/>
      <w:bookmarkEnd w:id="846"/>
      <w:r>
        <w:rPr>
          <w:rFonts w:hint="eastAsia" w:ascii="宋体" w:hAnsi="宋体" w:eastAsia="宋体" w:cs="宋体"/>
          <w:b w:val="0"/>
          <w:bCs/>
          <w:color w:val="000000"/>
          <w:sz w:val="21"/>
          <w:szCs w:val="21"/>
          <w:highlight w:val="none"/>
        </w:rPr>
        <w:t xml:space="preserve">3.1 承包人的一般义务</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（9）承包人提交的竣工资料的内容：</w:t>
      </w:r>
      <w:r>
        <w:rPr>
          <w:rFonts w:hint="eastAsia" w:ascii="宋体" w:hAnsi="宋体" w:eastAsia="宋体" w:cs="宋体"/>
          <w:color w:val="000000"/>
          <w:sz w:val="21"/>
          <w:szCs w:val="21"/>
          <w:highlight w:val="none"/>
          <w:u w:val="single"/>
        </w:rPr>
        <w:t xml:space="preserve">按相关规定及发包人要求提供竣工图、竣工验收资料、竣工结算等相关资料。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4套。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由承包人承担，相关费用已包含在签约合同价中，结算不另行计量计价。</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竣工验收申请报告、竣工验收资料在申请竣工验收日期前7天提供，其余资料在工程竣工验收合格之日起56天内提交。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纸质及电子文件。</w:t>
      </w:r>
      <w:r>
        <w:rPr>
          <w:rFonts w:hint="eastAsia" w:ascii="宋体" w:hAnsi="宋体" w:eastAsia="宋体" w:cs="宋体"/>
          <w:color w:val="000000"/>
          <w:sz w:val="21"/>
          <w:szCs w:val="21"/>
          <w:highlight w:val="none"/>
        </w:rPr>
      </w:r>
      <w:r/>
    </w:p>
    <w:p>
      <w:pPr>
        <w:pStyle w:val="1063"/>
        <w:numPr>
          <w:ilvl w:val="0"/>
          <w:numId w:val="10"/>
        </w:numPr>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承包人应履行的其他义务：</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u w:val="single"/>
        </w:rPr>
        <w:t xml:space="preserve">1）承包人应严格执行国家、地方、行业及发包人有关工程项目建设的管理规定。</w:t>
      </w:r>
      <w:r>
        <w:rPr>
          <w:rFonts w:hint="eastAsia" w:ascii="宋体" w:hAnsi="宋体" w:eastAsia="宋体" w:cs="宋体"/>
          <w:b/>
          <w:bCs/>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u w:val="single"/>
        </w:rPr>
        <w:t xml:space="preserve">2）承包人须严格按通过审查的图纸开展施工。负责组织因项目施工需要或发包人建议而进行的施工方案、材料设备认质认价等的考察，发包人、跟踪审计、监理人、承包人共同参加，相关费用已包含在签约合同价中，结算不另行计量计价。</w:t>
      </w:r>
      <w:r>
        <w:rPr>
          <w:rFonts w:hint="eastAsia" w:ascii="宋体" w:hAnsi="宋体" w:eastAsia="宋体" w:cs="宋体"/>
          <w:b/>
          <w:bCs/>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3）承包人应书面回复发包人、监理人发出的指令。如发现指令不正确须立即反馈发出人，否则须承担由此造成的工程质量、安全、进度等损失及责任。</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承包人应配合发包人完成对本项目所进行的检查、指导、监督和协调工作。因重大活动、重要检查而发生的道路保洁、交通畅通维持、施工噪音控制、临时停工等临时性工作的相关费用已包含在签约合同价中，结算不另行计量计价。</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5）承包人应按发包人要求做好项目宣传相关工作，包含但不限于组织宣传报道、党建、工会等活动，在项目周边较高处安装设备进行全时摄影，定期航拍工程进展情况，按发包人的要求制</w:t>
      </w:r>
      <w:r>
        <w:rPr>
          <w:rFonts w:hint="eastAsia" w:ascii="宋体" w:hAnsi="宋体" w:eastAsia="宋体" w:cs="宋体"/>
          <w:color w:val="000000"/>
          <w:sz w:val="21"/>
          <w:szCs w:val="21"/>
          <w:highlight w:val="none"/>
          <w:u w:val="single"/>
        </w:rPr>
        <w:t xml:space="preserve">作项目宣传片。相关费用已包含在签约合同价中，结算不另行计量计价。</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6）承包人应在施工现场向发包人、跟踪审计、监理人驻场人员等无偿提供办公及生活用房，其中：办公室不少于</w:t>
      </w:r>
      <w:r>
        <w:rPr>
          <w:rFonts w:hint="eastAsia" w:ascii="宋体" w:hAnsi="宋体" w:eastAsia="宋体" w:cs="宋体"/>
          <w:b/>
          <w:bCs/>
          <w:color w:val="000000"/>
          <w:sz w:val="21"/>
          <w:szCs w:val="21"/>
          <w:highlight w:val="none"/>
          <w:u w:val="single"/>
        </w:rPr>
        <w:t xml:space="preserve">【 2 】</w:t>
      </w:r>
      <w:r>
        <w:rPr>
          <w:rFonts w:hint="eastAsia" w:ascii="宋体" w:hAnsi="宋体" w:eastAsia="宋体" w:cs="宋体"/>
          <w:color w:val="000000"/>
          <w:sz w:val="21"/>
          <w:szCs w:val="21"/>
          <w:highlight w:val="none"/>
          <w:u w:val="single"/>
        </w:rPr>
        <w:t xml:space="preserve">间（每间不少于16平方米，需配备空调及办公家具），会议室不少于</w:t>
      </w:r>
      <w:r>
        <w:rPr>
          <w:rFonts w:hint="eastAsia" w:ascii="宋体" w:hAnsi="宋体" w:eastAsia="宋体" w:cs="宋体"/>
          <w:b/>
          <w:bCs/>
          <w:color w:val="000000"/>
          <w:sz w:val="21"/>
          <w:szCs w:val="21"/>
          <w:highlight w:val="none"/>
          <w:u w:val="single"/>
        </w:rPr>
        <w:t xml:space="preserve">【 1 】</w:t>
      </w:r>
      <w:r>
        <w:rPr>
          <w:rFonts w:hint="eastAsia" w:ascii="宋体" w:hAnsi="宋体" w:eastAsia="宋体" w:cs="宋体"/>
          <w:color w:val="000000"/>
          <w:sz w:val="21"/>
          <w:szCs w:val="21"/>
          <w:highlight w:val="none"/>
          <w:u w:val="single"/>
        </w:rPr>
        <w:t xml:space="preserve">间（每间不少于60平方米，需配备空调、会议桌椅、投影仪、音箱等设备），生活用房不少于</w:t>
      </w:r>
      <w:r>
        <w:rPr>
          <w:rFonts w:hint="eastAsia" w:ascii="宋体" w:hAnsi="宋体" w:eastAsia="宋体" w:cs="宋体"/>
          <w:b/>
          <w:bCs/>
          <w:color w:val="000000"/>
          <w:sz w:val="21"/>
          <w:szCs w:val="21"/>
          <w:highlight w:val="none"/>
          <w:u w:val="single"/>
        </w:rPr>
        <w:t xml:space="preserve">【 3 】</w:t>
      </w:r>
      <w:r>
        <w:rPr>
          <w:rFonts w:hint="eastAsia" w:ascii="宋体" w:hAnsi="宋体" w:eastAsia="宋体" w:cs="宋体"/>
          <w:color w:val="000000"/>
          <w:sz w:val="21"/>
          <w:szCs w:val="21"/>
          <w:highlight w:val="none"/>
          <w:u w:val="single"/>
        </w:rPr>
        <w:t xml:space="preserve">间（每间不小于16平方米，需配备空调、家具）用于发包人、跟踪审计、监理人等相关人员值班住宿用。</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承包人应重视手续办理、资料整理、档案管理工作，安排专职工作人员（两年以上相关工作经验）及专用车辆承担资料整理、建设手续办理、档案管理等工作。车辆及人员相关费用属于总承包单位施工间接费用，已包含在签约合同价中，结算时不得要求另行计量计价。</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8）承包人应成立现场维稳工作组，由项目负责人担任组长，落实好发包人信访维稳工作应急预案相关要求。现场维稳工作组工作内容包含但不限于：处理12345投诉工单、环保投诉等协调处理与工地周边居民和单位的关系等。因承包人未及时或未妥善处理，责任由承包人承担。</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9）承包人应按国家、地方及发包人的要求做好常态化疫情防控、应急处理等事项，相关费用已包含在签约合同价中，结算不另行计量计价。有最新规定的从其规定。</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10）承包人应负责本项目涉及的交通导改工作，按交管等部门要求采取对应措施，相关费用已包含在签约合同价中，结算不另行计量计价。</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11）承包人应充分了解其它项目工程施工已存在的、或有可能对本项目施工场地地上地下杆管线、临近建筑物、构筑物、道路、河道堤防、水系、古树名木等造成破坏的潜在因素，并采取保护措施防止遭到破坏，相关费用已包含在签约合同价中，结算不另行计量计价（施工图纸已标示的杆管线保护措施除外）。如未履行上述义务造成损失，由承包人承担责任及费用。管线保护工作必须做到：①有审批手续；②有施工方案；③有标志标识；④有管线资料和现场交底；⑤有探挖工序；⑥有应急预案。</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12）承包人应配合由发包人负责的施工场地地上地下杆管线迁移的相关工作，并承担总承包单位的管理职责，因承包人管理不到位导致事故的承担连带责任。</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13）承包人应配合发包人可能在本工程现场进行的相关检测、试验、监测、观测等并承担相应工作，相关配合费用已包含在签约合同价中，结算不另行计量计价。</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14）承包人应在开工前对施工图纸认真核查，积极主动核对图纸，充分理解设计意图，积极配合发包人组织的设计交底及图纸会审工作，有义务指出图纸上任何不符施工常规、惯例或规范之处，以及设计图纸中错、漏、碰问题，如有需要修改或澄清的内容，承包人须及时上报发包人、监理人认可后实施。如因承包人理应发现而未及时发现并上报而造成的工期、费用的损失由承包人承担。</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15）承包人应按相关规定及发包人要求建设智慧工地，相关费用已包含在签约合同价中，结算不另行计量计价。</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i/>
          <w:iCs/>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16）承包人应配合发包人在本项目开展的课题、专利、工法等研究，知识产权归发包人所有。</w:t>
      </w:r>
      <w:r>
        <w:rPr>
          <w:rFonts w:hint="eastAsia" w:ascii="宋体" w:hAnsi="宋体" w:eastAsia="宋体" w:cs="宋体"/>
          <w:i/>
          <w:iCs/>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17）承包人应在项目竣工验收合格后，对施工新技术、新材料、新工艺的运用、管理、安全生产等方面内容进行总结，如发表论文，发表的论文须经发包人审核。</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18）为规范双方业务往来活动，防止违纪违法和不廉洁问题的发生，承包人须与发包人签订廉洁协议。</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lang w:val="en-US" w:eastAsia="zh-CN"/>
        </w:rPr>
        <w:t xml:space="preserve">19</w:t>
      </w:r>
      <w:r>
        <w:rPr>
          <w:rFonts w:hint="eastAsia" w:ascii="宋体" w:hAnsi="宋体" w:eastAsia="宋体" w:cs="宋体"/>
          <w:color w:val="000000"/>
          <w:sz w:val="21"/>
          <w:szCs w:val="21"/>
          <w:highlight w:val="none"/>
          <w:u w:val="single"/>
        </w:rPr>
        <w:t xml:space="preserve">）承担施工安全保卫工作及非夜间施工照明的责任和要求，综合考虑本工程所涉及的一切安全因素编写出施工安全预案，</w:t>
      </w:r>
      <w:r>
        <w:rPr>
          <w:rFonts w:hint="eastAsia" w:ascii="宋体" w:hAnsi="宋体" w:eastAsia="宋体" w:cs="宋体"/>
          <w:color w:val="000000"/>
          <w:sz w:val="21"/>
          <w:szCs w:val="21"/>
          <w:highlight w:val="none"/>
          <w:u w:val="single"/>
        </w:rPr>
        <w:t xml:space="preserve">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lang w:val="en-US" w:eastAsia="zh-CN"/>
        </w:rPr>
        <w:t xml:space="preserve">20</w:t>
      </w:r>
      <w:r>
        <w:rPr>
          <w:rFonts w:hint="eastAsia" w:ascii="宋体" w:hAnsi="宋体" w:eastAsia="宋体" w:cs="宋体"/>
          <w:color w:val="000000"/>
          <w:sz w:val="21"/>
          <w:szCs w:val="21"/>
          <w:highlight w:val="none"/>
          <w:u w:val="single"/>
        </w:rPr>
        <w:t xml:space="preserve">）施工场地清洁卫生以及其他方面的要求：负责与环保、城管、市容、交管、公安等政府部门的沟通、协调工作，并办理相关手续及承担相关费用。必须按发包人及南京市、江北新区有关要求的文明现场等级进行现场文明施工管理。负责协调并妥善处理好施工现场周边四邻关系，确保施工正常进行，并承担处理此类问题所发生的费用及责任。承包人在发包人的组织协调下负责公共部分的现场管理以及文明建设等工作，中标人进场后一周内完成围墙、</w:t>
      </w:r>
      <w:r>
        <w:rPr>
          <w:rFonts w:hint="eastAsia" w:ascii="宋体" w:hAnsi="宋体" w:eastAsia="宋体" w:cs="宋体"/>
          <w:color w:val="000000"/>
          <w:sz w:val="21"/>
          <w:szCs w:val="21"/>
          <w:highlight w:val="none"/>
          <w:u w:val="single"/>
        </w:rPr>
        <w:t xml:space="preserve">围挡围合工作。在施工中，承包人应爱护场区及以外的道路、绿化及其他设施，并遵守发包人以及监理工程师的现场管理的有关规章制度，否则，所造成的后果由承包人负责。妥善处理与友邻标段、组团的关系，爱护友邻标段的成品，杜绝与友邻标段争抢道路、场地、水、电等，严惩打架斗殴等恶性违规、违纪行为，否则，发包人将视承包人违规、违纪行为情节轻重给予的经济处罚。负责现场管理及文明建设工作，承包人对所有进入本标段施工区域的各种人员负有管理责任；负责施工场地的安全、防火及保卫工作；对进入现场施工的所有人员的安全负责，并承担相应的责任。</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lang w:val="en-US" w:eastAsia="zh-CN"/>
        </w:rPr>
        <w:t xml:space="preserve">21</w:t>
      </w:r>
      <w:r>
        <w:rPr>
          <w:rFonts w:hint="eastAsia" w:ascii="宋体" w:hAnsi="宋体" w:eastAsia="宋体" w:cs="宋体"/>
          <w:color w:val="000000"/>
          <w:sz w:val="21"/>
          <w:szCs w:val="21"/>
          <w:highlight w:val="none"/>
          <w:u w:val="single"/>
        </w:rPr>
        <w:t xml:space="preserve">）承包人应根据招标人有关要求，积极配合安排</w:t>
      </w:r>
      <w:r>
        <w:rPr>
          <w:rFonts w:hint="eastAsia" w:ascii="宋体" w:hAnsi="宋体" w:eastAsia="宋体" w:cs="宋体"/>
          <w:color w:val="000000"/>
          <w:sz w:val="21"/>
          <w:szCs w:val="21"/>
          <w:highlight w:val="none"/>
          <w:u w:val="single"/>
        </w:rPr>
        <w:t xml:space="preserve">人员在招标工程项目中涉及的预埋管及水、电、煤气、远传信号线管等的预埋工作，承包人此项工作作为对专业承包人配合内容，发包人不再支付相关费用。承包人应在施工场地内文明施工，场地内外的卫生清洁应符合政府有关部门的规定和发包人的要求，并接受其监督管理；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）配合其他专业工程施工，所发生费用已包含在合同价中，以后不再调整，发包人不再为此支付任何费用。</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）临时道路保通：施工场地周边存在特殊保障单位，施工期间须保证相关单位24小时正常出行。</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）渣土运输服务由承包人根据南京市江北新区有关规定选择符合要求的相关单位。</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承包人应在项目竣工验收后，立即办理项目移交手续，合同内道路工程、桥梁工程、景观工程、排水工程、交通工程、路灯工程、自来水工程、强弱电工程等各专业工程全部移交后，依据移交表方可撤出项目经理等管理人员。</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7" w:name="_Toc96331605"/>
      <w:r/>
      <w:bookmarkEnd w:id="847"/>
      <w:r/>
      <w:bookmarkStart w:id="848" w:name="_Toc186097058"/>
      <w:r>
        <w:rPr>
          <w:rFonts w:hint="eastAsia" w:ascii="宋体" w:hAnsi="宋体" w:eastAsia="宋体" w:cs="宋体"/>
          <w:b w:val="0"/>
          <w:bCs/>
          <w:color w:val="000000"/>
          <w:sz w:val="21"/>
          <w:szCs w:val="21"/>
          <w:highlight w:val="none"/>
        </w:rPr>
        <w:t xml:space="preserve">3.2 项目经理</w:t>
      </w:r>
      <w:bookmarkEnd w:id="84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3.2.1 项目经理：</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（1）组织工程项目管理，负责实现合同约定目标；（2）组建项目部，搭建项目部组织架构，确定项目部成员及岗位职责; （3）对项目实施全过程进行策划、组织、协调和控制；（4）负责协调处理与项目有关的内外部事项，解决项目实施中出现的问题；（5）承包人授权的其他范围。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每周不少于6天，每天不少于8小时，须参加各项工程例会，根据项目施工需要增加驻场时间。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须向发包人支付20万元/人次的违约金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须向发包人支付1万元/天的违约金。未经批准擅自离开施工现场累计超过7天，发包人有权解除合同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i/>
          <w:iCs/>
          <w:color w:val="000000"/>
          <w:sz w:val="21"/>
          <w:szCs w:val="21"/>
          <w:highlight w:val="none"/>
          <w:u w:val="single"/>
        </w:rPr>
        <w:outlineLvl w:val="9"/>
      </w:pPr>
      <w:r>
        <w:rPr>
          <w:rFonts w:hint="eastAsia" w:ascii="宋体" w:hAnsi="宋体" w:eastAsia="宋体" w:cs="宋体"/>
          <w:color w:val="000000"/>
          <w:sz w:val="21"/>
          <w:szCs w:val="21"/>
          <w:highlight w:val="none"/>
        </w:rPr>
        <w:t xml:space="preserve">3.2.3 承包人擅自更换项目经理的违约责任：</w:t>
      </w:r>
      <w:r>
        <w:rPr>
          <w:rFonts w:hint="eastAsia" w:ascii="宋体" w:hAnsi="宋体" w:eastAsia="宋体" w:cs="宋体"/>
          <w:color w:val="000000"/>
          <w:sz w:val="21"/>
          <w:szCs w:val="21"/>
          <w:highlight w:val="none"/>
          <w:u w:val="single"/>
        </w:rPr>
        <w:t xml:space="preserve">若确因特殊原因需要更换项目经理，拟新任项目经理的资质资格不得低于招标要求，且须经发包人、监理人审核同意后才可更换。经批准的第一次更换，承包人须向发包人支付【</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】万元的违约金，以后更换的违约金按【</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】万元/次递增。如承包人未经发包人批准擅自更换项目经理，承包人须向发包人支付【20】万元/次的违约金，且发包人有权解除合同。</w:t>
      </w:r>
      <w:r>
        <w:rPr>
          <w:rFonts w:hint="eastAsia" w:ascii="宋体" w:hAnsi="宋体" w:eastAsia="宋体" w:cs="宋体"/>
          <w:i/>
          <w:iCs/>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3.2.4 承包人无正当理由拒绝更换项目经理的违约责任：</w:t>
      </w:r>
      <w:r>
        <w:rPr>
          <w:rFonts w:hint="eastAsia" w:ascii="宋体" w:hAnsi="宋体" w:eastAsia="宋体" w:cs="宋体"/>
          <w:color w:val="000000"/>
          <w:sz w:val="21"/>
          <w:szCs w:val="21"/>
          <w:highlight w:val="none"/>
          <w:u w:val="single"/>
        </w:rPr>
        <w:t xml:space="preserve">如发包人认为项目经理能力无法满足项目要求，有权要求承包人进行更换，且承包人须按专用合同条款第3.2.3款经批准的更换项目经理情形的额度支付违约金。承包人不得拒绝更换，否则按专用合同条款第3.2.3款擅自更换项目经理情形的额度支付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9" w:name="_Toc186097059"/>
      <w:r/>
      <w:bookmarkEnd w:id="849"/>
      <w:r/>
      <w:bookmarkStart w:id="850" w:name="_Toc96331606"/>
      <w:r>
        <w:rPr>
          <w:rFonts w:hint="eastAsia" w:ascii="宋体" w:hAnsi="宋体" w:eastAsia="宋体" w:cs="宋体"/>
          <w:b w:val="0"/>
          <w:bCs/>
          <w:color w:val="000000"/>
          <w:sz w:val="21"/>
          <w:szCs w:val="21"/>
          <w:highlight w:val="none"/>
        </w:rPr>
        <w:t xml:space="preserve">3.3 承包人人员</w:t>
      </w:r>
      <w:bookmarkEnd w:id="85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在接到开始工作通知之日起7天内提供，管理机构及施工现场人员安排不得低于投标时所作承诺。主要施工管理人员中的关键人员包括项目副经理、技术负责人、</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"http://www.so.com/s?q=%E5%AE%89%E5%85%A8%E5%91%98&amp;ie=utf-8&amp;src=internal_wenda_recommend_textn" </w:instrText>
      </w:r>
      <w:r>
        <w:rPr>
          <w:rFonts w:hint="eastAsia" w:ascii="宋体" w:hAnsi="宋体" w:eastAsia="宋体" w:cs="宋体"/>
          <w:color w:val="000000"/>
          <w:sz w:val="21"/>
          <w:szCs w:val="21"/>
          <w:highlight w:val="none"/>
        </w:rPr>
        <w:fldChar w:fldCharType="separate"/>
      </w:r>
      <w:r>
        <w:rPr>
          <w:rStyle w:val="1153"/>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u w:val="single"/>
        </w:rPr>
        <w:t xml:space="preserve">员、质量管理员、合同管理员。</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如发包人认为关键人员的能力无法满足项目要求时，有权要求承包人进行更换，且承包人须按专用合同条款第3.3.5款经批准的更换关键人员情形的额度支付违约金。承包人不得拒绝更换，否则按专用合同条款第3.3.5款擅自更换关键人员情形的额度支付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color w:val="000000"/>
          <w:sz w:val="21"/>
          <w:szCs w:val="21"/>
          <w:highlight w:val="none"/>
          <w:u w:val="single"/>
        </w:rPr>
        <w:t xml:space="preserve">项目副经理、技术负责人、安全负责人须每周不少于6天、每天不少于8小时常驻施工现场，离开施工现场须事先报发包人、监理人同意。现场管理关键人员离开施工现场的批准手续按通用合同条款执行。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i/>
          <w:iCs/>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若确因特殊原因需要更换关键人员的，拟新任人员的资质资格不得低于被更换人，且须经发包人、监理人审核同意后才可更换。项目副经理、技术负责人经发包人批准的第一次更换，承包人须向发包人支付【 5 】万元的违约金，以后更换的违约金按【2】万元/次递增。其他关键人员经发包人批准的第一次更换，发包人有权要求承包人支付【3】万元的违约金，以后更换的违约金可按【1】万元/次递增。如承包人未经发包人批准擅自更换关键人员，承包人须向发包人支付【10】万元/次的违约金，且发包人有权解除合同。</w:t>
      </w:r>
      <w:r>
        <w:rPr>
          <w:rFonts w:hint="eastAsia" w:ascii="宋体" w:hAnsi="宋体" w:eastAsia="宋体" w:cs="宋体"/>
          <w:i/>
          <w:iCs/>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项目副经理、技术负责人擅自离开施工现场须向发包人支付5000元/天的违约金，其他关键人员擅自离开施工现场须向发包人支付1000元/天的违约金。</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51" w:name="_Toc96331607"/>
      <w:r/>
      <w:bookmarkEnd w:id="851"/>
      <w:r/>
      <w:bookmarkStart w:id="852" w:name="_Toc186097060"/>
      <w:r>
        <w:rPr>
          <w:rFonts w:hint="eastAsia" w:ascii="宋体" w:hAnsi="宋体" w:eastAsia="宋体" w:cs="宋体"/>
          <w:b w:val="0"/>
          <w:bCs/>
          <w:color w:val="000000"/>
          <w:sz w:val="21"/>
          <w:szCs w:val="21"/>
          <w:highlight w:val="none"/>
        </w:rPr>
        <w:t xml:space="preserve">3</w:t>
      </w:r>
      <w:bookmarkEnd w:id="852"/>
      <w:r/>
      <w:bookmarkStart w:id="853" w:name="_Toc292559364"/>
      <w:r/>
      <w:bookmarkEnd w:id="853"/>
      <w:r/>
      <w:bookmarkStart w:id="854" w:name="_Toc296891199"/>
      <w:r/>
      <w:bookmarkEnd w:id="854"/>
      <w:r/>
      <w:bookmarkStart w:id="855" w:name="_Toc300934945"/>
      <w:r/>
      <w:bookmarkEnd w:id="855"/>
      <w:r/>
      <w:bookmarkStart w:id="856" w:name="_Toc303539102"/>
      <w:r/>
      <w:bookmarkEnd w:id="856"/>
      <w:r/>
      <w:bookmarkStart w:id="857" w:name="_Toc297216151"/>
      <w:r/>
      <w:bookmarkEnd w:id="857"/>
      <w:r/>
      <w:bookmarkStart w:id="858" w:name="_Toc296503159"/>
      <w:r/>
      <w:bookmarkEnd w:id="858"/>
      <w:r/>
      <w:bookmarkStart w:id="859" w:name="_Toc296944498"/>
      <w:r/>
      <w:bookmarkEnd w:id="859"/>
      <w:r/>
      <w:bookmarkStart w:id="860" w:name="_Toc304295523"/>
      <w:r/>
      <w:bookmarkEnd w:id="860"/>
      <w:r/>
      <w:bookmarkStart w:id="861" w:name="_Toc292559869"/>
      <w:r/>
      <w:bookmarkEnd w:id="861"/>
      <w:r/>
      <w:bookmarkStart w:id="862" w:name="_Toc312677988"/>
      <w:r/>
      <w:bookmarkEnd w:id="862"/>
      <w:r/>
      <w:bookmarkStart w:id="863" w:name="_Toc296346660"/>
      <w:r/>
      <w:bookmarkEnd w:id="863"/>
      <w:r/>
      <w:bookmarkStart w:id="864" w:name="_Toc296890987"/>
      <w:r/>
      <w:bookmarkEnd w:id="864"/>
      <w:r/>
      <w:bookmarkStart w:id="865" w:name="_Toc297048345"/>
      <w:r/>
      <w:bookmarkEnd w:id="865"/>
      <w:r/>
      <w:bookmarkStart w:id="866" w:name="_Toc296347158"/>
      <w:r/>
      <w:bookmarkEnd w:id="866"/>
      <w:r/>
      <w:bookmarkStart w:id="867" w:name="_Toc297120459"/>
      <w:r/>
      <w:bookmarkEnd w:id="867"/>
      <w:r/>
      <w:bookmarkStart w:id="868" w:name="_Toc297123492"/>
      <w:r>
        <w:rPr>
          <w:rFonts w:hint="eastAsia" w:ascii="宋体" w:hAnsi="宋体" w:eastAsia="宋体" w:cs="宋体"/>
          <w:b w:val="0"/>
          <w:bCs/>
          <w:color w:val="000000"/>
          <w:sz w:val="21"/>
          <w:szCs w:val="21"/>
          <w:highlight w:val="none"/>
        </w:rPr>
        <w:t xml:space="preserve">.5 分包</w:t>
      </w:r>
      <w:bookmarkEnd w:id="86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bookmarkStart w:id="869" w:name="_Toc312677989"/>
      <w:r/>
      <w:bookmarkEnd w:id="869"/>
      <w:r/>
      <w:bookmarkStart w:id="870" w:name="_Toc296944499"/>
      <w:r/>
      <w:bookmarkEnd w:id="870"/>
      <w:r/>
      <w:bookmarkStart w:id="871" w:name="_Toc296891200"/>
      <w:r/>
      <w:bookmarkEnd w:id="871"/>
      <w:r/>
      <w:bookmarkStart w:id="872" w:name="_Toc296346661"/>
      <w:r/>
      <w:bookmarkEnd w:id="872"/>
      <w:r/>
      <w:bookmarkStart w:id="873" w:name="_Toc297048346"/>
      <w:r/>
      <w:bookmarkEnd w:id="873"/>
      <w:r/>
      <w:bookmarkStart w:id="874" w:name="_Toc296347159"/>
      <w:r/>
      <w:bookmarkEnd w:id="874"/>
      <w:r/>
      <w:bookmarkStart w:id="875" w:name="_Toc304295524"/>
      <w:r/>
      <w:bookmarkEnd w:id="875"/>
      <w:r/>
      <w:bookmarkStart w:id="876" w:name="_Toc297123493"/>
      <w:r/>
      <w:bookmarkEnd w:id="876"/>
      <w:r/>
      <w:bookmarkStart w:id="877" w:name="_Toc296503160"/>
      <w:r/>
      <w:bookmarkEnd w:id="877"/>
      <w:r/>
      <w:bookmarkStart w:id="878" w:name="_Toc300934946"/>
      <w:r/>
      <w:bookmarkEnd w:id="878"/>
      <w:r/>
      <w:bookmarkStart w:id="879" w:name="_Toc297216152"/>
      <w:r/>
      <w:bookmarkEnd w:id="879"/>
      <w:r/>
      <w:bookmarkStart w:id="880" w:name="_Toc318581158"/>
      <w:r/>
      <w:bookmarkEnd w:id="880"/>
      <w:r/>
      <w:bookmarkStart w:id="881" w:name="_Toc292559365"/>
      <w:r/>
      <w:bookmarkEnd w:id="881"/>
      <w:r/>
      <w:bookmarkStart w:id="882" w:name="_Toc297120460"/>
      <w:r/>
      <w:bookmarkEnd w:id="882"/>
      <w:r/>
      <w:bookmarkStart w:id="883" w:name="_Toc296890988"/>
      <w:r/>
      <w:bookmarkEnd w:id="883"/>
      <w:r/>
      <w:bookmarkStart w:id="884" w:name="_Toc303539103"/>
      <w:r/>
      <w:bookmarkEnd w:id="884"/>
      <w:r/>
      <w:bookmarkStart w:id="885" w:name="_Toc292559870"/>
      <w:r>
        <w:rPr>
          <w:rFonts w:hint="eastAsia" w:ascii="宋体" w:hAnsi="宋体" w:eastAsia="宋体" w:cs="宋体"/>
          <w:color w:val="000000"/>
          <w:sz w:val="21"/>
          <w:szCs w:val="21"/>
          <w:highlight w:val="none"/>
        </w:rPr>
        <w:t xml:space="preserve">.5.1 分包的一般约定</w:t>
      </w:r>
      <w:bookmarkEnd w:id="885"/>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法定及发包人不允许分包的工程。</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以现行法律法规及规范为准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bookmarkStart w:id="886" w:name="_Toc318581159"/>
      <w:r/>
      <w:bookmarkEnd w:id="886"/>
      <w:r/>
      <w:bookmarkStart w:id="887" w:name="_Toc312677990"/>
      <w:r>
        <w:rPr>
          <w:rFonts w:hint="eastAsia" w:ascii="宋体" w:hAnsi="宋体" w:eastAsia="宋体" w:cs="宋体"/>
          <w:color w:val="000000"/>
          <w:sz w:val="21"/>
          <w:szCs w:val="21"/>
          <w:highlight w:val="none"/>
        </w:rPr>
        <w:t xml:space="preserve">.5.2分包的确定</w:t>
      </w:r>
      <w:bookmarkEnd w:id="887"/>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i/>
          <w:iCs/>
          <w:color w:val="000000"/>
          <w:sz w:val="21"/>
          <w:szCs w:val="21"/>
          <w:highlight w:val="none"/>
          <w:u w:val="single"/>
        </w:rPr>
        <w:outlineLvl w:val="9"/>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非禁止分包的专业工程分包应报发包人备案。</w:t>
      </w:r>
      <w:r>
        <w:rPr>
          <w:rFonts w:hint="eastAsia" w:ascii="宋体" w:hAnsi="宋体" w:eastAsia="宋体" w:cs="宋体"/>
          <w:i/>
          <w:iCs/>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承包人不得擅自分包，在计划分包前，须取得发包人的批准。发包人批准分包并不免除本合同规定承包人的任何责任或义务。分包人必须具备相应专业承包资质，分包合同须报发包人、监理人备案。</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承包人按本合同约定对发包人负责，分包人按分包合同约定对承包人负责，承包人和分包人就分包工程对发包人承担连带责任。</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执行南京市江北新区公共工程建设中心分包管理相关办法。</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分包合同价款由承包人与分包人结算。若承包人无故不支付分包合同价款或生效法律文书要求发包人向分包人支付分包合同价款，发包人有权暂停支付该款项或从应付承包人的工程款中扣除该款项并直接向分包人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88" w:name="_Toc186097061"/>
      <w:r/>
      <w:bookmarkEnd w:id="888"/>
      <w:r/>
      <w:bookmarkStart w:id="889" w:name="_Toc96331608"/>
      <w:r/>
      <w:bookmarkEnd w:id="889"/>
      <w:r>
        <w:rPr>
          <w:rFonts w:hint="eastAsia" w:ascii="宋体" w:hAnsi="宋体" w:eastAsia="宋体" w:cs="宋体"/>
          <w:b w:val="0"/>
          <w:bCs/>
          <w:color w:val="000000"/>
          <w:sz w:val="21"/>
          <w:szCs w:val="21"/>
          <w:highlight w:val="none"/>
        </w:rPr>
        <w:t xml:space="preserve">3.6 工程照管与成品、半成品保护</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在工程竣工验收合格、正式交付前，均由承包人负责，相关费用已包含在签约合同价中，结算不另行计量计价；若发生损坏，承包人负责修复并承担费用；如交付后，发包人要求承包人继续保护，费用另行商定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90" w:name="_Toc96331609"/>
      <w:r/>
      <w:bookmarkEnd w:id="890"/>
      <w:r/>
      <w:bookmarkStart w:id="891" w:name="_Toc186097062"/>
      <w:r>
        <w:rPr>
          <w:rFonts w:hint="eastAsia" w:ascii="宋体" w:hAnsi="宋体" w:eastAsia="宋体" w:cs="宋体"/>
          <w:b w:val="0"/>
          <w:bCs/>
          <w:color w:val="000000"/>
          <w:sz w:val="21"/>
          <w:szCs w:val="21"/>
          <w:highlight w:val="none"/>
        </w:rPr>
        <w:t xml:space="preserve">3.7 履约担保</w:t>
      </w:r>
      <w:bookmarkEnd w:id="89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银行保函等，合同价的 10%，中标人在中标通知书发出后 10 日内向招标人提交履约担保。工程结束经验收合格后 10 天内退还履约担保（不计利息）。</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92" w:name="_Toc186097063"/>
      <w:r/>
      <w:bookmarkEnd w:id="892"/>
      <w:r>
        <w:rPr>
          <w:rFonts w:hint="eastAsia" w:ascii="宋体" w:hAnsi="宋体" w:eastAsia="宋体" w:cs="宋体"/>
          <w:b w:val="0"/>
          <w:bCs/>
          <w:color w:val="000000"/>
          <w:sz w:val="21"/>
          <w:szCs w:val="21"/>
          <w:highlight w:val="none"/>
        </w:rPr>
        <w:t xml:space="preserve">3.8 联合体</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3.8.4 联合体各成员的分工、费用收取、发票开具等事项：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63"/>
        <w:ind w:left="0" w:right="0" w:firstLine="422"/>
        <w:pageBreakBefore w:val="0"/>
        <w:spacing w:line="400" w:lineRule="exact"/>
        <w:rPr>
          <w:rFonts w:hint="eastAsia" w:ascii="宋体" w:hAnsi="宋体" w:eastAsia="宋体" w:cs="宋体"/>
          <w:b/>
          <w:color w:val="000000"/>
          <w:sz w:val="21"/>
          <w:szCs w:val="21"/>
          <w:highlight w:val="none"/>
        </w:rPr>
        <w:outlineLvl w:val="9"/>
      </w:pPr>
      <w:r/>
      <w:bookmarkStart w:id="893" w:name="_Toc351203636"/>
      <w:r/>
      <w:bookmarkEnd w:id="893"/>
      <w:r/>
      <w:bookmarkStart w:id="894" w:name="_Toc96331610"/>
      <w:r>
        <w:rPr>
          <w:rFonts w:hint="eastAsia" w:ascii="宋体" w:hAnsi="宋体" w:eastAsia="宋体" w:cs="宋体"/>
          <w:b/>
          <w:color w:val="000000"/>
          <w:sz w:val="21"/>
          <w:szCs w:val="21"/>
          <w:highlight w:val="none"/>
        </w:rPr>
        <w:t xml:space="preserve">4</w:t>
      </w:r>
      <w:bookmarkEnd w:id="894"/>
      <w:r/>
      <w:bookmarkStart w:id="895" w:name="_Toc296347161"/>
      <w:r/>
      <w:bookmarkEnd w:id="895"/>
      <w:r/>
      <w:bookmarkStart w:id="896" w:name="_Toc296503162"/>
      <w:r/>
      <w:bookmarkEnd w:id="896"/>
      <w:r/>
      <w:bookmarkStart w:id="897" w:name="_Toc296346663"/>
      <w:r/>
      <w:bookmarkEnd w:id="897"/>
      <w:r/>
      <w:bookmarkStart w:id="898" w:name="_Toc267251413"/>
      <w:r/>
      <w:bookmarkEnd w:id="898"/>
      <w:r/>
      <w:bookmarkStart w:id="899" w:name="_Toc296891202"/>
      <w:r/>
      <w:bookmarkEnd w:id="899"/>
      <w:r/>
      <w:bookmarkStart w:id="900" w:name="_Toc297120462"/>
      <w:r/>
      <w:bookmarkEnd w:id="900"/>
      <w:r/>
      <w:bookmarkStart w:id="901" w:name="_Toc296890990"/>
      <w:r/>
      <w:bookmarkEnd w:id="901"/>
      <w:r/>
      <w:bookmarkStart w:id="902" w:name="_Toc296944501"/>
      <w:r/>
      <w:bookmarkEnd w:id="902"/>
      <w:r/>
      <w:bookmarkStart w:id="903" w:name="_Toc297048348"/>
      <w:r/>
      <w:bookmarkEnd w:id="903"/>
      <w:r/>
      <w:bookmarkStart w:id="904" w:name="_Toc292559871"/>
      <w:r/>
      <w:bookmarkEnd w:id="904"/>
      <w:r/>
      <w:bookmarkStart w:id="905" w:name="_Toc292559366"/>
      <w:r>
        <w:rPr>
          <w:rFonts w:hint="eastAsia" w:ascii="宋体" w:hAnsi="宋体" w:eastAsia="宋体" w:cs="宋体"/>
          <w:b/>
          <w:color w:val="000000"/>
          <w:sz w:val="21"/>
          <w:szCs w:val="21"/>
          <w:highlight w:val="none"/>
        </w:rPr>
        <w:t xml:space="preserve">. </w:t>
      </w:r>
      <w:bookmarkEnd w:id="905"/>
      <w:r>
        <w:rPr>
          <w:rFonts w:hint="eastAsia" w:ascii="宋体" w:hAnsi="宋体" w:eastAsia="宋体" w:cs="宋体"/>
          <w:b/>
          <w:color w:val="000000"/>
          <w:sz w:val="21"/>
          <w:szCs w:val="21"/>
          <w:highlight w:val="none"/>
        </w:rPr>
        <w:t xml:space="preserve">监理人</w:t>
      </w:r>
      <w:r>
        <w:rPr>
          <w:rFonts w:hint="eastAsia" w:ascii="宋体" w:hAnsi="宋体" w:eastAsia="宋体" w:cs="宋体"/>
          <w:b/>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6" w:name="_Toc96331611"/>
      <w:r/>
      <w:bookmarkEnd w:id="906"/>
      <w:r/>
      <w:bookmarkStart w:id="907" w:name="_Toc186097064"/>
      <w:r>
        <w:rPr>
          <w:rFonts w:hint="eastAsia" w:ascii="宋体" w:hAnsi="宋体" w:eastAsia="宋体" w:cs="宋体"/>
          <w:b w:val="0"/>
          <w:bCs/>
          <w:color w:val="000000"/>
          <w:sz w:val="21"/>
          <w:szCs w:val="21"/>
          <w:highlight w:val="none"/>
        </w:rPr>
        <w:t xml:space="preserve">4.1监理人的一般规定</w:t>
      </w:r>
      <w:bookmarkEnd w:id="90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施工阶段（包含但不限于施工前期准备阶段、施工阶段、竣工验收阶段及保修阶段）对工程进行进度、质量、投资、安全、环境五控制，合同管理、信息管理，协调施工现场各方面关系，以及在工程实施过程中各种工程变更、索赔、验收及配合竣工结算、决算审计等，具体见本工程的监理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根据本工程监理合同行使监理人权限。</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8" w:name="_Toc96331612"/>
      <w:r/>
      <w:bookmarkEnd w:id="908"/>
      <w:r/>
      <w:bookmarkStart w:id="909" w:name="_Toc186097065"/>
      <w:r>
        <w:rPr>
          <w:rFonts w:hint="eastAsia" w:ascii="宋体" w:hAnsi="宋体" w:eastAsia="宋体" w:cs="宋体"/>
          <w:b w:val="0"/>
          <w:bCs/>
          <w:color w:val="000000"/>
          <w:sz w:val="21"/>
          <w:szCs w:val="21"/>
          <w:highlight w:val="none"/>
        </w:rPr>
        <w:t xml:space="preserve">4.2 监理人员</w:t>
      </w:r>
      <w:bookmarkEnd w:id="90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详见本工程监理合同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10" w:name="_Toc186097066"/>
      <w:r/>
      <w:bookmarkEnd w:id="910"/>
      <w:r/>
      <w:bookmarkStart w:id="911" w:name="_Toc96331613"/>
      <w:r>
        <w:rPr>
          <w:rFonts w:hint="eastAsia" w:ascii="宋体" w:hAnsi="宋体" w:eastAsia="宋体" w:cs="宋体"/>
          <w:b w:val="0"/>
          <w:bCs/>
          <w:color w:val="000000"/>
          <w:sz w:val="21"/>
          <w:szCs w:val="21"/>
          <w:highlight w:val="none"/>
        </w:rPr>
        <w:t xml:space="preserve">4.4 商定或确定</w:t>
      </w:r>
      <w:bookmarkEnd w:id="91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912" w:name="_Toc267251418"/>
      <w:r/>
      <w:bookmarkEnd w:id="912"/>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u w:val="single"/>
        </w:rPr>
        <w:t xml:space="preserve">不执行通用合同条款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13" w:name="_Toc351203637"/>
      <w:r/>
      <w:bookmarkEnd w:id="913"/>
      <w:r/>
      <w:bookmarkStart w:id="914" w:name="_Toc96331614"/>
      <w:r/>
      <w:bookmarkEnd w:id="914"/>
      <w:r/>
      <w:bookmarkStart w:id="915" w:name="_Toc186097067"/>
      <w:r>
        <w:rPr>
          <w:rFonts w:hint="eastAsia" w:ascii="宋体" w:hAnsi="宋体" w:eastAsia="宋体" w:cs="宋体"/>
          <w:b w:val="0"/>
          <w:bCs/>
          <w:color w:val="000000"/>
          <w:sz w:val="21"/>
          <w:szCs w:val="21"/>
          <w:highlight w:val="none"/>
        </w:rPr>
        <w:t xml:space="preserve">5</w:t>
      </w:r>
      <w:bookmarkEnd w:id="915"/>
      <w:r/>
      <w:bookmarkStart w:id="916" w:name="_Toc296891203"/>
      <w:r/>
      <w:bookmarkEnd w:id="916"/>
      <w:r/>
      <w:bookmarkStart w:id="917" w:name="_Toc296347162"/>
      <w:r/>
      <w:bookmarkEnd w:id="917"/>
      <w:r/>
      <w:bookmarkStart w:id="918" w:name="_Toc297048349"/>
      <w:r/>
      <w:bookmarkEnd w:id="918"/>
      <w:r/>
      <w:bookmarkStart w:id="919" w:name="_Toc292559367"/>
      <w:r/>
      <w:bookmarkEnd w:id="919"/>
      <w:r/>
      <w:bookmarkStart w:id="920" w:name="_Toc296346664"/>
      <w:r/>
      <w:bookmarkEnd w:id="920"/>
      <w:r/>
      <w:bookmarkStart w:id="921" w:name="_Toc297120463"/>
      <w:r/>
      <w:bookmarkEnd w:id="921"/>
      <w:r/>
      <w:bookmarkStart w:id="922" w:name="_Toc296890991"/>
      <w:r/>
      <w:bookmarkEnd w:id="922"/>
      <w:r/>
      <w:bookmarkStart w:id="923" w:name="_Toc296944502"/>
      <w:r/>
      <w:bookmarkEnd w:id="923"/>
      <w:r/>
      <w:bookmarkStart w:id="924" w:name="_Toc296503163"/>
      <w:r/>
      <w:bookmarkEnd w:id="924"/>
      <w:r/>
      <w:bookmarkStart w:id="925" w:name="_Toc292559872"/>
      <w:r>
        <w:rPr>
          <w:rFonts w:hint="eastAsia" w:ascii="宋体" w:hAnsi="宋体" w:eastAsia="宋体" w:cs="宋体"/>
          <w:b w:val="0"/>
          <w:bCs/>
          <w:color w:val="000000"/>
          <w:sz w:val="21"/>
          <w:szCs w:val="21"/>
          <w:highlight w:val="none"/>
        </w:rPr>
        <w:t xml:space="preserve">. 工程质量</w:t>
      </w:r>
      <w:bookmarkEnd w:id="925"/>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26" w:name="_Toc96331615"/>
      <w:r/>
      <w:bookmarkEnd w:id="926"/>
      <w:r/>
      <w:bookmarkStart w:id="927" w:name="_Toc186097068"/>
      <w:r>
        <w:rPr>
          <w:rFonts w:hint="eastAsia" w:ascii="宋体" w:hAnsi="宋体" w:eastAsia="宋体" w:cs="宋体"/>
          <w:b w:val="0"/>
          <w:bCs/>
          <w:color w:val="000000"/>
          <w:sz w:val="21"/>
          <w:szCs w:val="21"/>
          <w:highlight w:val="none"/>
        </w:rPr>
        <w:t xml:space="preserve">5.1 质量要求</w:t>
      </w:r>
      <w:bookmarkEnd w:id="92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5</w:t>
      </w:r>
      <w:bookmarkStart w:id="928" w:name="_Toc303539106"/>
      <w:r/>
      <w:bookmarkEnd w:id="928"/>
      <w:r/>
      <w:bookmarkStart w:id="929" w:name="_Toc312677997"/>
      <w:r/>
      <w:bookmarkEnd w:id="929"/>
      <w:r/>
      <w:bookmarkStart w:id="930" w:name="_Toc318581164"/>
      <w:r/>
      <w:bookmarkEnd w:id="930"/>
      <w:r/>
      <w:bookmarkStart w:id="931" w:name="_Toc297216155"/>
      <w:r/>
      <w:bookmarkEnd w:id="931"/>
      <w:r/>
      <w:bookmarkStart w:id="932" w:name="_Toc300934949"/>
      <w:r/>
      <w:bookmarkEnd w:id="932"/>
      <w:r/>
      <w:bookmarkStart w:id="933" w:name="_Toc297123496"/>
      <w:r/>
      <w:bookmarkEnd w:id="933"/>
      <w:r/>
      <w:bookmarkStart w:id="934" w:name="_Toc304295527"/>
      <w:r>
        <w:rPr>
          <w:rFonts w:hint="eastAsia" w:ascii="宋体" w:hAnsi="宋体" w:eastAsia="宋体" w:cs="宋体"/>
          <w:color w:val="000000"/>
          <w:sz w:val="21"/>
          <w:szCs w:val="21"/>
          <w:highlight w:val="none"/>
        </w:rPr>
        <w:t xml:space="preserve">.1.1 特殊质量标准和要求：</w:t>
      </w:r>
      <w:bookmarkEnd w:id="934"/>
      <w:r>
        <w:rPr>
          <w:rFonts w:hint="eastAsia" w:ascii="宋体" w:hAnsi="宋体" w:eastAsia="宋体" w:cs="宋体"/>
          <w:color w:val="000000"/>
          <w:sz w:val="21"/>
          <w:szCs w:val="21"/>
          <w:highlight w:val="none"/>
          <w:u w:val="single"/>
        </w:rPr>
        <w:t xml:space="preserve">（1）符合相关的施工规范、质量验收规范和标准的要求。（2）符合相关建设、运营的规范和标准的要求。</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63"/>
        <w:ind w:left="0" w:right="0" w:firstLine="422"/>
        <w:pageBreakBefore w:val="0"/>
        <w:spacing w:line="400" w:lineRule="exact"/>
        <w:rPr>
          <w:rFonts w:hint="eastAsia" w:ascii="宋体" w:hAnsi="宋体" w:eastAsia="宋体" w:cs="宋体"/>
          <w:b/>
          <w:color w:val="000000"/>
          <w:sz w:val="21"/>
          <w:szCs w:val="21"/>
          <w:highlight w:val="none"/>
        </w:rPr>
        <w:outlineLvl w:val="9"/>
      </w:pPr>
      <w:r/>
      <w:bookmarkStart w:id="935" w:name="_Toc96331616"/>
      <w:r/>
      <w:bookmarkEnd w:id="935"/>
      <w:r>
        <w:rPr>
          <w:rFonts w:hint="eastAsia" w:ascii="宋体" w:hAnsi="宋体" w:eastAsia="宋体" w:cs="宋体"/>
          <w:b/>
          <w:color w:val="000000"/>
          <w:sz w:val="21"/>
          <w:szCs w:val="21"/>
          <w:highlight w:val="none"/>
        </w:rPr>
        <w:t xml:space="preserve">5.3 隐蔽工程检查</w:t>
      </w:r>
      <w:r>
        <w:rPr>
          <w:rFonts w:hint="eastAsia" w:ascii="宋体" w:hAnsi="宋体" w:eastAsia="宋体" w:cs="宋体"/>
          <w:b/>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6" w:name="_Toc186097069"/>
      <w:r/>
      <w:bookmarkEnd w:id="936"/>
      <w:r/>
      <w:bookmarkStart w:id="937" w:name="_Toc96331617"/>
      <w:r/>
      <w:bookmarkEnd w:id="937"/>
      <w:r/>
      <w:bookmarkStart w:id="938" w:name="_Toc351203638"/>
      <w:r>
        <w:rPr>
          <w:rFonts w:hint="eastAsia" w:ascii="宋体" w:hAnsi="宋体" w:eastAsia="宋体" w:cs="宋体"/>
          <w:b w:val="0"/>
          <w:bCs/>
          <w:color w:val="000000"/>
          <w:sz w:val="21"/>
          <w:szCs w:val="21"/>
          <w:highlight w:val="none"/>
        </w:rPr>
        <w:t xml:space="preserve">6. 安全文明施工与环境保护</w:t>
      </w:r>
      <w:bookmarkEnd w:id="938"/>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9" w:name="_Toc186097070"/>
      <w:r/>
      <w:bookmarkEnd w:id="939"/>
      <w:r/>
      <w:bookmarkStart w:id="940" w:name="_Toc96331618"/>
      <w:r>
        <w:rPr>
          <w:rFonts w:hint="eastAsia" w:ascii="宋体" w:hAnsi="宋体" w:eastAsia="宋体" w:cs="宋体"/>
          <w:b w:val="0"/>
          <w:bCs/>
          <w:color w:val="000000"/>
          <w:sz w:val="21"/>
          <w:szCs w:val="21"/>
          <w:highlight w:val="none"/>
        </w:rPr>
        <w:t xml:space="preserve">6.1安全文明施工</w:t>
      </w:r>
      <w:bookmarkEnd w:id="94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6.1.1项目安全生产的达标目标及相应事项的约定：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（1）本项目不创建安全文明标准化工地。</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（2）承包人应按现行相关规范、标准、规定以及发包人相应的管理规定组织安全生产。</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（3）承包人须加强安全防范意识并采取必要的安全防护措施，消除事故隐患，杜绝安全事故的发生，并随时接受安监机构、发包人、监理人等监督检查。</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承包人应在开工前充分调研现场安全状况，识别安全生产风险点，向发包人、监理人提交安全生产措施及应急预案，按安全生产规范和安监机构要求办理法定审批手续。施工过程中须加强现场及项目周边的安全管理，保障在场人员及行人的安全。</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承包人负责监督、检查分包人安全管理的落实情况。在分包人进场前须与其签订安全生产协议，与分包人进行安全交底（包含但不限于安全保证体系、安全员和安全设施配备、防火责任区划分、防火器材配备及设置等）。</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（6）承包人在施工过程中，须按安监机构、发包人、监理人要求开展安全生产自查自纠，范围涵盖整个施工现场，检查结果报发包人、监理人备案。</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1"/>
          <w:szCs w:val="21"/>
          <w:highlight w:val="none"/>
          <w:u w:val="single"/>
        </w:rPr>
        <w:t xml:space="preserve">由承包人负责。</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承包人负责编制施工场地治安管理计划、应对突发治安事件紧急预案。在开工前提交的施工组织设计中须包含此部分内容。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（1）承包人应按现行相关规范、标准、规定以及发包人相应的管理规定组织文明施工。施工现场发生的因文明施工不到位导致的责任及损失由承包人承担。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应针对项目情况、主管部门要求、发包人相应的管理规定等制订文明施工措施及应急预案（包含但不限于环境污染防治措施、大气污染防治措施、施工噪音防护措施、针对固体废物的分类收集处理措施、绿色建筑施工措施、红线范围内雨污分流措施等），并报发包人、监理人备案。</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（3）承包人应在开工前办理环保、噪音施工、夜间施工、排水许可等审批手续。</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承包人在处置建筑垃圾前，须取得城管部门的渣土准运批复，按指定路线运至指定地点。处置生活垃圾须按相关部门规定每天集中，纳入城市垃圾处理系统。承包人应在施工场地内设置垃圾集中堆放场地，各参建单位将垃圾集中堆放后由承包人统一清运出场。</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（5）承包人负责施工场地临时围墙外10米及场地出入口左右100米范围内及临时便道、便桥等的保洁工作。</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承包人应按江北新区文明施工标准化及发包人的要求统一制作施工围挡，围挡方案须经发包人、监理人批准，包含但不限于围挡材料、搭拆、维护、亮化、保洁、喷淋、围挡下必要的砖砌防护及警示标识等。相关费用已包含在签约合同价中，结算不另行计量计价。</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（7）施工现场文明施工不满足相关要求且承包人未及时整改，发包人有权另行委托第三方整改，相关费用由承包人承担。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工程开工前，发包人向承包人预付安全文明措施基本费总额的60%（该费用含在预付款内）。</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41" w:name="_Toc96331619"/>
      <w:r/>
      <w:bookmarkEnd w:id="941"/>
      <w:r/>
      <w:bookmarkStart w:id="942" w:name="_Toc351203639"/>
      <w:r/>
      <w:bookmarkEnd w:id="942"/>
      <w:r/>
      <w:bookmarkStart w:id="943" w:name="_Toc186097071"/>
      <w:r/>
      <w:bookmarkEnd w:id="943"/>
      <w:r>
        <w:rPr>
          <w:rFonts w:hint="eastAsia" w:ascii="宋体" w:hAnsi="宋体" w:eastAsia="宋体" w:cs="宋体"/>
          <w:b w:val="0"/>
          <w:bCs/>
          <w:color w:val="000000"/>
          <w:sz w:val="21"/>
          <w:szCs w:val="21"/>
          <w:highlight w:val="none"/>
        </w:rPr>
        <w:t xml:space="preserve">7. 工期和进度</w:t>
      </w:r>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44" w:name="_Toc186097072"/>
      <w:r/>
      <w:bookmarkEnd w:id="944"/>
      <w:r/>
      <w:bookmarkStart w:id="945" w:name="_Toc96331620"/>
      <w:r>
        <w:rPr>
          <w:rFonts w:hint="eastAsia" w:ascii="宋体" w:hAnsi="宋体" w:eastAsia="宋体" w:cs="宋体"/>
          <w:b w:val="0"/>
          <w:bCs/>
          <w:color w:val="000000"/>
          <w:sz w:val="21"/>
          <w:szCs w:val="21"/>
          <w:highlight w:val="none"/>
        </w:rPr>
        <w:t xml:space="preserve">7.1 施工组织设计</w:t>
      </w:r>
      <w:bookmarkEnd w:id="94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7.1.1 合同当事人约定的施工组织设计应包括的其他内容：</w:t>
      </w:r>
      <w:r>
        <w:rPr>
          <w:rFonts w:hint="eastAsia" w:ascii="宋体" w:hAnsi="宋体" w:eastAsia="宋体" w:cs="宋体"/>
          <w:color w:val="000000"/>
          <w:sz w:val="21"/>
          <w:szCs w:val="21"/>
          <w:highlight w:val="none"/>
          <w:u w:val="single"/>
        </w:rPr>
        <w:t xml:space="preserve">按发包人要求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7.1.2 施工组织设计的提交和修改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46" w:name="_Toc186097073"/>
      <w:r/>
      <w:bookmarkEnd w:id="946"/>
      <w:r/>
      <w:bookmarkStart w:id="947" w:name="_Toc96331621"/>
      <w:r>
        <w:rPr>
          <w:rFonts w:hint="eastAsia" w:ascii="宋体" w:hAnsi="宋体" w:eastAsia="宋体" w:cs="宋体"/>
          <w:b w:val="0"/>
          <w:bCs/>
          <w:color w:val="000000"/>
          <w:sz w:val="21"/>
          <w:szCs w:val="21"/>
          <w:highlight w:val="none"/>
        </w:rPr>
        <w:t xml:space="preserve">7</w:t>
      </w:r>
      <w:bookmarkEnd w:id="947"/>
      <w:r/>
      <w:bookmarkStart w:id="948" w:name="_Toc297216173"/>
      <w:r/>
      <w:bookmarkEnd w:id="948"/>
      <w:r/>
      <w:bookmarkStart w:id="949" w:name="_Toc312678005"/>
      <w:r/>
      <w:bookmarkEnd w:id="949"/>
      <w:r/>
      <w:bookmarkStart w:id="950" w:name="_Toc304295541"/>
      <w:r/>
      <w:bookmarkEnd w:id="950"/>
      <w:r/>
      <w:bookmarkStart w:id="951" w:name="_Toc297123514"/>
      <w:r/>
      <w:bookmarkEnd w:id="951"/>
      <w:r/>
      <w:bookmarkStart w:id="952" w:name="_Toc300934966"/>
      <w:r/>
      <w:bookmarkEnd w:id="952"/>
      <w:r/>
      <w:bookmarkStart w:id="953" w:name="_Toc303539123"/>
      <w:r/>
      <w:bookmarkEnd w:id="953"/>
      <w:r/>
      <w:bookmarkStart w:id="954" w:name="_Toc312677479"/>
      <w:r>
        <w:rPr>
          <w:rFonts w:hint="eastAsia" w:ascii="宋体" w:hAnsi="宋体" w:eastAsia="宋体" w:cs="宋体"/>
          <w:b w:val="0"/>
          <w:bCs/>
          <w:color w:val="000000"/>
          <w:sz w:val="21"/>
          <w:szCs w:val="21"/>
          <w:highlight w:val="none"/>
        </w:rPr>
        <w:t xml:space="preserve">.2 施工进度计划</w:t>
      </w:r>
      <w:bookmarkEnd w:id="95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7.2.1进度计划的具体要求：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应在提交施工组织设计的同时向发包人、监理人提供项目进度计划；开工后每月20日前向发包人、跟踪审计、监理人提交月度施工进度计划、已完工作量报表、下月施工计划、下月投资计划；每周五提供下周施工计划及本周完成情况报表、人员机械材料投入计划。</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（2）因承包人原因导致项目实际进度明显落后于项目进度计划时，承包人须采取相应的赶工措施，确保项目进度目标的实现。</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（3）合同实施过程中，若发包人提出加快施工、竣工试验的赶工要求，承包人应予以配合、落实。</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收到后7天内。本款所述任何修订的施工进度计划不应被理解为工期延长的书面通知，发包人的批准不应被理解为对合同工期的修改或免除承包人的工期违约责任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55" w:name="_Toc186097074"/>
      <w:r/>
      <w:bookmarkEnd w:id="955"/>
      <w:r/>
      <w:bookmarkStart w:id="956" w:name="_Toc96331622"/>
      <w:r>
        <w:rPr>
          <w:rFonts w:hint="eastAsia" w:ascii="宋体" w:hAnsi="宋体" w:eastAsia="宋体" w:cs="宋体"/>
          <w:b w:val="0"/>
          <w:bCs/>
          <w:color w:val="000000"/>
          <w:sz w:val="21"/>
          <w:szCs w:val="21"/>
          <w:highlight w:val="none"/>
        </w:rPr>
        <w:t xml:space="preserve">7.3 开工</w:t>
      </w:r>
      <w:bookmarkEnd w:id="95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以发包人实际完成工作和时间为准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按发包人的要求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因发包人原因造成监理人未能在计划开工日期之日起90天内发出开工通知的，除政策性调整外，承包人不能提出其他价格调整或者解除合同的要求。发包人承担延误的工期，不补偿增加的费用和利润。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7.3.4竣工日期及关键节点工期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计划竣工日期：  年   月  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关键节点工期：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年 月 日前 ，便于后期工程施工；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项目完工，   年   月   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项目竣工，  年  月  日。</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957" w:name="_Toc96331623"/>
      <w:r/>
      <w:bookmarkEnd w:id="957"/>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开工前7天。</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58" w:name="_Toc96331624"/>
      <w:r/>
      <w:bookmarkEnd w:id="958"/>
      <w:r/>
      <w:bookmarkStart w:id="959" w:name="_Toc186097075"/>
      <w:r>
        <w:rPr>
          <w:rFonts w:hint="eastAsia" w:ascii="宋体" w:hAnsi="宋体" w:eastAsia="宋体" w:cs="宋体"/>
          <w:b w:val="0"/>
          <w:bCs/>
          <w:color w:val="000000"/>
          <w:sz w:val="21"/>
          <w:szCs w:val="21"/>
          <w:highlight w:val="none"/>
        </w:rPr>
        <w:t xml:space="preserve">7</w:t>
      </w:r>
      <w:bookmarkEnd w:id="959"/>
      <w:r/>
      <w:bookmarkStart w:id="960" w:name="_Toc312678010"/>
      <w:r/>
      <w:bookmarkEnd w:id="960"/>
      <w:r/>
      <w:bookmarkStart w:id="961" w:name="_Toc297123516"/>
      <w:r/>
      <w:bookmarkEnd w:id="961"/>
      <w:r/>
      <w:bookmarkStart w:id="962" w:name="_Toc312677484"/>
      <w:r/>
      <w:bookmarkEnd w:id="962"/>
      <w:r/>
      <w:bookmarkStart w:id="963" w:name="_Toc304295546"/>
      <w:r/>
      <w:bookmarkEnd w:id="963"/>
      <w:r/>
      <w:bookmarkStart w:id="964" w:name="_Toc297216175"/>
      <w:r/>
      <w:bookmarkEnd w:id="964"/>
      <w:r/>
      <w:bookmarkStart w:id="965" w:name="_Toc303539125"/>
      <w:r/>
      <w:bookmarkEnd w:id="965"/>
      <w:r/>
      <w:bookmarkStart w:id="966" w:name="_Toc300934968"/>
      <w:r>
        <w:rPr>
          <w:rFonts w:hint="eastAsia" w:ascii="宋体" w:hAnsi="宋体" w:eastAsia="宋体" w:cs="宋体"/>
          <w:b w:val="0"/>
          <w:bCs/>
          <w:color w:val="000000"/>
          <w:sz w:val="21"/>
          <w:szCs w:val="21"/>
          <w:highlight w:val="none"/>
        </w:rPr>
        <w:t xml:space="preserve">.5 工期延误</w:t>
      </w:r>
      <w:bookmarkEnd w:id="96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因通用合同条款（1）（2）（3）（4）（6）情形导致工期延误，由发包人承担延误的工期，不补偿增加的费用和利润。因通用合同条款（5）情形导致工期延误，发包人不承担延误的工期，不补偿增加的费用和利润。发生上述情形，承包人需在事件发生之日起【3】天内提出申请，否则视为不顺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eastAsia="宋体" w:cs="宋体"/>
          <w:color w:val="000000"/>
          <w:sz w:val="21"/>
          <w:szCs w:val="21"/>
          <w:highlight w:val="none"/>
          <w:u w:val="single"/>
        </w:rPr>
        <w:t xml:space="preserve">因发包人职责范围内的行政审批原因导致工期延误超过56天，发包人承担延误的工期，并补偿增加的费用，不补偿利润。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7</w:t>
      </w:r>
      <w:bookmarkStart w:id="967" w:name="_Toc303539127"/>
      <w:r/>
      <w:bookmarkEnd w:id="967"/>
      <w:r/>
      <w:bookmarkStart w:id="968" w:name="_Toc300934970"/>
      <w:r/>
      <w:bookmarkEnd w:id="968"/>
      <w:r/>
      <w:bookmarkStart w:id="969" w:name="_Toc297123518"/>
      <w:r/>
      <w:bookmarkEnd w:id="969"/>
      <w:r/>
      <w:bookmarkStart w:id="970" w:name="_Toc297216177"/>
      <w:r/>
      <w:bookmarkEnd w:id="970"/>
      <w:r/>
      <w:bookmarkStart w:id="971" w:name="_Toc304295548"/>
      <w:r/>
      <w:bookmarkEnd w:id="971"/>
      <w:r/>
      <w:bookmarkStart w:id="972" w:name="_Toc312678012"/>
      <w:r/>
      <w:bookmarkEnd w:id="972"/>
      <w:r/>
      <w:bookmarkStart w:id="973" w:name="_Toc318581169"/>
      <w:r/>
      <w:bookmarkEnd w:id="973"/>
      <w:r/>
      <w:bookmarkStart w:id="974" w:name="_Toc312677486"/>
      <w:r>
        <w:rPr>
          <w:rFonts w:hint="eastAsia" w:ascii="宋体" w:hAnsi="宋体" w:eastAsia="宋体" w:cs="宋体"/>
          <w:color w:val="000000"/>
          <w:sz w:val="21"/>
          <w:szCs w:val="21"/>
          <w:highlight w:val="none"/>
        </w:rPr>
        <w:t xml:space="preserve">.5.2 因承包人原因导致工期延误</w:t>
      </w:r>
      <w:bookmarkEnd w:id="974"/>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因承包人原因导致竣工日期延误，每延误1天的误期赔偿金额为签约合同价的1‰。</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因承包人原因导致关键节点工期延误，每延误1天须向发包人支付5-10万元的违约金。</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因承包人原因导致关键节点工期延误超过56天或工期延误违约金达到签约合同价5%，发包人有权解除合同。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因承包人原因造成工期延误，逾</w:t>
      </w:r>
      <w:bookmarkStart w:id="975" w:name="_Toc312678014"/>
      <w:r/>
      <w:bookmarkEnd w:id="975"/>
      <w:r/>
      <w:bookmarkStart w:id="976" w:name="_Toc318581171"/>
      <w:r>
        <w:rPr>
          <w:rFonts w:hint="eastAsia" w:ascii="宋体" w:hAnsi="宋体" w:eastAsia="宋体" w:cs="宋体"/>
          <w:color w:val="000000"/>
          <w:sz w:val="21"/>
          <w:szCs w:val="21"/>
          <w:highlight w:val="none"/>
        </w:rPr>
        <w:t xml:space="preserve">期竣工违约金的上限：</w:t>
      </w:r>
      <w:bookmarkEnd w:id="976"/>
      <w:r>
        <w:rPr>
          <w:rFonts w:hint="eastAsia" w:ascii="宋体" w:hAnsi="宋体" w:eastAsia="宋体" w:cs="宋体"/>
          <w:color w:val="000000"/>
          <w:sz w:val="21"/>
          <w:szCs w:val="21"/>
          <w:highlight w:val="none"/>
          <w:u w:val="single"/>
        </w:rPr>
        <w:t xml:space="preserve">签约合同价的5%。</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在施工过程中，因承包人原因造成工期延误，赶工费由承包人承担。 在延误后发包人有权指定第三方单位进场施工，产生的费用由承包人承担。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发包人有权调整建设内容和建设计划，包括增减合同内容等，承包人不得因此而要求给予费用补偿。</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因承包人自身原因导致的工程变更，承包人无权要求追加合同价款。</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77" w:name="_Toc186097076"/>
      <w:r/>
      <w:bookmarkEnd w:id="977"/>
      <w:r/>
      <w:bookmarkStart w:id="978" w:name="_Toc96331625"/>
      <w:r/>
      <w:bookmarkEnd w:id="978"/>
      <w:r>
        <w:rPr>
          <w:rFonts w:hint="eastAsia" w:ascii="宋体" w:hAnsi="宋体" w:eastAsia="宋体" w:cs="宋体"/>
          <w:b w:val="0"/>
          <w:bCs/>
          <w:color w:val="000000"/>
          <w:sz w:val="21"/>
          <w:szCs w:val="21"/>
          <w:highlight w:val="none"/>
        </w:rPr>
        <w:t xml:space="preserve">7</w:t>
      </w:r>
      <w:bookmarkStart w:id="979" w:name="_Toc304295549"/>
      <w:r/>
      <w:bookmarkEnd w:id="979"/>
      <w:r/>
      <w:bookmarkStart w:id="980" w:name="_Toc297216178"/>
      <w:r/>
      <w:bookmarkEnd w:id="980"/>
      <w:r/>
      <w:bookmarkStart w:id="981" w:name="_Toc303539128"/>
      <w:r/>
      <w:bookmarkEnd w:id="981"/>
      <w:r/>
      <w:bookmarkStart w:id="982" w:name="_Toc312678015"/>
      <w:r/>
      <w:bookmarkEnd w:id="982"/>
      <w:r/>
      <w:bookmarkStart w:id="983" w:name="_Toc297123519"/>
      <w:r/>
      <w:bookmarkEnd w:id="983"/>
      <w:r/>
      <w:bookmarkStart w:id="984" w:name="_Toc300934971"/>
      <w:r>
        <w:rPr>
          <w:rFonts w:hint="eastAsia" w:ascii="宋体" w:hAnsi="宋体" w:eastAsia="宋体" w:cs="宋体"/>
          <w:b w:val="0"/>
          <w:bCs/>
          <w:color w:val="000000"/>
          <w:sz w:val="21"/>
          <w:szCs w:val="21"/>
          <w:highlight w:val="none"/>
        </w:rPr>
        <w:t xml:space="preserve">.6 不</w:t>
      </w:r>
      <w:bookmarkEnd w:id="984"/>
      <w:r>
        <w:rPr>
          <w:rFonts w:hint="eastAsia" w:ascii="宋体" w:hAnsi="宋体" w:eastAsia="宋体" w:cs="宋体"/>
          <w:b w:val="0"/>
          <w:bCs/>
          <w:color w:val="000000"/>
          <w:sz w:val="21"/>
          <w:szCs w:val="21"/>
          <w:highlight w:val="none"/>
        </w:rPr>
        <w:t xml:space="preserve">利物质条件</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985" w:name="_Toc297216179"/>
      <w:r/>
      <w:bookmarkEnd w:id="985"/>
      <w:r/>
      <w:bookmarkStart w:id="986" w:name="_Toc318581172"/>
      <w:r/>
      <w:bookmarkEnd w:id="986"/>
      <w:r/>
      <w:bookmarkStart w:id="987" w:name="_Toc312678016"/>
      <w:r/>
      <w:bookmarkEnd w:id="987"/>
      <w:r/>
      <w:bookmarkStart w:id="988" w:name="_Toc304295550"/>
      <w:r/>
      <w:bookmarkEnd w:id="988"/>
      <w:r/>
      <w:bookmarkStart w:id="989" w:name="_Toc303539129"/>
      <w:r/>
      <w:bookmarkEnd w:id="989"/>
      <w:r/>
      <w:bookmarkStart w:id="990" w:name="_Toc300934972"/>
      <w:r/>
      <w:bookmarkEnd w:id="990"/>
      <w:r/>
      <w:bookmarkStart w:id="991" w:name="_Toc297123520"/>
      <w:r>
        <w:rPr>
          <w:rFonts w:hint="eastAsia" w:ascii="宋体" w:hAnsi="宋体" w:eastAsia="宋体" w:cs="宋体"/>
          <w:color w:val="000000"/>
          <w:sz w:val="21"/>
          <w:szCs w:val="21"/>
          <w:highlight w:val="none"/>
        </w:rPr>
        <w:t xml:space="preserve">不利物质条件的其他情形和有关约定：</w:t>
      </w:r>
      <w:bookmarkEnd w:id="991"/>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472"/>
        <w:ind w:left="0" w:right="0" w:firstLine="422"/>
        <w:pageBreakBefore w:val="0"/>
        <w:spacing w:line="400" w:lineRule="exact"/>
        <w:rPr>
          <w:rFonts w:hint="eastAsia" w:ascii="宋体" w:hAnsi="宋体" w:eastAsia="宋体" w:cs="宋体"/>
          <w:b/>
          <w:color w:val="000000"/>
          <w:sz w:val="21"/>
          <w:szCs w:val="21"/>
          <w:highlight w:val="none"/>
        </w:rPr>
        <w:outlineLvl w:val="9"/>
      </w:pPr>
      <w:r/>
      <w:bookmarkStart w:id="992" w:name="_Toc96331626"/>
      <w:r/>
      <w:bookmarkEnd w:id="992"/>
      <w:r>
        <w:rPr>
          <w:rFonts w:hint="eastAsia" w:ascii="宋体" w:hAnsi="宋体" w:eastAsia="宋体" w:cs="宋体"/>
          <w:b/>
          <w:color w:val="000000"/>
          <w:sz w:val="21"/>
          <w:szCs w:val="21"/>
          <w:highlight w:val="none"/>
        </w:rPr>
        <w:t xml:space="preserve">7</w:t>
      </w:r>
      <w:bookmarkStart w:id="993" w:name="_Toc297216180"/>
      <w:r/>
      <w:bookmarkEnd w:id="993"/>
      <w:r/>
      <w:bookmarkStart w:id="994" w:name="_Toc297123521"/>
      <w:r/>
      <w:bookmarkEnd w:id="994"/>
      <w:r/>
      <w:bookmarkStart w:id="995" w:name="_Toc312678017"/>
      <w:r/>
      <w:bookmarkEnd w:id="995"/>
      <w:r/>
      <w:bookmarkStart w:id="996" w:name="_Toc304295551"/>
      <w:r/>
      <w:bookmarkEnd w:id="996"/>
      <w:r/>
      <w:bookmarkStart w:id="997" w:name="_Toc303539130"/>
      <w:r/>
      <w:bookmarkEnd w:id="997"/>
      <w:r/>
      <w:bookmarkStart w:id="998" w:name="_Toc300934973"/>
      <w:r>
        <w:rPr>
          <w:rFonts w:hint="eastAsia" w:ascii="宋体" w:hAnsi="宋体" w:eastAsia="宋体" w:cs="宋体"/>
          <w:b/>
          <w:color w:val="000000"/>
          <w:sz w:val="21"/>
          <w:szCs w:val="21"/>
          <w:highlight w:val="none"/>
        </w:rPr>
        <w:t xml:space="preserve">.7异常恶劣的气候条件</w:t>
      </w:r>
      <w:bookmarkEnd w:id="998"/>
      <w:r>
        <w:rPr>
          <w:rFonts w:hint="eastAsia" w:ascii="宋体" w:hAnsi="宋体" w:eastAsia="宋体" w:cs="宋体"/>
          <w:b/>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99" w:name="_Toc186097077"/>
      <w:r/>
      <w:bookmarkEnd w:id="999"/>
      <w:r/>
      <w:bookmarkStart w:id="1000" w:name="_Toc96331627"/>
      <w:r>
        <w:rPr>
          <w:rFonts w:hint="eastAsia" w:ascii="宋体" w:hAnsi="宋体" w:eastAsia="宋体" w:cs="宋体"/>
          <w:b w:val="0"/>
          <w:bCs/>
          <w:color w:val="000000"/>
          <w:sz w:val="21"/>
          <w:szCs w:val="21"/>
          <w:highlight w:val="none"/>
        </w:rPr>
        <w:t xml:space="preserve">7.9 提前竣工的奖励</w:t>
      </w:r>
      <w:bookmarkEnd w:id="100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i/>
          <w:iCs/>
          <w:color w:val="000000"/>
          <w:sz w:val="21"/>
          <w:szCs w:val="21"/>
          <w:highlight w:val="none"/>
          <w:u w:val="single"/>
        </w:rPr>
        <w:outlineLvl w:val="9"/>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i/>
          <w:iCs/>
          <w:color w:val="000000"/>
          <w:sz w:val="21"/>
          <w:szCs w:val="21"/>
          <w:highlight w:val="none"/>
          <w:u w:val="single"/>
        </w:rPr>
      </w:r>
      <w:r/>
    </w:p>
    <w:p>
      <w:pPr>
        <w:pStyle w:val="1063"/>
        <w:ind w:left="0" w:right="0" w:firstLine="422"/>
        <w:pageBreakBefore w:val="0"/>
        <w:spacing w:line="400" w:lineRule="exact"/>
        <w:rPr>
          <w:rFonts w:hint="eastAsia" w:ascii="宋体" w:hAnsi="宋体" w:eastAsia="宋体" w:cs="宋体"/>
          <w:b/>
          <w:color w:val="000000"/>
          <w:sz w:val="21"/>
          <w:szCs w:val="21"/>
          <w:highlight w:val="none"/>
        </w:rPr>
        <w:outlineLvl w:val="9"/>
      </w:pPr>
      <w:r/>
      <w:bookmarkStart w:id="1001" w:name="_Toc351203640"/>
      <w:r/>
      <w:bookmarkEnd w:id="1001"/>
      <w:r/>
      <w:bookmarkStart w:id="1002" w:name="_Toc96331628"/>
      <w:r>
        <w:rPr>
          <w:rFonts w:hint="eastAsia" w:ascii="宋体" w:hAnsi="宋体" w:eastAsia="宋体" w:cs="宋体"/>
          <w:b/>
          <w:color w:val="000000"/>
          <w:sz w:val="21"/>
          <w:szCs w:val="21"/>
          <w:highlight w:val="none"/>
        </w:rPr>
        <w:t xml:space="preserve">8. </w:t>
      </w:r>
      <w:bookmarkEnd w:id="1002"/>
      <w:r>
        <w:rPr>
          <w:rFonts w:hint="eastAsia" w:ascii="宋体" w:hAnsi="宋体" w:eastAsia="宋体" w:cs="宋体"/>
          <w:b/>
          <w:color w:val="000000"/>
          <w:sz w:val="21"/>
          <w:szCs w:val="21"/>
          <w:highlight w:val="none"/>
        </w:rPr>
        <w:t xml:space="preserve">材料与设备</w:t>
      </w:r>
      <w:r>
        <w:rPr>
          <w:rFonts w:hint="eastAsia" w:ascii="宋体" w:hAnsi="宋体" w:eastAsia="宋体" w:cs="宋体"/>
          <w:b/>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bookmarkStart w:id="1003" w:name="_Toc96331629"/>
      <w:r/>
      <w:bookmarkEnd w:id="1003"/>
      <w:r>
        <w:rPr>
          <w:rFonts w:hint="eastAsia" w:ascii="宋体" w:hAnsi="宋体" w:eastAsia="宋体" w:cs="宋体"/>
          <w:color w:val="000000"/>
          <w:sz w:val="21"/>
          <w:szCs w:val="21"/>
          <w:highlight w:val="none"/>
        </w:rPr>
        <w:t xml:space="preserve">增加8.2.1 承包人采购材料与工程设备要求</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增加8.2.2：</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（1）承包人应配置专职采购人员，制定采购程序和质量控制办法，报发包人、监理人备案。对于大宗材料设备采购，发包人有权审查采购文件、招标控制价、参与开评标，对承包人采购的全过程进行监督。</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应以书面形式对拟采购的主要材料设备向发包人、监理人作出说明（包含但不限于性能、产地、厂家、品牌、规格型号、价格等），并提供产品的相关资料（包含但不限于出厂证明、质量说明、质量合格证书、准用证，进口产品还应提供原产地证明、报关手续等），经确认后进行采购。发包人推荐品牌范围，承包人须在推荐品牌（发包人另批准的除外）中采购；发包人未推荐品牌范围，承包人须选用市场一线品牌的优质产品并将拟选用品牌报发包人、监理人确认。</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04" w:name="_Toc186097078"/>
      <w:r/>
      <w:bookmarkEnd w:id="1004"/>
      <w:r>
        <w:rPr>
          <w:rFonts w:hint="eastAsia" w:ascii="宋体" w:hAnsi="宋体" w:eastAsia="宋体" w:cs="宋体"/>
          <w:b w:val="0"/>
          <w:bCs/>
          <w:color w:val="000000"/>
          <w:sz w:val="21"/>
          <w:szCs w:val="21"/>
          <w:highlight w:val="none"/>
        </w:rPr>
        <w:t xml:space="preserve">8</w:t>
      </w:r>
      <w:bookmarkStart w:id="1005" w:name="_Toc297048353"/>
      <w:r/>
      <w:bookmarkEnd w:id="1005"/>
      <w:r/>
      <w:bookmarkStart w:id="1006" w:name="_Toc296944506"/>
      <w:r/>
      <w:bookmarkEnd w:id="1006"/>
      <w:r/>
      <w:bookmarkStart w:id="1007" w:name="_Toc280868654"/>
      <w:r/>
      <w:bookmarkEnd w:id="1007"/>
      <w:r/>
      <w:bookmarkStart w:id="1008" w:name="_Toc312678019"/>
      <w:r/>
      <w:bookmarkEnd w:id="1008"/>
      <w:r/>
      <w:bookmarkStart w:id="1009" w:name="_Toc297120467"/>
      <w:r/>
      <w:bookmarkEnd w:id="1009"/>
      <w:r/>
      <w:bookmarkStart w:id="1010" w:name="_Toc304295556"/>
      <w:r/>
      <w:bookmarkEnd w:id="1010"/>
      <w:r/>
      <w:bookmarkStart w:id="1011" w:name="_Toc292559372"/>
      <w:r/>
      <w:bookmarkEnd w:id="1011"/>
      <w:r/>
      <w:bookmarkStart w:id="1012" w:name="_Toc296891207"/>
      <w:r/>
      <w:bookmarkEnd w:id="1012"/>
      <w:r/>
      <w:bookmarkStart w:id="1013" w:name="_Toc300934979"/>
      <w:r/>
      <w:bookmarkEnd w:id="1013"/>
      <w:r/>
      <w:bookmarkStart w:id="1014" w:name="_Toc296347166"/>
      <w:r/>
      <w:bookmarkEnd w:id="1014"/>
      <w:r/>
      <w:bookmarkStart w:id="1015" w:name="_Toc312677493"/>
      <w:r/>
      <w:bookmarkEnd w:id="1015"/>
      <w:r/>
      <w:bookmarkStart w:id="1016" w:name="_Toc280868656"/>
      <w:r/>
      <w:bookmarkEnd w:id="1016"/>
      <w:r/>
      <w:bookmarkStart w:id="1017" w:name="_Toc297216186"/>
      <w:r/>
      <w:bookmarkEnd w:id="1017"/>
      <w:r/>
      <w:bookmarkStart w:id="1018" w:name="_Toc297123527"/>
      <w:r/>
      <w:bookmarkEnd w:id="1018"/>
      <w:r/>
      <w:bookmarkStart w:id="1019" w:name="_Toc303539136"/>
      <w:r/>
      <w:bookmarkEnd w:id="1019"/>
      <w:r/>
      <w:bookmarkStart w:id="1020" w:name="_Toc296503167"/>
      <w:r/>
      <w:bookmarkEnd w:id="1020"/>
      <w:r/>
      <w:bookmarkStart w:id="1021" w:name="_Toc292559877"/>
      <w:r/>
      <w:bookmarkEnd w:id="1021"/>
      <w:r/>
      <w:bookmarkStart w:id="1022" w:name="_Toc267251424"/>
      <w:r/>
      <w:bookmarkEnd w:id="1022"/>
      <w:r/>
      <w:bookmarkStart w:id="1023" w:name="_Toc296346668"/>
      <w:r/>
      <w:bookmarkEnd w:id="1023"/>
      <w:r/>
      <w:bookmarkStart w:id="1024" w:name="_Toc296890995"/>
      <w:r/>
      <w:bookmarkEnd w:id="1024"/>
      <w:r/>
      <w:bookmarkStart w:id="1025" w:name="_Toc280868655"/>
      <w:r>
        <w:rPr>
          <w:rFonts w:hint="eastAsia" w:ascii="宋体" w:hAnsi="宋体" w:eastAsia="宋体" w:cs="宋体"/>
          <w:b w:val="0"/>
          <w:bCs/>
          <w:color w:val="000000"/>
          <w:sz w:val="21"/>
          <w:szCs w:val="21"/>
          <w:highlight w:val="none"/>
        </w:rPr>
        <w:t xml:space="preserve">.4材料与工程设备的保管与使用</w:t>
      </w:r>
      <w:bookmarkEnd w:id="102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8</w:t>
      </w:r>
      <w:bookmarkStart w:id="1026" w:name="_Toc296347167"/>
      <w:r/>
      <w:bookmarkEnd w:id="1026"/>
      <w:r/>
      <w:bookmarkStart w:id="1027" w:name="_Toc318581173"/>
      <w:r/>
      <w:bookmarkEnd w:id="1027"/>
      <w:r/>
      <w:bookmarkStart w:id="1028" w:name="_Toc300934980"/>
      <w:r/>
      <w:bookmarkEnd w:id="1028"/>
      <w:r/>
      <w:bookmarkStart w:id="1029" w:name="_Toc297120468"/>
      <w:r/>
      <w:bookmarkEnd w:id="1029"/>
      <w:r/>
      <w:bookmarkStart w:id="1030" w:name="_Toc296346669"/>
      <w:r/>
      <w:bookmarkEnd w:id="1030"/>
      <w:r/>
      <w:bookmarkStart w:id="1031" w:name="_Toc296891208"/>
      <w:r/>
      <w:bookmarkEnd w:id="1031"/>
      <w:r/>
      <w:bookmarkStart w:id="1032" w:name="_Toc297048354"/>
      <w:r/>
      <w:bookmarkEnd w:id="1032"/>
      <w:r/>
      <w:bookmarkStart w:id="1033" w:name="_Toc297216187"/>
      <w:r/>
      <w:bookmarkEnd w:id="1033"/>
      <w:r/>
      <w:bookmarkStart w:id="1034" w:name="_Toc312677494"/>
      <w:r/>
      <w:bookmarkEnd w:id="1034"/>
      <w:r/>
      <w:bookmarkStart w:id="1035" w:name="_Toc292559878"/>
      <w:r/>
      <w:bookmarkEnd w:id="1035"/>
      <w:r/>
      <w:bookmarkStart w:id="1036" w:name="_Toc303539137"/>
      <w:r/>
      <w:bookmarkEnd w:id="1036"/>
      <w:r/>
      <w:bookmarkStart w:id="1037" w:name="_Toc296944507"/>
      <w:r/>
      <w:bookmarkEnd w:id="1037"/>
      <w:r/>
      <w:bookmarkStart w:id="1038" w:name="_Toc296890996"/>
      <w:r/>
      <w:bookmarkEnd w:id="1038"/>
      <w:r/>
      <w:bookmarkStart w:id="1039" w:name="_Toc296503168"/>
      <w:r/>
      <w:bookmarkEnd w:id="1039"/>
      <w:r/>
      <w:bookmarkStart w:id="1040" w:name="_Toc304295557"/>
      <w:r/>
      <w:bookmarkEnd w:id="1040"/>
      <w:r/>
      <w:bookmarkStart w:id="1041" w:name="_Toc297123528"/>
      <w:r/>
      <w:bookmarkEnd w:id="1041"/>
      <w:r/>
      <w:bookmarkStart w:id="1042" w:name="_Toc312678020"/>
      <w:r/>
      <w:bookmarkEnd w:id="1042"/>
      <w:r/>
      <w:bookmarkStart w:id="1043" w:name="_Toc292559373"/>
      <w:r>
        <w:rPr>
          <w:rFonts w:hint="eastAsia" w:ascii="宋体" w:hAnsi="宋体" w:eastAsia="宋体" w:cs="宋体"/>
          <w:color w:val="000000"/>
          <w:sz w:val="21"/>
          <w:szCs w:val="21"/>
          <w:highlight w:val="none"/>
        </w:rPr>
        <w:t xml:space="preserve">.4.1发包人供应的材料设备的保管费用的承担：</w:t>
      </w:r>
      <w:bookmarkEnd w:id="1043"/>
      <w:r>
        <w:rPr>
          <w:rFonts w:hint="eastAsia" w:ascii="宋体" w:hAnsi="宋体" w:eastAsia="宋体" w:cs="宋体"/>
          <w:color w:val="000000"/>
          <w:sz w:val="21"/>
          <w:szCs w:val="21"/>
          <w:highlight w:val="none"/>
          <w:u w:val="single"/>
        </w:rPr>
        <w:t xml:space="preserve">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4" w:name="_Toc96331630"/>
      <w:r/>
      <w:bookmarkEnd w:id="1044"/>
      <w:r/>
      <w:bookmarkStart w:id="1045" w:name="_Toc186097079"/>
      <w:r>
        <w:rPr>
          <w:rFonts w:hint="eastAsia" w:ascii="宋体" w:hAnsi="宋体" w:eastAsia="宋体" w:cs="宋体"/>
          <w:b w:val="0"/>
          <w:bCs/>
          <w:color w:val="000000"/>
          <w:sz w:val="21"/>
          <w:szCs w:val="21"/>
          <w:highlight w:val="none"/>
        </w:rPr>
        <w:t xml:space="preserve">8.6 样品</w:t>
      </w:r>
      <w:bookmarkEnd w:id="104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1"/>
          <w:szCs w:val="21"/>
          <w:highlight w:val="none"/>
          <w:u w:val="single"/>
        </w:rPr>
        <w:t xml:space="preserve">对效果或品质影响较大或书面材料无法直观反应效果及品质或发包人要求的材料设备，承包人应提供样品或样板工程。样品或样板工程须由项目经理、施工负责人共同报送（附共同签字确认文件），经发包人、监理人确认后才可进行批量采购或施工；如样品或样板工程不符合发包人、监理人要求，承包人须重新采购或整改，直至满足要求。相关费用已包含在签约合同价中，结算不另行计量计价。</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6" w:name="_Toc186097080"/>
      <w:r/>
      <w:bookmarkEnd w:id="1046"/>
      <w:r/>
      <w:bookmarkStart w:id="1047" w:name="_Toc96331631"/>
      <w:r>
        <w:rPr>
          <w:rFonts w:hint="eastAsia" w:ascii="宋体" w:hAnsi="宋体" w:eastAsia="宋体" w:cs="宋体"/>
          <w:b w:val="0"/>
          <w:bCs/>
          <w:color w:val="000000"/>
          <w:sz w:val="21"/>
          <w:szCs w:val="21"/>
          <w:highlight w:val="none"/>
        </w:rPr>
        <w:t xml:space="preserve">8.8 施工设备和临时设施</w:t>
      </w:r>
      <w:bookmarkEnd w:id="104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临时设施方案须经发包人审核，临时占地手续和费用按专用合同条款第1.1.3.10款执行。</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8" w:name="_Toc96331632"/>
      <w:r/>
      <w:bookmarkEnd w:id="1048"/>
      <w:r/>
      <w:bookmarkStart w:id="1049" w:name="_Toc186097081"/>
      <w:r/>
      <w:bookmarkEnd w:id="1049"/>
      <w:r/>
      <w:bookmarkStart w:id="1050" w:name="_Toc351203641"/>
      <w:r/>
      <w:bookmarkEnd w:id="1050"/>
      <w:r>
        <w:rPr>
          <w:rFonts w:hint="eastAsia" w:ascii="宋体" w:hAnsi="宋体" w:eastAsia="宋体" w:cs="宋体"/>
          <w:b w:val="0"/>
          <w:bCs/>
          <w:color w:val="000000"/>
          <w:sz w:val="21"/>
          <w:szCs w:val="21"/>
          <w:highlight w:val="none"/>
        </w:rPr>
        <w:t xml:space="preserve">9</w:t>
      </w:r>
      <w:bookmarkStart w:id="1051" w:name="_Toc267251427"/>
      <w:r/>
      <w:bookmarkEnd w:id="1051"/>
      <w:r/>
      <w:bookmarkStart w:id="1052" w:name="_Toc312677495"/>
      <w:r/>
      <w:bookmarkEnd w:id="1052"/>
      <w:r/>
      <w:bookmarkStart w:id="1053" w:name="_Toc296891001"/>
      <w:r/>
      <w:bookmarkEnd w:id="1053"/>
      <w:r/>
      <w:bookmarkStart w:id="1054" w:name="_Toc267251428"/>
      <w:r/>
      <w:bookmarkEnd w:id="1054"/>
      <w:r/>
      <w:bookmarkStart w:id="1055" w:name="_Toc296891213"/>
      <w:r/>
      <w:bookmarkEnd w:id="1055"/>
      <w:r/>
      <w:bookmarkStart w:id="1056" w:name="_Toc296346674"/>
      <w:r/>
      <w:bookmarkEnd w:id="1056"/>
      <w:r/>
      <w:bookmarkStart w:id="1057" w:name="_Toc297123533"/>
      <w:r/>
      <w:bookmarkEnd w:id="1057"/>
      <w:r/>
      <w:bookmarkStart w:id="1058" w:name="_Toc292559378"/>
      <w:r/>
      <w:bookmarkEnd w:id="1058"/>
      <w:r/>
      <w:bookmarkStart w:id="1059" w:name="_Toc296347172"/>
      <w:r/>
      <w:bookmarkEnd w:id="1059"/>
      <w:r/>
      <w:bookmarkStart w:id="1060" w:name="_Toc297120473"/>
      <w:r/>
      <w:bookmarkEnd w:id="1060"/>
      <w:r/>
      <w:bookmarkStart w:id="1061" w:name="_Toc296503173"/>
      <w:r/>
      <w:bookmarkEnd w:id="1061"/>
      <w:r/>
      <w:bookmarkStart w:id="1062" w:name="_Toc304295559"/>
      <w:r/>
      <w:bookmarkEnd w:id="1062"/>
      <w:r/>
      <w:bookmarkStart w:id="1063" w:name="_Toc303539139"/>
      <w:r/>
      <w:bookmarkEnd w:id="1063"/>
      <w:r/>
      <w:bookmarkStart w:id="1064" w:name="_Toc297048359"/>
      <w:r/>
      <w:bookmarkEnd w:id="1064"/>
      <w:r/>
      <w:bookmarkStart w:id="1065" w:name="_Toc300934982"/>
      <w:r/>
      <w:bookmarkEnd w:id="1065"/>
      <w:r/>
      <w:bookmarkStart w:id="1066" w:name="_Toc312678021"/>
      <w:r/>
      <w:bookmarkEnd w:id="1066"/>
      <w:r/>
      <w:bookmarkStart w:id="1067" w:name="_Toc297216192"/>
      <w:r/>
      <w:bookmarkEnd w:id="1067"/>
      <w:r/>
      <w:bookmarkStart w:id="1068" w:name="_Toc296944512"/>
      <w:r/>
      <w:bookmarkEnd w:id="1068"/>
      <w:r/>
      <w:bookmarkStart w:id="1069" w:name="_Toc292559883"/>
      <w:r>
        <w:rPr>
          <w:rFonts w:hint="eastAsia" w:ascii="宋体" w:hAnsi="宋体" w:eastAsia="宋体" w:cs="宋体"/>
          <w:b w:val="0"/>
          <w:bCs/>
          <w:color w:val="000000"/>
          <w:sz w:val="21"/>
          <w:szCs w:val="21"/>
          <w:highlight w:val="none"/>
        </w:rPr>
        <w:t xml:space="preserve">. 试验与检验</w:t>
      </w:r>
      <w:bookmarkEnd w:id="1069"/>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70" w:name="_Toc186097082"/>
      <w:r/>
      <w:bookmarkEnd w:id="1070"/>
      <w:r/>
      <w:bookmarkStart w:id="1071" w:name="_Toc96331633"/>
      <w:r/>
      <w:bookmarkEnd w:id="1071"/>
      <w:r>
        <w:rPr>
          <w:rFonts w:hint="eastAsia" w:ascii="宋体" w:hAnsi="宋体" w:eastAsia="宋体" w:cs="宋体"/>
          <w:b w:val="0"/>
          <w:bCs/>
          <w:color w:val="000000"/>
          <w:sz w:val="21"/>
          <w:szCs w:val="21"/>
          <w:highlight w:val="none"/>
        </w:rPr>
        <w:t xml:space="preserve">9</w:t>
      </w:r>
      <w:bookmarkStart w:id="1072" w:name="_Toc312677496"/>
      <w:r/>
      <w:bookmarkEnd w:id="1072"/>
      <w:r/>
      <w:bookmarkStart w:id="1073" w:name="_Toc304295560"/>
      <w:r/>
      <w:bookmarkEnd w:id="1073"/>
      <w:r/>
      <w:bookmarkStart w:id="1074" w:name="_Toc312678022"/>
      <w:r/>
      <w:bookmarkEnd w:id="1074"/>
      <w:r/>
      <w:bookmarkStart w:id="1075" w:name="_Toc297216193"/>
      <w:r/>
      <w:bookmarkEnd w:id="1075"/>
      <w:r/>
      <w:bookmarkStart w:id="1076" w:name="_Toc297123534"/>
      <w:r/>
      <w:bookmarkEnd w:id="1076"/>
      <w:r/>
      <w:bookmarkStart w:id="1077" w:name="_Toc300934983"/>
      <w:r/>
      <w:bookmarkEnd w:id="1077"/>
      <w:r/>
      <w:bookmarkStart w:id="1078" w:name="_Toc303539140"/>
      <w:r>
        <w:rPr>
          <w:rFonts w:hint="eastAsia" w:ascii="宋体" w:hAnsi="宋体" w:eastAsia="宋体" w:cs="宋体"/>
          <w:b w:val="0"/>
          <w:bCs/>
          <w:color w:val="000000"/>
          <w:sz w:val="21"/>
          <w:szCs w:val="21"/>
          <w:highlight w:val="none"/>
        </w:rPr>
        <w:t xml:space="preserve">.1试验设备与试验人员</w:t>
      </w:r>
      <w:bookmarkEnd w:id="107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w:t>
      </w:r>
      <w:bookmarkStart w:id="1079" w:name="_Toc304295561"/>
      <w:r/>
      <w:bookmarkEnd w:id="1079"/>
      <w:r/>
      <w:bookmarkStart w:id="1080" w:name="_Toc297123535"/>
      <w:r/>
      <w:bookmarkEnd w:id="1080"/>
      <w:r/>
      <w:bookmarkStart w:id="1081" w:name="_Toc303539141"/>
      <w:r/>
      <w:bookmarkEnd w:id="1081"/>
      <w:r/>
      <w:bookmarkStart w:id="1082" w:name="_Toc312677497"/>
      <w:r/>
      <w:bookmarkEnd w:id="1082"/>
      <w:r/>
      <w:bookmarkStart w:id="1083" w:name="_Toc300934984"/>
      <w:r/>
      <w:bookmarkEnd w:id="1083"/>
      <w:r/>
      <w:bookmarkStart w:id="1084" w:name="_Toc318581174"/>
      <w:r/>
      <w:bookmarkEnd w:id="1084"/>
      <w:r/>
      <w:bookmarkStart w:id="1085" w:name="_Toc312678023"/>
      <w:r/>
      <w:bookmarkEnd w:id="1085"/>
      <w:r/>
      <w:bookmarkStart w:id="1086" w:name="_Toc297216194"/>
      <w:r>
        <w:rPr>
          <w:rFonts w:hint="eastAsia" w:ascii="宋体" w:hAnsi="宋体" w:eastAsia="宋体" w:cs="宋体"/>
          <w:color w:val="000000"/>
          <w:sz w:val="21"/>
          <w:szCs w:val="21"/>
          <w:highlight w:val="none"/>
        </w:rPr>
        <w:t xml:space="preserve">.1.2 试验设备</w:t>
      </w:r>
      <w:bookmarkEnd w:id="1086"/>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施工现场需要配置的试验场所：</w:t>
      </w:r>
      <w:bookmarkStart w:id="1087" w:name="_Toc312677498"/>
      <w:r/>
      <w:bookmarkEnd w:id="1087"/>
      <w:r/>
      <w:bookmarkStart w:id="1088" w:name="_Toc312678024"/>
      <w:r/>
      <w:bookmarkEnd w:id="1088"/>
      <w:r/>
      <w:bookmarkStart w:id="1089" w:name="_Toc303539142"/>
      <w:r/>
      <w:bookmarkEnd w:id="1089"/>
      <w:r/>
      <w:bookmarkStart w:id="1090" w:name="_Toc300934985"/>
      <w:r/>
      <w:bookmarkEnd w:id="1090"/>
      <w:r/>
      <w:bookmarkStart w:id="1091" w:name="_Toc297123536"/>
      <w:r/>
      <w:bookmarkEnd w:id="1091"/>
      <w:r/>
      <w:bookmarkStart w:id="1092" w:name="_Toc304295562"/>
      <w:r/>
      <w:bookmarkEnd w:id="1092"/>
      <w:r/>
      <w:bookmarkStart w:id="1093" w:name="_Toc297216195"/>
      <w:r/>
      <w:bookmarkEnd w:id="1093"/>
      <w:r>
        <w:rPr>
          <w:rFonts w:hint="eastAsia" w:ascii="宋体" w:hAnsi="宋体" w:eastAsia="宋体" w:cs="宋体"/>
          <w:color w:val="000000"/>
          <w:sz w:val="21"/>
          <w:szCs w:val="21"/>
          <w:highlight w:val="none"/>
          <w:u w:val="single"/>
        </w:rPr>
        <w:t xml:space="preserve">按相关规定执行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按相关规定执行。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符合相应试验规程的要求，在正式试验前由发包人、监理人、承包人共同校定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增加9.3.4 关于材料、工程设备和工程的试验和检验费用：</w:t>
      </w:r>
      <w:r>
        <w:rPr>
          <w:rFonts w:hint="eastAsia" w:ascii="宋体" w:hAnsi="宋体" w:eastAsia="宋体" w:cs="宋体"/>
          <w:color w:val="000000"/>
          <w:sz w:val="21"/>
          <w:szCs w:val="21"/>
          <w:highlight w:val="none"/>
        </w:rPr>
      </w:r>
      <w:r/>
    </w:p>
    <w:p>
      <w:pPr>
        <w:pStyle w:val="1473"/>
        <w:ind w:left="0" w:right="0" w:firstLine="420"/>
        <w:pageBreakBefore w:val="0"/>
        <w:spacing w:before="0" w:after="0" w:line="400" w:lineRule="exact"/>
        <w:tabs>
          <w:tab w:val="left" w:pos="993" w:leader="none"/>
        </w:tabs>
        <w:rPr>
          <w:rFonts w:hint="eastAsia" w:ascii="宋体" w:hAnsi="宋体" w:eastAsia="宋体" w:cs="宋体"/>
          <w:b w:val="0"/>
          <w:color w:val="000000"/>
          <w:sz w:val="21"/>
          <w:szCs w:val="21"/>
          <w:highlight w:val="none"/>
          <w:u w:val="single"/>
        </w:rPr>
        <w:outlineLvl w:val="9"/>
      </w:pPr>
      <w:r/>
      <w:bookmarkStart w:id="1094" w:name="_Toc96331634"/>
      <w:r/>
      <w:bookmarkEnd w:id="1094"/>
      <w:r>
        <w:rPr>
          <w:rFonts w:hint="eastAsia" w:ascii="宋体" w:hAnsi="宋体" w:eastAsia="宋体" w:cs="宋体"/>
          <w:b w:val="0"/>
          <w:color w:val="000000"/>
          <w:sz w:val="21"/>
          <w:szCs w:val="21"/>
          <w:highlight w:val="none"/>
          <w:u w:val="single"/>
        </w:rPr>
        <w:t xml:space="preserve">本工程的部品部件、原材料、试件等均须按相关规定强制送检(监督抽检)，本项目涉及的所有常规和非常规检验、检测、抽测等费</w:t>
      </w:r>
      <w:r>
        <w:rPr>
          <w:rFonts w:hint="eastAsia" w:ascii="宋体" w:hAnsi="宋体" w:eastAsia="宋体" w:cs="宋体"/>
          <w:b w:val="0"/>
          <w:color w:val="000000"/>
          <w:sz w:val="21"/>
          <w:szCs w:val="21"/>
          <w:highlight w:val="none"/>
          <w:u w:val="single"/>
        </w:rPr>
        <w:t xml:space="preserve">用，包括但不限于原材料（构件）检测、门窗幕墙性能检测、电线水管检测、桥梁检测、室内外环境、绝缘电阻、通球试验、消防设备检测等检验试验，以及验收过程中的检验、试验等，材料质量应确保通过消防、节能、环保等第三方检测及消防、环保验收，此项费用由承包人自主报价，包干使用，检测单位需和甲乙双方签订三方合同。相关文件未明确或明确由承包人承担的检测费用由承包人支付，相关费用已包含在签约合同价中，结算不另行计量计价。须发包人承担的强制送检(监督抽检)费用由承包人代付，发包人按检测费开票金额在当期进度付款时支付至承包人账户。</w:t>
      </w:r>
      <w:r>
        <w:rPr>
          <w:rFonts w:hint="eastAsia" w:ascii="宋体" w:hAnsi="宋体" w:eastAsia="宋体" w:cs="宋体"/>
          <w:b w:val="0"/>
          <w:color w:val="000000"/>
          <w:sz w:val="21"/>
          <w:szCs w:val="21"/>
          <w:highlight w:val="none"/>
          <w:u w:val="single"/>
        </w:rPr>
      </w:r>
      <w:r/>
    </w:p>
    <w:p>
      <w:pPr>
        <w:pStyle w:val="1473"/>
        <w:ind w:left="0" w:right="0" w:firstLine="420"/>
        <w:pageBreakBefore w:val="0"/>
        <w:spacing w:before="0" w:after="0" w:line="400" w:lineRule="exact"/>
        <w:tabs>
          <w:tab w:val="left" w:pos="993" w:leader="none"/>
        </w:tabs>
        <w:rPr>
          <w:rFonts w:hint="eastAsia" w:ascii="宋体" w:hAnsi="宋体" w:eastAsia="宋体" w:cs="宋体"/>
          <w:b w:val="0"/>
          <w:color w:val="000000"/>
          <w:sz w:val="21"/>
          <w:szCs w:val="21"/>
          <w:highlight w:val="none"/>
          <w:u w:val="single"/>
        </w:rPr>
        <w:outlineLvl w:val="9"/>
      </w:pPr>
      <w:r>
        <w:rPr>
          <w:rFonts w:hint="eastAsia" w:ascii="宋体" w:hAnsi="宋体" w:eastAsia="宋体" w:cs="宋体"/>
          <w:b w:val="0"/>
          <w:color w:val="000000"/>
          <w:sz w:val="21"/>
          <w:szCs w:val="21"/>
          <w:highlight w:val="none"/>
          <w:u w:val="single"/>
        </w:rPr>
        <w:t xml:space="preserve">承包人承担并委托第三方检测单位进行检测、监测、试验、观测的，承包人必须确保其承担的前述工作符合相关规定，实施前将工作方案、内容、流程、资质和计划安排报监理人批准，并在工作完成后3天内向监理人提交检测、监测、试验、观测的结果、报告和日记。</w:t>
      </w:r>
      <w:r>
        <w:rPr>
          <w:rFonts w:hint="eastAsia" w:ascii="宋体" w:hAnsi="宋体" w:eastAsia="宋体" w:cs="宋体"/>
          <w:b w:val="0"/>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由发包人委托的检测、监测、试验、观测等项目，承包人须提供配合，包含但不限于提供必要的作业时间和作业条件，相关费用已包含在签约合同价中，结算不另行计量计价。</w:t>
      </w:r>
      <w:r>
        <w:rPr>
          <w:rFonts w:hint="eastAsia" w:ascii="宋体" w:hAnsi="宋体" w:eastAsia="宋体" w:cs="宋体"/>
          <w:color w:val="000000"/>
          <w:sz w:val="21"/>
          <w:szCs w:val="21"/>
          <w:highlight w:val="none"/>
          <w:u w:val="single"/>
        </w:rPr>
      </w:r>
      <w:r/>
    </w:p>
    <w:p>
      <w:pPr>
        <w:pStyle w:val="1473"/>
        <w:ind w:left="0" w:right="0" w:firstLine="420"/>
        <w:pageBreakBefore w:val="0"/>
        <w:spacing w:before="0" w:after="0" w:line="400" w:lineRule="exact"/>
        <w:tabs>
          <w:tab w:val="left" w:pos="993" w:leader="none"/>
        </w:tabs>
        <w:rPr>
          <w:rFonts w:hint="eastAsia" w:ascii="宋体" w:hAnsi="宋体" w:eastAsia="宋体" w:cs="宋体"/>
          <w:b w:val="0"/>
          <w:color w:val="000000"/>
          <w:sz w:val="21"/>
          <w:szCs w:val="21"/>
          <w:highlight w:val="none"/>
        </w:rPr>
        <w:outlineLvl w:val="9"/>
      </w:pPr>
      <w:r/>
      <w:bookmarkStart w:id="1095" w:name="_Toc102653892"/>
      <w:r/>
      <w:bookmarkEnd w:id="1095"/>
      <w:r/>
      <w:bookmarkStart w:id="1096" w:name="_Toc186097083"/>
      <w:r>
        <w:rPr>
          <w:rFonts w:hint="eastAsia" w:ascii="宋体" w:hAnsi="宋体" w:eastAsia="宋体" w:cs="宋体"/>
          <w:b w:val="0"/>
          <w:color w:val="000000"/>
          <w:sz w:val="21"/>
          <w:szCs w:val="21"/>
          <w:highlight w:val="none"/>
        </w:rPr>
        <w:t xml:space="preserve">第</w:t>
      </w:r>
      <w:bookmarkEnd w:id="1096"/>
      <w:r>
        <w:rPr>
          <w:rFonts w:hint="eastAsia" w:ascii="宋体" w:hAnsi="宋体" w:eastAsia="宋体" w:cs="宋体"/>
          <w:b w:val="0"/>
          <w:color w:val="000000"/>
          <w:sz w:val="21"/>
          <w:szCs w:val="21"/>
          <w:highlight w:val="none"/>
        </w:rPr>
        <w:t xml:space="preserve">5条 设计</w:t>
      </w:r>
      <w:r>
        <w:rPr>
          <w:rFonts w:hint="eastAsia" w:ascii="宋体" w:hAnsi="宋体" w:eastAsia="宋体" w:cs="宋体"/>
          <w:b w:val="0"/>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97" w:name="_Toc186097084"/>
      <w:r/>
      <w:bookmarkEnd w:id="1097"/>
      <w:r>
        <w:rPr>
          <w:rFonts w:hint="eastAsia" w:ascii="宋体" w:hAnsi="宋体" w:eastAsia="宋体" w:cs="宋体"/>
          <w:b w:val="0"/>
          <w:bCs/>
          <w:color w:val="000000"/>
          <w:sz w:val="21"/>
          <w:szCs w:val="21"/>
          <w:highlight w:val="none"/>
        </w:rPr>
        <w:t xml:space="preserve">9.4 现场工艺试验</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现场工艺试验的费用由承包人承担。如因发包人的需要，发包人安排承包人对超出国家、行业、地方的规范、标准、强制性规定的工艺进行现场试验，试验费用由发包人承担。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98" w:name="_Toc186097085"/>
      <w:r/>
      <w:bookmarkEnd w:id="1098"/>
      <w:r/>
      <w:bookmarkStart w:id="1099" w:name="_Toc351203642"/>
      <w:r>
        <w:rPr>
          <w:rFonts w:hint="eastAsia" w:ascii="宋体" w:hAnsi="宋体" w:eastAsia="宋体" w:cs="宋体"/>
          <w:b w:val="0"/>
          <w:bCs/>
          <w:color w:val="000000"/>
          <w:sz w:val="21"/>
          <w:szCs w:val="21"/>
          <w:highlight w:val="none"/>
        </w:rPr>
        <w:t xml:space="preserve">1</w:t>
      </w:r>
      <w:bookmarkEnd w:id="1099"/>
      <w:r/>
      <w:bookmarkStart w:id="1100" w:name="_Toc312678025"/>
      <w:r/>
      <w:bookmarkEnd w:id="1100"/>
      <w:r/>
      <w:bookmarkStart w:id="1101" w:name="_Toc267251440"/>
      <w:r/>
      <w:bookmarkEnd w:id="1101"/>
      <w:r/>
      <w:bookmarkStart w:id="1102" w:name="_Toc297216199"/>
      <w:r/>
      <w:bookmarkEnd w:id="1102"/>
      <w:r/>
      <w:bookmarkStart w:id="1103" w:name="_Toc267251442"/>
      <w:r/>
      <w:bookmarkEnd w:id="1103"/>
      <w:r/>
      <w:bookmarkStart w:id="1104" w:name="_Toc267251437"/>
      <w:r/>
      <w:bookmarkEnd w:id="1104"/>
      <w:r/>
      <w:bookmarkStart w:id="1105" w:name="_Toc296944532"/>
      <w:r/>
      <w:bookmarkEnd w:id="1105"/>
      <w:r/>
      <w:bookmarkStart w:id="1106" w:name="_Toc296503193"/>
      <w:r/>
      <w:bookmarkEnd w:id="1106"/>
      <w:r/>
      <w:bookmarkStart w:id="1107" w:name="_Toc296891021"/>
      <w:r/>
      <w:bookmarkEnd w:id="1107"/>
      <w:r/>
      <w:bookmarkStart w:id="1108" w:name="_Toc267251441"/>
      <w:r/>
      <w:bookmarkEnd w:id="1108"/>
      <w:r/>
      <w:bookmarkStart w:id="1109" w:name="_Toc303539146"/>
      <w:r/>
      <w:bookmarkEnd w:id="1109"/>
      <w:r/>
      <w:bookmarkStart w:id="1110" w:name="_Toc296347192"/>
      <w:r/>
      <w:bookmarkEnd w:id="1110"/>
      <w:r/>
      <w:bookmarkStart w:id="1111" w:name="_Toc267251435"/>
      <w:r/>
      <w:bookmarkEnd w:id="1111"/>
      <w:r/>
      <w:bookmarkStart w:id="1112" w:name="_Toc292559398"/>
      <w:r/>
      <w:bookmarkEnd w:id="1112"/>
      <w:r/>
      <w:bookmarkStart w:id="1113" w:name="_Toc304295566"/>
      <w:r/>
      <w:bookmarkEnd w:id="1113"/>
      <w:r/>
      <w:bookmarkStart w:id="1114" w:name="_Toc312677499"/>
      <w:r/>
      <w:bookmarkEnd w:id="1114"/>
      <w:r/>
      <w:bookmarkStart w:id="1115" w:name="_Toc297120493"/>
      <w:r/>
      <w:bookmarkEnd w:id="1115"/>
      <w:r/>
      <w:bookmarkStart w:id="1116" w:name="_Toc292559903"/>
      <w:r/>
      <w:bookmarkEnd w:id="1116"/>
      <w:r/>
      <w:bookmarkStart w:id="1117" w:name="_Toc296346694"/>
      <w:r/>
      <w:bookmarkEnd w:id="1117"/>
      <w:r/>
      <w:bookmarkStart w:id="1118" w:name="_Toc300934989"/>
      <w:r/>
      <w:bookmarkEnd w:id="1118"/>
      <w:r/>
      <w:bookmarkStart w:id="1119" w:name="_Toc297048379"/>
      <w:r/>
      <w:bookmarkEnd w:id="1119"/>
      <w:r/>
      <w:bookmarkStart w:id="1120" w:name="_Toc297123540"/>
      <w:r/>
      <w:bookmarkEnd w:id="1120"/>
      <w:r/>
      <w:bookmarkStart w:id="1121" w:name="_Toc296891233"/>
      <w:r/>
      <w:bookmarkEnd w:id="1121"/>
      <w:r/>
      <w:bookmarkStart w:id="1122" w:name="_Toc267251433"/>
      <w:r/>
      <w:bookmarkEnd w:id="1122"/>
      <w:r/>
      <w:bookmarkStart w:id="1123" w:name="_Toc267251439"/>
      <w:r>
        <w:rPr>
          <w:rFonts w:hint="eastAsia" w:ascii="宋体" w:hAnsi="宋体" w:eastAsia="宋体" w:cs="宋体"/>
          <w:b w:val="0"/>
          <w:bCs/>
          <w:color w:val="000000"/>
          <w:sz w:val="21"/>
          <w:szCs w:val="21"/>
          <w:highlight w:val="none"/>
        </w:rPr>
        <w:t xml:space="preserve">0. 变更</w:t>
      </w:r>
      <w:bookmarkEnd w:id="1123"/>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24" w:name="_Toc186097086"/>
      <w:r/>
      <w:bookmarkEnd w:id="1124"/>
      <w:r>
        <w:rPr>
          <w:rFonts w:hint="eastAsia" w:ascii="宋体" w:hAnsi="宋体" w:eastAsia="宋体" w:cs="宋体"/>
          <w:b w:val="0"/>
          <w:bCs/>
          <w:color w:val="000000"/>
          <w:sz w:val="21"/>
          <w:szCs w:val="21"/>
          <w:highlight w:val="none"/>
        </w:rPr>
        <w:t xml:space="preserve">1</w:t>
      </w:r>
      <w:bookmarkStart w:id="1125" w:name="_Toc312677500"/>
      <w:r/>
      <w:bookmarkEnd w:id="1125"/>
      <w:r/>
      <w:bookmarkStart w:id="1126" w:name="_Toc304295567"/>
      <w:r/>
      <w:bookmarkEnd w:id="1126"/>
      <w:r/>
      <w:bookmarkStart w:id="1127" w:name="_Toc296891234"/>
      <w:r/>
      <w:bookmarkEnd w:id="1127"/>
      <w:r/>
      <w:bookmarkStart w:id="1128" w:name="_Toc296346695"/>
      <w:r/>
      <w:bookmarkEnd w:id="1128"/>
      <w:r/>
      <w:bookmarkStart w:id="1129" w:name="_Toc300934990"/>
      <w:r/>
      <w:bookmarkEnd w:id="1129"/>
      <w:r/>
      <w:bookmarkStart w:id="1130" w:name="_Toc296503194"/>
      <w:r/>
      <w:bookmarkEnd w:id="1130"/>
      <w:r/>
      <w:bookmarkStart w:id="1131" w:name="_Toc303539147"/>
      <w:r/>
      <w:bookmarkEnd w:id="1131"/>
      <w:r/>
      <w:bookmarkStart w:id="1132" w:name="_Toc297120494"/>
      <w:r/>
      <w:bookmarkEnd w:id="1132"/>
      <w:r/>
      <w:bookmarkStart w:id="1133" w:name="_Toc292559399"/>
      <w:r/>
      <w:bookmarkEnd w:id="1133"/>
      <w:r/>
      <w:bookmarkStart w:id="1134" w:name="_Toc297123541"/>
      <w:r/>
      <w:bookmarkEnd w:id="1134"/>
      <w:r/>
      <w:bookmarkStart w:id="1135" w:name="_Toc312678026"/>
      <w:r/>
      <w:bookmarkEnd w:id="1135"/>
      <w:r/>
      <w:bookmarkStart w:id="1136" w:name="_Toc297216200"/>
      <w:r/>
      <w:bookmarkEnd w:id="1136"/>
      <w:r/>
      <w:bookmarkStart w:id="1137" w:name="_Toc297048380"/>
      <w:r/>
      <w:bookmarkEnd w:id="1137"/>
      <w:r/>
      <w:bookmarkStart w:id="1138" w:name="_Toc296891022"/>
      <w:r/>
      <w:bookmarkEnd w:id="1138"/>
      <w:r/>
      <w:bookmarkStart w:id="1139" w:name="_Toc292559904"/>
      <w:r/>
      <w:bookmarkEnd w:id="1139"/>
      <w:r/>
      <w:bookmarkStart w:id="1140" w:name="_Toc296944533"/>
      <w:r/>
      <w:bookmarkEnd w:id="1140"/>
      <w:r/>
      <w:bookmarkStart w:id="1141" w:name="_Toc296347193"/>
      <w:r>
        <w:rPr>
          <w:rFonts w:hint="eastAsia" w:ascii="宋体" w:hAnsi="宋体" w:eastAsia="宋体" w:cs="宋体"/>
          <w:b w:val="0"/>
          <w:bCs/>
          <w:color w:val="000000"/>
          <w:sz w:val="21"/>
          <w:szCs w:val="21"/>
          <w:highlight w:val="none"/>
        </w:rPr>
        <w:t xml:space="preserve">0.1变更的范围</w:t>
      </w:r>
      <w:bookmarkEnd w:id="114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施工图预算编制完成后（详见本合同专用条款第12.5款），发生的以下事项作为变更处理：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（1）工程实施过程中由发包人提出或由承包人提出经发包人批准的工程任何一项工作的增、减、取消或施工工艺、顺序、时间的改变；</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（2）设计图纸的修改；</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（3）施工条件的改变；</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10．3变更程序: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工程变更必须按“先立项、再实施、后报审、再计费”的原则进行。对未经立项的工程变更，一律不得实施；对未经报审的工程变更，一律不得办理变更工程量的计量与支付；具体由施工单位填写工程变更立项申请表，监理单位、设计单位、项目管理单位（如有）审核并签署审核意见，申请表中建设单位意见须加盖发包人公章。详见《南京市江北新区公共工程建设中心建设项目工程变更管理办法》（宁新区公建〔2023〕130号）。</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42" w:name="_Toc186097087"/>
      <w:r/>
      <w:bookmarkEnd w:id="1142"/>
      <w:r>
        <w:rPr>
          <w:rFonts w:hint="eastAsia" w:ascii="宋体" w:hAnsi="宋体" w:eastAsia="宋体" w:cs="宋体"/>
          <w:b w:val="0"/>
          <w:bCs/>
          <w:color w:val="000000"/>
          <w:sz w:val="21"/>
          <w:szCs w:val="21"/>
          <w:highlight w:val="none"/>
        </w:rPr>
        <w:t xml:space="preserve">10.4 变更估价</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关于变更估价的约定: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（1）已标价工程量清单（或经审批的施工图预算清单）有相同项目的，按相同项目单价认定；已标价工程量清单同一项目有不同价格，以最低价格为准。</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（2）已标价工程量清单（或经审批的施工图预算清单）无相同项目，但有类似项目的，参照类似项目的单价认定。</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（3）已标价工程量清单（或经审批的施工图预算清单）无相同项目及类似项目单价，新增单价可按以下原则确定： </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1）工程量计量规则按专用合同条款第12.3.1 款执行；定额执行江苏省相关工程计价表《江苏省建设工程费用定额》（2014版）、《江苏省建筑与装饰工程计价定额》（2014版）、《江苏省安装工程计价定额》（2014版）、《江苏省市政工程计价定额》（2014版）等及相关文件。</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3）其他未尽事宜按本工程招标控制价编制说明执行。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4）最终的变更价=按上述方法计价×下浮率。</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5）该变更价在结算时不再对人工费和材料费进行调整。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工程变更引起措施费的调整，除安全文明施工费按实计取外其他总价措施费不计取；因施工方案改变，导致单价措施项目发生重大变化，承包人提出调整措施费，应事先将拟实施的施工组织设计（方案）并附报价提交发包人、跟踪审计、监理人确认，并详细说明与原方案措施项目相比的变化情况。拟实施的施工组织设计（方案）经发包人、监理人确认后执行，如报送的施工组织设计（方案）未附报价资料，即认为此项方案不引起价格的调整，承包人不能再提出费用索赔。</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（5）对于因变更导致实际完成的工程量与已标价工程量清单中该项目的工程量产生变化的，价格按专用合同条款第1.13款中“允许调整合同价格的工程量偏差范围”中规定的方法调整。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（6）变更估价款支付：发包人审定的变更价款在当期进度付款时支付至60%，余款结算时支付。</w:t>
      </w:r>
      <w:r>
        <w:rPr>
          <w:rFonts w:hint="eastAsia" w:ascii="宋体" w:hAnsi="宋体" w:eastAsia="宋体" w:cs="宋体"/>
          <w:color w:val="000000"/>
          <w:sz w:val="21"/>
          <w:szCs w:val="21"/>
          <w:highlight w:val="none"/>
          <w:u w:val="single"/>
        </w:rPr>
      </w:r>
      <w:r/>
    </w:p>
    <w:p>
      <w:pPr>
        <w:pStyle w:val="1063"/>
        <w:numPr>
          <w:ilvl w:val="0"/>
          <w:numId w:val="11"/>
        </w:numPr>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技术核定单仅视为施工技术措施审批性文件，如涉及变更的应按变更流程进行审批后方可计入结算。</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增加10.4.2 变更估价程序：</w:t>
      </w:r>
      <w:r>
        <w:rPr>
          <w:rFonts w:hint="eastAsia" w:ascii="宋体" w:hAnsi="宋体" w:eastAsia="宋体" w:cs="宋体"/>
          <w:color w:val="000000"/>
          <w:sz w:val="21"/>
          <w:szCs w:val="21"/>
          <w:highlight w:val="none"/>
          <w:u w:val="single"/>
        </w:rPr>
        <w:t xml:space="preserve">工程变更实施完成7天内，施工单位应填写工程变更费用报审表并附相关资料，监理单位、项目管理单位（如有）审核过后报送发包人审核，</w:t>
      </w:r>
      <w:r>
        <w:rPr>
          <w:rFonts w:hint="eastAsia" w:ascii="宋体" w:hAnsi="宋体" w:eastAsia="宋体" w:cs="宋体"/>
          <w:color w:val="000000"/>
          <w:sz w:val="21"/>
          <w:szCs w:val="21"/>
          <w:highlight w:val="none"/>
          <w:u w:val="single"/>
        </w:rPr>
        <w:t xml:space="preserve">申请表中建设单位意见须加盖发包人公章。具体详见《南京市江北新区公共工程建设中心建设工程变更管理办法（试行）》（宁新区公建〔2021〕124 号）。</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43" w:name="_Toc186097088"/>
      <w:r/>
      <w:bookmarkEnd w:id="1143"/>
      <w:r>
        <w:rPr>
          <w:rFonts w:hint="eastAsia" w:ascii="宋体" w:hAnsi="宋体" w:eastAsia="宋体" w:cs="宋体"/>
          <w:b w:val="0"/>
          <w:bCs/>
          <w:color w:val="000000"/>
          <w:sz w:val="21"/>
          <w:szCs w:val="21"/>
          <w:highlight w:val="none"/>
        </w:rPr>
        <w:t xml:space="preserve">1</w:t>
      </w:r>
      <w:bookmarkStart w:id="1144" w:name="_Toc296891025"/>
      <w:r/>
      <w:bookmarkEnd w:id="1144"/>
      <w:r/>
      <w:bookmarkStart w:id="1145" w:name="_Toc297048383"/>
      <w:r/>
      <w:bookmarkEnd w:id="1145"/>
      <w:r/>
      <w:bookmarkStart w:id="1146" w:name="_Toc292559907"/>
      <w:r/>
      <w:bookmarkEnd w:id="1146"/>
      <w:r/>
      <w:bookmarkStart w:id="1147" w:name="_Toc296503197"/>
      <w:r/>
      <w:bookmarkEnd w:id="1147"/>
      <w:r/>
      <w:bookmarkStart w:id="1148" w:name="_Toc312677503"/>
      <w:r/>
      <w:bookmarkEnd w:id="1148"/>
      <w:r/>
      <w:bookmarkStart w:id="1149" w:name="_Toc296891237"/>
      <w:r/>
      <w:bookmarkEnd w:id="1149"/>
      <w:r/>
      <w:bookmarkStart w:id="1150" w:name="_Toc296944536"/>
      <w:r/>
      <w:bookmarkEnd w:id="1150"/>
      <w:r/>
      <w:bookmarkStart w:id="1151" w:name="_Toc312678029"/>
      <w:r/>
      <w:bookmarkEnd w:id="1151"/>
      <w:r/>
      <w:bookmarkStart w:id="1152" w:name="_Toc296347196"/>
      <w:r/>
      <w:bookmarkEnd w:id="1152"/>
      <w:r/>
      <w:bookmarkStart w:id="1153" w:name="_Toc303539150"/>
      <w:r/>
      <w:bookmarkEnd w:id="1153"/>
      <w:r/>
      <w:bookmarkStart w:id="1154" w:name="_Toc292559402"/>
      <w:r/>
      <w:bookmarkEnd w:id="1154"/>
      <w:r/>
      <w:bookmarkStart w:id="1155" w:name="_Toc297123544"/>
      <w:r/>
      <w:bookmarkEnd w:id="1155"/>
      <w:r/>
      <w:bookmarkStart w:id="1156" w:name="_Toc297216203"/>
      <w:r/>
      <w:bookmarkEnd w:id="1156"/>
      <w:r/>
      <w:bookmarkStart w:id="1157" w:name="_Toc304295570"/>
      <w:r/>
      <w:bookmarkEnd w:id="1157"/>
      <w:r/>
      <w:bookmarkStart w:id="1158" w:name="_Toc296346698"/>
      <w:r/>
      <w:bookmarkEnd w:id="1158"/>
      <w:r/>
      <w:bookmarkStart w:id="1159" w:name="_Toc300934993"/>
      <w:r/>
      <w:bookmarkEnd w:id="1159"/>
      <w:r/>
      <w:bookmarkStart w:id="1160" w:name="_Toc297120497"/>
      <w:r/>
      <w:bookmarkEnd w:id="1160"/>
      <w:r>
        <w:rPr>
          <w:rFonts w:hint="eastAsia" w:ascii="宋体" w:hAnsi="宋体" w:eastAsia="宋体" w:cs="宋体"/>
          <w:b w:val="0"/>
          <w:bCs/>
          <w:color w:val="000000"/>
          <w:sz w:val="21"/>
          <w:szCs w:val="21"/>
          <w:highlight w:val="none"/>
        </w:rPr>
        <w:t xml:space="preserve">0.5承</w:t>
      </w:r>
      <w:bookmarkStart w:id="1161" w:name="_Toc296503203"/>
      <w:r/>
      <w:bookmarkEnd w:id="1161"/>
      <w:r/>
      <w:bookmarkStart w:id="1162" w:name="_Toc296347202"/>
      <w:r/>
      <w:bookmarkEnd w:id="1162"/>
      <w:r/>
      <w:bookmarkStart w:id="1163" w:name="_Toc297048389"/>
      <w:r/>
      <w:bookmarkEnd w:id="1163"/>
      <w:r/>
      <w:bookmarkStart w:id="1164" w:name="_Toc292559408"/>
      <w:r/>
      <w:bookmarkEnd w:id="1164"/>
      <w:r/>
      <w:bookmarkStart w:id="1165" w:name="_Toc296346704"/>
      <w:r/>
      <w:bookmarkEnd w:id="1165"/>
      <w:r/>
      <w:bookmarkStart w:id="1166" w:name="_Toc297216204"/>
      <w:r/>
      <w:bookmarkEnd w:id="1166"/>
      <w:r/>
      <w:bookmarkStart w:id="1167" w:name="_Toc296891243"/>
      <w:r/>
      <w:bookmarkEnd w:id="1167"/>
      <w:r/>
      <w:bookmarkStart w:id="1168" w:name="_Toc296891031"/>
      <w:r/>
      <w:bookmarkEnd w:id="1168"/>
      <w:r/>
      <w:bookmarkStart w:id="1169" w:name="_Toc303539151"/>
      <w:r/>
      <w:bookmarkEnd w:id="1169"/>
      <w:r/>
      <w:bookmarkStart w:id="1170" w:name="_Toc297123545"/>
      <w:r/>
      <w:bookmarkEnd w:id="1170"/>
      <w:r/>
      <w:bookmarkStart w:id="1171" w:name="_Toc300934994"/>
      <w:r/>
      <w:bookmarkEnd w:id="1171"/>
      <w:r/>
      <w:bookmarkStart w:id="1172" w:name="_Toc296944542"/>
      <w:r/>
      <w:bookmarkEnd w:id="1172"/>
      <w:r/>
      <w:bookmarkStart w:id="1173" w:name="_Toc292559913"/>
      <w:r/>
      <w:bookmarkEnd w:id="1173"/>
      <w:r/>
      <w:bookmarkStart w:id="1174" w:name="_Toc297120503"/>
      <w:r/>
      <w:bookmarkEnd w:id="1174"/>
      <w:r>
        <w:rPr>
          <w:rFonts w:hint="eastAsia" w:ascii="宋体" w:hAnsi="宋体" w:eastAsia="宋体" w:cs="宋体"/>
          <w:b w:val="0"/>
          <w:bCs/>
          <w:color w:val="000000"/>
          <w:sz w:val="21"/>
          <w:szCs w:val="21"/>
          <w:highlight w:val="none"/>
        </w:rPr>
        <w:t xml:space="preserve">包人的合理化建议</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w:t>
      </w:r>
      <w:bookmarkStart w:id="1175" w:name="_Toc296944543"/>
      <w:r/>
      <w:bookmarkEnd w:id="1175"/>
      <w:r/>
      <w:bookmarkStart w:id="1176" w:name="_Toc318581175"/>
      <w:r/>
      <w:bookmarkEnd w:id="1176"/>
      <w:r/>
      <w:bookmarkStart w:id="1177" w:name="_Toc296347203"/>
      <w:r/>
      <w:bookmarkEnd w:id="1177"/>
      <w:r/>
      <w:bookmarkStart w:id="1178" w:name="_Toc297216205"/>
      <w:r/>
      <w:bookmarkEnd w:id="1178"/>
      <w:r/>
      <w:bookmarkStart w:id="1179" w:name="_Toc297120504"/>
      <w:r/>
      <w:bookmarkEnd w:id="1179"/>
      <w:r/>
      <w:bookmarkStart w:id="1180" w:name="_Toc312678030"/>
      <w:r/>
      <w:bookmarkEnd w:id="1180"/>
      <w:r/>
      <w:bookmarkStart w:id="1181" w:name="_Toc296891032"/>
      <w:r/>
      <w:bookmarkEnd w:id="1181"/>
      <w:r/>
      <w:bookmarkStart w:id="1182" w:name="_Toc292559409"/>
      <w:r/>
      <w:bookmarkEnd w:id="1182"/>
      <w:r/>
      <w:bookmarkStart w:id="1183" w:name="_Toc296346705"/>
      <w:r/>
      <w:bookmarkEnd w:id="1183"/>
      <w:r/>
      <w:bookmarkStart w:id="1184" w:name="_Toc297048390"/>
      <w:r/>
      <w:bookmarkEnd w:id="1184"/>
      <w:r/>
      <w:bookmarkStart w:id="1185" w:name="_Toc312677504"/>
      <w:r/>
      <w:bookmarkEnd w:id="1185"/>
      <w:r/>
      <w:bookmarkStart w:id="1186" w:name="_Toc300934995"/>
      <w:r/>
      <w:bookmarkEnd w:id="1186"/>
      <w:r/>
      <w:bookmarkStart w:id="1187" w:name="_Toc296503204"/>
      <w:r/>
      <w:bookmarkEnd w:id="1187"/>
      <w:r/>
      <w:bookmarkStart w:id="1188" w:name="_Toc296891244"/>
      <w:r/>
      <w:bookmarkEnd w:id="1188"/>
      <w:r/>
      <w:bookmarkStart w:id="1189" w:name="_Toc304295571"/>
      <w:r/>
      <w:bookmarkEnd w:id="1189"/>
      <w:r/>
      <w:bookmarkStart w:id="1190" w:name="_Toc303539152"/>
      <w:r/>
      <w:bookmarkEnd w:id="1190"/>
      <w:r/>
      <w:bookmarkStart w:id="1191" w:name="_Toc297123546"/>
      <w:r/>
      <w:bookmarkEnd w:id="1191"/>
      <w:r/>
      <w:bookmarkStart w:id="1192" w:name="_Toc292559914"/>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bookmarkEnd w:id="1192"/>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93" w:name="_Toc186097089"/>
      <w:r/>
      <w:bookmarkEnd w:id="1193"/>
      <w:r>
        <w:rPr>
          <w:rFonts w:hint="eastAsia" w:ascii="宋体" w:hAnsi="宋体" w:eastAsia="宋体" w:cs="宋体"/>
          <w:b w:val="0"/>
          <w:bCs/>
          <w:color w:val="000000"/>
          <w:sz w:val="21"/>
          <w:szCs w:val="21"/>
          <w:highlight w:val="none"/>
        </w:rPr>
        <w:t xml:space="preserve">1</w:t>
      </w:r>
      <w:bookmarkStart w:id="1194" w:name="_Toc296944538"/>
      <w:r/>
      <w:bookmarkEnd w:id="1194"/>
      <w:r/>
      <w:bookmarkStart w:id="1195" w:name="_Toc304295574"/>
      <w:r/>
      <w:bookmarkEnd w:id="1195"/>
      <w:r/>
      <w:bookmarkStart w:id="1196" w:name="_Toc292559404"/>
      <w:r/>
      <w:bookmarkEnd w:id="1196"/>
      <w:r/>
      <w:bookmarkStart w:id="1197" w:name="_Toc312678033"/>
      <w:r/>
      <w:bookmarkEnd w:id="1197"/>
      <w:r/>
      <w:bookmarkStart w:id="1198" w:name="_Toc296346700"/>
      <w:r/>
      <w:bookmarkEnd w:id="1198"/>
      <w:r/>
      <w:bookmarkStart w:id="1199" w:name="_Toc296891027"/>
      <w:r/>
      <w:bookmarkEnd w:id="1199"/>
      <w:r/>
      <w:bookmarkStart w:id="1200" w:name="_Toc312677507"/>
      <w:r/>
      <w:bookmarkEnd w:id="1200"/>
      <w:r/>
      <w:bookmarkStart w:id="1201" w:name="_Toc300934997"/>
      <w:r/>
      <w:bookmarkEnd w:id="1201"/>
      <w:r/>
      <w:bookmarkStart w:id="1202" w:name="_Toc297216207"/>
      <w:r/>
      <w:bookmarkEnd w:id="1202"/>
      <w:r/>
      <w:bookmarkStart w:id="1203" w:name="_Toc296891239"/>
      <w:r/>
      <w:bookmarkEnd w:id="1203"/>
      <w:r/>
      <w:bookmarkStart w:id="1204" w:name="_Toc297120499"/>
      <w:r/>
      <w:bookmarkEnd w:id="1204"/>
      <w:r/>
      <w:bookmarkStart w:id="1205" w:name="_Toc303539154"/>
      <w:r/>
      <w:bookmarkEnd w:id="1205"/>
      <w:r/>
      <w:bookmarkStart w:id="1206" w:name="_Toc292559909"/>
      <w:r/>
      <w:bookmarkEnd w:id="1206"/>
      <w:r/>
      <w:bookmarkStart w:id="1207" w:name="_Toc296347198"/>
      <w:r/>
      <w:bookmarkEnd w:id="1207"/>
      <w:r/>
      <w:bookmarkStart w:id="1208" w:name="_Toc297123548"/>
      <w:r/>
      <w:bookmarkEnd w:id="1208"/>
      <w:r/>
      <w:bookmarkStart w:id="1209" w:name="_Toc297048385"/>
      <w:r/>
      <w:bookmarkEnd w:id="1209"/>
      <w:r/>
      <w:bookmarkStart w:id="1210" w:name="_Toc296503199"/>
      <w:r>
        <w:rPr>
          <w:rFonts w:hint="eastAsia" w:ascii="宋体" w:hAnsi="宋体" w:eastAsia="宋体" w:cs="宋体"/>
          <w:b w:val="0"/>
          <w:bCs/>
          <w:color w:val="000000"/>
          <w:sz w:val="21"/>
          <w:szCs w:val="21"/>
          <w:highlight w:val="none"/>
        </w:rPr>
        <w:t xml:space="preserve">0.7 暂估价</w:t>
      </w:r>
      <w:bookmarkEnd w:id="121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w:t>
      </w:r>
      <w:bookmarkStart w:id="1211" w:name="_Toc312677508"/>
      <w:r/>
      <w:bookmarkEnd w:id="1211"/>
      <w:r/>
      <w:bookmarkStart w:id="1212" w:name="_Toc312678034"/>
      <w:r/>
      <w:bookmarkEnd w:id="1212"/>
      <w:r/>
      <w:bookmarkStart w:id="1213" w:name="_Toc318581176"/>
      <w:r>
        <w:rPr>
          <w:rFonts w:hint="eastAsia" w:ascii="宋体" w:hAnsi="宋体" w:eastAsia="宋体" w:cs="宋体"/>
          <w:color w:val="000000"/>
          <w:sz w:val="21"/>
          <w:szCs w:val="21"/>
          <w:highlight w:val="none"/>
        </w:rPr>
        <w:t xml:space="preserve">估价材料和工程设备的明细详见附件</w:t>
      </w:r>
      <w:bookmarkEnd w:id="1213"/>
      <w:r>
        <w:rPr>
          <w:rFonts w:hint="eastAsia" w:ascii="宋体" w:hAnsi="宋体" w:eastAsia="宋体" w:cs="宋体"/>
          <w:color w:val="000000"/>
          <w:sz w:val="21"/>
          <w:szCs w:val="21"/>
          <w:highlight w:val="none"/>
        </w:rPr>
        <w:t xml:space="preserve">11：《暂估价一览表》。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bookmarkStart w:id="1214" w:name="_Toc312677509"/>
      <w:r/>
      <w:bookmarkEnd w:id="1214"/>
      <w:r/>
      <w:bookmarkStart w:id="1215" w:name="_Toc318581177"/>
      <w:r/>
      <w:bookmarkEnd w:id="1215"/>
      <w:r/>
      <w:bookmarkStart w:id="1216" w:name="_Toc312678035"/>
      <w:r>
        <w:rPr>
          <w:rFonts w:hint="eastAsia" w:ascii="宋体" w:hAnsi="宋体" w:eastAsia="宋体" w:cs="宋体"/>
          <w:color w:val="000000"/>
          <w:sz w:val="21"/>
          <w:szCs w:val="21"/>
          <w:highlight w:val="none"/>
        </w:rPr>
        <w:t xml:space="preserve">0.7.1 依法必须招标的暂估价项目</w:t>
      </w:r>
      <w:bookmarkEnd w:id="1216"/>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增加：招投标程序及其他约定：原则上按以下第【1】种方式。依法必须招标的暂估价项目的招标投标工作应在南京市公共资源交易平台进行，接受招投标主管部门监管。</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第1种方式：承包人招标</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由承包人招标确定暂估价供应商或分包人，承包人按施工进度计划，最迟不晚于招标工作启动前28天通知发包人，并将暂估价招标方案、招标公告、招标文件、招标控制价等资料报发包人审批，经批准同意后才可发布；合同签订后7天内将合同副本报送发包人、跟踪审计、监理人备案。按分包合同结算金额纳入结算。</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第2种方式：发包人和承包人共同招标</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由发包人和承包人共同招标确定暂估价供应商或分包人，承包人按施工进度计划，最迟不晚于招标工作启动前28天通知发包人，并将暂估价招标方案、招标公告、招标文件、招标控制价等资料报发包人审批，经批准同意后才可发布。确定中标人后，由发包人、承包人与中标人共同签订合同，合同签订后7天内将合同副本报送监理人、跟踪审计单位备案。按分包合同结算金额纳入结算。</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第3种方式：发包人招标</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由发包人招标确定暂估价供应商或分包人，承包人按施工进度计划，最迟不晚于招标工作启动前28天通知发包人，并初拟暂估价招标方案、招标公告、招标文件、招标控制价等资料供发包人参考使用。确定中标人后，由发包人、承包人与中标人共同签订合同，合同签订后7天内将合同副本报送监理人、跟踪审计单位备案。按分包合同结算金额纳入结算。</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增加：招投标程序及其他约定：原则上按以下第3种方式，如承包人不能直接实施的项目按第1种方式。</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第1种方式：承包人直接选择</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最迟不晚于拟选定暂估价项目实施单位前28天，向监理人、跟踪审计提出书面申请（包含但不限于价格组成及明细、选择依据及办法、拟选定供应商的情况、拟签订的合同等），经初审后报送发包人审批。发包人如认为承包人确定的供应商不满足要求，有权要求承包人重新选择。</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（2）承包人未经发包人审批同意擅自组织实施的暂估价项目，发包人有权不予认可，并有权要求承包人按本合同约定重新选择，因此导致承包人向第三方违约等责任均由承包人自行承担。</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（3）承包人合同签订后7天内，将合同副本报送发包人、跟踪审计、监理人备案。</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第2种方式：公开招标确定</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承包人按专用合同条款第10.7.1款[依法必须招标的暂估价项目]约定确定暂估价项目。</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第3种方式：承包人直接实施</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承包人具备实施暂估价项目的资格和条件，经发包人批准后可由承包人自行实施，计价原则按专用合同条款第10.4.1款[关于变更估价的约定]执行。</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7" w:name="_Toc186097090"/>
      <w:r/>
      <w:bookmarkEnd w:id="1217"/>
      <w:r>
        <w:rPr>
          <w:rFonts w:hint="eastAsia" w:ascii="宋体" w:hAnsi="宋体" w:eastAsia="宋体" w:cs="宋体"/>
          <w:b w:val="0"/>
          <w:bCs/>
          <w:color w:val="000000"/>
          <w:sz w:val="21"/>
          <w:szCs w:val="21"/>
          <w:highlight w:val="none"/>
        </w:rPr>
        <w:t xml:space="preserve">10.8 暂列金额</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8" w:name="_Toc351203643"/>
      <w:r/>
      <w:bookmarkEnd w:id="1218"/>
      <w:r/>
      <w:bookmarkStart w:id="1219" w:name="_Toc186097091"/>
      <w:r>
        <w:rPr>
          <w:rFonts w:hint="eastAsia" w:ascii="宋体" w:hAnsi="宋体" w:eastAsia="宋体" w:cs="宋体"/>
          <w:b w:val="0"/>
          <w:bCs/>
          <w:color w:val="000000"/>
          <w:sz w:val="21"/>
          <w:szCs w:val="21"/>
          <w:highlight w:val="none"/>
        </w:rPr>
        <w:t xml:space="preserve">11. 价格调整</w:t>
      </w:r>
      <w:bookmarkEnd w:id="1219"/>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20" w:name="_Toc296503201"/>
      <w:r/>
      <w:bookmarkEnd w:id="1220"/>
      <w:r/>
      <w:bookmarkStart w:id="1221" w:name="_Toc303539157"/>
      <w:r/>
      <w:bookmarkEnd w:id="1221"/>
      <w:r/>
      <w:bookmarkStart w:id="1222" w:name="_Toc296891241"/>
      <w:r/>
      <w:bookmarkEnd w:id="1222"/>
      <w:r/>
      <w:bookmarkStart w:id="1223" w:name="_Toc186097092"/>
      <w:r/>
      <w:bookmarkEnd w:id="1223"/>
      <w:r/>
      <w:bookmarkStart w:id="1224" w:name="_Toc297048387"/>
      <w:r/>
      <w:bookmarkEnd w:id="1224"/>
      <w:r/>
      <w:bookmarkStart w:id="1225" w:name="_Toc292559406"/>
      <w:r/>
      <w:bookmarkEnd w:id="1225"/>
      <w:r/>
      <w:bookmarkStart w:id="1226" w:name="_Toc297120501"/>
      <w:r/>
      <w:bookmarkEnd w:id="1226"/>
      <w:r/>
      <w:bookmarkStart w:id="1227" w:name="_Toc304295577"/>
      <w:r/>
      <w:bookmarkEnd w:id="1227"/>
      <w:r/>
      <w:bookmarkStart w:id="1228" w:name="_Toc300935000"/>
      <w:r/>
      <w:bookmarkEnd w:id="1228"/>
      <w:r/>
      <w:bookmarkStart w:id="1229" w:name="_Toc296944540"/>
      <w:r/>
      <w:bookmarkEnd w:id="1229"/>
      <w:r/>
      <w:bookmarkStart w:id="1230" w:name="_Toc297123550"/>
      <w:r/>
      <w:bookmarkEnd w:id="1230"/>
      <w:r/>
      <w:bookmarkStart w:id="1231" w:name="_Toc296891029"/>
      <w:r/>
      <w:bookmarkEnd w:id="1231"/>
      <w:r/>
      <w:bookmarkStart w:id="1232" w:name="_Toc312678039"/>
      <w:r/>
      <w:bookmarkEnd w:id="1232"/>
      <w:r/>
      <w:bookmarkStart w:id="1233" w:name="_Toc292559911"/>
      <w:r/>
      <w:bookmarkEnd w:id="1233"/>
      <w:r/>
      <w:bookmarkStart w:id="1234" w:name="_Toc297216209"/>
      <w:r/>
      <w:bookmarkEnd w:id="1234"/>
      <w:r/>
      <w:bookmarkStart w:id="1235" w:name="_Toc296346702"/>
      <w:r/>
      <w:bookmarkEnd w:id="1235"/>
      <w:r/>
      <w:bookmarkStart w:id="1236" w:name="_Toc296347200"/>
      <w:r>
        <w:rPr>
          <w:rFonts w:hint="eastAsia" w:ascii="宋体" w:hAnsi="宋体" w:eastAsia="宋体" w:cs="宋体"/>
          <w:b w:val="0"/>
          <w:bCs/>
          <w:color w:val="000000"/>
          <w:sz w:val="21"/>
          <w:szCs w:val="21"/>
          <w:highlight w:val="none"/>
        </w:rPr>
        <w:t xml:space="preserve">11.1 市场价格波动引起的调整</w:t>
      </w:r>
      <w:bookmarkEnd w:id="123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第1种方式：采用价格指数进行价格调整。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关于各可调因子、定值和变值权重，以及基本价格指数及其来源的约定：/ 。</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第2种方式：采用造价信息进行价格调整。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关于基准价格的约定:以《南京工程造价管理》中“南京市二〇二【六】年【六】月建设工程材料市场信息价。缺指导价的材料以发包人、跟踪审计、监理人确认的市场信息价为准。</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在已标价工程量清单或预算书中载明的材料单价低于基准价格的：材料单价涨幅以基准价格为基础超过10 %时，或材料单价跌幅以已标价工程量清单或预算书中载明材料单价为基础超过10%时，其超过部分据实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在已标价工程量清单或预算书中载明的材料单价高于基准价格的：材料单价跌幅以基准价格为基础超过10%时，材料单价涨幅以已标价工程量清单或预算书中载明材料单价为基础超过10%时，其超过部分据实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（3）承包人在已标价工程量清单或预算书中载明的材料单价等于基准单价的：材料单价涨跌幅以基准单价为基础超过±10 %时，其超过部分据实调整。</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第3种方式：其他价格调整方式： </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（1）人工费政策调整按苏建价【2026】027号文执行：人工单价按施工期间对应的人工工资指导价进行调整，并扣除原投标报价中人工单价相对于基准日人工工资指导价的让利部分。</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（2）材料调价方式参照宁建建监字[2022]226号文执行。具体如下：</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①在工程造价中占比较高的主要材料可以调差。主要材料包括签订合同时材料费占单位工程费(不含暂列金额、专业工程暂估价)2%及以上的各类材料，和因变更及签证导致结算时材料费(材料调差前)占单位工程费2%及以上的各类材料。</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②合同价中包含的材料价格风险的幅度A为5%，当施工期间可调价材料市场价格涨、跌幅度在风险幅度内时，其差价由承包人承担或受益;当涨、跌幅度超出风险幅度时，其超出部分的差价由发包人承担或受益。</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③主要建筑材料差价的取定：以《南京工程造价管理》中“南京市二〇二【六】年【六】月建设工程材料市场信息价”中的材料指导价格为基准价。缺指导价的材料以发包人、跟踪审计、监理人确认的为准。施工期材料加权平均指导价按下列公式计算：施工期材料加权平均指导价=Σ（每月实际计量工程量×当月材料指导价）/同类材料总用量。</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④材料差价按进度款支付周期进行计算，计算公式如下：(1)上涨超出风险幅度时，差价(正值)=[计算周期内可调材料加权平均价格-基期价格×(1+A)]×计算周期内实际使用数量；(2)下跌超出风险幅度时，差价(负值)=[计算周期内可调材料加权平均价格-基期价格×(1-A)]×计算周期内实际使用数量。采用一般计税方法的建设工程，计算公式中的材料价格为除税价;采用简易计税方法的建设工程，计算公式中的材料价格为含税价。</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⑤材料差价作为材料费的一部分，计入分部分项工程中，计取相应费用。⑥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（3）市场价格波动调整费用的计算和支付约定如下：竣工结算时支付。</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37" w:name="_Toc312678040"/>
      <w:r/>
      <w:bookmarkEnd w:id="1237"/>
      <w:r/>
      <w:bookmarkStart w:id="1238" w:name="_Toc303539159"/>
      <w:r/>
      <w:bookmarkEnd w:id="1238"/>
      <w:r/>
      <w:bookmarkStart w:id="1239" w:name="_Toc300935002"/>
      <w:r/>
      <w:bookmarkEnd w:id="1239"/>
      <w:r/>
      <w:bookmarkStart w:id="1240" w:name="_Toc296944544"/>
      <w:r/>
      <w:bookmarkEnd w:id="1240"/>
      <w:r/>
      <w:bookmarkStart w:id="1241" w:name="_Toc296891245"/>
      <w:r/>
      <w:bookmarkEnd w:id="1241"/>
      <w:r/>
      <w:bookmarkStart w:id="1242" w:name="_Toc186097093"/>
      <w:r/>
      <w:bookmarkEnd w:id="1242"/>
      <w:r/>
      <w:bookmarkStart w:id="1243" w:name="_Toc304295579"/>
      <w:r/>
      <w:bookmarkEnd w:id="1243"/>
      <w:r/>
      <w:bookmarkStart w:id="1244" w:name="_Toc297216211"/>
      <w:r/>
      <w:bookmarkEnd w:id="1244"/>
      <w:r/>
      <w:bookmarkStart w:id="1245" w:name="_Toc296347204"/>
      <w:r/>
      <w:bookmarkEnd w:id="1245"/>
      <w:r/>
      <w:bookmarkStart w:id="1246" w:name="_Toc296346706"/>
      <w:r/>
      <w:bookmarkEnd w:id="1246"/>
      <w:r/>
      <w:bookmarkStart w:id="1247" w:name="_Toc292559410"/>
      <w:r/>
      <w:bookmarkEnd w:id="1247"/>
      <w:r/>
      <w:bookmarkStart w:id="1248" w:name="_Toc297048391"/>
      <w:r/>
      <w:bookmarkEnd w:id="1248"/>
      <w:r/>
      <w:bookmarkStart w:id="1249" w:name="_Toc296891033"/>
      <w:r/>
      <w:bookmarkEnd w:id="1249"/>
      <w:r/>
      <w:bookmarkStart w:id="1250" w:name="_Toc297120505"/>
      <w:r/>
      <w:bookmarkEnd w:id="1250"/>
      <w:r/>
      <w:bookmarkStart w:id="1251" w:name="_Toc296503205"/>
      <w:r/>
      <w:bookmarkEnd w:id="1251"/>
      <w:r/>
      <w:bookmarkStart w:id="1252" w:name="_Toc351203644"/>
      <w:r/>
      <w:bookmarkEnd w:id="1252"/>
      <w:r/>
      <w:bookmarkStart w:id="1253" w:name="_Toc297123552"/>
      <w:r/>
      <w:bookmarkEnd w:id="1253"/>
      <w:r/>
      <w:bookmarkStart w:id="1254" w:name="_Toc292559915"/>
      <w:r>
        <w:rPr>
          <w:rFonts w:hint="eastAsia" w:ascii="宋体" w:hAnsi="宋体" w:eastAsia="宋体" w:cs="宋体"/>
          <w:b w:val="0"/>
          <w:bCs/>
          <w:color w:val="000000"/>
          <w:sz w:val="21"/>
          <w:szCs w:val="21"/>
          <w:highlight w:val="none"/>
        </w:rPr>
        <w:t xml:space="preserve">12. </w:t>
      </w:r>
      <w:bookmarkEnd w:id="1254"/>
      <w:r>
        <w:rPr>
          <w:rFonts w:hint="eastAsia" w:ascii="宋体" w:hAnsi="宋体" w:eastAsia="宋体" w:cs="宋体"/>
          <w:b w:val="0"/>
          <w:bCs/>
          <w:color w:val="000000"/>
          <w:sz w:val="21"/>
          <w:szCs w:val="21"/>
          <w:highlight w:val="none"/>
        </w:rPr>
        <w:t xml:space="preserve">合同价格、计量与支付</w:t>
      </w:r>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55" w:name="_Toc267251461"/>
      <w:r/>
      <w:bookmarkEnd w:id="1255"/>
      <w:r/>
      <w:bookmarkStart w:id="1256" w:name="_Toc296891034"/>
      <w:r/>
      <w:bookmarkEnd w:id="1256"/>
      <w:r/>
      <w:bookmarkStart w:id="1257" w:name="_Toc304295580"/>
      <w:r/>
      <w:bookmarkEnd w:id="1257"/>
      <w:r/>
      <w:bookmarkStart w:id="1258" w:name="_Toc296944545"/>
      <w:r/>
      <w:bookmarkEnd w:id="1258"/>
      <w:r/>
      <w:bookmarkStart w:id="1259" w:name="_Toc296346707"/>
      <w:r/>
      <w:bookmarkEnd w:id="1259"/>
      <w:r/>
      <w:bookmarkStart w:id="1260" w:name="_Toc312678041"/>
      <w:r/>
      <w:bookmarkEnd w:id="1260"/>
      <w:r/>
      <w:bookmarkStart w:id="1261" w:name="_Toc297048392"/>
      <w:r/>
      <w:bookmarkEnd w:id="1261"/>
      <w:r/>
      <w:bookmarkStart w:id="1262" w:name="_Toc292559916"/>
      <w:r/>
      <w:bookmarkEnd w:id="1262"/>
      <w:r/>
      <w:bookmarkStart w:id="1263" w:name="_Toc300935003"/>
      <w:r/>
      <w:bookmarkEnd w:id="1263"/>
      <w:r/>
      <w:bookmarkStart w:id="1264" w:name="_Toc297123553"/>
      <w:r/>
      <w:bookmarkEnd w:id="1264"/>
      <w:r/>
      <w:bookmarkStart w:id="1265" w:name="_Toc297216212"/>
      <w:r/>
      <w:bookmarkEnd w:id="1265"/>
      <w:r/>
      <w:bookmarkStart w:id="1266" w:name="_Toc292559411"/>
      <w:r/>
      <w:bookmarkEnd w:id="1266"/>
      <w:r/>
      <w:bookmarkStart w:id="1267" w:name="_Toc303539160"/>
      <w:r/>
      <w:bookmarkEnd w:id="1267"/>
      <w:r/>
      <w:bookmarkStart w:id="1268" w:name="_Toc296503206"/>
      <w:r/>
      <w:bookmarkEnd w:id="1268"/>
      <w:r/>
      <w:bookmarkStart w:id="1269" w:name="_Toc296891246"/>
      <w:r/>
      <w:bookmarkEnd w:id="1269"/>
      <w:r/>
      <w:bookmarkStart w:id="1270" w:name="_Toc296347205"/>
      <w:r/>
      <w:bookmarkEnd w:id="1270"/>
      <w:r/>
      <w:bookmarkStart w:id="1271" w:name="_Toc297120506"/>
      <w:r/>
      <w:bookmarkEnd w:id="1271"/>
      <w:r/>
      <w:bookmarkStart w:id="1272" w:name="_Toc186097094"/>
      <w:r>
        <w:rPr>
          <w:rFonts w:hint="eastAsia" w:ascii="宋体" w:hAnsi="宋体" w:eastAsia="宋体" w:cs="宋体"/>
          <w:b w:val="0"/>
          <w:bCs/>
          <w:color w:val="000000"/>
          <w:sz w:val="21"/>
          <w:szCs w:val="21"/>
          <w:highlight w:val="none"/>
        </w:rPr>
        <w:t xml:space="preserve">12.1 合</w:t>
      </w:r>
      <w:bookmarkEnd w:id="1272"/>
      <w:r>
        <w:rPr>
          <w:rFonts w:hint="eastAsia" w:ascii="宋体" w:hAnsi="宋体" w:eastAsia="宋体" w:cs="宋体"/>
          <w:b w:val="0"/>
          <w:bCs/>
          <w:color w:val="000000"/>
          <w:sz w:val="21"/>
          <w:szCs w:val="21"/>
          <w:highlight w:val="none"/>
        </w:rPr>
        <w:t xml:space="preserve">同价格形式</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（1）人工、材料设备、机械使用费等价格上涨风险（合同约定可调内容除外）；</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（2）对图纸、清单、现场条件的理解偏差及预测不足导致的报价失误及费用增加；</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（3）承包人在实际施工中改变既定的施工组织、施工顺序、施工方法导致的费用增加风险（包括技术和其他措施费用）；</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（4）项目进度、质量、安全管理过程中承担的违约责任风险；</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（5）作为有丰富经验的承包商应该可以预见到的其他风险；</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（6）招标文件约定的其它风险；</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（7）法律法规规定的应包含的其他风险。</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风险费用包含在清单综合单价中，不调整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（1）调整内容和办法按专用合同条款第11.1款执行。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（2）对于其他的不可竞争费调整：有新文件规定的从其规定。</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总价包含的风险范围：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73" w:name="_Toc297123554"/>
      <w:r/>
      <w:bookmarkEnd w:id="1273"/>
      <w:r/>
      <w:bookmarkStart w:id="1274" w:name="_Toc292559412"/>
      <w:r/>
      <w:bookmarkEnd w:id="1274"/>
      <w:r/>
      <w:bookmarkStart w:id="1275" w:name="_Toc297120507"/>
      <w:r/>
      <w:bookmarkEnd w:id="1275"/>
      <w:r/>
      <w:bookmarkStart w:id="1276" w:name="_Toc297216213"/>
      <w:r/>
      <w:bookmarkEnd w:id="1276"/>
      <w:r/>
      <w:bookmarkStart w:id="1277" w:name="_Toc296891035"/>
      <w:r/>
      <w:bookmarkEnd w:id="1277"/>
      <w:r/>
      <w:bookmarkStart w:id="1278" w:name="_Toc186097095"/>
      <w:r/>
      <w:bookmarkEnd w:id="1278"/>
      <w:r/>
      <w:bookmarkStart w:id="1279" w:name="_Toc300935004"/>
      <w:r/>
      <w:bookmarkEnd w:id="1279"/>
      <w:r/>
      <w:bookmarkStart w:id="1280" w:name="_Toc296891247"/>
      <w:r/>
      <w:bookmarkEnd w:id="1280"/>
      <w:r/>
      <w:bookmarkStart w:id="1281" w:name="_Toc292559917"/>
      <w:r/>
      <w:bookmarkEnd w:id="1281"/>
      <w:r/>
      <w:bookmarkStart w:id="1282" w:name="_Toc303539161"/>
      <w:r/>
      <w:bookmarkEnd w:id="1282"/>
      <w:r/>
      <w:bookmarkStart w:id="1283" w:name="_Toc304295581"/>
      <w:r/>
      <w:bookmarkEnd w:id="1283"/>
      <w:r/>
      <w:bookmarkStart w:id="1284" w:name="_Toc296944546"/>
      <w:r/>
      <w:bookmarkEnd w:id="1284"/>
      <w:r/>
      <w:bookmarkStart w:id="1285" w:name="_Toc296346708"/>
      <w:r/>
      <w:bookmarkEnd w:id="1285"/>
      <w:r/>
      <w:bookmarkStart w:id="1286" w:name="_Toc312678042"/>
      <w:r/>
      <w:bookmarkEnd w:id="1286"/>
      <w:r/>
      <w:bookmarkStart w:id="1287" w:name="_Toc296347206"/>
      <w:r/>
      <w:bookmarkEnd w:id="1287"/>
      <w:r/>
      <w:bookmarkStart w:id="1288" w:name="_Toc297048393"/>
      <w:r/>
      <w:bookmarkEnd w:id="1288"/>
      <w:r/>
      <w:bookmarkStart w:id="1289" w:name="_Toc296503207"/>
      <w:r>
        <w:rPr>
          <w:rFonts w:hint="eastAsia" w:ascii="宋体" w:hAnsi="宋体" w:eastAsia="宋体" w:cs="宋体"/>
          <w:b w:val="0"/>
          <w:bCs/>
          <w:color w:val="000000"/>
          <w:sz w:val="21"/>
          <w:szCs w:val="21"/>
          <w:highlight w:val="none"/>
        </w:rPr>
        <w:t xml:space="preserve">12.2 预付款</w:t>
      </w:r>
      <w:bookmarkEnd w:id="128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签约合同价（不含专业工程暂估价、暂列金额）的</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%（含60%的安全文明措施基本费）作为预付款。</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开工审批后，承包人主要人员、机械进场且满足开工要求。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按付款进度扣除，第一次、第二次进度付款时等额扣回，不足抵扣部分延续到下次进度款扣回。</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90" w:name="_Toc186097096"/>
      <w:r/>
      <w:bookmarkEnd w:id="1290"/>
      <w:r>
        <w:rPr>
          <w:rFonts w:hint="eastAsia" w:ascii="宋体" w:hAnsi="宋体" w:eastAsia="宋体" w:cs="宋体"/>
          <w:b w:val="0"/>
          <w:bCs/>
          <w:color w:val="000000"/>
          <w:sz w:val="21"/>
          <w:szCs w:val="21"/>
          <w:highlight w:val="none"/>
        </w:rPr>
        <w:t xml:space="preserve">12.3 计量</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u w:val="single"/>
        </w:rPr>
        <w:t xml:space="preserve">招标文件中有约定工程量计算规则的，按其约定执行；未有约定工程量计算规则的，按《建设工程工程量清单计价规范》（GB50500-2013）及《房屋建筑与装饰工程工程量计算规（GB50854-2013）等9本工程量计算规范执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（1）承包人应于每月20日前向监理人报送上月已完成工程量报告，并附具已完成工程量报表和其他有关资料。</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监理人收到已完合格工程计量确认报告3天内对已完工程质量进行确认和工程量报告进行初审，初审完成后报跟踪审计单位复核；跟踪审计单位收到已完合格工程计量确认报告3天内完成审核并报发包人对工程计量报告进行审核确认。核定工程计量以发包人确认结果为准。</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91" w:name="_Toc186097097"/>
      <w:r/>
      <w:bookmarkEnd w:id="1291"/>
      <w:r>
        <w:rPr>
          <w:rFonts w:hint="eastAsia" w:ascii="宋体" w:hAnsi="宋体" w:eastAsia="宋体" w:cs="宋体"/>
          <w:b w:val="0"/>
          <w:bCs/>
          <w:color w:val="000000"/>
          <w:sz w:val="21"/>
          <w:szCs w:val="21"/>
          <w:highlight w:val="none"/>
        </w:rPr>
        <w:t xml:space="preserve">12.4 工程进度款支付</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1292" w:name="_Toc303539163"/>
      <w:r/>
      <w:bookmarkEnd w:id="1292"/>
      <w:r/>
      <w:bookmarkStart w:id="1293" w:name="_Toc297120511"/>
      <w:r/>
      <w:bookmarkEnd w:id="1293"/>
      <w:r/>
      <w:bookmarkStart w:id="1294" w:name="_Toc297123556"/>
      <w:r/>
      <w:bookmarkEnd w:id="1294"/>
      <w:r/>
      <w:bookmarkStart w:id="1295" w:name="_Toc297216215"/>
      <w:r/>
      <w:bookmarkEnd w:id="1295"/>
      <w:r/>
      <w:bookmarkStart w:id="1296" w:name="_Toc296347210"/>
      <w:r/>
      <w:bookmarkEnd w:id="1296"/>
      <w:r/>
      <w:bookmarkStart w:id="1297" w:name="_Toc292559416"/>
      <w:r/>
      <w:bookmarkEnd w:id="1297"/>
      <w:r/>
      <w:bookmarkStart w:id="1298" w:name="_Toc292559921"/>
      <w:r/>
      <w:bookmarkEnd w:id="1298"/>
      <w:r/>
      <w:bookmarkStart w:id="1299" w:name="_Toc297048397"/>
      <w:r/>
      <w:bookmarkEnd w:id="1299"/>
      <w:r/>
      <w:bookmarkStart w:id="1300" w:name="_Toc300935006"/>
      <w:r/>
      <w:bookmarkEnd w:id="1300"/>
      <w:r/>
      <w:bookmarkStart w:id="1301" w:name="_Toc296891251"/>
      <w:r/>
      <w:bookmarkEnd w:id="1301"/>
      <w:r/>
      <w:bookmarkStart w:id="1302" w:name="_Toc296944550"/>
      <w:r/>
      <w:bookmarkEnd w:id="1302"/>
      <w:r/>
      <w:bookmarkStart w:id="1303" w:name="_Toc296503211"/>
      <w:r/>
      <w:bookmarkEnd w:id="1303"/>
      <w:r/>
      <w:bookmarkStart w:id="1304" w:name="_Toc296346712"/>
      <w:r/>
      <w:bookmarkEnd w:id="1304"/>
      <w:r/>
      <w:bookmarkStart w:id="1305" w:name="_Toc296891039"/>
      <w:r>
        <w:rPr>
          <w:rFonts w:hint="eastAsia" w:ascii="宋体" w:hAnsi="宋体" w:eastAsia="宋体" w:cs="宋体"/>
          <w:color w:val="000000"/>
          <w:sz w:val="21"/>
          <w:szCs w:val="21"/>
          <w:highlight w:val="none"/>
        </w:rPr>
        <w:t xml:space="preserve">12.4.1 付款周期</w:t>
      </w:r>
      <w:bookmarkEnd w:id="1305"/>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（1）按月计量，按季度支付。每季度按经审核确认的已完合格工程量对应工程价款的80%支付；</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（2）工程竣工验收合格并提交结算资料后，付至经审核确认已完合格工程量对应工程价款的85%；</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（3）结算审核完成并移交相关资料，付至结算审定价款的97%；</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（4）结算审定价款的3%为质量保证金，在缺陷责任期满后一个月内付清。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注：</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应按项目开设收款专用账户，承包人应严格按本合同的约定，按提供给发包人的各项进度计划合理使用账户资金，接受发包人资金监管，确保资金专款专用。发包人有权对该账户内资金使用情况进行检查。</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（2）承包人按本合同约定向发包人支付的违约金，发包人有权在当期进度付款时予以扣除。</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（3）承包人应先开具发票，否则有权拒绝付款，因发票开具错误造成的损失由承包人承担。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（4）发生以下情况的，发包人有权暂停支付工程进度款或降低支付比例，直至承包人解决问题：</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1）承包人工程质量未达到合同约定标准；</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2）承包人无正当理由拒绝或拖延执行发包人代表的指示；</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3）工地未符合标化文明施工要求；</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4）发生工资纠纷、拖欠农民工工资的事件；</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5）工程资料没有与工程形象进度及其他合同约定同步提交；</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6）发生安全事故，引起或可能引起发包人承担赔偿责任或连带责任；</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）承包人未按专用合同条款第7.3.4款约定完成关键节点工期目标；</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lang w:val="en-US" w:eastAsia="zh-CN"/>
        </w:rPr>
        <w:t xml:space="preserve">8</w:t>
      </w:r>
      <w:r>
        <w:rPr>
          <w:rFonts w:hint="eastAsia" w:ascii="宋体" w:hAnsi="宋体" w:eastAsia="宋体" w:cs="宋体"/>
          <w:color w:val="000000"/>
          <w:sz w:val="21"/>
          <w:szCs w:val="21"/>
          <w:highlight w:val="none"/>
          <w:u w:val="single"/>
        </w:rPr>
        <w:t xml:space="preserve">）承包人未按专用合同条款第1.14款约定完成BIM的相关工作。</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（5）发包人支付工程款前,承包人提供等额的增值税发票，发票购买方为</w:t>
      </w:r>
      <w:r>
        <w:rPr>
          <w:rFonts w:hint="eastAsia" w:ascii="宋体" w:hAnsi="宋体" w:eastAsia="宋体" w:cs="宋体"/>
          <w:color w:val="000000"/>
          <w:sz w:val="21"/>
          <w:szCs w:val="21"/>
          <w:highlight w:val="none"/>
          <w:u w:val="single"/>
          <w:lang w:eastAsia="zh-CN"/>
        </w:rPr>
        <w:t xml:space="preserve">南京市江北新区公共工程建设中心</w:t>
      </w:r>
      <w:r>
        <w:rPr>
          <w:rFonts w:hint="eastAsia" w:ascii="宋体" w:hAnsi="宋体" w:eastAsia="宋体" w:cs="宋体"/>
          <w:color w:val="000000"/>
          <w:sz w:val="21"/>
          <w:szCs w:val="21"/>
          <w:highlight w:val="none"/>
          <w:u w:val="single"/>
        </w:rPr>
        <w:t xml:space="preserve">，否则发包人有权拒绝付款并不承担违约责任。</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（8）承包人须向发包人支付的违约金由发包人在当次支付中予以扣除。</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按发包人的要求。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监理人应在收到承包人进度付款申请单以及相关资料后7天内完成审查，并报发包人审核。</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发包人应在收到报审资料后28天内完成审批并签发进度款支付证书。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按发包人的相应管理规定。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不支付违约金。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按发包人的要求。</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增加12.5 施工图预算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12.5.1施工图预算的编制时限及使用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施工单位应在收到本批次审查批准的施工图设计文件后三个月内完成施工图预算编制工作。监理单位、造价咨询单位按要求对施工单位编制的施工图预算进行审核。施工图预算审批完成后，由造价咨询单位出具正式的施工图预算审核报告，</w:t>
      </w:r>
      <w:r>
        <w:rPr>
          <w:rFonts w:hint="eastAsia" w:ascii="宋体" w:hAnsi="宋体" w:eastAsia="宋体" w:cs="宋体"/>
          <w:b/>
          <w:bCs/>
          <w:color w:val="000000"/>
          <w:sz w:val="21"/>
          <w:szCs w:val="21"/>
          <w:highlight w:val="none"/>
        </w:rPr>
        <w:t xml:space="preserve">经审批的施工图预算作为工程造价动态控制依据、工程计量支付及后续工程变更办理的基准文件</w:t>
      </w:r>
      <w:r>
        <w:rPr>
          <w:rFonts w:hint="eastAsia" w:ascii="宋体" w:hAnsi="宋体" w:eastAsia="宋体" w:cs="宋体"/>
          <w:color w:val="000000"/>
          <w:sz w:val="21"/>
          <w:szCs w:val="21"/>
          <w:highlight w:val="none"/>
        </w:rPr>
        <w:t xml:space="preserve">，施工图预算未经审批不得计量支付。</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施工图预算（含工程量清单）编制的准确性及完整性由施工单位负责，施工图预算经审批后施工单位不得提出因工程量清单的不准确或漏项而调整综合单价或工程量的请求。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12.5.2施工图预算编制原则</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（1）施工图依据已标价工程量清单及经审核下发的施工图进行编制，</w:t>
      </w:r>
      <w:r>
        <w:rPr>
          <w:rFonts w:hint="eastAsia" w:ascii="宋体" w:hAnsi="宋体" w:eastAsia="宋体" w:cs="宋体"/>
          <w:color w:val="000000"/>
          <w:sz w:val="21"/>
          <w:szCs w:val="21"/>
          <w:highlight w:val="none"/>
          <w:u w:val="single"/>
        </w:rPr>
        <w:t xml:space="preserve">工程量计量规则按专用合同条款第12.3.1 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（2）已标价工程量清单无相同项目及类似项目单价，新增单价可按以下原则确定： </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定额执行江苏省相关工程计价表《江苏省建设工程费用定额》（2014版）、《江苏省建筑与装饰工程计价定额》（2014版）、《江苏省安装工程计价定额》（2014版）、《江苏省市政工程计价定额》（2014版）等及相关文件。</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3）新组价部分按照投标下浮率下浮。</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（3）对于施工图预算的工程量与已标价工程量清单中该项目的工程量产生变化的，价格按专用合同条款第1.13款中“允许调整合同价格的工程量偏差范围”中规定的方法调整。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（4）工程取费、措施费、规费、税金等按照已标价工程量清单执行。</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（5）其他未尽事宜按本工程招标控制价编制说明、组价方式执行。</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06" w:name="_Toc303539172"/>
      <w:r/>
      <w:bookmarkEnd w:id="1306"/>
      <w:r/>
      <w:bookmarkStart w:id="1307" w:name="_Toc296503219"/>
      <w:r/>
      <w:bookmarkEnd w:id="1307"/>
      <w:r/>
      <w:bookmarkStart w:id="1308" w:name="_Toc297048405"/>
      <w:r/>
      <w:bookmarkEnd w:id="1308"/>
      <w:r/>
      <w:bookmarkStart w:id="1309" w:name="_Toc296891259"/>
      <w:r/>
      <w:bookmarkEnd w:id="1309"/>
      <w:r/>
      <w:bookmarkStart w:id="1310" w:name="_Toc296944558"/>
      <w:r/>
      <w:bookmarkEnd w:id="1310"/>
      <w:r/>
      <w:bookmarkStart w:id="1311" w:name="_Toc312678053"/>
      <w:r/>
      <w:bookmarkEnd w:id="1311"/>
      <w:r/>
      <w:bookmarkStart w:id="1312" w:name="_Toc297120519"/>
      <w:r/>
      <w:bookmarkEnd w:id="1312"/>
      <w:r/>
      <w:bookmarkStart w:id="1313" w:name="_Toc297123564"/>
      <w:r/>
      <w:bookmarkEnd w:id="1313"/>
      <w:r/>
      <w:bookmarkStart w:id="1314" w:name="_Toc297216223"/>
      <w:r/>
      <w:bookmarkEnd w:id="1314"/>
      <w:r/>
      <w:bookmarkStart w:id="1315" w:name="_Toc296347218"/>
      <w:r/>
      <w:bookmarkEnd w:id="1315"/>
      <w:r/>
      <w:bookmarkStart w:id="1316" w:name="_Toc292559424"/>
      <w:r/>
      <w:bookmarkEnd w:id="1316"/>
      <w:r/>
      <w:bookmarkStart w:id="1317" w:name="_Toc296346720"/>
      <w:r/>
      <w:bookmarkEnd w:id="1317"/>
      <w:r/>
      <w:bookmarkStart w:id="1318" w:name="_Toc351203645"/>
      <w:r/>
      <w:bookmarkEnd w:id="1318"/>
      <w:r/>
      <w:bookmarkStart w:id="1319" w:name="_Toc292559929"/>
      <w:r/>
      <w:bookmarkEnd w:id="1319"/>
      <w:r/>
      <w:bookmarkStart w:id="1320" w:name="_Toc296891047"/>
      <w:r/>
      <w:bookmarkEnd w:id="1320"/>
      <w:r/>
      <w:bookmarkStart w:id="1321" w:name="_Toc96331635"/>
      <w:r/>
      <w:bookmarkEnd w:id="1321"/>
      <w:r/>
      <w:bookmarkStart w:id="1322" w:name="_Toc300935015"/>
      <w:r/>
      <w:bookmarkEnd w:id="1322"/>
      <w:r/>
      <w:bookmarkStart w:id="1323" w:name="_Toc186097098"/>
      <w:r/>
      <w:bookmarkEnd w:id="1323"/>
      <w:r/>
      <w:bookmarkStart w:id="1324" w:name="_Toc304295593"/>
      <w:r>
        <w:rPr>
          <w:rFonts w:hint="eastAsia" w:ascii="宋体" w:hAnsi="宋体" w:eastAsia="宋体" w:cs="宋体"/>
          <w:b w:val="0"/>
          <w:bCs/>
          <w:color w:val="000000"/>
          <w:sz w:val="21"/>
          <w:szCs w:val="21"/>
          <w:highlight w:val="none"/>
        </w:rPr>
        <w:t xml:space="preserve">13.验收和工程试车</w:t>
      </w:r>
      <w:bookmarkEnd w:id="1324"/>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5" w:name="_Toc96331636"/>
      <w:r/>
      <w:bookmarkEnd w:id="1325"/>
      <w:r/>
      <w:bookmarkStart w:id="1326" w:name="_Toc186097099"/>
      <w:r/>
      <w:bookmarkEnd w:id="1326"/>
      <w:r>
        <w:rPr>
          <w:rFonts w:hint="eastAsia" w:ascii="宋体" w:hAnsi="宋体" w:eastAsia="宋体" w:cs="宋体"/>
          <w:b w:val="0"/>
          <w:bCs/>
          <w:color w:val="000000"/>
          <w:sz w:val="21"/>
          <w:szCs w:val="21"/>
          <w:highlight w:val="none"/>
        </w:rPr>
        <w:t xml:space="preserve">13.1 分部分项工程验收</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7" w:name="_Toc292559428"/>
      <w:r/>
      <w:bookmarkEnd w:id="1327"/>
      <w:r/>
      <w:bookmarkStart w:id="1328" w:name="_Toc96331637"/>
      <w:r/>
      <w:bookmarkEnd w:id="1328"/>
      <w:r/>
      <w:bookmarkStart w:id="1329" w:name="_Toc296346724"/>
      <w:r/>
      <w:bookmarkEnd w:id="1329"/>
      <w:r/>
      <w:bookmarkStart w:id="1330" w:name="_Toc296503223"/>
      <w:r/>
      <w:bookmarkEnd w:id="1330"/>
      <w:r/>
      <w:bookmarkStart w:id="1331" w:name="_Toc300935016"/>
      <w:r/>
      <w:bookmarkEnd w:id="1331"/>
      <w:r/>
      <w:bookmarkStart w:id="1332" w:name="_Toc296891263"/>
      <w:r/>
      <w:bookmarkEnd w:id="1332"/>
      <w:r/>
      <w:bookmarkStart w:id="1333" w:name="_Toc292559933"/>
      <w:r/>
      <w:bookmarkEnd w:id="1333"/>
      <w:r/>
      <w:bookmarkStart w:id="1334" w:name="_Toc297123565"/>
      <w:r/>
      <w:bookmarkEnd w:id="1334"/>
      <w:r/>
      <w:bookmarkStart w:id="1335" w:name="_Toc296891051"/>
      <w:r/>
      <w:bookmarkEnd w:id="1335"/>
      <w:r/>
      <w:bookmarkStart w:id="1336" w:name="_Toc296944562"/>
      <w:r/>
      <w:bookmarkEnd w:id="1336"/>
      <w:r/>
      <w:bookmarkStart w:id="1337" w:name="_Toc303539173"/>
      <w:r/>
      <w:bookmarkEnd w:id="1337"/>
      <w:r/>
      <w:bookmarkStart w:id="1338" w:name="_Toc312678056"/>
      <w:r/>
      <w:bookmarkEnd w:id="1338"/>
      <w:r/>
      <w:bookmarkStart w:id="1339" w:name="_Toc296347222"/>
      <w:r/>
      <w:bookmarkEnd w:id="1339"/>
      <w:r/>
      <w:bookmarkStart w:id="1340" w:name="_Toc186097100"/>
      <w:r/>
      <w:bookmarkEnd w:id="1340"/>
      <w:r/>
      <w:bookmarkStart w:id="1341" w:name="_Toc297216224"/>
      <w:r/>
      <w:bookmarkEnd w:id="1341"/>
      <w:r/>
      <w:bookmarkStart w:id="1342" w:name="_Toc297048409"/>
      <w:r/>
      <w:bookmarkEnd w:id="1342"/>
      <w:r/>
      <w:bookmarkStart w:id="1343" w:name="_Toc304295596"/>
      <w:r/>
      <w:bookmarkEnd w:id="1343"/>
      <w:r/>
      <w:bookmarkStart w:id="1344" w:name="_Toc297120523"/>
      <w:r>
        <w:rPr>
          <w:rFonts w:hint="eastAsia" w:ascii="宋体" w:hAnsi="宋体" w:eastAsia="宋体" w:cs="宋体"/>
          <w:b w:val="0"/>
          <w:bCs/>
          <w:color w:val="000000"/>
          <w:sz w:val="21"/>
          <w:szCs w:val="21"/>
          <w:highlight w:val="none"/>
        </w:rPr>
        <w:t xml:space="preserve">13.2 竣工验收</w:t>
      </w:r>
      <w:bookmarkEnd w:id="134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bookmarkStart w:id="1345" w:name="_Toc280868707"/>
      <w:r/>
      <w:bookmarkEnd w:id="1345"/>
      <w:r/>
      <w:bookmarkStart w:id="1346" w:name="_Toc280868708"/>
      <w:r/>
      <w:bookmarkEnd w:id="1346"/>
      <w:r/>
      <w:bookmarkStart w:id="1347" w:name="_Toc280868704"/>
      <w:r/>
      <w:bookmarkEnd w:id="1347"/>
      <w:r/>
      <w:bookmarkStart w:id="1348" w:name="_Toc280868706"/>
      <w:r/>
      <w:bookmarkEnd w:id="1348"/>
      <w:r/>
      <w:bookmarkStart w:id="1349" w:name="_Toc280868705"/>
      <w:r/>
      <w:bookmarkEnd w:id="1349"/>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签约合同价×1‰×逾期天数。</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0" w:name="_Toc96331638"/>
      <w:r/>
      <w:bookmarkEnd w:id="1350"/>
      <w:r/>
      <w:bookmarkStart w:id="1351" w:name="_Toc186097101"/>
      <w:r>
        <w:rPr>
          <w:rFonts w:hint="eastAsia" w:ascii="宋体" w:hAnsi="宋体" w:eastAsia="宋体" w:cs="宋体"/>
          <w:b w:val="0"/>
          <w:bCs/>
          <w:color w:val="000000"/>
          <w:sz w:val="21"/>
          <w:szCs w:val="21"/>
          <w:highlight w:val="none"/>
        </w:rPr>
        <w:t xml:space="preserve">13.3 工程试车</w:t>
      </w:r>
      <w:bookmarkEnd w:id="135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2" w:name="_Toc186097102"/>
      <w:r/>
      <w:bookmarkEnd w:id="1352"/>
      <w:r/>
      <w:bookmarkStart w:id="1353" w:name="_Toc96331639"/>
      <w:r>
        <w:rPr>
          <w:rFonts w:hint="eastAsia" w:ascii="宋体" w:hAnsi="宋体" w:eastAsia="宋体" w:cs="宋体"/>
          <w:b w:val="0"/>
          <w:bCs/>
          <w:color w:val="000000"/>
          <w:sz w:val="21"/>
          <w:szCs w:val="21"/>
          <w:highlight w:val="none"/>
        </w:rPr>
        <w:t xml:space="preserve">13.6 竣工退场</w:t>
      </w:r>
      <w:bookmarkEnd w:id="135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接到发包方通知的7天内拆除现场的所有临时设施，并清除全部垃圾，施工单位的施工人员、材料、设备必须在7天内全部退出现场，其费用由承包人承担。承包人未按发包人要求清场或者清场未达到合同约定的，发包人有权委托其他人进行清场，所发生的金额从拟支付给承包人的款项中扣除。本工程完成后，承包人须清洁和整理本工程所有项目，除去一切无关标志、污斑、指印和其他的油污和污物等直至发包人验收合格为止。</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4" w:name="_Toc351203646"/>
      <w:r/>
      <w:bookmarkEnd w:id="1354"/>
      <w:r/>
      <w:bookmarkStart w:id="1355" w:name="_Toc186097103"/>
      <w:r>
        <w:rPr>
          <w:rFonts w:hint="eastAsia" w:ascii="宋体" w:hAnsi="宋体" w:eastAsia="宋体" w:cs="宋体"/>
          <w:b w:val="0"/>
          <w:bCs/>
          <w:color w:val="000000"/>
          <w:sz w:val="21"/>
          <w:szCs w:val="21"/>
          <w:highlight w:val="none"/>
        </w:rPr>
        <w:t xml:space="preserve">14. 竣工结算</w:t>
      </w:r>
      <w:bookmarkEnd w:id="1355"/>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6" w:name="_Toc186097104"/>
      <w:r/>
      <w:bookmarkEnd w:id="1356"/>
      <w:r>
        <w:rPr>
          <w:rFonts w:hint="eastAsia" w:ascii="宋体" w:hAnsi="宋体" w:eastAsia="宋体" w:cs="宋体"/>
          <w:b w:val="0"/>
          <w:bCs/>
          <w:color w:val="000000"/>
          <w:sz w:val="21"/>
          <w:szCs w:val="21"/>
          <w:highlight w:val="none"/>
        </w:rPr>
        <w:t xml:space="preserve">14.1 竣工结算申请</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承包人提交竣工结算申请单的期限：</w:t>
      </w:r>
      <w:r>
        <w:rPr>
          <w:rFonts w:hint="eastAsia" w:ascii="宋体" w:hAnsi="宋体" w:eastAsia="宋体" w:cs="宋体"/>
          <w:color w:val="000000"/>
          <w:sz w:val="21"/>
          <w:szCs w:val="21"/>
          <w:highlight w:val="none"/>
          <w:u w:val="single"/>
        </w:rPr>
        <w:t xml:space="preserve">竣（完）工验收合格后28天内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1"/>
          <w:szCs w:val="21"/>
          <w:highlight w:val="none"/>
          <w:u w:val="single"/>
        </w:rPr>
        <w:t xml:space="preserve">（1）工程结算送审资料目录；（2）施工合同、补充协议；（3）投标报价或合同价报价明细；（4）招标文件；（5）竣工图纸；（6）工程设计变更、工程索赔单、工程洽商记录、会议纪要、现场签证单；（7）材料设备定价单、审核单或相关定价协议资料；（8）开工报告(开工令)、竣工报告及竣工验收合格证明；（9）施工过程结算报告等过程结算文件；（10）送审结算书、工程量计算底稿、计算模型；（11）安全文明施工考评结果证明；（12）工程结算承诺书；（13）工程结算授权委托书；（14）其他资料。</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承包人应保证竣工结算的准确性，一旦双方确认了竣工结算报告，则视为：双方一致同意该结算书的结算价款，工程涉及到的所有价款（包含但不限于本工程可能存在其他工程价款、工程变更价款、合同价款调整、工程索赔款等）已经包含在上述结算金额之中,一旦发包人根据最终结算书付清了工程款，则除工程缺陷责任期质量保证金外承包人无权再向发包人主张任何价款。</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7" w:name="_Toc186097105"/>
      <w:r/>
      <w:bookmarkEnd w:id="1357"/>
      <w:r>
        <w:rPr>
          <w:rFonts w:hint="eastAsia" w:ascii="宋体" w:hAnsi="宋体" w:eastAsia="宋体" w:cs="宋体"/>
          <w:b w:val="0"/>
          <w:bCs/>
          <w:color w:val="000000"/>
          <w:sz w:val="21"/>
          <w:szCs w:val="21"/>
          <w:highlight w:val="none"/>
        </w:rPr>
        <w:t xml:space="preserve">14.2 竣工结算审核</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1）监理人应在收到竣工结算申请单后14天内完成核查并报送结算审核单位；（2）结算审核单位应在收到监理人核查完成的竣工结算申请单后28天内完成工程结算审计并报送发包人；（3）发包人应在收到结算审核单位核查完成的竣工结算申请单后28天内完成审批，并由监理人向承包人签发经发包人确认的竣工付款证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（1）发包人签发竣工付款证书后的28天内，完成对承包人的付款。（2）发包人逾期支付的不承担逾期支付的违约责任。</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承包人对发包人签认的竣工付款证书有异议的，对于有异议部分应在收到发包人签认的竣工付款证书后7天内提出异议，并由发承包双方再次复核及商议。</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8" w:name="_Toc186097106"/>
      <w:r/>
      <w:bookmarkEnd w:id="1358"/>
      <w:r>
        <w:rPr>
          <w:rFonts w:hint="eastAsia" w:ascii="宋体" w:hAnsi="宋体" w:eastAsia="宋体" w:cs="宋体"/>
          <w:b w:val="0"/>
          <w:bCs/>
          <w:color w:val="000000"/>
          <w:sz w:val="21"/>
          <w:szCs w:val="21"/>
          <w:highlight w:val="none"/>
        </w:rPr>
        <w:t xml:space="preserve">14.4 最终结清</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承包人应向发包人提交 5 份最终结清申请单，并提供相关证明材料。</w:t>
      </w:r>
      <w:r>
        <w:rPr>
          <w:rFonts w:hint="eastAsia" w:ascii="宋体" w:hAnsi="宋体" w:eastAsia="宋体" w:cs="宋体"/>
          <w:color w:val="000000"/>
          <w:sz w:val="21"/>
          <w:szCs w:val="21"/>
          <w:highlight w:val="none"/>
        </w:rPr>
      </w:r>
      <w:r/>
    </w:p>
    <w:p>
      <w:pPr>
        <w:pStyle w:val="1472"/>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在缺陷责任期终止证书颁发后28天内。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发包人应在收到承包人提交的最终结清申请单后28天内完成审批并向承包人颁发最终结清证书，按专用合同条款第12.4.1款约定向承包人支付款项。承包人对发包人颁发的最终结清证书有异议的，应在收到证书之日起7天内向发包人提出异议，由双方再次复核及商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详见专用合同条款第12.4款。</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9" w:name="_Toc351203647"/>
      <w:r/>
      <w:bookmarkEnd w:id="1359"/>
      <w:r/>
      <w:bookmarkStart w:id="1360" w:name="_Toc267251483"/>
      <w:r/>
      <w:bookmarkEnd w:id="1360"/>
      <w:r/>
      <w:bookmarkStart w:id="1361" w:name="_Toc267251488"/>
      <w:r/>
      <w:bookmarkEnd w:id="1361"/>
      <w:r/>
      <w:bookmarkStart w:id="1362" w:name="_Toc186097107"/>
      <w:r/>
      <w:bookmarkEnd w:id="1362"/>
      <w:r/>
      <w:bookmarkStart w:id="1363" w:name="_Toc267251485"/>
      <w:r/>
      <w:bookmarkEnd w:id="1363"/>
      <w:r/>
      <w:bookmarkStart w:id="1364" w:name="_Toc267251490"/>
      <w:r/>
      <w:bookmarkEnd w:id="1364"/>
      <w:r/>
      <w:bookmarkStart w:id="1365" w:name="_Toc267251484"/>
      <w:r/>
      <w:bookmarkEnd w:id="1365"/>
      <w:r/>
      <w:bookmarkStart w:id="1366" w:name="_Toc96331640"/>
      <w:r/>
      <w:bookmarkEnd w:id="1366"/>
      <w:r/>
      <w:bookmarkStart w:id="1367" w:name="_Toc267251482"/>
      <w:r/>
      <w:bookmarkEnd w:id="1367"/>
      <w:r/>
      <w:bookmarkStart w:id="1368" w:name="_Toc267251489"/>
      <w:r/>
      <w:bookmarkEnd w:id="1368"/>
      <w:r/>
      <w:bookmarkStart w:id="1369" w:name="_Toc267251486"/>
      <w:r>
        <w:rPr>
          <w:rFonts w:hint="eastAsia" w:ascii="宋体" w:hAnsi="宋体" w:eastAsia="宋体" w:cs="宋体"/>
          <w:b w:val="0"/>
          <w:bCs/>
          <w:color w:val="000000"/>
          <w:sz w:val="21"/>
          <w:szCs w:val="21"/>
          <w:highlight w:val="none"/>
        </w:rPr>
        <w:t xml:space="preserve">15. 缺陷责任期与保修</w:t>
      </w:r>
      <w:bookmarkEnd w:id="1369"/>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0" w:name="_Toc96331641"/>
      <w:r/>
      <w:bookmarkEnd w:id="1370"/>
      <w:r/>
      <w:bookmarkStart w:id="1371" w:name="_Toc186097108"/>
      <w:r>
        <w:rPr>
          <w:rFonts w:hint="eastAsia" w:ascii="宋体" w:hAnsi="宋体" w:eastAsia="宋体" w:cs="宋体"/>
          <w:b w:val="0"/>
          <w:bCs/>
          <w:color w:val="000000"/>
          <w:sz w:val="21"/>
          <w:szCs w:val="21"/>
          <w:highlight w:val="none"/>
        </w:rPr>
        <w:t xml:space="preserve">15.2缺陷责任期</w:t>
      </w:r>
      <w:bookmarkEnd w:id="137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 24个月。</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2" w:name="_Toc96331642"/>
      <w:r/>
      <w:bookmarkEnd w:id="1372"/>
      <w:r/>
      <w:bookmarkStart w:id="1373" w:name="_Toc186097109"/>
      <w:r>
        <w:rPr>
          <w:rFonts w:hint="eastAsia" w:ascii="宋体" w:hAnsi="宋体" w:eastAsia="宋体" w:cs="宋体"/>
          <w:b w:val="0"/>
          <w:bCs/>
          <w:color w:val="000000"/>
          <w:sz w:val="21"/>
          <w:szCs w:val="21"/>
          <w:highlight w:val="none"/>
        </w:rPr>
        <w:t xml:space="preserve">15.3 质量保证金</w:t>
      </w:r>
      <w:bookmarkEnd w:id="137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工程价款结算总额的3%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退还质量保证金时不支付利息。</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4" w:name="_Toc186097110"/>
      <w:r/>
      <w:bookmarkEnd w:id="1374"/>
      <w:r/>
      <w:bookmarkStart w:id="1375" w:name="_Toc96331643"/>
      <w:r/>
      <w:bookmarkEnd w:id="1375"/>
      <w:r>
        <w:rPr>
          <w:rFonts w:hint="eastAsia" w:ascii="宋体" w:hAnsi="宋体" w:eastAsia="宋体" w:cs="宋体"/>
          <w:b w:val="0"/>
          <w:bCs/>
          <w:color w:val="000000"/>
          <w:sz w:val="21"/>
          <w:szCs w:val="21"/>
          <w:highlight w:val="none"/>
        </w:rPr>
        <w:t xml:space="preserve">15.4保修</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详见附件：工程质量保修书。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472"/>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一般修复24小时内，紧急修复2小时内，发包人有其他要求的按要求执行。</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6" w:name="_Toc186097111"/>
      <w:r/>
      <w:bookmarkEnd w:id="1376"/>
      <w:r/>
      <w:bookmarkStart w:id="1377" w:name="_Toc280868717"/>
      <w:r/>
      <w:bookmarkEnd w:id="1377"/>
      <w:r/>
      <w:bookmarkStart w:id="1378" w:name="_Toc351203648"/>
      <w:r/>
      <w:bookmarkEnd w:id="1378"/>
      <w:r/>
      <w:bookmarkStart w:id="1379" w:name="_Toc280868718"/>
      <w:r>
        <w:rPr>
          <w:rFonts w:hint="eastAsia" w:ascii="宋体" w:hAnsi="宋体" w:eastAsia="宋体" w:cs="宋体"/>
          <w:b w:val="0"/>
          <w:bCs/>
          <w:color w:val="000000"/>
          <w:sz w:val="21"/>
          <w:szCs w:val="21"/>
          <w:highlight w:val="none"/>
        </w:rPr>
        <w:t xml:space="preserve">16. 违约</w:t>
      </w:r>
      <w:bookmarkEnd w:id="1379"/>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0" w:name="_Toc186097112"/>
      <w:r/>
      <w:bookmarkEnd w:id="1380"/>
      <w:r>
        <w:rPr>
          <w:rFonts w:hint="eastAsia" w:ascii="宋体" w:hAnsi="宋体" w:eastAsia="宋体" w:cs="宋体"/>
          <w:b w:val="0"/>
          <w:bCs/>
          <w:color w:val="000000"/>
          <w:sz w:val="21"/>
          <w:szCs w:val="21"/>
          <w:highlight w:val="none"/>
        </w:rPr>
        <w:t xml:space="preserve">16.1 发包人违约</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无其他情形。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工期顺延，不补偿费用和利润。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不补偿费用和利润。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发包人不承担违约责任。</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发包人调换符合合同约定的材料或工程设备，工期延误由发包人承担，不补偿费用和利润。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暂停施工超过56天，发包人补偿承包人相关费用，不补偿利润，工期顺延。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工期顺延，不补偿费用和利润。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因发包人违反合同约定造成暂停施工</w:t>
      </w:r>
      <w:r>
        <w:rPr>
          <w:rFonts w:hint="eastAsia" w:ascii="宋体" w:hAnsi="宋体" w:eastAsia="宋体" w:cs="宋体"/>
          <w:color w:val="000000"/>
          <w:sz w:val="21"/>
          <w:szCs w:val="21"/>
          <w:highlight w:val="none"/>
          <w:u w:val="single"/>
        </w:rPr>
        <w:t xml:space="preserve">超过56 天，发包人仍不纠正违约行为并致使合同目的不能实现，承包人有权解除合同，发包人补偿承包人相关费用，不补偿利润。</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1" w:name="_Toc186097113"/>
      <w:r/>
      <w:bookmarkEnd w:id="1381"/>
      <w:r>
        <w:rPr>
          <w:rFonts w:hint="eastAsia" w:ascii="宋体" w:hAnsi="宋体" w:eastAsia="宋体" w:cs="宋体"/>
          <w:b w:val="0"/>
          <w:bCs/>
          <w:color w:val="000000"/>
          <w:sz w:val="21"/>
          <w:szCs w:val="21"/>
          <w:highlight w:val="none"/>
        </w:rPr>
        <w:t xml:space="preserve">16.2 承包人违约</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（1）安全文明管理</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违反施工作业规程、安全管理规定、文明施工规定等，须向发包人支付1万元/次的违约金，如造成损失还须承担由此造成的全部损失；被工程师或发包人指出后不立即采取有效措施整改到位，须向发包人支付2万元/次的违约金，并承担全部赔偿费用；造成人员受伤，除承担全部赔偿费用外，须向发包人支付5万元/人的违约金；造成人员死亡，除承担全部赔偿费用外，须向发包人支付20万元/人的违约金，且发包人有权解除合同。</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2）承包人安全文明措施不到位污染或损坏他人设施或城市公用设施，须承担由此造成的全部损失，发包人有权要求承包人支付2-10万元/次的违约金。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3）承包人违反环境保护的规定，乱排废水（油）或其他生产生活废弃物，承包人须承担由此造成的全部损失，发包人有权要求承包人支付2-10万元/次的违约金。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（2）进度管理</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1）承包人未按施工组织要求配备施工人员、投入工程机械，发包人有权要求承包人支付10-20万元的违约金。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因承包人原因导致本工程不能按专用合同条款第7.3.4款约定的竣工日期及关键节点工期完成，承包人须按专用合同条款第7.5.2款向发包人支付违约金。若关键节点工期逾期但下一关键节点工期未逾期，发包人向承包人无息返还已收取的关键节点工期逾期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（3）质量管理</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1）承包人未按合同约定组织材料和工程设备采购、报送与封存样品，发包人有权要求承包人将进场的材料设备退回，由承包人承担相关损失，且发包人有权要求承包人支付2-10万元/次的违约金。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未按相关规定对其提供的永久性工程设备、材料、部件及对工程质量进行检验，须向发包人支付2-10万元/次的违约金。无论工程设备、材料是由承包人采购或是由发包人指定的材料供应商供货，均不免除承包人所负的工程质量责任。</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未在分部分项工程隐蔽前不少于24小时通知发包人、监理人和有关单位进行验收合格并签字之前就擅自隐蔽，承包人须向发包人支付2-20万元/次的违约金；如因此导致中间验收或竣工验收不合格，承包人负责返工并承担由此造成的全部损失。</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承包人须确保各项内业资料（包含但不限于检验试验测试报告、评定报告、调试报告、施工原始记录、质检资料、试验资料、竣工资料等）的真实性和及时性，严禁后补资料或资料造假，否则须承担由此造成的全部损失，发包人有权要求承包人支付2-20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5）承包人未按设计图纸、相关规范及发包人的相应管理规定施工，发包人有权要求承包人支付2-10万元/次的违约金。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6）因承包人原因导致本项目发生质量事故，承包人须承担由此造成的全部损失，须向发包人支付10-100万元的违约金。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因承包人原因导致工程未一次性通过工程质监机构的验收，承包人除无偿返工外还须向发包人支付未验收通过部分工程价款2%的违约金；同一工程验收不合格次数每增加一次，违约金比例递增1%；如最终无法通过竣工验收，发包人有权解除合同并要求承包人承担由此造成的全部损失。</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8）因承包人质量、进度原因导致发包人将施工总承包范围内的部分工作内容委托其他单位实施，除该价款按专用合同条款第1.13款约定从承包人合同价款中扣除外，发包人有权要求承包人支付50-100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（4）投资管理</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1）承包人逾期提交竣工结算申请资料，发包人有权要求承包人支付2万元/天的违约金。因承包人提供竣工结算资料不完整或拒不接受审计单位的意见造成无法审定的责任由承包人承担。</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工程结算核减金额超过承包人送审总价款5％，超过5％部分的结算审计费用由承包人承担；工程结算核减金额超过承包人送审总价款10％，承包人承担全部结算审计费用；工程结算核减金额超过承包人送审总价20％（含），承包人除承担全部结算审计费用外，还须向发包人支付与工程结算核减超过20%部分等额的违约金。本项费用及违约金在结算时直接扣除。</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3）承包人逾期报送计量资料，发包人有权要求承包人支付2万元/次的违约金。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w:t>
      </w:r>
      <w:r>
        <w:rPr>
          <w:rFonts w:hint="eastAsia" w:ascii="宋体" w:hAnsi="宋体" w:eastAsia="宋体" w:cs="宋体"/>
          <w:color w:val="000000"/>
          <w:sz w:val="21"/>
          <w:szCs w:val="21"/>
          <w:highlight w:val="none"/>
          <w:u w:val="single"/>
        </w:rPr>
        <w:t xml:space="preserve">施工单位未按规定时间编制完成施工图预算，建设单位有权另行委托第三方咨询机构编制施工图预算，施工单位须无条件认可第三方咨询机构编制的施工图预算金额，委托第三方咨询机构编制施工图预算的费用由施工单位承担。</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（5）组织管理</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违反法律法规及合同约定，将工程转包或违法分包或未按合同约定分包，发包人有权收回其转包和分包的工程内容，按法律法规另行发包，承包人须向发包人支付其转包或违法分包或未按合同约定分包工程价款20%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2）承包人发包的分包人不称职，发包人有权强令分包人退场，分包人应在3天内退场，退场时间延误的，发包人有权要求承包人支付2-10万元/天的违约金。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3）承包人不按合同约定，擅自变更项目管理计划、施工组织设计、安全技术措施、设施保护措施等方案，发包人有权要求承包人支付2-10万元/次的违约金。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4）承包人在施工过程中未充分配合发包人的合理要求，须向发包人支付1万元/次的违约金。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5）承包人应交的各种规费、税金及其它费用分摊已包含在签约合同价中，结算不另行计量计价。承包人不得向发包人平行发包的专业承包人收取费用，否则须向发包人支付其收取费用2倍的违约金。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承包人应按合同约定向其他专业承包人提供配合工作（包括合同、会议纪要的约定内容以及设计变更等），如承包人拒绝完成或不能按合同要求如期完成，发包人有权安排第三方负责完成，并从承包人工程款中扣回第三方实际发生费用，对工期造成影响的责任由承包人承担，发包人有权要求承包人支付第三方实际发生费用等额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7）承包人未按合同约定办理有关报批报建手续或未协助发包人办理有关手续，发包人有权要求承包人支付2-10万元/次的违约金。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（6）人员管理</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1）承包人未按投标文件承诺配备人员，并在开工之日前进场的，须向发包人支付5000元/人/天的违约金。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在工程实施期间，项目经理及其他关键人员在其他工程担任任何职务的，发包人有权要求承包人支付20万元/次的违约金。项目经理及其他关键人员在竣工验收及移交阶段须在项目现场，如不在现场，发包人有权要求承包人支付5000元/天/人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）因</w:t>
      </w:r>
      <w:r>
        <w:rPr>
          <w:rFonts w:hint="eastAsia" w:ascii="宋体" w:hAnsi="宋体" w:eastAsia="宋体" w:cs="宋体"/>
          <w:color w:val="000000"/>
          <w:sz w:val="21"/>
          <w:szCs w:val="21"/>
          <w:highlight w:val="none"/>
          <w:u w:val="single"/>
        </w:rPr>
        <w:t xml:space="preserve">发包人违反合同约定造成工程暂停施工超过56天，承包人可以提出更换项目经理、关键人员的要求，在发包人批准后予以更换，不须支付违约金。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（7）其他</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1）承包人应配合发包人的项目宣传报道、形象展示，否则须向发包人支付2-10万元/次的违约金。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2）承包人须按发包人的要求在施工场地的围栏和建筑物上设置公益广告，图案及样式需报发包人审核，否则发包人有权要求承包人支付2-10万元/次的违约金。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施工过程中以及保修期内，因承包人原因出现质量问题、安全事故、文明施工问题、劳务纠纷、舆情或者其他问题，受到报纸、电视等媒体的曝光或政府有关主管部门的通报批评，给本工程的社会形象造成损失，根据事件造成的影响程度，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对承包人3次（含）以上投诉仍不能得到有效解决的，发包人有权按投诉人的诉求直接进行清偿。发包人对投诉人反应的真实情况不负有实质核实义务。清偿款项在支付下期工程款时予以足额扣回，承包人应开具包含清偿金额的全额发票给发包人。另外，承包人未及时解决12345投诉工单、环保投诉及其他投诉举报问题，造成反复投诉等，发包人有权要求承包人支付2-10万元/次违约金。12345工单满意率须达到90%以上，如未达到，发包人有权要求承包人支付2-10万元/次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5）承包人的临时设施方案须经发包人审核，如最终未达到发包人要求，发包人有权要求承包人支付10-50万元的违约金。</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6）承包人须严格执行发包人有关工程项目建设的管理规定，包括《南京市江北新区公共工程建设中心工程建设项目合同主体单位履约警示管理办法（试行）》，否则发包人有权要求承包人支付10-50万元的违约金。</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7）本合同中针对承包人违约情形有不同违约责任表述的，以最为严格的执行。</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8）承包人未履行合同义务造成发包人损失，除依据合同约定支付违约金外，还须承担给发包人造成的全部损失。</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9）所有违约金的支付并不减轻承包人在本合同项下的任何责任和义务。</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10）承包人承包的工程质量必须符合国家质量验收标准及图纸要求，如不符合国家质量验收标准及图纸要求，所发生的一切返工费用及由此给发包人造成的经济损失均由承包人承担，并按工程结算价款的10%予以处罚，此项赔偿并不能解除中标单位完成工程的责任及合同规定的其他责任。如因施工质量导致安全事故，由承包人承担事故处理的一切费用、工程的恢复费用及因此而造成后续工程延误费用。</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11）承包人应对工程质量及因工程质量发生的纠纷承担责任。因承包人原因工程质量达不到合格等级，发包人有权单方终止合同，承包人无权要求发包人给付工程款，并应按本合同总价款10%的标准向发包人支付违约金；如承包人支付了违约金后仍不能弥补因其工程质量达不到合同约定等级而给发包人造成的经济损失，承包人还应赔偿发包人的实际经济损失。</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12）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13）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详见专用合同条件相关条款的约定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承包人须在接到发包人解除通知之日起14天内按发包人和监理人要求完成退场，移交监理人要求的施工资料，配合办理相应施工变更手续。否则，承包人须按专用合同条款第13.2.5款约定支付违约金，并赔偿由此造成发包人的一切损失。</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发包人继续使用承包人在施工现场的材料、设备，按承包人投标文件中填报的材料、设备单价支付费用；发包人继续使用承包人临时工程，由发包人支付租金，租金价格由双方协商；发包人继续使用承包人文件和由承包人或以承包人名义编制的其他文件，不支付费用。</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2" w:name="_Toc351203649"/>
      <w:r/>
      <w:bookmarkEnd w:id="1382"/>
      <w:r/>
      <w:bookmarkStart w:id="1383" w:name="_Toc186097114"/>
      <w:r>
        <w:rPr>
          <w:rFonts w:hint="eastAsia" w:ascii="宋体" w:hAnsi="宋体" w:eastAsia="宋体" w:cs="宋体"/>
          <w:b w:val="0"/>
          <w:bCs/>
          <w:color w:val="000000"/>
          <w:sz w:val="21"/>
          <w:szCs w:val="21"/>
          <w:highlight w:val="none"/>
        </w:rPr>
        <w:t xml:space="preserve">17. 不可抗力</w:t>
      </w:r>
      <w:bookmarkEnd w:id="1383"/>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4" w:name="_Toc186097115"/>
      <w:r/>
      <w:bookmarkEnd w:id="1384"/>
      <w:r>
        <w:rPr>
          <w:rFonts w:hint="eastAsia" w:ascii="宋体" w:hAnsi="宋体" w:eastAsia="宋体" w:cs="宋体"/>
          <w:b w:val="0"/>
          <w:bCs/>
          <w:color w:val="000000"/>
          <w:sz w:val="21"/>
          <w:szCs w:val="21"/>
          <w:highlight w:val="none"/>
        </w:rPr>
        <w:t xml:space="preserve">17.1 不可抗力的确认</w:t>
      </w:r>
      <w:r>
        <w:rPr>
          <w:rFonts w:hint="eastAsia" w:ascii="宋体" w:hAnsi="宋体" w:eastAsia="宋体" w:cs="宋体"/>
          <w:b w:val="0"/>
          <w:bCs/>
          <w:color w:val="000000"/>
          <w:sz w:val="21"/>
          <w:szCs w:val="21"/>
          <w:highlight w:val="none"/>
        </w:rPr>
      </w:r>
      <w:r/>
    </w:p>
    <w:p>
      <w:pPr>
        <w:pStyle w:val="1472"/>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无其他情形。</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5" w:name="_Toc186097116"/>
      <w:r/>
      <w:bookmarkEnd w:id="1385"/>
      <w:r>
        <w:rPr>
          <w:rFonts w:hint="eastAsia" w:ascii="宋体" w:hAnsi="宋体" w:eastAsia="宋体" w:cs="宋体"/>
          <w:b w:val="0"/>
          <w:bCs/>
          <w:color w:val="000000"/>
          <w:sz w:val="21"/>
          <w:szCs w:val="21"/>
          <w:highlight w:val="none"/>
        </w:rPr>
        <w:t xml:space="preserve">17.4 因不可抗力解除合同</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28</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6" w:name="_Toc186097117"/>
      <w:r/>
      <w:bookmarkEnd w:id="1386"/>
      <w:r/>
      <w:bookmarkStart w:id="1387" w:name="_Toc351203650"/>
      <w:r>
        <w:rPr>
          <w:rFonts w:hint="eastAsia" w:ascii="宋体" w:hAnsi="宋体" w:eastAsia="宋体" w:cs="宋体"/>
          <w:b w:val="0"/>
          <w:bCs/>
          <w:color w:val="000000"/>
          <w:sz w:val="21"/>
          <w:szCs w:val="21"/>
          <w:highlight w:val="none"/>
        </w:rPr>
        <w:t xml:space="preserve">18. 保险</w:t>
      </w:r>
      <w:bookmarkEnd w:id="1387"/>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8" w:name="_Toc186097118"/>
      <w:r/>
      <w:bookmarkEnd w:id="1388"/>
      <w:r>
        <w:rPr>
          <w:rFonts w:hint="eastAsia" w:ascii="宋体" w:hAnsi="宋体" w:eastAsia="宋体" w:cs="宋体"/>
          <w:b w:val="0"/>
          <w:bCs/>
          <w:color w:val="000000"/>
          <w:sz w:val="21"/>
          <w:szCs w:val="21"/>
          <w:highlight w:val="none"/>
        </w:rPr>
        <w:t xml:space="preserve">18.1 工程保险</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建筑安装工程一切险及第三者责任险由发包人购买；建筑施工行业安全生产责任保险、承包商机械设备保险、人身意外伤害保险由承包人购买。</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9" w:name="_Toc186097119"/>
      <w:r/>
      <w:bookmarkEnd w:id="1389"/>
      <w:r>
        <w:rPr>
          <w:rFonts w:hint="eastAsia" w:ascii="宋体" w:hAnsi="宋体" w:eastAsia="宋体" w:cs="宋体"/>
          <w:b w:val="0"/>
          <w:bCs/>
          <w:color w:val="000000"/>
          <w:sz w:val="21"/>
          <w:szCs w:val="21"/>
          <w:highlight w:val="none"/>
        </w:rPr>
        <w:t xml:space="preserve">18.3 其他保险</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承包人须在工程开工前将所有保单原件提供给发包人、工程师核查，将加盖承包人公章的保单复印件送发包人、工程师备案。</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承包人应为其施工设备等办理财产保险。</w:t>
      </w:r>
      <w:r>
        <w:rPr>
          <w:rFonts w:hint="eastAsia" w:ascii="宋体" w:hAnsi="宋体" w:eastAsia="宋体" w:cs="宋体"/>
          <w:color w:val="000000"/>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0" w:name="_Toc186097120"/>
      <w:r/>
      <w:bookmarkEnd w:id="1390"/>
      <w:r>
        <w:rPr>
          <w:rFonts w:hint="eastAsia" w:ascii="宋体" w:hAnsi="宋体" w:eastAsia="宋体" w:cs="宋体"/>
          <w:b w:val="0"/>
          <w:bCs/>
          <w:color w:val="000000"/>
          <w:sz w:val="21"/>
          <w:szCs w:val="21"/>
          <w:highlight w:val="none"/>
        </w:rPr>
        <w:t xml:space="preserve">18.7 通知义务</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承包人变更除工伤保险之外的保险合同时，应在变更7天前通知发包人，征得发包人的同意，并通知监理人。</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1" w:name="_Toc351203651"/>
      <w:r/>
      <w:bookmarkEnd w:id="1391"/>
      <w:r/>
      <w:bookmarkStart w:id="1392" w:name="_Toc186097121"/>
      <w:r>
        <w:rPr>
          <w:rFonts w:hint="eastAsia" w:ascii="宋体" w:hAnsi="宋体" w:eastAsia="宋体" w:cs="宋体"/>
          <w:b w:val="0"/>
          <w:bCs/>
          <w:color w:val="000000"/>
          <w:sz w:val="21"/>
          <w:szCs w:val="21"/>
          <w:highlight w:val="none"/>
        </w:rPr>
        <w:t xml:space="preserve">20. 争议解决</w:t>
      </w:r>
      <w:bookmarkEnd w:id="1392"/>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3" w:name="_Toc186097122"/>
      <w:r/>
      <w:bookmarkEnd w:id="1393"/>
      <w:r>
        <w:rPr>
          <w:rFonts w:hint="eastAsia" w:ascii="宋体" w:hAnsi="宋体" w:eastAsia="宋体" w:cs="宋体"/>
          <w:b w:val="0"/>
          <w:bCs/>
          <w:color w:val="000000"/>
          <w:sz w:val="21"/>
          <w:szCs w:val="21"/>
          <w:highlight w:val="none"/>
        </w:rPr>
        <w:t xml:space="preserve">20.3 争议评审</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4" w:name="_Toc186097123"/>
      <w:r/>
      <w:bookmarkEnd w:id="1394"/>
      <w:r>
        <w:rPr>
          <w:rFonts w:hint="eastAsia" w:ascii="宋体" w:hAnsi="宋体" w:eastAsia="宋体" w:cs="宋体"/>
          <w:b w:val="0"/>
          <w:bCs/>
          <w:color w:val="000000"/>
          <w:sz w:val="21"/>
          <w:szCs w:val="21"/>
          <w:highlight w:val="none"/>
        </w:rPr>
        <w:t xml:space="preserve">20.4仲裁或诉讼</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工程所在地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21、其他</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1）材料及货物保修期内发生的零部件不正常的磨损，或非人为原因而损坏、失效的零部件和易损件，发生上述情况不仅限于上述情况时，承包人须免费提供服务，并更换上述零部件、备品备件和易损件。</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2）承包人应配合办理工程竣工备案等相关手续。</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本工程设备和材料由承包人自购部分，其规格、技术指标、质量等级详见施工图及工程量清单，同时必须满足相应技术规范或技术标准的要求。承包人的投标报价中没有报出材料品牌、生产厂家、材质、单价，或进场材料与投标时不符，发包人有权要求承包人更换为与投标时一致的材料品牌、生产厂家、材质、单价等，或发包人可另行采购，承包人承担相应的材料差价及采购费用。</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4）临时设施费：临时设施必须达到江北新区的标化现场要求。</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5）承包人在报价时须综合考虑因工程所在地重大活动或接待工作临时要求停工可能产生的相关费用和工期延误，承包人须自行采取措施，保证按期交付，工期不予顺延，费用结算时不做调整。</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6）如因重大变更导致项目取消的，双方自动解除合同，并不再因此产生任何经济及法律纠纷。</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7）承包人已充分考虑本项目受重要活动、重要会议、空气重污染、极端天气、交通限行和周边办公及住宿人群降噪需求等可能影响工期的因素，承包人自行采取相关措施并承担相关费用，中标后不增加工期、费用。</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8）项目现场无办公和住宿条件，承包人须场外办公和住宿，相关费用在投标报价时已综合考虑。</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9）已完工程的成品保护费，已包含在承包人投标单价中，不另行计算。</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10）若承包人报价组成中有明显的不平衡报价，发包人有权在总价不变的情况下对具体细目单价进行合理修正。</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11）现场施工以经发包人确认的施工图为准，山顶路开挖施工、场地削坡、北大门等工程内容以经发包人确认的施工方案为准。</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12）本项目采用样板先行，样板经发包人确认后材料方可进行采购。</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13）合同中对条款的约定存在矛盾之处、不明之处，按有利于发包人解释为准。</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14）未经发包人书面同意，承包人不得将本合同项下的工程款债权转让给任何第三方。违反本约定的，承包人应按合同总价的10%支付违约金，并赔偿发包人因此产生的全部费用，包括但不限于诉讼费用、律师费、保全担保费等（该违约金和费用与合同其他违约金条款相互独立、分别计算，发包人有权在未付承包人的款项中直接扣减该违约金和费用）。发包人对债权转让通知的签收不视为对转让行为的认可。承包人债权转让的受让人有义务查询本合同禁止转让约定。</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15）环保税：施工单位需在每年3月、6月、9月、12月的25日前向公建中心项目负责人报送季度的环保税申报资料，若未按要求及时报送，由此产生的税务损失由承包人承担，并向发包人支付5000元/次的违约金。</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附件</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协议书附件：</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附件1：承包人承揽工程项目一览表</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专用合同条款附件：</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附件2：发包人供应材料设备一览表</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附件3：工程质量保修书</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附件4：承包人主要施工管理人员表</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pacing w:val="-13"/>
          <w:sz w:val="21"/>
          <w:szCs w:val="21"/>
          <w:highlight w:val="none"/>
        </w:rPr>
        <w:outlineLvl w:val="9"/>
      </w:pPr>
      <w:r>
        <w:rPr>
          <w:rFonts w:hint="eastAsia" w:ascii="宋体" w:hAnsi="宋体" w:eastAsia="宋体" w:cs="宋体"/>
          <w:color w:val="000000"/>
          <w:spacing w:val="-13"/>
          <w:sz w:val="21"/>
          <w:szCs w:val="21"/>
          <w:highlight w:val="none"/>
        </w:rPr>
        <w:t xml:space="preserve">附件5：暂估价一览表</w:t>
      </w:r>
      <w:r>
        <w:rPr>
          <w:rFonts w:hint="eastAsia" w:ascii="宋体" w:hAnsi="宋体" w:eastAsia="宋体" w:cs="宋体"/>
          <w:color w:val="000000"/>
          <w:spacing w:val="-13"/>
          <w:sz w:val="21"/>
          <w:szCs w:val="21"/>
          <w:highlight w:val="none"/>
        </w:rPr>
      </w:r>
      <w:r/>
    </w:p>
    <w:p>
      <w:pPr>
        <w:pStyle w:val="1063"/>
        <w:ind w:left="0" w:right="0" w:firstLine="36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3"/>
          <w:sz w:val="21"/>
          <w:szCs w:val="21"/>
          <w:highlight w:val="none"/>
        </w:rPr>
        <w:t xml:space="preserve">附件</w:t>
      </w:r>
      <w:r>
        <w:rPr>
          <w:rFonts w:hint="eastAsia" w:ascii="宋体" w:hAnsi="宋体" w:eastAsia="宋体" w:cs="宋体"/>
          <w:color w:val="000000"/>
          <w:spacing w:val="-13"/>
          <w:sz w:val="21"/>
          <w:szCs w:val="21"/>
          <w:highlight w:val="none"/>
          <w:lang w:val="en-US" w:eastAsia="zh-CN"/>
        </w:rPr>
        <w:t xml:space="preserve">6</w:t>
      </w:r>
      <w:r>
        <w:rPr>
          <w:rFonts w:hint="eastAsia" w:ascii="宋体" w:hAnsi="宋体" w:eastAsia="宋体" w:cs="宋体"/>
          <w:color w:val="000000"/>
          <w:spacing w:val="-13"/>
          <w:sz w:val="21"/>
          <w:szCs w:val="21"/>
          <w:highlight w:val="none"/>
        </w:rPr>
        <w:t xml:space="preserve">：廉洁协议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1"/>
          <w:szCs w:val="21"/>
          <w:highlight w:val="none"/>
        </w:rPr>
      </w:r>
      <w:r/>
    </w:p>
    <w:p>
      <w:pPr>
        <w:pStyle w:val="1063"/>
        <w:ind w:left="0" w:right="0" w:firstLine="368"/>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3"/>
          <w:sz w:val="21"/>
          <w:szCs w:val="21"/>
          <w:highlight w:val="none"/>
        </w:rPr>
        <w:t xml:space="preserve">附件1：</w:t>
      </w:r>
      <w:r>
        <w:rPr>
          <w:rFonts w:hint="eastAsia" w:ascii="宋体" w:hAnsi="宋体" w:eastAsia="宋体" w:cs="宋体"/>
          <w:color w:val="000000"/>
          <w:sz w:val="21"/>
          <w:szCs w:val="21"/>
          <w:highlight w:val="none"/>
        </w:rPr>
      </w:r>
      <w:r/>
    </w:p>
    <w:p>
      <w:pPr>
        <w:pStyle w:val="1063"/>
        <w:ind w:left="0" w:right="0" w:firstLine="416"/>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承包人承揽工程项目一览表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146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89"/>
        <w:gridCol w:w="1840"/>
        <w:gridCol w:w="1415"/>
        <w:gridCol w:w="2406"/>
        <w:gridCol w:w="848"/>
        <w:gridCol w:w="1134"/>
        <w:gridCol w:w="1417"/>
        <w:gridCol w:w="1559"/>
        <w:gridCol w:w="1134"/>
        <w:gridCol w:w="1562"/>
      </w:tblGrid>
      <w:tr>
        <w:trPr>
          <w:trHeight w:val="985"/>
        </w:trPr>
        <w:tc>
          <w:tcPr>
            <w:tcW w:w="1289"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单位工</w:t>
            </w:r>
            <w:r>
              <w:rPr>
                <w:rFonts w:hint="eastAsia" w:ascii="宋体" w:hAnsi="宋体" w:eastAsia="宋体" w:cs="宋体"/>
                <w:color w:val="000000"/>
                <w:spacing w:val="-3"/>
                <w:sz w:val="21"/>
                <w:szCs w:val="21"/>
                <w:highlight w:val="none"/>
              </w:rPr>
              <w:t xml:space="preserve">程名称</w:t>
            </w:r>
            <w:r>
              <w:rPr>
                <w:rFonts w:hint="eastAsia" w:ascii="宋体" w:hAnsi="宋体" w:eastAsia="宋体" w:cs="宋体"/>
                <w:color w:val="000000"/>
                <w:sz w:val="21"/>
                <w:szCs w:val="21"/>
                <w:highlight w:val="none"/>
              </w:rPr>
            </w:r>
            <w:r/>
          </w:p>
        </w:tc>
        <w:tc>
          <w:tcPr>
            <w:tcW w:w="184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建设规模</w:t>
            </w:r>
            <w:r>
              <w:rPr>
                <w:rFonts w:hint="eastAsia" w:ascii="宋体" w:hAnsi="宋体" w:eastAsia="宋体" w:cs="宋体"/>
                <w:color w:val="000000"/>
                <w:sz w:val="21"/>
                <w:szCs w:val="21"/>
                <w:highlight w:val="none"/>
              </w:rPr>
            </w:r>
            <w:r/>
          </w:p>
        </w:tc>
        <w:tc>
          <w:tcPr>
            <w:tcW w:w="1415"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建筑面</w:t>
            </w:r>
            <w:r>
              <w:rPr>
                <w:rFonts w:hint="eastAsia" w:ascii="宋体" w:hAnsi="宋体" w:eastAsia="宋体" w:cs="宋体"/>
                <w:color w:val="000000"/>
                <w:spacing w:val="-3"/>
                <w:sz w:val="21"/>
                <w:szCs w:val="21"/>
                <w:highlight w:val="none"/>
              </w:rPr>
              <w:t xml:space="preserve">积(平方</w:t>
            </w:r>
            <w:r>
              <w:rPr>
                <w:rFonts w:hint="eastAsia" w:ascii="宋体" w:hAnsi="宋体" w:eastAsia="宋体" w:cs="宋体"/>
                <w:color w:val="000000"/>
                <w:spacing w:val="-6"/>
                <w:sz w:val="21"/>
                <w:szCs w:val="21"/>
                <w:highlight w:val="none"/>
              </w:rPr>
              <w:t xml:space="preserve">米)</w:t>
            </w:r>
            <w:r>
              <w:rPr>
                <w:rFonts w:hint="eastAsia" w:ascii="宋体" w:hAnsi="宋体" w:eastAsia="宋体" w:cs="宋体"/>
                <w:color w:val="000000"/>
                <w:sz w:val="21"/>
                <w:szCs w:val="21"/>
                <w:highlight w:val="none"/>
              </w:rPr>
            </w:r>
            <w:r/>
          </w:p>
        </w:tc>
        <w:tc>
          <w:tcPr>
            <w:tcW w:w="2406"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结构形式</w:t>
            </w:r>
            <w:r>
              <w:rPr>
                <w:rFonts w:hint="eastAsia" w:ascii="宋体" w:hAnsi="宋体" w:eastAsia="宋体" w:cs="宋体"/>
                <w:color w:val="000000"/>
                <w:sz w:val="21"/>
                <w:szCs w:val="21"/>
                <w:highlight w:val="none"/>
              </w:rPr>
            </w:r>
            <w:r/>
          </w:p>
        </w:tc>
        <w:tc>
          <w:tcPr>
            <w:tcW w:w="848"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层数</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生产能力</w:t>
            </w: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设备安装内容</w:t>
            </w:r>
            <w:r>
              <w:rPr>
                <w:rFonts w:hint="eastAsia" w:ascii="宋体" w:hAnsi="宋体" w:eastAsia="宋体" w:cs="宋体"/>
                <w:color w:val="000000"/>
                <w:sz w:val="21"/>
                <w:szCs w:val="21"/>
                <w:highlight w:val="none"/>
              </w:rPr>
            </w:r>
            <w:r/>
          </w:p>
        </w:tc>
        <w:tc>
          <w:tcPr>
            <w:tcW w:w="1559"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合同价</w:t>
            </w:r>
            <w:r>
              <w:rPr>
                <w:rFonts w:hint="eastAsia" w:ascii="宋体" w:hAnsi="宋体" w:eastAsia="宋体" w:cs="宋体"/>
                <w:color w:val="000000"/>
                <w:spacing w:val="-8"/>
                <w:sz w:val="21"/>
                <w:szCs w:val="21"/>
                <w:highlight w:val="none"/>
              </w:rPr>
              <w:t xml:space="preserve">格（元）</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pacing w:val="-7"/>
                <w:sz w:val="21"/>
                <w:szCs w:val="21"/>
                <w:highlight w:val="none"/>
              </w:rPr>
              <w:outlineLvl w:val="9"/>
            </w:pPr>
            <w:r>
              <w:rPr>
                <w:rFonts w:hint="eastAsia" w:ascii="宋体" w:hAnsi="宋体" w:eastAsia="宋体" w:cs="宋体"/>
                <w:color w:val="000000"/>
                <w:spacing w:val="-7"/>
                <w:sz w:val="21"/>
                <w:szCs w:val="21"/>
                <w:highlight w:val="none"/>
              </w:rPr>
              <w:t xml:space="preserve">开工日期</w:t>
            </w:r>
            <w:r>
              <w:rPr>
                <w:rFonts w:hint="eastAsia" w:ascii="宋体" w:hAnsi="宋体" w:eastAsia="宋体" w:cs="宋体"/>
                <w:color w:val="000000"/>
                <w:spacing w:val="-7"/>
                <w:sz w:val="21"/>
                <w:szCs w:val="21"/>
                <w:highlight w:val="none"/>
              </w:rPr>
            </w:r>
            <w:r/>
          </w:p>
        </w:tc>
        <w:tc>
          <w:tcPr>
            <w:tcW w:w="1562"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pacing w:val="-7"/>
                <w:sz w:val="21"/>
                <w:szCs w:val="21"/>
                <w:highlight w:val="none"/>
              </w:rPr>
              <w:outlineLvl w:val="9"/>
            </w:pPr>
            <w:r>
              <w:rPr>
                <w:rFonts w:hint="eastAsia" w:ascii="宋体" w:hAnsi="宋体" w:eastAsia="宋体" w:cs="宋体"/>
                <w:color w:val="000000"/>
                <w:spacing w:val="-7"/>
                <w:sz w:val="21"/>
                <w:szCs w:val="21"/>
                <w:highlight w:val="none"/>
              </w:rPr>
              <w:t xml:space="preserve">竣工日期</w:t>
            </w:r>
            <w:r>
              <w:rPr>
                <w:rFonts w:hint="eastAsia" w:ascii="宋体" w:hAnsi="宋体" w:eastAsia="宋体" w:cs="宋体"/>
                <w:color w:val="000000"/>
                <w:spacing w:val="-7"/>
                <w:sz w:val="21"/>
                <w:szCs w:val="21"/>
                <w:highlight w:val="none"/>
              </w:rPr>
            </w:r>
            <w:r/>
          </w:p>
        </w:tc>
      </w:tr>
      <w:tr>
        <w:trPr>
          <w:trHeight w:val="599"/>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9"/>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91"/>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3"/>
        <w:ind w:left="0" w:right="0" w:firstLine="420"/>
        <w:pageBreakBefore w:val="0"/>
        <w:spacing w:line="400" w:lineRule="exact"/>
        <w:rPr>
          <w:rFonts w:hint="eastAsia" w:ascii="宋体" w:hAnsi="宋体" w:eastAsia="宋体" w:cs="宋体"/>
          <w:color w:val="000000"/>
          <w:sz w:val="21"/>
          <w:szCs w:val="21"/>
          <w:highlight w:val="none"/>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9"/>
      </w:pPr>
      <w:r>
        <w:rPr>
          <w:rFonts w:hint="eastAsia" w:ascii="宋体" w:hAnsi="宋体" w:eastAsia="宋体" w:cs="宋体"/>
          <w:color w:val="000000"/>
          <w:sz w:val="21"/>
          <w:szCs w:val="21"/>
          <w:highlight w:val="none"/>
        </w:rPr>
      </w:r>
      <w:r/>
    </w:p>
    <w:p>
      <w:pPr>
        <w:pStyle w:val="1063"/>
        <w:ind w:left="0" w:right="0" w:firstLine="38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0"/>
          <w:sz w:val="21"/>
          <w:szCs w:val="21"/>
          <w:highlight w:val="none"/>
        </w:rPr>
        <w:t xml:space="preserve">附件2：</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12"/>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发包人供应材料设备一览表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90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1080"/>
        <w:gridCol w:w="1200"/>
        <w:gridCol w:w="796"/>
        <w:gridCol w:w="720"/>
        <w:gridCol w:w="884"/>
        <w:gridCol w:w="840"/>
        <w:gridCol w:w="977"/>
        <w:gridCol w:w="1001"/>
        <w:gridCol w:w="854"/>
      </w:tblGrid>
      <w:tr>
        <w:trPr>
          <w:trHeight w:val="890"/>
        </w:trPr>
        <w:tc>
          <w:tcPr>
            <w:tcW w:w="733"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序号</w:t>
            </w: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pacing w:val="-2"/>
                <w:position w:val="17"/>
                <w:sz w:val="21"/>
                <w:szCs w:val="21"/>
                <w:highlight w:val="none"/>
              </w:rPr>
              <w:outlineLvl w:val="9"/>
            </w:pPr>
            <w:r>
              <w:rPr>
                <w:rFonts w:hint="eastAsia" w:ascii="宋体" w:hAnsi="宋体" w:eastAsia="宋体" w:cs="宋体"/>
                <w:color w:val="000000"/>
                <w:spacing w:val="-2"/>
                <w:position w:val="17"/>
                <w:sz w:val="21"/>
                <w:szCs w:val="21"/>
                <w:highlight w:val="none"/>
              </w:rPr>
              <w:t xml:space="preserve">材料、</w:t>
            </w:r>
            <w:r>
              <w:rPr>
                <w:rFonts w:hint="eastAsia" w:ascii="宋体" w:hAnsi="宋体" w:eastAsia="宋体" w:cs="宋体"/>
                <w:color w:val="000000"/>
                <w:spacing w:val="-2"/>
                <w:position w:val="17"/>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设备品种</w:t>
            </w: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规格型号</w:t>
            </w:r>
            <w:r>
              <w:rPr>
                <w:rFonts w:hint="eastAsia" w:ascii="宋体" w:hAnsi="宋体" w:eastAsia="宋体" w:cs="宋体"/>
                <w:color w:val="000000"/>
                <w:sz w:val="21"/>
                <w:szCs w:val="21"/>
                <w:highlight w:val="none"/>
              </w:rPr>
            </w:r>
            <w:r/>
          </w:p>
        </w:tc>
        <w:tc>
          <w:tcPr>
            <w:tcW w:w="796"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单位</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数量</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position w:val="17"/>
                <w:sz w:val="21"/>
                <w:szCs w:val="21"/>
                <w:highlight w:val="none"/>
              </w:rPr>
              <w:t xml:space="preserve">单价</w:t>
            </w: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（元）</w:t>
            </w:r>
            <w:r>
              <w:rPr>
                <w:rFonts w:hint="eastAsia" w:ascii="宋体" w:hAnsi="宋体" w:eastAsia="宋体" w:cs="宋体"/>
                <w:color w:val="000000"/>
                <w:sz w:val="21"/>
                <w:szCs w:val="21"/>
                <w:highlight w:val="none"/>
              </w:rPr>
            </w:r>
            <w:r/>
          </w:p>
        </w:tc>
        <w:tc>
          <w:tcPr>
            <w:tcW w:w="84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position w:val="17"/>
                <w:sz w:val="21"/>
                <w:szCs w:val="21"/>
                <w:highlight w:val="none"/>
              </w:rPr>
              <w:t xml:space="preserve">质量等</w:t>
            </w: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级</w:t>
            </w: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pacing w:val="-4"/>
                <w:position w:val="17"/>
                <w:sz w:val="21"/>
                <w:szCs w:val="21"/>
                <w:highlight w:val="none"/>
              </w:rPr>
              <w:outlineLvl w:val="9"/>
            </w:pPr>
            <w:r>
              <w:rPr>
                <w:rFonts w:hint="eastAsia" w:ascii="宋体" w:hAnsi="宋体" w:eastAsia="宋体" w:cs="宋体"/>
                <w:color w:val="000000"/>
                <w:spacing w:val="-4"/>
                <w:position w:val="17"/>
                <w:sz w:val="21"/>
                <w:szCs w:val="21"/>
                <w:highlight w:val="none"/>
              </w:rPr>
              <w:t xml:space="preserve">供应</w:t>
            </w:r>
            <w:r>
              <w:rPr>
                <w:rFonts w:hint="eastAsia" w:ascii="宋体" w:hAnsi="宋体" w:eastAsia="宋体" w:cs="宋体"/>
                <w:color w:val="000000"/>
                <w:spacing w:val="-4"/>
                <w:position w:val="17"/>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9"/>
                <w:sz w:val="21"/>
                <w:szCs w:val="21"/>
                <w:highlight w:val="none"/>
              </w:rPr>
              <w:t xml:space="preserve">时间</w:t>
            </w:r>
            <w:r>
              <w:rPr>
                <w:rFonts w:hint="eastAsia" w:ascii="宋体" w:hAnsi="宋体" w:eastAsia="宋体" w:cs="宋体"/>
                <w:color w:val="000000"/>
                <w:sz w:val="21"/>
                <w:szCs w:val="21"/>
                <w:highlight w:val="none"/>
              </w:rPr>
            </w:r>
            <w:r/>
          </w:p>
        </w:tc>
        <w:tc>
          <w:tcPr>
            <w:tcW w:w="1001"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送达地点</w:t>
            </w:r>
            <w:r>
              <w:rPr>
                <w:rFonts w:hint="eastAsia" w:ascii="宋体" w:hAnsi="宋体" w:eastAsia="宋体" w:cs="宋体"/>
                <w:color w:val="000000"/>
                <w:sz w:val="21"/>
                <w:szCs w:val="21"/>
                <w:highlight w:val="none"/>
              </w:rPr>
            </w:r>
            <w:r/>
          </w:p>
        </w:tc>
        <w:tc>
          <w:tcPr>
            <w:tcW w:w="85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备注</w:t>
            </w:r>
            <w:r>
              <w:rPr>
                <w:rFonts w:hint="eastAsia" w:ascii="宋体" w:hAnsi="宋体" w:eastAsia="宋体" w:cs="宋体"/>
                <w:color w:val="000000"/>
                <w:sz w:val="21"/>
                <w:szCs w:val="21"/>
                <w:highlight w:val="none"/>
              </w:rPr>
            </w:r>
            <w:r/>
          </w:p>
        </w:tc>
      </w:tr>
      <w:tr>
        <w:trPr>
          <w:trHeight w:val="59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38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0"/>
          <w:sz w:val="21"/>
          <w:szCs w:val="21"/>
          <w:highlight w:val="none"/>
        </w:rPr>
        <w:br w:type="page" w:clear="all"/>
      </w:r>
      <w:r>
        <w:rPr>
          <w:rFonts w:hint="eastAsia" w:ascii="宋体" w:hAnsi="宋体" w:eastAsia="宋体" w:cs="宋体"/>
          <w:color w:val="000000"/>
          <w:spacing w:val="-10"/>
          <w:sz w:val="21"/>
          <w:szCs w:val="21"/>
          <w:highlight w:val="none"/>
        </w:rPr>
        <w:t xml:space="preserve">附件3：</w:t>
      </w:r>
      <w:r>
        <w:rPr>
          <w:rFonts w:hint="eastAsia" w:ascii="宋体" w:hAnsi="宋体" w:eastAsia="宋体" w:cs="宋体"/>
          <w:color w:val="000000"/>
          <w:sz w:val="21"/>
          <w:szCs w:val="21"/>
          <w:highlight w:val="none"/>
        </w:rPr>
      </w:r>
      <w:r/>
    </w:p>
    <w:p>
      <w:pPr>
        <w:pStyle w:val="1063"/>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工程质量保修书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投资（全称）：</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（工程全称）</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保修范围为承包人承包施工的全部内容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1．地基基础工程和主体结构工程为设计文件规定的工程合理使用年限；</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3．装修工程为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4．电气管线、给排水管道、设备安装工程为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5．供热与供冷系统为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6．住宅小区内的给排水设施、道路等配套工程为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7．其他项目保修期限约定如下：</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城市道路实行工程质量保修制度。</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园林绿化工程养护期为贰年，养护等级二级。养护期起算时间同质量保修期，养护管理费用含在签约合同价中，结算时不作调整。养护管理的内容包括：浇水、排水、除草、中耕、施肥、修剪整形、病虫害防治、防风防寒。</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三、缺陷责任期</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四、质量保修责任</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4．质量保修完成后，由发包人组织验收。</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五、保修费用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六、双方约定的其他工程质量保修事项：</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1.承包人在质量保修期内，按照合同和有关法律、法规、规章的管理规定以及双方的其它约定，承担合同约定的所有施工承包范围内工程质量的保修责任。</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发生质量问题并给发包人或业主造成经济损失的，按给发包人或业主造成经济损失的双倍支付违约金。此款在工程保修金中扣除。保修金不足以支付违约金的，由承包人另行赔偿。并负责及时维修至业主满意为止。</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3.同一地点同一质量问题，承包人经两次整改未能解决的，发包人认为有必要的，在通报承包人后，可委托施工单位修整，其费用由承包人承担。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4.若承包人累计三次接到发包人报修通知后未能按期参加维修，发包人有权不经承包人同意而直接扣除全部保修金，同时不解除承包人的相关责任和向承包人提出其他索赔的权利。</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5.如保修期内发生较为严重的漏水、电路短路、断路等情况并造成业主投诉超过20次，发包人有权不经承包人同意而直接扣除全部保修金，同时不解除承包人的相关责任和向承包人提出其他索赔的权利。</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6.在工程贰年的质量保修期（即苗木养护期）内，如绿化苗木在迁移及恢复过程中发生死亡、品相不良的，承包人应无偿重新种植，并保证补种苗木的品种、规格、数量均符合发包人要求，保证苗木100%成活。</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保修期间承包人应派专人负责本工程的维修及绿化苗木的养护管理，费用包含在合同总价中。</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(公章)                 承包人：    (公章)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法定代表人或其委托代理人（签字）：        法定代表人或其委托代理人（签字）：</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tabs>
          <w:tab w:val="left" w:pos="441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3"/>
        <w:ind w:left="0" w:right="0" w:firstLine="376"/>
        <w:pageBreakBefore w:val="0"/>
        <w:spacing w:line="400" w:lineRule="exact"/>
        <w:rPr>
          <w:rFonts w:hint="eastAsia" w:ascii="宋体" w:hAnsi="宋体" w:eastAsia="宋体" w:cs="宋体"/>
          <w:color w:val="000000"/>
          <w:spacing w:val="-11"/>
          <w:sz w:val="21"/>
          <w:szCs w:val="21"/>
          <w:highlight w:val="none"/>
        </w:rPr>
        <w:outlineLvl w:val="9"/>
      </w:pP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11"/>
          <w:sz w:val="21"/>
          <w:szCs w:val="21"/>
          <w:highlight w:val="none"/>
        </w:rPr>
      </w:r>
      <w:r/>
    </w:p>
    <w:p>
      <w:pPr>
        <w:pStyle w:val="1063"/>
        <w:ind w:left="0" w:right="0" w:firstLine="384"/>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9"/>
          <w:sz w:val="21"/>
          <w:szCs w:val="21"/>
          <w:highlight w:val="none"/>
        </w:rPr>
        <w:br w:type="page" w:clear="all"/>
      </w:r>
      <w:r>
        <w:rPr>
          <w:rFonts w:hint="eastAsia" w:ascii="宋体" w:hAnsi="宋体" w:eastAsia="宋体" w:cs="宋体"/>
          <w:color w:val="000000"/>
          <w:spacing w:val="-9"/>
          <w:sz w:val="21"/>
          <w:szCs w:val="21"/>
          <w:highlight w:val="none"/>
        </w:rPr>
        <w:t xml:space="preserve">附件4：</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14"/>
        <w:jc w:val="center"/>
        <w:pageBreakBefore w:val="0"/>
        <w:spacing w:line="400" w:lineRule="exact"/>
        <w:rPr>
          <w:rFonts w:hint="eastAsia" w:ascii="宋体" w:hAnsi="宋体" w:eastAsia="宋体" w:cs="宋体"/>
          <w:b/>
          <w:color w:val="000000"/>
          <w:sz w:val="21"/>
          <w:szCs w:val="21"/>
          <w:highlight w:val="none"/>
        </w:rPr>
        <w:outlineLvl w:val="9"/>
      </w:pPr>
      <w:r>
        <w:rPr>
          <w:rFonts w:hint="eastAsia" w:ascii="宋体" w:hAnsi="宋体" w:eastAsia="宋体" w:cs="宋体"/>
          <w:b/>
          <w:color w:val="000000"/>
          <w:spacing w:val="-2"/>
          <w:sz w:val="21"/>
          <w:szCs w:val="21"/>
          <w:highlight w:val="none"/>
        </w:rPr>
        <w:t xml:space="preserve">承包人主要施工管理人员表</w:t>
      </w:r>
      <w:r>
        <w:rPr>
          <w:rFonts w:hint="eastAsia" w:ascii="宋体" w:hAnsi="宋体" w:eastAsia="宋体" w:cs="宋体"/>
          <w:b/>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一、总部人员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项目主管</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二、现场人员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项目副经理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造价管理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材料管理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1871" w:type="dxa"/>
            <w:vAlign w:val="center"/>
            <w:vMerge w:val="restart"/>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380"/>
        <w:pageBreakBefore w:val="0"/>
        <w:spacing w:line="400" w:lineRule="exact"/>
        <w:rPr>
          <w:rFonts w:hint="eastAsia" w:ascii="宋体" w:hAnsi="宋体" w:eastAsia="宋体" w:cs="宋体"/>
          <w:color w:val="000000"/>
          <w:spacing w:val="-10"/>
          <w:sz w:val="21"/>
          <w:szCs w:val="21"/>
          <w:highlight w:val="none"/>
        </w:rPr>
        <w:outlineLvl w:val="9"/>
      </w:pP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10"/>
          <w:sz w:val="21"/>
          <w:szCs w:val="21"/>
          <w:highlight w:val="none"/>
        </w:rPr>
      </w:r>
      <w:r/>
    </w:p>
    <w:p>
      <w:pPr>
        <w:pStyle w:val="1063"/>
        <w:ind w:left="0" w:right="0" w:firstLine="380"/>
        <w:pageBreakBefore w:val="0"/>
        <w:spacing w:line="400" w:lineRule="exact"/>
        <w:rPr>
          <w:rFonts w:hint="eastAsia" w:ascii="宋体" w:hAnsi="宋体" w:eastAsia="宋体" w:cs="宋体"/>
          <w:color w:val="000000"/>
          <w:spacing w:val="-10"/>
          <w:sz w:val="21"/>
          <w:szCs w:val="21"/>
          <w:highlight w:val="none"/>
        </w:rPr>
        <w:outlineLvl w:val="9"/>
      </w:pP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10"/>
          <w:sz w:val="21"/>
          <w:szCs w:val="21"/>
          <w:highlight w:val="none"/>
        </w:rPr>
      </w:r>
      <w:r/>
    </w:p>
    <w:p>
      <w:pPr>
        <w:pStyle w:val="1063"/>
        <w:ind w:left="0" w:right="0" w:firstLine="380"/>
        <w:pageBreakBefore w:val="0"/>
        <w:spacing w:line="400" w:lineRule="exact"/>
        <w:rPr>
          <w:rFonts w:hint="eastAsia" w:ascii="宋体" w:hAnsi="宋体" w:eastAsia="宋体" w:cs="宋体"/>
          <w:color w:val="000000"/>
          <w:spacing w:val="-10"/>
          <w:sz w:val="21"/>
          <w:szCs w:val="21"/>
          <w:highlight w:val="none"/>
        </w:rPr>
        <w:outlineLvl w:val="9"/>
      </w:pP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10"/>
          <w:sz w:val="21"/>
          <w:szCs w:val="21"/>
          <w:highlight w:val="none"/>
        </w:rPr>
      </w:r>
      <w:r/>
    </w:p>
    <w:p>
      <w:pPr>
        <w:pStyle w:val="1063"/>
        <w:ind w:left="0" w:right="0" w:firstLine="38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0"/>
          <w:sz w:val="21"/>
          <w:szCs w:val="21"/>
          <w:highlight w:val="none"/>
        </w:rPr>
        <w:br w:type="page" w:clear="all"/>
      </w:r>
      <w:r>
        <w:rPr>
          <w:rFonts w:hint="eastAsia" w:ascii="宋体" w:hAnsi="宋体" w:eastAsia="宋体" w:cs="宋体"/>
          <w:color w:val="000000"/>
          <w:spacing w:val="-10"/>
          <w:sz w:val="21"/>
          <w:szCs w:val="21"/>
          <w:highlight w:val="none"/>
        </w:rPr>
        <w:t xml:space="preserve">附件5：</w:t>
      </w:r>
      <w:r>
        <w:rPr>
          <w:rFonts w:hint="eastAsia" w:ascii="宋体" w:hAnsi="宋体" w:eastAsia="宋体" w:cs="宋体"/>
          <w:color w:val="000000"/>
          <w:sz w:val="21"/>
          <w:szCs w:val="21"/>
          <w:highlight w:val="none"/>
        </w:rPr>
      </w:r>
      <w:r/>
    </w:p>
    <w:p>
      <w:pPr>
        <w:pStyle w:val="1063"/>
        <w:ind w:left="0" w:right="0" w:firstLine="366"/>
        <w:pageBreakBefore w:val="0"/>
        <w:spacing w:line="400" w:lineRule="exact"/>
        <w:rPr>
          <w:rFonts w:hint="eastAsia" w:ascii="宋体" w:hAnsi="宋体" w:eastAsia="宋体" w:cs="宋体"/>
          <w:color w:val="000000"/>
          <w:sz w:val="21"/>
          <w:szCs w:val="21"/>
          <w:highlight w:val="none"/>
        </w:rPr>
        <w:outlineLvl w:val="9"/>
      </w:pPr>
      <w:r/>
      <w:bookmarkStart w:id="1395" w:name="_Toc186097124"/>
      <w:r/>
      <w:bookmarkEnd w:id="1395"/>
      <w:r/>
      <w:bookmarkStart w:id="1396" w:name="_Toc256000085"/>
      <w:r>
        <w:rPr>
          <w:rFonts w:hint="eastAsia" w:ascii="宋体" w:hAnsi="宋体" w:eastAsia="宋体" w:cs="宋体"/>
          <w:color w:val="000000"/>
          <w:spacing w:val="-10"/>
          <w:sz w:val="21"/>
          <w:szCs w:val="21"/>
          <w:highlight w:val="none"/>
        </w:rPr>
        <w:t xml:space="preserve">5-</w:t>
      </w:r>
      <w:bookmarkEnd w:id="1396"/>
      <w:r>
        <w:rPr>
          <w:rFonts w:hint="eastAsia" w:ascii="宋体" w:hAnsi="宋体" w:eastAsia="宋体" w:cs="宋体"/>
          <w:color w:val="000000"/>
          <w:spacing w:val="-10"/>
          <w:sz w:val="21"/>
          <w:szCs w:val="21"/>
          <w:highlight w:val="none"/>
        </w:rPr>
        <w:t xml:space="preserve">1：材料暂估价表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907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451"/>
        </w:trPr>
        <w:tc>
          <w:tcPr>
            <w:tcW w:w="1004" w:type="dxa"/>
            <w:vAlign w:val="top"/>
            <w:textDirection w:val="lrTb"/>
            <w:noWrap w:val="false"/>
          </w:tcPr>
          <w:p>
            <w:pPr>
              <w:pStyle w:val="1063"/>
              <w:ind w:left="0" w:right="0" w:firstLine="404"/>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序号</w:t>
            </w: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名称</w:t>
            </w: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0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单位</w:t>
            </w: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0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数量</w:t>
            </w: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单价（元）</w:t>
            </w: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合价（元）</w:t>
            </w: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备注</w:t>
            </w:r>
            <w:r>
              <w:rPr>
                <w:rFonts w:hint="eastAsia" w:ascii="宋体" w:hAnsi="宋体" w:eastAsia="宋体" w:cs="宋体"/>
                <w:color w:val="000000"/>
                <w:sz w:val="21"/>
                <w:szCs w:val="21"/>
                <w:highlight w:val="none"/>
              </w:rPr>
            </w:r>
            <w:r/>
          </w:p>
        </w:tc>
      </w:tr>
      <w:tr>
        <w:trPr>
          <w:trHeight w:val="47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66"/>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37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0"/>
          <w:sz w:val="21"/>
          <w:szCs w:val="21"/>
          <w:highlight w:val="none"/>
        </w:rPr>
        <w:t xml:space="preserve"> 5-2：工程设备暂估价表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907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451"/>
        </w:trPr>
        <w:tc>
          <w:tcPr>
            <w:tcW w:w="1004" w:type="dxa"/>
            <w:vAlign w:val="top"/>
            <w:textDirection w:val="lrTb"/>
            <w:noWrap w:val="false"/>
          </w:tcPr>
          <w:p>
            <w:pPr>
              <w:pStyle w:val="1063"/>
              <w:ind w:left="0" w:right="0" w:firstLine="404"/>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序号</w:t>
            </w: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名称</w:t>
            </w: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0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单位</w:t>
            </w: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0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数量</w:t>
            </w: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单价（元）</w:t>
            </w: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1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合价（元）</w:t>
            </w: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396"/>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备注</w:t>
            </w:r>
            <w:r>
              <w:rPr>
                <w:rFonts w:hint="eastAsia" w:ascii="宋体" w:hAnsi="宋体" w:eastAsia="宋体" w:cs="宋体"/>
                <w:color w:val="000000"/>
                <w:sz w:val="21"/>
                <w:szCs w:val="21"/>
                <w:highlight w:val="none"/>
              </w:rPr>
            </w:r>
            <w:r/>
          </w:p>
        </w:tc>
      </w:tr>
      <w:tr>
        <w:trPr>
          <w:trHeight w:val="47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66"/>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370"/>
        <w:pageBreakBefore w:val="0"/>
        <w:spacing w:line="400" w:lineRule="exact"/>
        <w:rPr>
          <w:rFonts w:hint="eastAsia" w:ascii="宋体" w:hAnsi="宋体" w:eastAsia="宋体" w:cs="宋体"/>
          <w:color w:val="000000"/>
          <w:spacing w:val="-10"/>
          <w:sz w:val="21"/>
          <w:szCs w:val="21"/>
          <w:highlight w:val="none"/>
        </w:rPr>
        <w:outlineLvl w:val="9"/>
      </w:pP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10"/>
          <w:sz w:val="21"/>
          <w:szCs w:val="21"/>
          <w:highlight w:val="none"/>
        </w:rPr>
      </w:r>
      <w:r/>
    </w:p>
    <w:p>
      <w:pPr>
        <w:pStyle w:val="1063"/>
        <w:ind w:left="0" w:right="0" w:firstLine="37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0"/>
          <w:sz w:val="21"/>
          <w:szCs w:val="21"/>
          <w:highlight w:val="none"/>
        </w:rPr>
        <w:t xml:space="preserve"> 5-3：专业工程暂估价表</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882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
        <w:gridCol w:w="1978"/>
        <w:gridCol w:w="4665"/>
        <w:gridCol w:w="1286"/>
      </w:tblGrid>
      <w:tr>
        <w:trPr>
          <w:trHeight w:val="451"/>
        </w:trPr>
        <w:tc>
          <w:tcPr>
            <w:tcW w:w="891" w:type="dxa"/>
            <w:vAlign w:val="top"/>
            <w:textDirection w:val="lrTb"/>
            <w:noWrap w:val="false"/>
          </w:tcPr>
          <w:p>
            <w:pPr>
              <w:pStyle w:val="1063"/>
              <w:ind w:left="0" w:right="0" w:firstLine="404"/>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序号</w:t>
            </w: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12"/>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2"/>
                <w:sz w:val="21"/>
                <w:szCs w:val="21"/>
                <w:highlight w:val="none"/>
              </w:rPr>
              <w:t xml:space="preserve">专业工程名称</w:t>
            </w: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08"/>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工程内容</w:t>
            </w: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00"/>
              <w:jc w:val="center"/>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金额</w:t>
            </w:r>
            <w:r>
              <w:rPr>
                <w:rFonts w:hint="eastAsia" w:ascii="宋体" w:hAnsi="宋体" w:eastAsia="宋体" w:cs="宋体"/>
                <w:color w:val="000000"/>
                <w:sz w:val="21"/>
                <w:szCs w:val="21"/>
                <w:highlight w:val="none"/>
              </w:rPr>
            </w:r>
            <w:r/>
          </w:p>
        </w:tc>
      </w:tr>
      <w:tr>
        <w:trPr>
          <w:trHeight w:val="47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66"/>
        </w:trPr>
        <w:tc>
          <w:tcPr>
            <w:gridSpan w:val="4"/>
            <w:tcW w:w="8820" w:type="dxa"/>
            <w:vAlign w:val="top"/>
            <w:textDirection w:val="lrTb"/>
            <w:noWrap w:val="false"/>
          </w:tcPr>
          <w:p>
            <w:pPr>
              <w:pStyle w:val="1063"/>
              <w:ind w:left="0" w:right="0" w:firstLine="392"/>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7"/>
                <w:sz w:val="21"/>
                <w:szCs w:val="21"/>
                <w:highlight w:val="none"/>
              </w:rPr>
              <w:t xml:space="preserve">小计：</w:t>
            </w:r>
            <w:r>
              <w:rPr>
                <w:rFonts w:hint="eastAsia" w:ascii="宋体" w:hAnsi="宋体" w:eastAsia="宋体" w:cs="宋体"/>
                <w:color w:val="000000"/>
                <w:sz w:val="21"/>
                <w:szCs w:val="21"/>
                <w:highlight w:val="none"/>
              </w:rPr>
            </w:r>
            <w:r/>
          </w:p>
        </w:tc>
      </w:tr>
    </w:tbl>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ind w:left="0" w:right="0" w:firstLine="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ind w:left="0" w:right="0" w:firstLine="38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0"/>
          <w:sz w:val="21"/>
          <w:szCs w:val="21"/>
          <w:highlight w:val="none"/>
        </w:rPr>
        <w:t xml:space="preserve">附件</w:t>
      </w:r>
      <w:r>
        <w:rPr>
          <w:rFonts w:hint="eastAsia" w:ascii="宋体" w:hAnsi="宋体" w:eastAsia="宋体" w:cs="宋体"/>
          <w:color w:val="000000"/>
          <w:spacing w:val="-10"/>
          <w:sz w:val="21"/>
          <w:szCs w:val="21"/>
          <w:highlight w:val="none"/>
          <w:lang w:val="en-US" w:eastAsia="zh-CN"/>
        </w:rPr>
        <w:t xml:space="preserve">6</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474"/>
        <w:ind w:left="0" w:right="0" w:firstLine="420"/>
        <w:pageBreakBefore w:val="0"/>
        <w:spacing w:before="0" w:after="0" w:line="400" w:lineRule="exact"/>
        <w:tabs>
          <w:tab w:val="left" w:pos="360" w:leader="none"/>
          <w:tab w:val="left" w:pos="1134" w:leader="none"/>
        </w:tabs>
        <w:rPr>
          <w:rFonts w:hint="eastAsia" w:ascii="宋体" w:hAnsi="宋体" w:eastAsia="宋体" w:cs="宋体"/>
          <w:color w:val="000000"/>
          <w:sz w:val="21"/>
          <w:szCs w:val="21"/>
          <w:highlight w:val="none"/>
        </w:rPr>
        <w:outlineLvl w:val="9"/>
      </w:pPr>
      <w:r/>
      <w:bookmarkStart w:id="1397" w:name="_Toc186097126"/>
      <w:r/>
      <w:bookmarkEnd w:id="1397"/>
      <w:r>
        <w:rPr>
          <w:rFonts w:hint="eastAsia" w:ascii="宋体" w:hAnsi="宋体" w:eastAsia="宋体" w:cs="宋体"/>
          <w:color w:val="000000"/>
          <w:sz w:val="21"/>
          <w:szCs w:val="21"/>
          <w:highlight w:val="none"/>
        </w:rPr>
        <w:t xml:space="preserve">廉政协议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发包人：</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承包人： </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根据国家有关工程建设领域廉政从业的规定，为做好本工程廉政建设，保证工程建设高效优质，保证建设资金的安全和有效使用以及投资效益，发包人与承包人就本工程的廉政建设事宜，特签订本协议。</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一、双方权利和义务</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1.严格遵守党和国家有关法律法规及纪委监察部门的有关规定。</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2.严格执行合同文件，自觉按合同办事。</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4.建立健全廉政制度，开展廉政教育，设立廉政告示牌，公布举报电话，监督并认真查处违法违纪行为。</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5.发现对方在业务活动中有违反廉政规定的行为，有及时提醒对方纠正的权利及义务。</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6.发现对方严重违反本合同义务条款的行为，有向其上级有关部门举报、建议给予处理并要求告知处理结果的权利。</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二、发包人义务</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1.发包人及其工作人员不得索要或接受承包人的礼金、有价证券和贵重物品，不得在承包人报销任何应由发包人或发包人工作人员个人支付的费用等。</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2.发包人工作人员不得参加承包人安排的超标准宴请和娱乐活动，不得接受承包人提供的通讯工具、交通工具和高档办公用品等。</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3.发包人及其工作人员不得要求或者接受承包人为其住房装修、婚丧嫁娶、配偶子女工作安排以及出国出境、旅游等提供方便等。</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4.发包人工作人员及其配偶、子女不得从事与发包人工程有关的材料设备供应、工程分包、劳务等经济活动等。</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5.发包人及其工作人员不得以任何理由向承包人推荐分包单位或推销材料，不得要求承包人购买合同规定外的材料和设备。</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6.发包人工作人员要秉公办事，不准营私舞弊，不准利用职权从事各种个人有偿中介活动和安排个人施工队伍。</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三、承包人义务</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1.承包人不得以任何理由向发包人及其工作人员行贿或馈赠礼金、有价证券、贵重礼品。</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2.承包人不得以任何名义为发包人及其工作人员报销应由发包人单位或个人支付的任何费用。</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3.承包人不得以任何理由安排发包人工作人员参加超标准宴请及娱乐活动。</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4.承包人不得为发包人单位和个人购置或提供通讯工具、交通工具和高档办公用品等。</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设市场的处罚。</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五、其他</w:t>
      </w:r>
      <w:r>
        <w:rPr>
          <w:rFonts w:hint="eastAsia" w:ascii="宋体" w:hAnsi="宋体" w:eastAsia="宋体" w:cs="宋体"/>
          <w:color w:val="000000"/>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双方约定：本协议由双方或双方上级单位的纪检监察机关负责监督执行。由发包人或发包人上级单位的纪检监察机关约请承包人或承包人上级单位纪检监察机关对本协议执行情况进行检查，提出在本协议规定范围内的裁定意见。</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2.本协议有效期为甲乙双方签署之日起至该工程项目交工验收后止。</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3.本协议作为主合同附件，与主合同具有同等法律效力。</w:t>
      </w:r>
      <w:r>
        <w:rPr>
          <w:rFonts w:hint="eastAsia" w:ascii="宋体" w:hAnsi="宋体" w:eastAsia="宋体" w:cs="宋体"/>
          <w:color w:val="000000"/>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4.本协议作为主合同附件，正本和副本份数与主合同约定相同，由双方法定代表人或其授权的代理人签署与加盖公章后生效。</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 (公章)：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承包人(公章)：</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址：</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地</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址：</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法定代表人（签章）：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法定代表人（签章）：</w:t>
      </w:r>
      <w:r>
        <w:rPr>
          <w:rFonts w:hint="eastAsia" w:ascii="宋体" w:hAnsi="宋体" w:eastAsia="宋体" w:cs="宋体"/>
          <w:color w:val="000000"/>
          <w:sz w:val="21"/>
          <w:szCs w:val="21"/>
          <w:highlight w:val="none"/>
        </w:rPr>
      </w:r>
      <w:r/>
    </w:p>
    <w:p>
      <w:pPr>
        <w:pStyle w:val="1100"/>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委托代理人（签章）：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委托代理人（签章）：</w:t>
      </w:r>
      <w:r>
        <w:rPr>
          <w:rFonts w:hint="eastAsia" w:ascii="宋体" w:hAnsi="宋体" w:eastAsia="宋体" w:cs="宋体"/>
          <w:color w:val="000000"/>
          <w:sz w:val="21"/>
          <w:szCs w:val="21"/>
          <w:highlight w:val="none"/>
        </w:rPr>
      </w:r>
      <w:r/>
    </w:p>
    <w:p>
      <w:pPr>
        <w:pStyle w:val="106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68"/>
        <w:ind w:left="0" w:right="0"/>
        <w:pageBreakBefore w:val="0"/>
        <w:spacing w:before="0" w:after="0" w:line="400" w:lineRule="exact"/>
        <w:rPr>
          <w:rFonts w:hint="eastAsia" w:ascii="宋体" w:hAnsi="宋体" w:eastAsia="宋体" w:cs="宋体"/>
          <w:color w:val="000000"/>
          <w:sz w:val="21"/>
          <w:szCs w:val="21"/>
          <w:highlight w:val="none"/>
        </w:rPr>
        <w:sectPr>
          <w:headerReference w:type="default" r:id="rId10"/>
          <w:footerReference w:type="default" r:id="rId18"/>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jc w:val="center"/>
        <w:rPr>
          <w:rFonts w:hint="eastAsia" w:ascii="宋体" w:hAnsi="宋体" w:eastAsia="宋体" w:cs="宋体"/>
          <w:b/>
          <w:color w:val="000000"/>
          <w:sz w:val="32"/>
          <w:szCs w:val="32"/>
          <w:highlight w:val="none"/>
        </w:rPr>
        <w:outlineLvl w:val="0"/>
      </w:pPr>
      <w:r/>
      <w:bookmarkStart w:id="1398" w:name="_Toc8198"/>
      <w:r>
        <w:rPr>
          <w:rFonts w:hint="eastAsia" w:ascii="宋体" w:hAnsi="宋体" w:eastAsia="宋体" w:cs="宋体"/>
          <w:b/>
          <w:color w:val="000000"/>
          <w:sz w:val="32"/>
          <w:szCs w:val="32"/>
          <w:highlight w:val="none"/>
        </w:rPr>
        <w:t xml:space="preserve">第六章 格式附件</w:t>
      </w:r>
      <w:bookmarkEnd w:id="1398"/>
      <w:r>
        <w:rPr>
          <w:rFonts w:hint="eastAsia" w:ascii="宋体" w:hAnsi="宋体" w:eastAsia="宋体" w:cs="宋体"/>
          <w:b/>
          <w:color w:val="000000"/>
          <w:sz w:val="32"/>
          <w:szCs w:val="32"/>
          <w:highlight w:val="none"/>
        </w:rPr>
      </w:r>
      <w:r/>
    </w:p>
    <w:p>
      <w:pPr>
        <w:pStyle w:val="1063"/>
        <w:jc w:val="center"/>
        <w:spacing w:line="360" w:lineRule="auto"/>
        <w:rPr>
          <w:rFonts w:hint="eastAsia" w:ascii="宋体" w:hAnsi="宋体" w:eastAsia="宋体"/>
          <w:color w:val="000000"/>
          <w:sz w:val="100"/>
          <w:szCs w:val="100"/>
          <w:highlight w:val="none"/>
        </w:rPr>
      </w:pPr>
      <w:r/>
      <w:bookmarkStart w:id="1399" w:name="_Toc529893215"/>
      <w:r>
        <w:rPr>
          <w:rFonts w:hint="eastAsia" w:ascii="宋体" w:hAnsi="宋体" w:eastAsia="宋体"/>
          <w:color w:val="000000"/>
          <w:sz w:val="100"/>
          <w:szCs w:val="100"/>
          <w:highlight w:val="none"/>
        </w:rPr>
      </w:r>
      <w:r/>
    </w:p>
    <w:p>
      <w:pPr>
        <w:pStyle w:val="1063"/>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rPr>
      </w:r>
      <w:r/>
    </w:p>
    <w:p>
      <w:pPr>
        <w:pStyle w:val="1063"/>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lang w:eastAsia="zh-CN"/>
        </w:rPr>
        <w:t xml:space="preserve">响应</w:t>
      </w:r>
      <w:r>
        <w:rPr>
          <w:rFonts w:hint="eastAsia" w:ascii="宋体" w:hAnsi="宋体" w:eastAsia="宋体"/>
          <w:color w:val="000000"/>
          <w:sz w:val="100"/>
          <w:szCs w:val="100"/>
          <w:highlight w:val="none"/>
        </w:rPr>
        <w:t xml:space="preserve">文件</w:t>
      </w:r>
      <w:r>
        <w:rPr>
          <w:rFonts w:hint="eastAsia" w:ascii="宋体" w:hAnsi="宋体" w:eastAsia="宋体"/>
          <w:color w:val="000000"/>
          <w:sz w:val="100"/>
          <w:szCs w:val="100"/>
          <w:highlight w:val="none"/>
        </w:rPr>
      </w:r>
      <w:r/>
    </w:p>
    <w:p>
      <w:pPr>
        <w:pStyle w:val="1063"/>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06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3"/>
        <w:spacing w:before="312" w:after="312"/>
        <w:rPr>
          <w:rFonts w:hint="eastAsia"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eastAsia="zh-CN"/>
        </w:rPr>
        <w:t xml:space="preserve">项 目</w:t>
      </w:r>
      <w:r>
        <w:rPr>
          <w:rFonts w:hint="eastAsia" w:ascii="宋体" w:hAnsi="宋体" w:eastAsia="宋体"/>
          <w:b/>
          <w:bCs/>
          <w:color w:val="000000"/>
          <w:sz w:val="32"/>
          <w:highlight w:val="none"/>
          <w:lang w:val="en-US"/>
        </w:rPr>
        <w:t xml:space="preserve">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106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106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3"/>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57"/>
        <w:rPr>
          <w:rFonts w:hint="eastAsia"/>
          <w:color w:val="000000"/>
          <w:highlight w:val="none"/>
        </w:rPr>
      </w:pPr>
      <w:r>
        <w:rPr>
          <w:rFonts w:hint="eastAsia"/>
          <w:color w:val="000000"/>
          <w:highlight w:val="none"/>
        </w:rPr>
      </w:r>
      <w:r/>
    </w:p>
    <w:p>
      <w:pPr>
        <w:pStyle w:val="1063"/>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附件一</w:t>
      </w:r>
      <w:bookmarkEnd w:id="1399"/>
      <w:r>
        <w:rPr>
          <w:rFonts w:hint="eastAsia" w:ascii="宋体" w:hAnsi="宋体" w:eastAsia="宋体" w:cs="宋体"/>
          <w:b/>
          <w:bCs/>
          <w:color w:val="000000"/>
          <w:sz w:val="24"/>
          <w:szCs w:val="22"/>
          <w:highlight w:val="none"/>
        </w:rPr>
        <w:t xml:space="preserve">：磋商申请及声明</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磋商申请及声明</w:t>
      </w:r>
      <w:r>
        <w:rPr>
          <w:rFonts w:hint="eastAsia" w:ascii="宋体" w:hAnsi="宋体" w:eastAsia="宋体" w:cs="等线"/>
          <w:b/>
          <w:color w:val="000000"/>
          <w:sz w:val="24"/>
          <w:szCs w:val="24"/>
          <w:highlight w:val="none"/>
        </w:rPr>
      </w:r>
      <w:r/>
    </w:p>
    <w:p>
      <w:pPr>
        <w:pStyle w:val="1063"/>
        <w:contextualSpacing/>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致：（采购人）</w:t>
      </w:r>
      <w:r>
        <w:rPr>
          <w:rFonts w:hint="eastAsia" w:ascii="宋体" w:hAnsi="宋体" w:eastAsia="宋体" w:cs="宋体"/>
          <w:color w:val="000000"/>
          <w:szCs w:val="21"/>
          <w:highlight w:val="none"/>
          <w:lang w:val="zh-CN"/>
        </w:rPr>
      </w:r>
      <w:r/>
    </w:p>
    <w:p>
      <w:pPr>
        <w:pStyle w:val="1063"/>
        <w:contextualSpacing/>
        <w:ind w:firstLine="420"/>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（项目编号）磋商邀请，正式授权下述签字人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（供应商名称），提交响应文件并参加磋商。</w:t>
      </w:r>
      <w:r>
        <w:rPr>
          <w:rFonts w:hint="eastAsia" w:ascii="宋体" w:hAnsi="宋体" w:eastAsia="宋体" w:cs="宋体"/>
          <w:color w:val="000000"/>
          <w:szCs w:val="21"/>
          <w:highlight w:val="none"/>
          <w:lang w:val="zh-CN"/>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lang w:val="zh-CN"/>
        </w:rPr>
        <w:t xml:space="preserve">按竞争性磋商要求，我们的</w:t>
      </w:r>
      <w:r>
        <w:rPr>
          <w:rFonts w:hint="eastAsia" w:ascii="宋体" w:hAnsi="宋体" w:eastAsia="宋体" w:cs="宋体"/>
          <w:color w:val="000000"/>
          <w:highlight w:val="none"/>
        </w:rPr>
        <w:t xml:space="preserve">项目报价为：人民币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3、项目负责人：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日历天</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质量</w:t>
      </w:r>
      <w:r>
        <w:rPr>
          <w:rFonts w:hint="eastAsia" w:ascii="宋体" w:hAnsi="宋体" w:eastAsia="宋体" w:cs="宋体"/>
          <w:color w:val="000000"/>
          <w:highlight w:val="none"/>
          <w:lang w:eastAsia="zh-CN"/>
        </w:rPr>
        <w:t xml:space="preserve">要求：</w:t>
      </w:r>
      <w:r>
        <w:rPr>
          <w:rFonts w:hint="eastAsia" w:ascii="宋体" w:hAnsi="宋体" w:eastAsia="宋体" w:cs="宋体"/>
          <w:color w:val="000000"/>
          <w:highlight w:val="none"/>
          <w:u w:val="single"/>
          <w:lang w:eastAsia="zh-CN"/>
        </w:rPr>
        <w:t xml:space="preserve">符合国家质量验收标准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、一旦我方成交，我方将根据磋商文件的规定，严格履行合同，保证于承诺的时间内完成本项目规定的货物、服务和工程内容。</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供应商或者采购代理恶意串通、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采购人、采购代理工作人员和磋商小组进行商业贿赂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、我方</w:t>
      </w:r>
      <w:r>
        <w:rPr>
          <w:rFonts w:hint="eastAsia" w:ascii="宋体" w:hAnsi="宋体" w:eastAsia="宋体" w:cs="宋体"/>
          <w:color w:val="000000"/>
          <w:szCs w:val="21"/>
          <w:highlight w:val="none"/>
        </w:rPr>
        <w:t xml:space="preserve">增值税发票信息</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纳税人识别号或统一社会信用代码：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szCs w:val="21"/>
          <w:highlight w:val="none"/>
        </w:rPr>
        <w:t xml:space="preserve">电话号码：</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账</w:t>
      </w:r>
      <w:r>
        <w:rPr>
          <w:rFonts w:hint="eastAsia" w:ascii="宋体" w:hAnsi="宋体" w:eastAsia="宋体" w:cs="宋体"/>
          <w:color w:val="000000"/>
          <w:highlight w:val="none"/>
        </w:rPr>
        <w:t xml:space="preserve">    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、我方正式通讯方式为：</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szCs w:val="24"/>
          <w:highlight w:val="none"/>
        </w:rPr>
        <w:outlineLvl w:val="9"/>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Cs w:val="24"/>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rPr>
          <w:rFonts w:hint="eastAsia" w:ascii="宋体" w:hAnsi="宋体" w:eastAsia="宋体" w:cs="宋体"/>
          <w:color w:val="000000"/>
          <w:highlight w:val="none"/>
        </w:rPr>
        <w:outlineLvl w:val="9"/>
      </w:pPr>
      <w:r/>
      <w:bookmarkStart w:id="1400" w:name="_Toc529893216"/>
      <w:r>
        <w:rPr>
          <w:rFonts w:hint="eastAsia" w:ascii="宋体" w:hAnsi="宋体" w:eastAsia="宋体" w:cs="宋体"/>
          <w:color w:val="000000"/>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附件二</w:t>
      </w:r>
      <w:bookmarkEnd w:id="1400"/>
      <w:r>
        <w:rPr>
          <w:rFonts w:hint="eastAsia" w:ascii="宋体" w:hAnsi="宋体" w:eastAsia="宋体" w:cs="宋体"/>
          <w:b/>
          <w:bCs/>
          <w:color w:val="000000"/>
          <w:sz w:val="24"/>
          <w:szCs w:val="22"/>
          <w:highlight w:val="none"/>
        </w:rPr>
        <w:t xml:space="preserve">：法定代表人授权委托书</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1063"/>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1063"/>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63"/>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1063"/>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106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106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3"/>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委托代理人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身份证反面</w:t>
            </w:r>
            <w:r>
              <w:rPr>
                <w:rFonts w:ascii="宋体" w:hAnsi="宋体" w:eastAsia="宋体" w:cs="宋体"/>
                <w:color w:val="000000"/>
                <w:sz w:val="24"/>
                <w:szCs w:val="24"/>
                <w:highlight w:val="none"/>
              </w:rPr>
            </w:r>
            <w:r/>
          </w:p>
        </w:tc>
      </w:tr>
    </w:tbl>
    <w:p>
      <w:pPr>
        <w:pStyle w:val="1063"/>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1063"/>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1063"/>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401" w:name="_Toc529893217"/>
      <w:r>
        <w:rPr>
          <w:rFonts w:hint="eastAsia" w:ascii="宋体" w:hAnsi="宋体" w:eastAsia="宋体" w:cs="宋体"/>
          <w:b/>
          <w:bCs/>
          <w:color w:val="000000"/>
          <w:sz w:val="24"/>
          <w:szCs w:val="22"/>
          <w:highlight w:val="none"/>
        </w:rPr>
        <w:t xml:space="preserve">附件三</w:t>
      </w:r>
      <w:bookmarkEnd w:id="1401"/>
      <w:r>
        <w:rPr>
          <w:rFonts w:hint="eastAsia" w:ascii="宋体" w:hAnsi="宋体" w:eastAsia="宋体" w:cs="宋体"/>
          <w:b/>
          <w:bCs/>
          <w:color w:val="000000"/>
          <w:sz w:val="24"/>
          <w:szCs w:val="22"/>
          <w:highlight w:val="none"/>
        </w:rPr>
        <w:t xml:space="preserve">：磋商报价表</w:t>
      </w:r>
      <w:r>
        <w:rPr>
          <w:rFonts w:hint="eastAsia" w:ascii="宋体" w:hAnsi="宋体" w:eastAsia="宋体" w:cs="宋体"/>
          <w:color w:val="000000"/>
          <w:highlight w:val="none"/>
        </w:rPr>
      </w:r>
      <w:r/>
    </w:p>
    <w:p>
      <w:pPr>
        <w:pStyle w:val="1063"/>
        <w:jc w:val="center"/>
        <w:spacing w:line="360" w:lineRule="auto"/>
        <w:rPr>
          <w:rFonts w:hint="eastAsia" w:ascii="宋体" w:hAnsi="宋体" w:eastAsia="宋体" w:cs="等线"/>
          <w:b/>
          <w:color w:val="000000"/>
          <w:sz w:val="24"/>
          <w:szCs w:val="24"/>
          <w:highlight w:val="none"/>
          <w:lang w:val="zh-CN"/>
        </w:rPr>
        <w:outlineLvl w:val="9"/>
      </w:pPr>
      <w:r/>
      <w:bookmarkStart w:id="1402" w:name="_Toc529893218"/>
      <w:r/>
      <w:bookmarkStart w:id="1403" w:name="_Toc12264"/>
      <w:r>
        <w:rPr>
          <w:rFonts w:hint="eastAsia" w:ascii="宋体" w:hAnsi="宋体" w:eastAsia="宋体" w:cs="等线"/>
          <w:b/>
          <w:color w:val="000000"/>
          <w:sz w:val="24"/>
          <w:szCs w:val="24"/>
          <w:highlight w:val="none"/>
          <w:lang w:val="zh-CN"/>
        </w:rPr>
        <w:t xml:space="preserve">磋商报价表</w:t>
      </w:r>
      <w:r>
        <w:rPr>
          <w:rFonts w:hint="eastAsia" w:ascii="宋体" w:hAnsi="宋体" w:eastAsia="宋体" w:cs="等线"/>
          <w:b/>
          <w:color w:val="000000"/>
          <w:sz w:val="24"/>
          <w:szCs w:val="24"/>
          <w:highlight w:val="none"/>
          <w:lang w:val="zh-CN"/>
        </w:rPr>
      </w:r>
      <w:r/>
    </w:p>
    <w:p>
      <w:pPr>
        <w:pStyle w:val="1063"/>
        <w:shd w:val="clear" w:color="auto" w:fill="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3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本次为首次报价                  货币单位：人民币元</w:t>
      </w:r>
      <w:r>
        <w:rPr>
          <w:rFonts w:hint="eastAsia" w:ascii="宋体" w:hAnsi="宋体" w:eastAsia="宋体" w:cs="宋体"/>
          <w:color w:val="000000"/>
          <w:sz w:val="21"/>
          <w:szCs w:val="21"/>
          <w:highlight w:val="none"/>
        </w:rPr>
      </w:r>
      <w:r/>
    </w:p>
    <w:p>
      <w:pPr>
        <w:pStyle w:val="113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Style w:val="11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95"/>
        <w:gridCol w:w="3095"/>
        <w:gridCol w:w="3096"/>
      </w:tblGrid>
      <w:tr>
        <w:trPr>
          <w:trHeight w:val="567" w:hRule="exact"/>
        </w:trPr>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总价（小写）</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38"/>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SHAPE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pStyle w:val="1063"/>
                                    <w:jc w:val="center"/>
                                  </w:pPr>
                                  <w:r/>
                                  <w:r/>
                                </w:p>
                                <w:p>
                                  <w:pPr>
                                    <w:pStyle w:val="1063"/>
                                  </w:pPr>
                                  <w:r/>
                                  <w:r/>
                                </w:p>
                              </w:txbxContent>
                            </wps:txbx>
                            <wps:bodyPr wrap="square" upright="1"/>
                          </wps:wsp>
                        </a:graphicData>
                      </a:graphic>
                    </wp:anchor>
                  </w:drawing>
                </mc:Choice>
                <mc:Fallback>
                  <w:pict>
                    <v:shape id="shape 10" o:spid="_x0000_s10"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pStyle w:val="1063"/>
                              <w:jc w:val="center"/>
                            </w:pPr>
                            <w:r/>
                            <w:r/>
                          </w:p>
                          <w:p>
                            <w:pPr>
                              <w:pStyle w:val="1063"/>
                            </w:pPr>
                            <w:r/>
                            <w:r/>
                          </w:p>
                        </w:txbxContent>
                      </v:textbox>
                    </v:shape>
                  </w:pict>
                </mc:Fallback>
              </mc:AlternateConten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38"/>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总价（大写）：</w:t>
            </w:r>
            <w:r>
              <w:rPr>
                <w:rFonts w:hint="eastAsia" w:ascii="宋体" w:hAnsi="宋体" w:eastAsia="宋体" w:cs="宋体"/>
                <w:color w:val="000000"/>
                <w:sz w:val="21"/>
                <w:szCs w:val="21"/>
                <w:highlight w:val="none"/>
                <w:vertAlign w:val="baseline"/>
              </w:rPr>
            </w:r>
            <w:r/>
          </w:p>
        </w:tc>
        <w:tc>
          <w:tcPr>
            <w:gridSpan w:val="2"/>
            <w:tcW w:w="6191" w:type="dxa"/>
            <w:vAlign w:val="center"/>
            <w:textDirection w:val="lrTb"/>
            <w:noWrap w:val="false"/>
          </w:tcPr>
          <w:p>
            <w:pPr>
              <w:pStyle w:val="1138"/>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r>
    </w:tbl>
    <w:p>
      <w:pPr>
        <w:pStyle w:val="113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1、报价包括完成项目的所有费用。采购人不再支付报价以外的任何费用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2、报价以总价为准，大小写不一致以大写为准；</w:t>
      </w: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3、偏离说明：详见《偏离表》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rPr>
        <w:t xml:space="preserve">供应商（电子签章）：</w:t>
      </w: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附件四</w:t>
      </w:r>
      <w:bookmarkEnd w:id="1402"/>
      <w:r/>
      <w:bookmarkEnd w:id="1403"/>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已标价工程量清单</w:t>
      </w:r>
      <w:r>
        <w:rPr>
          <w:rFonts w:hint="eastAsia" w:ascii="宋体" w:hAnsi="宋体" w:eastAsia="宋体" w:cs="宋体"/>
          <w:b/>
          <w:bCs/>
          <w:color w:val="000000"/>
          <w:sz w:val="24"/>
          <w:szCs w:val="22"/>
          <w:highlight w:val="none"/>
          <w:lang w:eastAsia="zh-CN"/>
        </w:rPr>
      </w:r>
      <w:r/>
    </w:p>
    <w:p>
      <w:pPr>
        <w:pStyle w:val="1063"/>
        <w:jc w:val="center"/>
        <w:keepLines w:val="0"/>
        <w:keepNext w:val="0"/>
        <w:pageBreakBefore w:val="0"/>
        <w:spacing w:line="360" w:lineRule="auto"/>
        <w:widowControl w:val="off"/>
        <w:rPr>
          <w:rFonts w:hint="eastAsia" w:ascii="宋体" w:hAnsi="宋体" w:eastAsia="宋体" w:cs="宋体"/>
          <w:color w:val="000000"/>
          <w:szCs w:val="21"/>
          <w:highlight w:val="none"/>
          <w:lang w:eastAsia="zh-CN"/>
        </w:rPr>
        <w:outlineLvl w:val="9"/>
      </w:pPr>
      <w:r/>
      <w:bookmarkStart w:id="1404" w:name="_Toc529893219"/>
      <w:r>
        <w:rPr>
          <w:rFonts w:hint="eastAsia" w:ascii="宋体" w:hAnsi="宋体" w:eastAsia="宋体" w:cs="等线"/>
          <w:b/>
          <w:color w:val="000000"/>
          <w:sz w:val="24"/>
          <w:szCs w:val="24"/>
          <w:highlight w:val="none"/>
          <w:lang w:eastAsia="zh-CN"/>
        </w:rPr>
        <w:t xml:space="preserve">已标价工程量清单</w:t>
      </w:r>
      <w:r>
        <w:rPr>
          <w:rFonts w:hint="eastAsia" w:ascii="宋体" w:hAnsi="宋体" w:eastAsia="宋体" w:cs="宋体"/>
          <w:color w:val="000000"/>
          <w:szCs w:val="21"/>
          <w:highlight w:val="none"/>
          <w:lang w:eastAsia="zh-CN"/>
        </w:rPr>
      </w:r>
      <w:r/>
    </w:p>
    <w:p>
      <w:pPr>
        <w:pStyle w:val="1063"/>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lang w:eastAsia="zh-CN"/>
        </w:rPr>
        <w:t xml:space="preserve">。《已标价工程量清单》中的总价应与《磋商申请及声明》和《磋商报价表》中的总价一致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报价人名称</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附件五</w:t>
      </w:r>
      <w:bookmarkEnd w:id="1404"/>
      <w:r>
        <w:rPr>
          <w:rFonts w:hint="eastAsia" w:ascii="宋体" w:hAnsi="宋体" w:eastAsia="宋体" w:cs="宋体"/>
          <w:b/>
          <w:bCs/>
          <w:color w:val="000000"/>
          <w:sz w:val="24"/>
          <w:szCs w:val="22"/>
          <w:highlight w:val="none"/>
        </w:rPr>
        <w:t xml:space="preserve">：技术条款偏离表</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cs="等线"/>
          <w:b/>
          <w:color w:val="000000"/>
          <w:sz w:val="24"/>
          <w:szCs w:val="24"/>
          <w:highlight w:val="none"/>
          <w:lang w:val="zh-CN"/>
        </w:rPr>
        <w:outlineLvl w:val="9"/>
      </w:pPr>
      <w:r/>
      <w:bookmarkStart w:id="1405" w:name="_Toc25845"/>
      <w:r/>
      <w:bookmarkStart w:id="1406" w:name="_Toc5086"/>
      <w:r>
        <w:rPr>
          <w:rFonts w:hint="eastAsia" w:ascii="宋体" w:hAnsi="宋体" w:eastAsia="宋体" w:cs="等线"/>
          <w:b/>
          <w:color w:val="000000"/>
          <w:sz w:val="24"/>
          <w:szCs w:val="24"/>
          <w:highlight w:val="none"/>
          <w:lang w:val="zh-CN"/>
        </w:rPr>
        <w:t xml:space="preserve">技术条款偏离表</w:t>
      </w:r>
      <w:bookmarkEnd w:id="1405"/>
      <w:r/>
      <w:bookmarkEnd w:id="1406"/>
      <w:r>
        <w:rPr>
          <w:rFonts w:hint="eastAsia" w:ascii="宋体" w:hAnsi="宋体" w:eastAsia="宋体" w:cs="等线"/>
          <w:b/>
          <w:color w:val="000000"/>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1063"/>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1063"/>
              <w:ind w:firstLine="21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采购文件要求的技术条款</w:t>
            </w: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3"/>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w:t>
      </w:r>
      <w:r>
        <w:rPr>
          <w:rFonts w:hint="eastAsia" w:ascii="宋体" w:hAnsi="宋体" w:eastAsia="宋体"/>
          <w:b/>
          <w:color w:val="000000"/>
          <w:sz w:val="21"/>
          <w:szCs w:val="21"/>
          <w:highlight w:val="none"/>
          <w:lang w:eastAsia="zh-CN"/>
        </w:rPr>
        <w:t xml:space="preserve">条款</w:t>
      </w:r>
      <w:r>
        <w:rPr>
          <w:rFonts w:hint="eastAsia" w:ascii="宋体" w:hAnsi="宋体" w:eastAsia="宋体"/>
          <w:b/>
          <w:color w:val="000000"/>
          <w:sz w:val="21"/>
          <w:szCs w:val="21"/>
          <w:highlight w:val="none"/>
        </w:rPr>
        <w:t xml:space="preserve">和偏离情况，表中未列出的技术条款均视为满足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3"/>
        <w:jc w:val="left"/>
        <w:spacing w:line="240" w:lineRule="atLeas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rPr>
          <w:rFonts w:hint="eastAsia" w:ascii="宋体" w:hAnsi="宋体" w:eastAsia="宋体" w:cs="宋体"/>
          <w:b/>
          <w:bCs/>
          <w:color w:val="000000"/>
          <w:sz w:val="24"/>
          <w:szCs w:val="22"/>
          <w:highlight w:val="none"/>
        </w:rPr>
        <w:outlineLvl w:val="9"/>
      </w:pPr>
      <w:r/>
      <w:bookmarkStart w:id="1407" w:name="_Toc529893220"/>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附件六</w:t>
      </w:r>
      <w:bookmarkEnd w:id="1407"/>
      <w:r>
        <w:rPr>
          <w:rFonts w:hint="eastAsia" w:ascii="宋体" w:hAnsi="宋体" w:eastAsia="宋体" w:cs="宋体"/>
          <w:b/>
          <w:bCs/>
          <w:color w:val="000000"/>
          <w:sz w:val="24"/>
          <w:szCs w:val="22"/>
          <w:highlight w:val="none"/>
        </w:rPr>
        <w:t xml:space="preserve">：商务条款偏离表</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cs="等线"/>
          <w:b/>
          <w:color w:val="000000"/>
          <w:sz w:val="24"/>
          <w:szCs w:val="24"/>
          <w:highlight w:val="none"/>
          <w:lang w:val="zh-CN"/>
        </w:rPr>
        <w:outlineLvl w:val="9"/>
      </w:pPr>
      <w:r/>
      <w:bookmarkStart w:id="1408" w:name="_Toc3456"/>
      <w:r/>
      <w:bookmarkStart w:id="1409" w:name="_Toc28070"/>
      <w:r>
        <w:rPr>
          <w:rFonts w:hint="eastAsia" w:ascii="宋体" w:hAnsi="宋体" w:eastAsia="宋体" w:cs="等线"/>
          <w:b/>
          <w:color w:val="000000"/>
          <w:sz w:val="24"/>
          <w:szCs w:val="24"/>
          <w:highlight w:val="none"/>
          <w:lang w:val="zh-CN"/>
        </w:rPr>
        <w:t xml:space="preserve">商务条款偏离表</w:t>
      </w:r>
      <w:bookmarkEnd w:id="1408"/>
      <w:r/>
      <w:bookmarkEnd w:id="1409"/>
      <w:r>
        <w:rPr>
          <w:rFonts w:hint="eastAsia" w:ascii="宋体" w:hAnsi="宋体" w:eastAsia="宋体" w:cs="等线"/>
          <w:b/>
          <w:color w:val="000000"/>
          <w:sz w:val="24"/>
          <w:szCs w:val="24"/>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W w:w="6386" w:type="dxa"/>
            <w:vAlign w:val="center"/>
            <w:textDirection w:val="lrTb"/>
            <w:noWrap w:val="false"/>
          </w:tcPr>
          <w:p>
            <w:pPr>
              <w:pStyle w:val="1063"/>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1063"/>
              <w:ind w:firstLine="105"/>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 </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57"/>
        <w:rPr>
          <w:rFonts w:hint="eastAsia"/>
          <w:color w:val="000000"/>
          <w:highlight w:val="none"/>
          <w:lang w:val="zh-CN"/>
        </w:rPr>
      </w:pPr>
      <w:r>
        <w:rPr>
          <w:rFonts w:hint="eastAsia"/>
          <w:color w:val="000000"/>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3"/>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w:t>
      </w:r>
      <w:r>
        <w:rPr>
          <w:rFonts w:hint="eastAsia" w:ascii="宋体" w:hAnsi="宋体" w:eastAsia="宋体"/>
          <w:b/>
          <w:color w:val="000000"/>
          <w:sz w:val="21"/>
          <w:szCs w:val="21"/>
          <w:highlight w:val="none"/>
          <w:lang w:eastAsia="zh-CN"/>
        </w:rPr>
        <w:t xml:space="preserve">商务条款</w:t>
      </w:r>
      <w:r>
        <w:rPr>
          <w:rFonts w:hint="eastAsia" w:ascii="宋体" w:hAnsi="宋体" w:eastAsia="宋体"/>
          <w:b/>
          <w:color w:val="000000"/>
          <w:sz w:val="21"/>
          <w:szCs w:val="21"/>
          <w:highlight w:val="none"/>
        </w:rPr>
        <w:t xml:space="preserve">和偏离情况，表中未列出的</w:t>
      </w:r>
      <w:r>
        <w:rPr>
          <w:rFonts w:hint="eastAsia" w:ascii="宋体" w:hAnsi="宋体" w:eastAsia="宋体"/>
          <w:b/>
          <w:color w:val="000000"/>
          <w:sz w:val="21"/>
          <w:szCs w:val="21"/>
          <w:highlight w:val="none"/>
          <w:lang w:eastAsia="zh-CN"/>
        </w:rPr>
        <w:t xml:space="preserve">商务</w:t>
      </w:r>
      <w:r>
        <w:rPr>
          <w:rFonts w:hint="eastAsia" w:ascii="宋体" w:hAnsi="宋体" w:eastAsia="宋体"/>
          <w:b/>
          <w:color w:val="000000"/>
          <w:sz w:val="21"/>
          <w:szCs w:val="21"/>
          <w:highlight w:val="none"/>
        </w:rPr>
        <w:t xml:space="preserve">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1410" w:name="_Toc529893221"/>
      <w:r>
        <w:rPr>
          <w:rFonts w:hint="eastAsia" w:ascii="宋体" w:hAnsi="宋体" w:eastAsia="宋体" w:cs="宋体"/>
          <w:color w:val="000000"/>
          <w:highlight w:val="none"/>
        </w:rPr>
        <w:br w:type="page" w:clear="all"/>
      </w:r>
      <w:bookmarkEnd w:id="1410"/>
      <w:r>
        <w:rPr>
          <w:rFonts w:hint="eastAsia" w:ascii="宋体" w:hAnsi="宋体" w:eastAsia="宋体" w:cs="宋体"/>
          <w:b/>
          <w:bCs/>
          <w:color w:val="000000"/>
          <w:sz w:val="24"/>
          <w:szCs w:val="24"/>
          <w:highlight w:val="none"/>
          <w:lang w:val="zh-CN"/>
        </w:rPr>
        <w:t xml:space="preserve">附件七：无重大违法记录声明</w:t>
      </w:r>
      <w:r>
        <w:rPr>
          <w:rFonts w:hint="eastAsia" w:ascii="宋体" w:hAnsi="宋体" w:eastAsia="宋体" w:cs="宋体"/>
          <w:b/>
          <w:bCs/>
          <w:color w:val="000000"/>
          <w:sz w:val="24"/>
          <w:szCs w:val="24"/>
          <w:highlight w:val="none"/>
          <w:lang w:val="zh-CN"/>
        </w:rPr>
      </w:r>
      <w:r/>
    </w:p>
    <w:p>
      <w:pPr>
        <w:pStyle w:val="1063"/>
        <w:jc w:val="center"/>
        <w:keepLines w:val="0"/>
        <w:keepNext w:val="0"/>
        <w:pageBreakBefore w:val="0"/>
        <w:spacing w:line="360" w:lineRule="auto"/>
        <w:widowControl w:val="off"/>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1063"/>
        <w:keepLines w:val="0"/>
        <w:keepNext w:val="0"/>
        <w:pageBreakBefore w:val="0"/>
        <w:spacing w:line="360" w:lineRule="auto"/>
        <w:widowControl w:val="off"/>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1063"/>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1063"/>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Cs w:val="21"/>
          <w:highlight w:val="none"/>
          <w:lang w:val="zh-CN"/>
        </w:rPr>
        <w:t xml:space="preserve">（电子签章）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113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3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3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3"/>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3"/>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4"/>
          <w:highlight w:val="none"/>
          <w:lang w:val="zh-CN"/>
        </w:rPr>
        <w:t xml:space="preserve">附件八：中小企业声明函</w:t>
      </w:r>
      <w:r>
        <w:rPr>
          <w:rFonts w:hint="eastAsia" w:ascii="宋体" w:hAnsi="宋体" w:eastAsia="宋体" w:cs="宋体"/>
          <w:b/>
          <w:bCs/>
          <w:color w:val="000000"/>
          <w:sz w:val="24"/>
          <w:szCs w:val="24"/>
          <w:highlight w:val="none"/>
        </w:rPr>
      </w:r>
      <w:r/>
    </w:p>
    <w:p>
      <w:pPr>
        <w:pStyle w:val="1063"/>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中小企业声明函</w:t>
      </w:r>
      <w:r>
        <w:rPr>
          <w:rFonts w:hint="eastAsia" w:ascii="宋体" w:hAnsi="宋体" w:eastAsia="宋体" w:cs="等线"/>
          <w:b/>
          <w:color w:val="000000"/>
          <w:sz w:val="24"/>
          <w:szCs w:val="24"/>
          <w:highlight w:val="none"/>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val="zh-CN"/>
        </w:rPr>
        <w:t xml:space="preserve"> （单位名称） </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u w:val="single"/>
          <w:lang w:val="zh-CN"/>
        </w:rPr>
        <w:t xml:space="preserve"> （项目名称） </w:t>
      </w:r>
      <w:r>
        <w:rPr>
          <w:rFonts w:hint="eastAsia" w:ascii="宋体" w:hAnsi="宋体" w:eastAsia="宋体" w:cs="宋体"/>
          <w:color w:val="000000"/>
          <w:szCs w:val="21"/>
          <w:highlight w:val="none"/>
          <w:lang w:val="zh-CN"/>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Cs w:val="21"/>
          <w:highlight w:val="none"/>
          <w:lang w:val="zh-CN"/>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u w:val="single"/>
          <w:lang w:val="zh-CN"/>
        </w:rPr>
        <w:t xml:space="preserve"> （标的名称）</w:t>
      </w:r>
      <w:r>
        <w:rPr>
          <w:rFonts w:hint="eastAsia" w:ascii="宋体" w:hAnsi="宋体" w:eastAsia="宋体" w:cs="宋体"/>
          <w:color w:val="000000"/>
          <w:szCs w:val="21"/>
          <w:highlight w:val="none"/>
          <w:lang w:val="zh-CN"/>
        </w:rPr>
        <w:t xml:space="preserve"> ，属于</w:t>
      </w:r>
      <w:r>
        <w:rPr>
          <w:rFonts w:hint="eastAsia" w:ascii="宋体" w:hAnsi="宋体" w:eastAsia="宋体" w:cs="宋体"/>
          <w:color w:val="000000"/>
          <w:szCs w:val="21"/>
          <w:highlight w:val="none"/>
          <w:u w:val="single"/>
          <w:lang w:val="zh-CN"/>
        </w:rPr>
        <w:t xml:space="preserve"> （采购文件中明确的所属行业） </w:t>
      </w:r>
      <w:r>
        <w:rPr>
          <w:rFonts w:hint="eastAsia" w:ascii="宋体" w:hAnsi="宋体" w:eastAsia="宋体" w:cs="宋体"/>
          <w:color w:val="000000"/>
          <w:szCs w:val="21"/>
          <w:highlight w:val="none"/>
          <w:lang w:val="zh-CN"/>
        </w:rPr>
        <w:t xml:space="preserve">；承接企业为</w:t>
      </w:r>
      <w:r>
        <w:rPr>
          <w:rFonts w:hint="eastAsia" w:ascii="宋体" w:hAnsi="宋体" w:eastAsia="宋体" w:cs="宋体"/>
          <w:color w:val="000000"/>
          <w:szCs w:val="21"/>
          <w:highlight w:val="none"/>
          <w:u w:val="single"/>
          <w:lang w:val="zh-CN"/>
        </w:rPr>
        <w:t xml:space="preserve"> （企业名称） </w:t>
      </w:r>
      <w:r>
        <w:rPr>
          <w:rFonts w:hint="eastAsia" w:ascii="宋体" w:hAnsi="宋体" w:eastAsia="宋体" w:cs="宋体"/>
          <w:color w:val="000000"/>
          <w:szCs w:val="21"/>
          <w:highlight w:val="none"/>
          <w:lang w:val="zh-CN"/>
        </w:rPr>
        <w:t xml:space="preserve">，从业人员</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人，营业收入为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万元，资产总额为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vertAlign w:val="superscript"/>
          <w:lang w:val="zh-CN"/>
        </w:rPr>
        <w:t xml:space="preserve">〔1〕</w:t>
      </w:r>
      <w:r>
        <w:rPr>
          <w:rFonts w:hint="eastAsia" w:ascii="宋体" w:hAnsi="宋体" w:eastAsia="宋体" w:cs="宋体"/>
          <w:color w:val="000000"/>
          <w:szCs w:val="21"/>
          <w:highlight w:val="none"/>
          <w:lang w:val="zh-CN"/>
        </w:rPr>
        <w:t xml:space="preserve">，属于</w:t>
      </w:r>
      <w:r>
        <w:rPr>
          <w:rFonts w:hint="eastAsia" w:ascii="宋体" w:hAnsi="宋体" w:eastAsia="宋体" w:cs="宋体"/>
          <w:color w:val="000000"/>
          <w:szCs w:val="21"/>
          <w:highlight w:val="none"/>
          <w:u w:val="single"/>
          <w:lang w:val="zh-CN"/>
        </w:rPr>
        <w:t xml:space="preserve">（中型企业、小型企业、微型企业）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val="zh-CN"/>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本企业对上述声明内容的真实性负责。如有虚假，将依法承担相应责任。</w:t>
      </w:r>
      <w:r>
        <w:rPr>
          <w:rFonts w:hint="eastAsia" w:ascii="宋体" w:hAnsi="宋体" w:eastAsia="宋体" w:cs="宋体"/>
          <w:color w:val="000000"/>
          <w:szCs w:val="21"/>
          <w:highlight w:val="none"/>
          <w:lang w:val="zh-CN"/>
        </w:rPr>
      </w:r>
      <w:r/>
    </w:p>
    <w:p>
      <w:pPr>
        <w:pStyle w:val="106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ind w:firstLine="5250"/>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企业名称（电子签章）：</w:t>
      </w:r>
      <w:r>
        <w:rPr>
          <w:rFonts w:hint="eastAsia" w:ascii="宋体" w:hAnsi="宋体" w:eastAsia="宋体" w:cs="宋体"/>
          <w:color w:val="000000"/>
          <w:szCs w:val="21"/>
          <w:highlight w:val="none"/>
          <w:lang w:val="zh-CN"/>
        </w:rPr>
      </w:r>
      <w:r/>
    </w:p>
    <w:p>
      <w:pPr>
        <w:pStyle w:val="1063"/>
        <w:contextualSpacing/>
        <w:ind w:firstLine="525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lang w:val="zh-CN"/>
        </w:rPr>
      </w:r>
      <w:r/>
    </w:p>
    <w:p>
      <w:pPr>
        <w:pStyle w:val="1063"/>
        <w:contextualSpacing/>
        <w:jc w:val="left"/>
        <w:spacing w:line="360" w:lineRule="auto"/>
        <w:tabs>
          <w:tab w:val="left" w:pos="4860" w:leader="none"/>
        </w:tabs>
        <w:rPr>
          <w:rFonts w:hint="eastAsia" w:ascii="宋体" w:hAnsi="宋体" w:eastAsia="宋体" w:cs="宋体"/>
          <w:color w:val="000000"/>
          <w:spacing w:val="6"/>
          <w:szCs w:val="21"/>
          <w:highlight w:val="none"/>
          <w:lang w:val="zh-CN"/>
        </w:rPr>
        <w:outlineLvl w:val="9"/>
      </w:pPr>
      <w:r>
        <w:rPr>
          <w:rFonts w:hint="eastAsia" w:ascii="宋体" w:hAnsi="宋体" w:eastAsia="宋体" w:cs="宋体"/>
          <w:color w:val="000000"/>
          <w:spacing w:val="6"/>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b/>
          <w:color w:val="000000"/>
          <w:szCs w:val="21"/>
          <w:highlight w:val="none"/>
          <w:lang w:val="zh-CN"/>
        </w:rPr>
        <w:outlineLvl w:val="9"/>
      </w:pPr>
      <w:r>
        <w:rPr>
          <w:rFonts w:hint="eastAsia" w:ascii="宋体" w:hAnsi="宋体" w:eastAsia="宋体" w:cs="宋体"/>
          <w:color w:val="000000"/>
          <w:szCs w:val="21"/>
          <w:highlight w:val="none"/>
          <w:lang w:val="zh-CN"/>
        </w:rPr>
        <w:t xml:space="preserve">注：〔1〕从业人员、营业收入、资产总额填报上一年度数据，无上一年度数据的新成立企业可不填报。</w:t>
      </w:r>
      <w:r>
        <w:rPr>
          <w:rFonts w:hint="eastAsia" w:ascii="宋体" w:hAnsi="宋体" w:eastAsia="宋体" w:cs="宋体"/>
          <w:b/>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附件九：残疾人福利性单位声明函</w:t>
      </w:r>
      <w:r>
        <w:rPr>
          <w:rFonts w:hint="eastAsia" w:ascii="宋体" w:hAnsi="宋体" w:eastAsia="宋体" w:cs="宋体"/>
          <w:b/>
          <w:bCs/>
          <w:color w:val="000000"/>
          <w:sz w:val="24"/>
          <w:szCs w:val="24"/>
          <w:highlight w:val="none"/>
        </w:rPr>
      </w:r>
      <w:r/>
    </w:p>
    <w:p>
      <w:pPr>
        <w:pStyle w:val="1063"/>
        <w:jc w:val="center"/>
        <w:spacing w:line="360" w:lineRule="auto"/>
        <w:rPr>
          <w:rFonts w:hint="eastAsia" w:ascii="宋体" w:hAnsi="宋体" w:eastAsia="宋体" w:cs="等线"/>
          <w:b/>
          <w:color w:val="000000"/>
          <w:sz w:val="24"/>
          <w:szCs w:val="24"/>
          <w:highlight w:val="none"/>
        </w:rPr>
        <w:outlineLvl w:val="9"/>
      </w:pPr>
      <w:r/>
      <w:bookmarkStart w:id="1411" w:name="OLE_LINK13"/>
      <w:r/>
      <w:bookmarkStart w:id="1412" w:name="OLE_LINK14"/>
      <w:r>
        <w:rPr>
          <w:rFonts w:hint="eastAsia" w:ascii="宋体" w:hAnsi="宋体" w:eastAsia="宋体" w:cs="等线"/>
          <w:b/>
          <w:color w:val="000000"/>
          <w:sz w:val="24"/>
          <w:szCs w:val="24"/>
          <w:highlight w:val="none"/>
        </w:rPr>
        <w:t xml:space="preserve">残疾人福利性单位声明函（如有）</w:t>
      </w:r>
      <w:r>
        <w:rPr>
          <w:rFonts w:hint="eastAsia" w:ascii="宋体" w:hAnsi="宋体" w:eastAsia="宋体" w:cs="等线"/>
          <w:b/>
          <w:color w:val="000000"/>
          <w:sz w:val="24"/>
          <w:szCs w:val="24"/>
          <w:highlight w:val="none"/>
        </w:rPr>
      </w:r>
      <w:r/>
    </w:p>
    <w:p>
      <w:pPr>
        <w:pStyle w:val="1063"/>
        <w:ind w:firstLine="420"/>
        <w:spacing w:line="360" w:lineRule="auto"/>
        <w:rPr>
          <w:rFonts w:hint="eastAsia" w:ascii="宋体" w:hAnsi="宋体" w:eastAsia="宋体" w:cs="宋体"/>
          <w:color w:val="000000"/>
          <w:szCs w:val="21"/>
          <w:highlight w:val="none"/>
        </w:rPr>
        <w:outlineLvl w:val="9"/>
      </w:pPr>
      <w:r/>
      <w:bookmarkEnd w:id="1411"/>
      <w:r/>
      <w:bookmarkEnd w:id="1412"/>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1138"/>
        <w:ind w:firstLine="600"/>
        <w:spacing w:before="0" w:beforeAutospacing="0" w:after="0" w:afterAutospacing="0" w:line="312"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063"/>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4"/>
          <w:highlight w:val="none"/>
          <w:lang w:val="zh-CN"/>
        </w:rPr>
        <w:t xml:space="preserve">附件十：具备履行合同所必需的设备和专业技术能力的声明</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具备履行合同所必需的设备和专业技术能力的声明</w:t>
      </w:r>
      <w:r>
        <w:rPr>
          <w:rFonts w:hint="eastAsia" w:ascii="宋体" w:hAnsi="宋体" w:eastAsia="宋体" w:cs="等线"/>
          <w:b/>
          <w:color w:val="000000"/>
          <w:sz w:val="24"/>
          <w:szCs w:val="24"/>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（供应商名称）</w:t>
      </w:r>
      <w:r>
        <w:rPr>
          <w:rFonts w:hint="eastAsia" w:ascii="宋体" w:hAnsi="宋体" w:eastAsia="宋体" w:cs="宋体"/>
          <w:color w:val="000000"/>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106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                                           声明人：</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lang w:eastAsia="zh-CN"/>
        </w:rPr>
      </w:r>
      <w:r/>
    </w:p>
    <w:p>
      <w:pPr>
        <w:pStyle w:val="1063"/>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日期：______年    月    日</w:t>
      </w: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bookmarkStart w:id="1413" w:name="_Toc529893223"/>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项目管理机构组成表</w:t>
      </w:r>
      <w:r>
        <w:rPr>
          <w:rFonts w:hint="eastAsia" w:ascii="宋体" w:hAnsi="宋体" w:eastAsia="宋体" w:cs="宋体"/>
          <w:b/>
          <w:bCs/>
          <w:color w:val="000000"/>
          <w:sz w:val="24"/>
          <w:szCs w:val="22"/>
          <w:highlight w:val="none"/>
          <w:lang w:eastAsia="zh-CN"/>
        </w:rPr>
      </w:r>
      <w:r/>
    </w:p>
    <w:p>
      <w:pPr>
        <w:pStyle w:val="1063"/>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469"/>
        <w:jc w:val="center"/>
        <w:spacing w:line="360" w:lineRule="auto"/>
        <w:rPr>
          <w:rFonts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t xml:space="preserve">项目管理机构组成表</w:t>
      </w:r>
      <w:r>
        <w:rPr>
          <w:rFonts w:ascii="宋体" w:hAnsi="宋体" w:eastAsia="宋体" w:cs="宋体"/>
          <w:b/>
          <w:bCs/>
          <w:color w:val="000000"/>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94"/>
        <w:gridCol w:w="1034"/>
        <w:gridCol w:w="1062"/>
        <w:gridCol w:w="1131"/>
        <w:gridCol w:w="988"/>
        <w:gridCol w:w="992"/>
        <w:gridCol w:w="1019"/>
        <w:gridCol w:w="923"/>
      </w:tblGrid>
      <w:tr>
        <w:trPr/>
        <w:tc>
          <w:tcPr>
            <w:tcW w:w="342" w:type="dxa"/>
            <w:vAlign w:val="center"/>
            <w:vMerge w:val="restart"/>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序号</w:t>
            </w:r>
            <w:r>
              <w:rPr>
                <w:rFonts w:hint="eastAsia" w:ascii="宋体" w:hAnsi="宋体" w:eastAsia="宋体" w:cs="宋体"/>
                <w:color w:val="000000"/>
                <w:szCs w:val="21"/>
                <w:highlight w:val="none"/>
                <w:lang w:eastAsia="zh-CN"/>
              </w:rPr>
            </w:r>
            <w:r/>
          </w:p>
        </w:tc>
        <w:tc>
          <w:tcPr>
            <w:tcW w:w="805" w:type="dxa"/>
            <w:vAlign w:val="center"/>
            <w:vMerge w:val="restart"/>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职务</w:t>
            </w:r>
            <w:r>
              <w:rPr>
                <w:rFonts w:ascii="宋体" w:hAnsi="宋体" w:eastAsia="宋体" w:cs="宋体"/>
                <w:color w:val="000000"/>
                <w:szCs w:val="21"/>
                <w:highlight w:val="none"/>
              </w:rPr>
            </w:r>
            <w:r/>
          </w:p>
        </w:tc>
        <w:tc>
          <w:tcPr>
            <w:tcW w:w="557" w:type="dxa"/>
            <w:vAlign w:val="center"/>
            <w:vMerge w:val="restart"/>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姓名</w:t>
            </w:r>
            <w:r>
              <w:rPr>
                <w:rFonts w:ascii="宋体" w:hAnsi="宋体" w:eastAsia="宋体" w:cs="宋体"/>
                <w:color w:val="000000"/>
                <w:szCs w:val="21"/>
                <w:highlight w:val="none"/>
              </w:rPr>
            </w:r>
            <w:r/>
          </w:p>
        </w:tc>
        <w:tc>
          <w:tcPr>
            <w:tcW w:w="572" w:type="dxa"/>
            <w:vAlign w:val="center"/>
            <w:vMerge w:val="restart"/>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职称</w:t>
            </w:r>
            <w:r>
              <w:rPr>
                <w:rFonts w:ascii="宋体" w:hAnsi="宋体" w:eastAsia="宋体" w:cs="宋体"/>
                <w:color w:val="000000"/>
                <w:szCs w:val="21"/>
                <w:highlight w:val="none"/>
              </w:rPr>
            </w:r>
            <w:r/>
          </w:p>
        </w:tc>
        <w:tc>
          <w:tcPr>
            <w:gridSpan w:val="4"/>
            <w:tcW w:w="4130" w:type="dxa"/>
            <w:vAlign w:val="center"/>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执业或职业资格证明</w:t>
            </w:r>
            <w:r>
              <w:rPr>
                <w:rFonts w:hint="eastAsia"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备注</w:t>
            </w:r>
            <w:r>
              <w:rPr>
                <w:rFonts w:ascii="宋体" w:hAnsi="宋体" w:eastAsia="宋体" w:cs="宋体"/>
                <w:color w:val="000000"/>
                <w:szCs w:val="21"/>
                <w:highlight w:val="none"/>
              </w:rPr>
            </w:r>
            <w:r/>
          </w:p>
        </w:tc>
      </w:tr>
      <w:tr>
        <w:trPr/>
        <w:tc>
          <w:tcPr>
            <w:tcW w:w="342"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证书名称</w:t>
            </w: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级别</w:t>
            </w: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证号</w:t>
            </w: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1063"/>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注：本表后按顺序附相关证明材料。</w:t>
      </w:r>
      <w:r>
        <w:rPr>
          <w:rFonts w:hint="eastAsia" w:ascii="宋体" w:hAnsi="宋体" w:eastAsia="宋体" w:cs="宋体"/>
          <w:color w:val="000000"/>
          <w:sz w:val="24"/>
          <w:szCs w:val="24"/>
          <w:highlight w:val="none"/>
        </w:rPr>
      </w:r>
      <w:r/>
    </w:p>
    <w:p>
      <w:pPr>
        <w:pStyle w:val="1063"/>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：供应商承担的类似项目业绩一览表</w:t>
      </w:r>
      <w:r>
        <w:rPr>
          <w:rFonts w:hint="eastAsia" w:ascii="宋体" w:hAnsi="宋体" w:eastAsia="宋体" w:cs="宋体"/>
          <w:b/>
          <w:bCs/>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供应商承担的类似项目业绩一览表</w:t>
      </w:r>
      <w:r>
        <w:rPr>
          <w:rFonts w:hint="eastAsia" w:ascii="宋体" w:hAnsi="宋体" w:eastAsia="宋体" w:cs="等线"/>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605"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委托单位</w:t>
            </w:r>
            <w:r>
              <w:rPr>
                <w:rFonts w:hint="eastAsia" w:ascii="宋体" w:hAnsi="宋体" w:eastAsia="宋体" w:cs="宋体"/>
                <w:color w:val="000000"/>
                <w:sz w:val="21"/>
                <w:szCs w:val="21"/>
                <w:highlight w:val="none"/>
              </w:rPr>
            </w:r>
            <w:r/>
          </w:p>
        </w:tc>
        <w:tc>
          <w:tcPr>
            <w:tcW w:w="1360"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合同签订时间</w:t>
            </w:r>
            <w:r>
              <w:rPr>
                <w:rFonts w:hint="eastAsia" w:ascii="宋体" w:hAnsi="宋体" w:eastAsia="宋体" w:cs="宋体"/>
                <w:color w:val="000000"/>
                <w:sz w:val="21"/>
                <w:szCs w:val="21"/>
                <w:highlight w:val="none"/>
                <w:lang w:eastAsia="zh-CN"/>
              </w:rPr>
            </w:r>
            <w:r/>
          </w:p>
        </w:tc>
        <w:tc>
          <w:tcPr>
            <w:tcW w:w="1380"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完成时间</w:t>
            </w:r>
            <w:r>
              <w:rPr>
                <w:rFonts w:hint="eastAsia" w:ascii="宋体" w:hAnsi="宋体" w:eastAsia="宋体" w:cs="宋体"/>
                <w:color w:val="000000"/>
                <w:sz w:val="21"/>
                <w:szCs w:val="21"/>
                <w:highlight w:val="none"/>
              </w:rPr>
            </w:r>
            <w:r/>
          </w:p>
        </w:tc>
        <w:tc>
          <w:tcPr>
            <w:tcW w:w="131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947"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3"/>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3"/>
        <w:jc w:val="lef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jc w:val="left"/>
        <w:spacing w:line="360" w:lineRule="auto"/>
        <w:rPr>
          <w:rFonts w:hint="eastAsia" w:ascii="宋体" w:hAnsi="宋体" w:eastAsia="宋体" w:cs="宋体"/>
          <w:color w:val="000000"/>
          <w:highlight w:val="none"/>
        </w:rPr>
        <w:outlineLvl w:val="9"/>
      </w:pPr>
      <w:r/>
      <w:bookmarkEnd w:id="1413"/>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contextualSpacing/>
        <w:spacing w:line="360" w:lineRule="auto"/>
        <w:rPr>
          <w:rFonts w:ascii="宋体" w:hAnsi="宋体"/>
          <w:b/>
          <w:bCs/>
          <w:color w:val="000000"/>
          <w:szCs w:val="21"/>
          <w:highlight w:val="none"/>
        </w:rPr>
        <w:outlineLvl w:val="9"/>
      </w:pPr>
      <w:r/>
      <w:bookmarkStart w:id="1414" w:name="_Toc1620"/>
      <w:r>
        <w:rPr>
          <w:rFonts w:hint="eastAsia" w:ascii="宋体" w:hAnsi="宋体" w:eastAsia="宋体" w:cs="等线"/>
          <w:b/>
          <w:color w:val="000000"/>
          <w:sz w:val="24"/>
          <w:szCs w:val="24"/>
          <w:highlight w:val="none"/>
        </w:rPr>
        <w:t xml:space="preserve">附件十</w:t>
      </w:r>
      <w:r>
        <w:rPr>
          <w:rFonts w:hint="eastAsia" w:ascii="宋体" w:hAnsi="宋体" w:eastAsia="宋体" w:cs="等线"/>
          <w:b/>
          <w:color w:val="000000"/>
          <w:sz w:val="24"/>
          <w:szCs w:val="24"/>
          <w:highlight w:val="none"/>
          <w:lang w:eastAsia="zh-CN"/>
        </w:rPr>
        <w:t xml:space="preserve">三</w:t>
      </w:r>
      <w:r>
        <w:rPr>
          <w:rFonts w:hint="eastAsia" w:ascii="宋体" w:hAnsi="宋体" w:eastAsia="宋体" w:cs="等线"/>
          <w:b/>
          <w:color w:val="000000"/>
          <w:sz w:val="24"/>
          <w:szCs w:val="24"/>
          <w:highlight w:val="none"/>
        </w:rPr>
        <w:t xml:space="preserve">：</w:t>
      </w:r>
      <w:bookmarkEnd w:id="1414"/>
      <w:r>
        <w:rPr>
          <w:rFonts w:hint="eastAsia" w:ascii="宋体" w:hAnsi="宋体" w:eastAsia="宋体"/>
          <w:b/>
          <w:color w:val="000000"/>
          <w:sz w:val="24"/>
          <w:szCs w:val="24"/>
          <w:highlight w:val="none"/>
        </w:rPr>
        <w:t xml:space="preserve">南京市政府采购供应商信用承诺书</w:t>
      </w:r>
      <w:r>
        <w:rPr>
          <w:rFonts w:ascii="宋体" w:hAnsi="宋体"/>
          <w:b/>
          <w:bCs/>
          <w:color w:val="000000"/>
          <w:szCs w:val="21"/>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lang w:val="en-US" w:eastAsia="zh-CN"/>
        </w:rPr>
        <w:outlineLvl w:val="9"/>
      </w:pPr>
      <w:r>
        <w:rPr>
          <w:rFonts w:hint="eastAsia" w:ascii="宋体" w:hAnsi="宋体" w:eastAsia="宋体" w:cs="等线"/>
          <w:b/>
          <w:color w:val="000000"/>
          <w:sz w:val="24"/>
          <w:szCs w:val="24"/>
          <w:highlight w:val="none"/>
          <w:lang w:val="en-US" w:eastAsia="zh-CN"/>
        </w:rPr>
        <w:t xml:space="preserve">南京市政府采购供应商信用承诺书</w:t>
      </w:r>
      <w:r>
        <w:rPr>
          <w:rFonts w:hint="eastAsia" w:ascii="宋体" w:hAnsi="宋体" w:eastAsia="宋体" w:cs="等线"/>
          <w:b/>
          <w:color w:val="000000"/>
          <w:sz w:val="24"/>
          <w:szCs w:val="24"/>
          <w:highlight w:val="none"/>
          <w:lang w:val="en-US" w:eastAsia="zh-CN"/>
        </w:rPr>
      </w:r>
      <w:r/>
    </w:p>
    <w:p>
      <w:pPr>
        <w:pStyle w:val="1063"/>
        <w:jc w:val="right"/>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年</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月</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日</w:t>
      </w:r>
      <w:r>
        <w:rPr>
          <w:rFonts w:hint="eastAsia" w:ascii="宋体" w:hAnsi="宋体" w:eastAsia="宋体" w:cs="宋体"/>
          <w:color w:val="000000"/>
          <w:sz w:val="22"/>
          <w:szCs w:val="28"/>
          <w:highlight w:val="none"/>
          <w:lang w:val="en-US" w:eastAsia="zh-CN"/>
        </w:rPr>
      </w:r>
      <w:r/>
    </w:p>
    <w:p>
      <w:pPr>
        <w:pStyle w:val="1063"/>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Style w:val="1145"/>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063"/>
              <w:ind w:left="-420" w:firstLine="0"/>
              <w:jc w:val="center"/>
              <w:tabs>
                <w:tab w:val="left" w:pos="2520" w:leader="none"/>
              </w:tabs>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   单位名称</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统一社会信用代码</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1063"/>
              <w:ind w:right="-678"/>
              <w:jc w:val="center"/>
              <w:tabs>
                <w:tab w:val="left" w:pos="2320" w:leader="none"/>
              </w:tabs>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法定代表人</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联系人</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联系地址</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联系电话</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560"/>
        </w:trPr>
        <w:tc>
          <w:tcPr>
            <w:tcW w:w="2148"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信用承诺</w:t>
            </w:r>
            <w:r>
              <w:rPr>
                <w:rFonts w:hint="eastAsia" w:ascii="宋体" w:hAnsi="宋体" w:eastAsia="宋体" w:cs="宋体"/>
                <w:color w:val="000000"/>
                <w:sz w:val="21"/>
                <w:szCs w:val="21"/>
                <w:highlight w:val="none"/>
                <w:vertAlign w:val="baseline"/>
                <w:lang w:val="en-US" w:eastAsia="zh-CN"/>
              </w:rPr>
            </w:r>
            <w:r/>
          </w:p>
        </w:tc>
        <w:tc>
          <w:tcPr>
            <w:gridSpan w:val="3"/>
            <w:tcW w:w="7448" w:type="dxa"/>
            <w:vAlign w:val="center"/>
            <w:textDirection w:val="lrTb"/>
            <w:noWrap w:val="false"/>
          </w:tcPr>
          <w:p>
            <w:pPr>
              <w:pStyle w:val="1063"/>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sz w:val="21"/>
                <w:szCs w:val="21"/>
                <w:highlight w:val="none"/>
                <w:vertAlign w:val="baseline"/>
                <w:lang w:val="en-US" w:eastAsia="zh-CN"/>
              </w:rPr>
            </w:r>
            <w:r/>
          </w:p>
          <w:p>
            <w:pPr>
              <w:pStyle w:val="1063"/>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供应商名称（盖章）：</w:t>
            </w: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法定代表人（签字）：</w:t>
            </w: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 年   月   日</w:t>
            </w:r>
            <w:r>
              <w:rPr>
                <w:rFonts w:hint="eastAsia" w:ascii="宋体" w:hAnsi="宋体" w:eastAsia="宋体" w:cs="宋体"/>
                <w:color w:val="000000"/>
                <w:sz w:val="21"/>
                <w:szCs w:val="21"/>
                <w:highlight w:val="none"/>
                <w:vertAlign w:val="baseline"/>
                <w:lang w:val="en-US" w:eastAsia="zh-CN"/>
              </w:rPr>
            </w:r>
            <w:r/>
          </w:p>
        </w:tc>
      </w:tr>
    </w:tbl>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：供应商认为需要提供的证明文件及材料等</w:t>
      </w:r>
      <w:r>
        <w:rPr>
          <w:rFonts w:hint="eastAsia" w:ascii="宋体" w:hAnsi="宋体" w:eastAsia="宋体" w:cs="宋体"/>
          <w:b/>
          <w:bCs/>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1"/>
          <w:szCs w:val="21"/>
          <w:highlight w:val="none"/>
        </w:rPr>
        <w:outlineLvl w:val="9"/>
      </w:pPr>
      <w:r>
        <w:rPr>
          <w:rFonts w:hint="eastAsia" w:ascii="宋体" w:hAnsi="宋体" w:eastAsia="宋体" w:cs="等线"/>
          <w:b/>
          <w:color w:val="000000"/>
          <w:sz w:val="21"/>
          <w:szCs w:val="21"/>
          <w:highlight w:val="none"/>
        </w:rPr>
        <w:t xml:space="preserve">供应商认为需要提供的证明文件及材料等</w:t>
      </w:r>
      <w:r/>
    </w:p>
    <w:sectPr>
      <w:headerReference w:type="default" r:id="rId11"/>
      <w:footerReference w:type="default" r:id="rId19"/>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imes">
    <w:panose1 w:val="02020603050405020304"/>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8"/>
      </w:rPr>
      <w:framePr w:wrap="around" w:vAnchor="text" w:hAnchor="margin" w:xAlign="center" w:y="1"/>
    </w:pPr>
    <w:r>
      <w:fldChar w:fldCharType="begin"/>
    </w:r>
    <w:r>
      <w:rPr>
        <w:rStyle w:val="1148"/>
      </w:rPr>
      <w:instrText xml:space="preserve">PAGE  </w:instrText>
    </w:r>
    <w:r>
      <w:fldChar w:fldCharType="separate"/>
    </w:r>
    <w:r>
      <w:rPr>
        <w:rStyle w:val="1148"/>
      </w:rPr>
      <w:t xml:space="preserve">1</w:t>
    </w:r>
    <w:r>
      <w:fldChar w:fldCharType="end"/>
    </w:r>
    <w:r>
      <w:rPr>
        <w:rStyle w:val="1148"/>
      </w:rPr>
    </w:r>
    <w:r/>
  </w:p>
  <w:p>
    <w:pPr>
      <w:pStyle w:val="11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３</w:t>
                          </w:r>
                          <w:r>
                            <w:fldChar w:fldCharType="end"/>
                          </w:r>
                          <w:r/>
                        </w:p>
                        <w:p>
                          <w:pPr>
                            <w:pStyle w:val="106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３</w:t>
                    </w:r>
                    <w:r>
                      <w:fldChar w:fldCharType="end"/>
                    </w:r>
                    <w:r/>
                  </w:p>
                  <w:p>
                    <w:pPr>
                      <w:pStyle w:val="106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3"/>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3"/>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3"/>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2"/>
      <w:isLgl w:val="false"/>
      <w:suff w:val="tab"/>
      <w:lvlText w:val=""/>
      <w:lvlJc w:val="left"/>
      <w:pPr>
        <w:pStyle w:val="106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50"/>
      <w:isLgl w:val="false"/>
      <w:suff w:val="tab"/>
      <w:lvlText w:val=""/>
      <w:lvlJc w:val="left"/>
      <w:pPr>
        <w:pStyle w:val="1063"/>
        <w:ind w:left="420" w:hanging="420"/>
        <w:tabs>
          <w:tab w:val="num" w:pos="420" w:leader="none"/>
        </w:tabs>
      </w:pPr>
      <w:rPr>
        <w:rFonts w:ascii="Wingdings" w:hAnsi="Wingdings"/>
      </w:rPr>
    </w:lvl>
    <w:lvl w:ilvl="1">
      <w:start w:val="1"/>
      <w:numFmt w:val="decimal"/>
      <w:isLgl w:val="false"/>
      <w:suff w:val="tab"/>
      <w:lvlText w:val="（%2）"/>
      <w:lvlJc w:val="left"/>
      <w:pPr>
        <w:pStyle w:val="1063"/>
        <w:ind w:left="1500" w:hanging="1080"/>
        <w:tabs>
          <w:tab w:val="num" w:pos="1500" w:leader="none"/>
        </w:tabs>
      </w:pPr>
      <w:rPr>
        <w:rFonts w:hint="eastAsia"/>
      </w:rPr>
    </w:lvl>
    <w:lvl w:ilvl="2">
      <w:start w:val="1"/>
      <w:numFmt w:val="decimal"/>
      <w:isLgl w:val="false"/>
      <w:suff w:val="tab"/>
      <w:lvlText w:val="（%3）"/>
      <w:lvlJc w:val="left"/>
      <w:pPr>
        <w:pStyle w:val="1063"/>
        <w:ind w:left="1560" w:hanging="720"/>
        <w:tabs>
          <w:tab w:val="num" w:pos="1560" w:leader="none"/>
        </w:tabs>
      </w:pPr>
      <w:rPr>
        <w:rFonts w:hint="eastAsia"/>
      </w:rPr>
    </w:lvl>
    <w:lvl w:ilvl="3">
      <w:start w:val="1"/>
      <w:numFmt w:val="decimal"/>
      <w:isLgl w:val="false"/>
      <w:suff w:val="tab"/>
      <w:lvlText w:val="%4."/>
      <w:lvlJc w:val="left"/>
      <w:pPr>
        <w:pStyle w:val="1063"/>
        <w:ind w:left="1680" w:hanging="420"/>
        <w:tabs>
          <w:tab w:val="num" w:pos="1680" w:leader="none"/>
        </w:tabs>
      </w:pPr>
    </w:lvl>
    <w:lvl w:ilvl="4">
      <w:start w:val="1"/>
      <w:numFmt w:val="lowerLetter"/>
      <w:isLgl w:val="false"/>
      <w:suff w:val="tab"/>
      <w:lvlText w:val="%5)"/>
      <w:lvlJc w:val="left"/>
      <w:pPr>
        <w:pStyle w:val="1063"/>
        <w:ind w:left="2100" w:hanging="420"/>
        <w:tabs>
          <w:tab w:val="num" w:pos="2100" w:leader="none"/>
        </w:tabs>
      </w:pPr>
    </w:lvl>
    <w:lvl w:ilvl="5">
      <w:start w:val="1"/>
      <w:numFmt w:val="lowerRoman"/>
      <w:isLgl w:val="false"/>
      <w:suff w:val="tab"/>
      <w:lvlText w:val="%6."/>
      <w:lvlJc w:val="right"/>
      <w:pPr>
        <w:pStyle w:val="1063"/>
        <w:ind w:left="2520" w:hanging="420"/>
        <w:tabs>
          <w:tab w:val="num" w:pos="2520" w:leader="none"/>
        </w:tabs>
      </w:pPr>
    </w:lvl>
    <w:lvl w:ilvl="6">
      <w:start w:val="1"/>
      <w:numFmt w:val="decimal"/>
      <w:isLgl w:val="false"/>
      <w:suff w:val="tab"/>
      <w:lvlText w:val="%7."/>
      <w:lvlJc w:val="left"/>
      <w:pPr>
        <w:pStyle w:val="1063"/>
        <w:ind w:left="2940" w:hanging="420"/>
        <w:tabs>
          <w:tab w:val="num" w:pos="2940" w:leader="none"/>
        </w:tabs>
      </w:pPr>
    </w:lvl>
    <w:lvl w:ilvl="7">
      <w:start w:val="1"/>
      <w:numFmt w:val="lowerLetter"/>
      <w:isLgl w:val="false"/>
      <w:suff w:val="tab"/>
      <w:lvlText w:val="%8)"/>
      <w:lvlJc w:val="left"/>
      <w:pPr>
        <w:pStyle w:val="1063"/>
        <w:ind w:left="3360" w:hanging="420"/>
        <w:tabs>
          <w:tab w:val="num" w:pos="3360" w:leader="none"/>
        </w:tabs>
      </w:pPr>
    </w:lvl>
    <w:lvl w:ilvl="8">
      <w:start w:val="1"/>
      <w:numFmt w:val="lowerRoman"/>
      <w:isLgl w:val="false"/>
      <w:suff w:val="tab"/>
      <w:lvlText w:val="%9."/>
      <w:lvlJc w:val="right"/>
      <w:pPr>
        <w:pStyle w:val="1063"/>
        <w:ind w:left="3780" w:hanging="420"/>
        <w:tabs>
          <w:tab w:val="num" w:pos="3780" w:leader="none"/>
        </w:tabs>
      </w:pPr>
    </w:lvl>
  </w:abstractNum>
  <w:abstractNum w:abstractNumId="3">
    <w:multiLevelType w:val="hybridMultilevel"/>
    <w:lvl w:ilvl="0">
      <w:start w:val="7"/>
      <w:numFmt w:val="decimal"/>
      <w:isLgl w:val="false"/>
      <w:suff w:val="nothing"/>
      <w:lvlText w:val="（%1）"/>
      <w:lvlJc w:val="left"/>
      <w:pPr>
        <w:pStyle w:val="1063"/>
        <w:ind w:left="0" w:firstLine="0"/>
      </w:pPr>
      <w:rPr>
        <w:rFonts w:ascii="Times New Roman" w:hAnsi="Times New Roman" w:cs="Times New Roman"/>
      </w:rPr>
    </w:lvl>
    <w:lvl w:ilvl="1">
      <w:start w:val="1"/>
      <w:numFmt w:val="decimal"/>
      <w:isLgl w:val="false"/>
      <w:suff w:val="tab"/>
      <w:lvlText w:val="%2."/>
      <w:lvlJc w:val="left"/>
      <w:pPr>
        <w:pStyle w:val="1063"/>
        <w:ind w:left="1440" w:hanging="360"/>
        <w:tabs>
          <w:tab w:val="num" w:pos="1440" w:leader="none"/>
        </w:tabs>
      </w:pPr>
    </w:lvl>
    <w:lvl w:ilvl="2">
      <w:start w:val="1"/>
      <w:numFmt w:val="decimal"/>
      <w:isLgl w:val="false"/>
      <w:suff w:val="tab"/>
      <w:lvlText w:val="%3."/>
      <w:lvlJc w:val="left"/>
      <w:pPr>
        <w:pStyle w:val="1063"/>
        <w:ind w:left="2160" w:hanging="360"/>
        <w:tabs>
          <w:tab w:val="num" w:pos="2160" w:leader="none"/>
        </w:tabs>
      </w:pPr>
    </w:lvl>
    <w:lvl w:ilvl="3">
      <w:start w:val="1"/>
      <w:numFmt w:val="decimal"/>
      <w:isLgl w:val="false"/>
      <w:suff w:val="tab"/>
      <w:lvlText w:val="%4."/>
      <w:lvlJc w:val="left"/>
      <w:pPr>
        <w:pStyle w:val="1063"/>
        <w:ind w:left="2880" w:hanging="360"/>
        <w:tabs>
          <w:tab w:val="num" w:pos="2880" w:leader="none"/>
        </w:tabs>
      </w:pPr>
    </w:lvl>
    <w:lvl w:ilvl="4">
      <w:start w:val="1"/>
      <w:numFmt w:val="decimal"/>
      <w:isLgl w:val="false"/>
      <w:suff w:val="tab"/>
      <w:lvlText w:val="%5."/>
      <w:lvlJc w:val="left"/>
      <w:pPr>
        <w:pStyle w:val="1063"/>
        <w:ind w:left="3600" w:hanging="360"/>
        <w:tabs>
          <w:tab w:val="num" w:pos="3600" w:leader="none"/>
        </w:tabs>
      </w:pPr>
    </w:lvl>
    <w:lvl w:ilvl="5">
      <w:start w:val="1"/>
      <w:numFmt w:val="decimal"/>
      <w:isLgl w:val="false"/>
      <w:suff w:val="tab"/>
      <w:lvlText w:val="%6."/>
      <w:lvlJc w:val="left"/>
      <w:pPr>
        <w:pStyle w:val="1063"/>
        <w:ind w:left="4320" w:hanging="360"/>
        <w:tabs>
          <w:tab w:val="num" w:pos="4320" w:leader="none"/>
        </w:tabs>
      </w:pPr>
    </w:lvl>
    <w:lvl w:ilvl="6">
      <w:start w:val="1"/>
      <w:numFmt w:val="decimal"/>
      <w:isLgl w:val="false"/>
      <w:suff w:val="tab"/>
      <w:lvlText w:val="%7."/>
      <w:lvlJc w:val="left"/>
      <w:pPr>
        <w:pStyle w:val="1063"/>
        <w:ind w:left="5040" w:hanging="360"/>
        <w:tabs>
          <w:tab w:val="num" w:pos="5040" w:leader="none"/>
        </w:tabs>
      </w:pPr>
    </w:lvl>
    <w:lvl w:ilvl="7">
      <w:start w:val="1"/>
      <w:numFmt w:val="decimal"/>
      <w:isLgl w:val="false"/>
      <w:suff w:val="tab"/>
      <w:lvlText w:val="%8."/>
      <w:lvlJc w:val="left"/>
      <w:pPr>
        <w:pStyle w:val="1063"/>
        <w:ind w:left="5760" w:hanging="360"/>
        <w:tabs>
          <w:tab w:val="num" w:pos="5760" w:leader="none"/>
        </w:tabs>
      </w:pPr>
    </w:lvl>
    <w:lvl w:ilvl="8">
      <w:start w:val="1"/>
      <w:numFmt w:val="decimal"/>
      <w:isLgl w:val="false"/>
      <w:suff w:val="tab"/>
      <w:lvlText w:val="%9."/>
      <w:lvlJc w:val="left"/>
      <w:pPr>
        <w:pStyle w:val="1063"/>
        <w:ind w:left="6480" w:hanging="360"/>
        <w:tabs>
          <w:tab w:val="num" w:pos="6480" w:leader="none"/>
        </w:tabs>
      </w:pPr>
    </w:lvl>
  </w:abstractNum>
  <w:abstractNum w:abstractNumId="4">
    <w:multiLevelType w:val="hybridMultilevel"/>
    <w:lvl w:ilvl="0">
      <w:start w:val="10"/>
      <w:numFmt w:val="decimal"/>
      <w:isLgl w:val="false"/>
      <w:suff w:val="nothing"/>
      <w:lvlText w:val="（%1）"/>
      <w:lvlJc w:val="left"/>
      <w:pPr>
        <w:pStyle w:val="1063"/>
        <w:ind w:left="0" w:firstLine="0"/>
      </w:pPr>
      <w:rPr>
        <w:rFonts w:ascii="Times New Roman" w:hAnsi="Times New Roman" w:cs="Times New Roman"/>
      </w:rPr>
    </w:lvl>
    <w:lvl w:ilvl="1">
      <w:start w:val="1"/>
      <w:numFmt w:val="decimal"/>
      <w:isLgl w:val="false"/>
      <w:suff w:val="tab"/>
      <w:lvlText w:val="%2."/>
      <w:lvlJc w:val="left"/>
      <w:pPr>
        <w:pStyle w:val="1063"/>
        <w:ind w:left="1440" w:hanging="360"/>
        <w:tabs>
          <w:tab w:val="num" w:pos="1440" w:leader="none"/>
        </w:tabs>
      </w:pPr>
    </w:lvl>
    <w:lvl w:ilvl="2">
      <w:start w:val="1"/>
      <w:numFmt w:val="decimal"/>
      <w:isLgl w:val="false"/>
      <w:suff w:val="tab"/>
      <w:lvlText w:val="%3."/>
      <w:lvlJc w:val="left"/>
      <w:pPr>
        <w:pStyle w:val="1063"/>
        <w:ind w:left="2160" w:hanging="360"/>
        <w:tabs>
          <w:tab w:val="num" w:pos="2160" w:leader="none"/>
        </w:tabs>
      </w:pPr>
    </w:lvl>
    <w:lvl w:ilvl="3">
      <w:start w:val="1"/>
      <w:numFmt w:val="decimal"/>
      <w:isLgl w:val="false"/>
      <w:suff w:val="tab"/>
      <w:lvlText w:val="%4."/>
      <w:lvlJc w:val="left"/>
      <w:pPr>
        <w:pStyle w:val="1063"/>
        <w:ind w:left="2880" w:hanging="360"/>
        <w:tabs>
          <w:tab w:val="num" w:pos="2880" w:leader="none"/>
        </w:tabs>
      </w:pPr>
    </w:lvl>
    <w:lvl w:ilvl="4">
      <w:start w:val="1"/>
      <w:numFmt w:val="decimal"/>
      <w:isLgl w:val="false"/>
      <w:suff w:val="tab"/>
      <w:lvlText w:val="%5."/>
      <w:lvlJc w:val="left"/>
      <w:pPr>
        <w:pStyle w:val="1063"/>
        <w:ind w:left="3600" w:hanging="360"/>
        <w:tabs>
          <w:tab w:val="num" w:pos="3600" w:leader="none"/>
        </w:tabs>
      </w:pPr>
    </w:lvl>
    <w:lvl w:ilvl="5">
      <w:start w:val="1"/>
      <w:numFmt w:val="decimal"/>
      <w:isLgl w:val="false"/>
      <w:suff w:val="tab"/>
      <w:lvlText w:val="%6."/>
      <w:lvlJc w:val="left"/>
      <w:pPr>
        <w:pStyle w:val="1063"/>
        <w:ind w:left="4320" w:hanging="360"/>
        <w:tabs>
          <w:tab w:val="num" w:pos="4320" w:leader="none"/>
        </w:tabs>
      </w:pPr>
    </w:lvl>
    <w:lvl w:ilvl="6">
      <w:start w:val="1"/>
      <w:numFmt w:val="decimal"/>
      <w:isLgl w:val="false"/>
      <w:suff w:val="tab"/>
      <w:lvlText w:val="%7."/>
      <w:lvlJc w:val="left"/>
      <w:pPr>
        <w:pStyle w:val="1063"/>
        <w:ind w:left="5040" w:hanging="360"/>
        <w:tabs>
          <w:tab w:val="num" w:pos="5040" w:leader="none"/>
        </w:tabs>
      </w:pPr>
    </w:lvl>
    <w:lvl w:ilvl="7">
      <w:start w:val="1"/>
      <w:numFmt w:val="decimal"/>
      <w:isLgl w:val="false"/>
      <w:suff w:val="tab"/>
      <w:lvlText w:val="%8."/>
      <w:lvlJc w:val="left"/>
      <w:pPr>
        <w:pStyle w:val="1063"/>
        <w:ind w:left="5760" w:hanging="360"/>
        <w:tabs>
          <w:tab w:val="num" w:pos="5760" w:leader="none"/>
        </w:tabs>
      </w:pPr>
    </w:lvl>
    <w:lvl w:ilvl="8">
      <w:start w:val="1"/>
      <w:numFmt w:val="decimal"/>
      <w:isLgl w:val="false"/>
      <w:suff w:val="tab"/>
      <w:lvlText w:val="%9."/>
      <w:lvlJc w:val="left"/>
      <w:pPr>
        <w:pStyle w:val="1063"/>
        <w:ind w:left="6480" w:hanging="360"/>
        <w:tabs>
          <w:tab w:val="num" w:pos="6480" w:leader="none"/>
        </w:tabs>
      </w:pPr>
    </w:lvl>
  </w:abstractNum>
  <w:abstractNum w:abstractNumId="5">
    <w:multiLevelType w:val="hybridMultilevel"/>
    <w:lvl w:ilvl="0">
      <w:start w:val="1"/>
      <w:numFmt w:val="decimal"/>
      <w:isLgl w:val="false"/>
      <w:suff w:val="tab"/>
      <w:lvlText w:val="%1)"/>
      <w:lvlJc w:val="left"/>
      <w:pPr>
        <w:pStyle w:val="1063"/>
        <w:ind w:left="420" w:hanging="420"/>
      </w:pPr>
    </w:lvl>
    <w:lvl w:ilvl="1">
      <w:start w:val="1"/>
      <w:numFmt w:val="lowerLetter"/>
      <w:isLgl w:val="false"/>
      <w:suff w:val="tab"/>
      <w:lvlText w:val="%2)"/>
      <w:lvlJc w:val="left"/>
      <w:pPr>
        <w:pStyle w:val="1063"/>
        <w:ind w:left="840" w:hanging="420"/>
      </w:pPr>
    </w:lvl>
    <w:lvl w:ilvl="2">
      <w:start w:val="1"/>
      <w:numFmt w:val="lowerRoman"/>
      <w:isLgl w:val="false"/>
      <w:suff w:val="tab"/>
      <w:lvlText w:val="%3."/>
      <w:lvlJc w:val="right"/>
      <w:pPr>
        <w:pStyle w:val="1063"/>
        <w:ind w:left="1260" w:hanging="420"/>
      </w:pPr>
    </w:lvl>
    <w:lvl w:ilvl="3">
      <w:start w:val="1"/>
      <w:numFmt w:val="decimal"/>
      <w:isLgl w:val="false"/>
      <w:suff w:val="tab"/>
      <w:lvlText w:val="%4."/>
      <w:lvlJc w:val="left"/>
      <w:pPr>
        <w:pStyle w:val="1063"/>
        <w:ind w:left="1680" w:hanging="420"/>
      </w:pPr>
    </w:lvl>
    <w:lvl w:ilvl="4">
      <w:start w:val="1"/>
      <w:numFmt w:val="lowerLetter"/>
      <w:isLgl w:val="false"/>
      <w:suff w:val="tab"/>
      <w:lvlText w:val="%5)"/>
      <w:lvlJc w:val="left"/>
      <w:pPr>
        <w:pStyle w:val="1063"/>
        <w:ind w:left="2100" w:hanging="420"/>
      </w:pPr>
    </w:lvl>
    <w:lvl w:ilvl="5">
      <w:start w:val="1"/>
      <w:numFmt w:val="lowerRoman"/>
      <w:isLgl w:val="false"/>
      <w:suff w:val="tab"/>
      <w:lvlText w:val="%6."/>
      <w:lvlJc w:val="right"/>
      <w:pPr>
        <w:pStyle w:val="1063"/>
        <w:ind w:left="2520" w:hanging="420"/>
      </w:pPr>
    </w:lvl>
    <w:lvl w:ilvl="6">
      <w:start w:val="1"/>
      <w:numFmt w:val="decimal"/>
      <w:isLgl w:val="false"/>
      <w:suff w:val="tab"/>
      <w:lvlText w:val="%7."/>
      <w:lvlJc w:val="left"/>
      <w:pPr>
        <w:pStyle w:val="1063"/>
        <w:ind w:left="2940" w:hanging="420"/>
      </w:pPr>
    </w:lvl>
    <w:lvl w:ilvl="7">
      <w:start w:val="1"/>
      <w:numFmt w:val="lowerLetter"/>
      <w:isLgl w:val="false"/>
      <w:suff w:val="tab"/>
      <w:lvlText w:val="%8)"/>
      <w:lvlJc w:val="left"/>
      <w:pPr>
        <w:pStyle w:val="1063"/>
        <w:ind w:left="3360" w:hanging="420"/>
      </w:pPr>
    </w:lvl>
    <w:lvl w:ilvl="8">
      <w:start w:val="1"/>
      <w:numFmt w:val="lowerRoman"/>
      <w:isLgl w:val="false"/>
      <w:suff w:val="tab"/>
      <w:lvlText w:val="%9."/>
      <w:lvlJc w:val="right"/>
      <w:pPr>
        <w:pStyle w:val="1063"/>
        <w:ind w:left="3780" w:hanging="420"/>
      </w:pPr>
    </w:lvl>
  </w:abstractNum>
  <w:abstractNum w:abstractNumId="6">
    <w:multiLevelType w:val="hybridMultilevel"/>
    <w:lvl w:ilvl="0">
      <w:start w:val="1"/>
      <w:numFmt w:val="decimal"/>
      <w:pStyle w:val="1272"/>
      <w:isLgl w:val="false"/>
      <w:suff w:val="tab"/>
      <w:lvlText w:val="(%1)"/>
      <w:lvlJc w:val="left"/>
      <w:pPr>
        <w:pStyle w:val="106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63"/>
        <w:ind w:left="840" w:hanging="420"/>
        <w:tabs>
          <w:tab w:val="num" w:pos="840" w:leader="none"/>
        </w:tabs>
      </w:pPr>
    </w:lvl>
    <w:lvl w:ilvl="2">
      <w:start w:val="1"/>
      <w:numFmt w:val="lowerRoman"/>
      <w:isLgl w:val="false"/>
      <w:suff w:val="tab"/>
      <w:lvlText w:val="%3."/>
      <w:lvlJc w:val="right"/>
      <w:pPr>
        <w:pStyle w:val="1063"/>
        <w:ind w:left="1260" w:hanging="420"/>
        <w:tabs>
          <w:tab w:val="num" w:pos="1260" w:leader="none"/>
        </w:tabs>
      </w:pPr>
    </w:lvl>
    <w:lvl w:ilvl="3">
      <w:start w:val="1"/>
      <w:numFmt w:val="decimal"/>
      <w:isLgl w:val="false"/>
      <w:suff w:val="tab"/>
      <w:lvlText w:val="%4."/>
      <w:lvlJc w:val="left"/>
      <w:pPr>
        <w:pStyle w:val="1063"/>
        <w:ind w:left="1680" w:hanging="420"/>
        <w:tabs>
          <w:tab w:val="num" w:pos="1680" w:leader="none"/>
        </w:tabs>
      </w:pPr>
    </w:lvl>
    <w:lvl w:ilvl="4">
      <w:start w:val="1"/>
      <w:numFmt w:val="lowerLetter"/>
      <w:pStyle w:val="1259"/>
      <w:isLgl w:val="false"/>
      <w:suff w:val="tab"/>
      <w:lvlText w:val="%5)"/>
      <w:lvlJc w:val="left"/>
      <w:pPr>
        <w:pStyle w:val="1063"/>
        <w:ind w:left="2100" w:hanging="420"/>
        <w:tabs>
          <w:tab w:val="num" w:pos="2100" w:leader="none"/>
        </w:tabs>
      </w:pPr>
    </w:lvl>
    <w:lvl w:ilvl="5">
      <w:start w:val="1"/>
      <w:numFmt w:val="lowerRoman"/>
      <w:isLgl w:val="false"/>
      <w:suff w:val="tab"/>
      <w:lvlText w:val="%6."/>
      <w:lvlJc w:val="right"/>
      <w:pPr>
        <w:pStyle w:val="1063"/>
        <w:ind w:left="2520" w:hanging="420"/>
        <w:tabs>
          <w:tab w:val="num" w:pos="2520" w:leader="none"/>
        </w:tabs>
      </w:pPr>
    </w:lvl>
    <w:lvl w:ilvl="6">
      <w:start w:val="1"/>
      <w:numFmt w:val="decimal"/>
      <w:isLgl w:val="false"/>
      <w:suff w:val="tab"/>
      <w:lvlText w:val="%7."/>
      <w:lvlJc w:val="left"/>
      <w:pPr>
        <w:pStyle w:val="1063"/>
        <w:ind w:left="2940" w:hanging="420"/>
        <w:tabs>
          <w:tab w:val="num" w:pos="2940" w:leader="none"/>
        </w:tabs>
      </w:pPr>
    </w:lvl>
    <w:lvl w:ilvl="7">
      <w:start w:val="1"/>
      <w:numFmt w:val="lowerLetter"/>
      <w:isLgl w:val="false"/>
      <w:suff w:val="tab"/>
      <w:lvlText w:val="%8)"/>
      <w:lvlJc w:val="left"/>
      <w:pPr>
        <w:pStyle w:val="1063"/>
        <w:ind w:left="3360" w:hanging="420"/>
        <w:tabs>
          <w:tab w:val="num" w:pos="3360" w:leader="none"/>
        </w:tabs>
      </w:pPr>
    </w:lvl>
    <w:lvl w:ilvl="8">
      <w:start w:val="1"/>
      <w:numFmt w:val="lowerRoman"/>
      <w:isLgl w:val="false"/>
      <w:suff w:val="tab"/>
      <w:lvlText w:val="%9."/>
      <w:lvlJc w:val="right"/>
      <w:pPr>
        <w:pStyle w:val="1063"/>
        <w:ind w:left="3780" w:hanging="420"/>
        <w:tabs>
          <w:tab w:val="num" w:pos="3780" w:leader="none"/>
        </w:tabs>
      </w:pPr>
    </w:lvl>
  </w:abstractNum>
  <w:abstractNum w:abstractNumId="7">
    <w:multiLevelType w:val="hybridMultilevel"/>
    <w:lvl w:ilvl="0">
      <w:start w:val="1"/>
      <w:numFmt w:val="decimal"/>
      <w:isLgl w:val="false"/>
      <w:suff w:val="nothing"/>
      <w:lvlText w:val="（%1）"/>
      <w:lvlJc w:val="left"/>
      <w:pPr>
        <w:pStyle w:val="1063"/>
        <w:ind w:left="0" w:firstLine="0"/>
      </w:pPr>
      <w:rPr>
        <w:rFonts w:ascii="Times New Roman" w:hAnsi="Times New Roman" w:cs="Times New Roman"/>
      </w:rPr>
    </w:lvl>
    <w:lvl w:ilvl="1">
      <w:start w:val="1"/>
      <w:numFmt w:val="decimal"/>
      <w:isLgl w:val="false"/>
      <w:suff w:val="tab"/>
      <w:lvlText w:val="%2."/>
      <w:lvlJc w:val="left"/>
      <w:pPr>
        <w:pStyle w:val="1063"/>
        <w:ind w:left="1440" w:hanging="360"/>
        <w:tabs>
          <w:tab w:val="num" w:pos="1440" w:leader="none"/>
        </w:tabs>
      </w:pPr>
    </w:lvl>
    <w:lvl w:ilvl="2">
      <w:start w:val="1"/>
      <w:numFmt w:val="decimal"/>
      <w:isLgl w:val="false"/>
      <w:suff w:val="tab"/>
      <w:lvlText w:val="%3."/>
      <w:lvlJc w:val="left"/>
      <w:pPr>
        <w:pStyle w:val="1063"/>
        <w:ind w:left="2160" w:hanging="360"/>
        <w:tabs>
          <w:tab w:val="num" w:pos="2160" w:leader="none"/>
        </w:tabs>
      </w:pPr>
    </w:lvl>
    <w:lvl w:ilvl="3">
      <w:start w:val="1"/>
      <w:numFmt w:val="decimal"/>
      <w:isLgl w:val="false"/>
      <w:suff w:val="tab"/>
      <w:lvlText w:val="%4."/>
      <w:lvlJc w:val="left"/>
      <w:pPr>
        <w:pStyle w:val="1063"/>
        <w:ind w:left="2880" w:hanging="360"/>
        <w:tabs>
          <w:tab w:val="num" w:pos="2880" w:leader="none"/>
        </w:tabs>
      </w:pPr>
    </w:lvl>
    <w:lvl w:ilvl="4">
      <w:start w:val="1"/>
      <w:numFmt w:val="decimal"/>
      <w:isLgl w:val="false"/>
      <w:suff w:val="tab"/>
      <w:lvlText w:val="%5."/>
      <w:lvlJc w:val="left"/>
      <w:pPr>
        <w:pStyle w:val="1063"/>
        <w:ind w:left="3600" w:hanging="360"/>
        <w:tabs>
          <w:tab w:val="num" w:pos="3600" w:leader="none"/>
        </w:tabs>
      </w:pPr>
    </w:lvl>
    <w:lvl w:ilvl="5">
      <w:start w:val="1"/>
      <w:numFmt w:val="decimal"/>
      <w:isLgl w:val="false"/>
      <w:suff w:val="tab"/>
      <w:lvlText w:val="%6."/>
      <w:lvlJc w:val="left"/>
      <w:pPr>
        <w:pStyle w:val="1063"/>
        <w:ind w:left="4320" w:hanging="360"/>
        <w:tabs>
          <w:tab w:val="num" w:pos="4320" w:leader="none"/>
        </w:tabs>
      </w:pPr>
    </w:lvl>
    <w:lvl w:ilvl="6">
      <w:start w:val="1"/>
      <w:numFmt w:val="decimal"/>
      <w:isLgl w:val="false"/>
      <w:suff w:val="tab"/>
      <w:lvlText w:val="%7."/>
      <w:lvlJc w:val="left"/>
      <w:pPr>
        <w:pStyle w:val="1063"/>
        <w:ind w:left="5040" w:hanging="360"/>
        <w:tabs>
          <w:tab w:val="num" w:pos="5040" w:leader="none"/>
        </w:tabs>
      </w:pPr>
    </w:lvl>
    <w:lvl w:ilvl="7">
      <w:start w:val="1"/>
      <w:numFmt w:val="decimal"/>
      <w:isLgl w:val="false"/>
      <w:suff w:val="tab"/>
      <w:lvlText w:val="%8."/>
      <w:lvlJc w:val="left"/>
      <w:pPr>
        <w:pStyle w:val="1063"/>
        <w:ind w:left="5760" w:hanging="360"/>
        <w:tabs>
          <w:tab w:val="num" w:pos="5760" w:leader="none"/>
        </w:tabs>
      </w:pPr>
    </w:lvl>
    <w:lvl w:ilvl="8">
      <w:start w:val="1"/>
      <w:numFmt w:val="decimal"/>
      <w:isLgl w:val="false"/>
      <w:suff w:val="tab"/>
      <w:lvlText w:val="%9."/>
      <w:lvlJc w:val="left"/>
      <w:pPr>
        <w:pStyle w:val="1063"/>
        <w:ind w:left="6480" w:hanging="360"/>
        <w:tabs>
          <w:tab w:val="num" w:pos="6480" w:leader="none"/>
        </w:tabs>
      </w:pPr>
    </w:lvl>
  </w:abstractNum>
  <w:abstractNum w:abstractNumId="8">
    <w:multiLevelType w:val="hybridMultilevel"/>
    <w:lvl w:ilvl="0">
      <w:start w:val="1"/>
      <w:numFmt w:val="bullet"/>
      <w:pStyle w:val="1400"/>
      <w:isLgl w:val="false"/>
      <w:suff w:val="tab"/>
      <w:lvlText w:val=""/>
      <w:lvlJc w:val="left"/>
      <w:pPr>
        <w:pStyle w:val="106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29"/>
      <w:isLgl w:val="false"/>
      <w:suff w:val="tab"/>
      <w:lvlText w:val="%1"/>
      <w:lvlJc w:val="left"/>
      <w:pPr>
        <w:pStyle w:val="1063"/>
        <w:ind w:left="567" w:hanging="567"/>
        <w:tabs>
          <w:tab w:val="num" w:pos="567" w:leader="none"/>
        </w:tabs>
      </w:pPr>
      <w:rPr>
        <w:rFonts w:hint="eastAsia"/>
      </w:rPr>
    </w:lvl>
    <w:lvl w:ilvl="1">
      <w:start w:val="1"/>
      <w:numFmt w:val="decimal"/>
      <w:pStyle w:val="1357"/>
      <w:isLgl w:val="false"/>
      <w:suff w:val="tab"/>
      <w:lvlText w:val="%1.%2"/>
      <w:lvlJc w:val="left"/>
      <w:pPr>
        <w:pStyle w:val="1063"/>
        <w:ind w:left="567" w:hanging="283"/>
        <w:tabs>
          <w:tab w:val="num" w:pos="1004" w:leader="none"/>
        </w:tabs>
      </w:pPr>
      <w:rPr>
        <w:rFonts w:hint="eastAsia"/>
      </w:rPr>
    </w:lvl>
    <w:lvl w:ilvl="2">
      <w:start w:val="1"/>
      <w:numFmt w:val="decimal"/>
      <w:pStyle w:val="1410"/>
      <w:isLgl w:val="false"/>
      <w:suff w:val="tab"/>
      <w:lvlText w:val="%1.%2.%3"/>
      <w:lvlJc w:val="left"/>
      <w:pPr>
        <w:pStyle w:val="1063"/>
        <w:ind w:left="1134" w:hanging="567"/>
        <w:tabs>
          <w:tab w:val="num" w:pos="1647" w:leader="none"/>
        </w:tabs>
      </w:pPr>
      <w:rPr>
        <w:rFonts w:hint="eastAsia"/>
      </w:rPr>
    </w:lvl>
    <w:lvl w:ilvl="3">
      <w:start w:val="1"/>
      <w:numFmt w:val="decimal"/>
      <w:isLgl w:val="false"/>
      <w:suff w:val="tab"/>
      <w:lvlText w:val="%1.%2.%3.%4"/>
      <w:lvlJc w:val="left"/>
      <w:pPr>
        <w:pStyle w:val="1063"/>
        <w:ind w:left="2851" w:hanging="708"/>
        <w:tabs>
          <w:tab w:val="num" w:pos="3223" w:leader="none"/>
        </w:tabs>
      </w:pPr>
      <w:rPr>
        <w:rFonts w:hint="eastAsia"/>
      </w:rPr>
    </w:lvl>
    <w:lvl w:ilvl="4">
      <w:start w:val="1"/>
      <w:numFmt w:val="decimal"/>
      <w:isLgl w:val="false"/>
      <w:suff w:val="tab"/>
      <w:lvlText w:val="%1.%2.%3.%4.%5"/>
      <w:lvlJc w:val="left"/>
      <w:pPr>
        <w:pStyle w:val="1063"/>
        <w:ind w:left="3418" w:hanging="850"/>
        <w:tabs>
          <w:tab w:val="num" w:pos="3648" w:leader="none"/>
        </w:tabs>
      </w:pPr>
      <w:rPr>
        <w:rFonts w:hint="eastAsia"/>
      </w:rPr>
    </w:lvl>
    <w:lvl w:ilvl="5">
      <w:start w:val="1"/>
      <w:numFmt w:val="decimal"/>
      <w:isLgl w:val="false"/>
      <w:suff w:val="tab"/>
      <w:lvlText w:val="%1.%2.%3.%4.%5.%6"/>
      <w:lvlJc w:val="left"/>
      <w:pPr>
        <w:pStyle w:val="1063"/>
        <w:ind w:left="4127" w:hanging="1134"/>
        <w:tabs>
          <w:tab w:val="num" w:pos="4433" w:leader="none"/>
        </w:tabs>
      </w:pPr>
      <w:rPr>
        <w:rFonts w:hint="eastAsia"/>
      </w:rPr>
    </w:lvl>
    <w:lvl w:ilvl="6">
      <w:start w:val="1"/>
      <w:numFmt w:val="decimal"/>
      <w:isLgl w:val="false"/>
      <w:suff w:val="tab"/>
      <w:lvlText w:val="%1.%2.%3.%4.%5.%6.%7"/>
      <w:lvlJc w:val="left"/>
      <w:pPr>
        <w:pStyle w:val="1063"/>
        <w:ind w:left="4694" w:hanging="1276"/>
        <w:tabs>
          <w:tab w:val="num" w:pos="4858" w:leader="none"/>
        </w:tabs>
      </w:pPr>
      <w:rPr>
        <w:rFonts w:hint="eastAsia"/>
      </w:rPr>
    </w:lvl>
    <w:lvl w:ilvl="7">
      <w:start w:val="1"/>
      <w:numFmt w:val="decimal"/>
      <w:isLgl w:val="false"/>
      <w:suff w:val="tab"/>
      <w:lvlText w:val="%1.%2.%3.%4.%5.%6.%7.%8"/>
      <w:lvlJc w:val="left"/>
      <w:pPr>
        <w:pStyle w:val="1063"/>
        <w:ind w:left="5261" w:hanging="1418"/>
        <w:tabs>
          <w:tab w:val="num" w:pos="5643" w:leader="none"/>
        </w:tabs>
      </w:pPr>
      <w:rPr>
        <w:rFonts w:hint="eastAsia"/>
      </w:rPr>
    </w:lvl>
    <w:lvl w:ilvl="8">
      <w:start w:val="1"/>
      <w:numFmt w:val="decimal"/>
      <w:isLgl w:val="false"/>
      <w:suff w:val="tab"/>
      <w:lvlText w:val="%1.%2.%3.%4.%5.%6.%7.%8.%9"/>
      <w:lvlJc w:val="left"/>
      <w:pPr>
        <w:pStyle w:val="1063"/>
        <w:ind w:left="5969" w:hanging="1700"/>
        <w:tabs>
          <w:tab w:val="num" w:pos="6429" w:leader="none"/>
        </w:tabs>
      </w:pPr>
      <w:rPr>
        <w:rFonts w:hint="eastAsia"/>
      </w:rPr>
    </w:lvl>
  </w:abstractNum>
  <w:abstractNum w:abstractNumId="10">
    <w:multiLevelType w:val="hybridMultilevel"/>
    <w:lvl w:ilvl="0">
      <w:start w:val="1"/>
      <w:numFmt w:val="decimal"/>
      <w:pStyle w:val="1230"/>
      <w:isLgl w:val="false"/>
      <w:suff w:val="tab"/>
      <w:lvlText w:val="%1."/>
      <w:lvlJc w:val="left"/>
      <w:pPr>
        <w:pStyle w:val="1063"/>
        <w:ind w:left="780" w:hanging="360"/>
      </w:pPr>
    </w:lvl>
    <w:lvl w:ilvl="1">
      <w:start w:val="1"/>
      <w:numFmt w:val="lowerLetter"/>
      <w:isLgl w:val="false"/>
      <w:suff w:val="tab"/>
      <w:lvlText w:val="%2)"/>
      <w:lvlJc w:val="left"/>
      <w:pPr>
        <w:pStyle w:val="1063"/>
        <w:ind w:left="1260" w:hanging="420"/>
      </w:pPr>
    </w:lvl>
    <w:lvl w:ilvl="2">
      <w:start w:val="1"/>
      <w:numFmt w:val="lowerRoman"/>
      <w:isLgl w:val="false"/>
      <w:suff w:val="tab"/>
      <w:lvlText w:val="%3."/>
      <w:lvlJc w:val="right"/>
      <w:pPr>
        <w:pStyle w:val="1063"/>
        <w:ind w:left="1680" w:hanging="420"/>
      </w:pPr>
    </w:lvl>
    <w:lvl w:ilvl="3">
      <w:start w:val="1"/>
      <w:numFmt w:val="decimal"/>
      <w:isLgl w:val="false"/>
      <w:suff w:val="tab"/>
      <w:lvlText w:val="%4."/>
      <w:lvlJc w:val="left"/>
      <w:pPr>
        <w:pStyle w:val="1063"/>
        <w:ind w:left="2100" w:hanging="420"/>
      </w:pPr>
    </w:lvl>
    <w:lvl w:ilvl="4">
      <w:start w:val="1"/>
      <w:numFmt w:val="lowerLetter"/>
      <w:isLgl w:val="false"/>
      <w:suff w:val="tab"/>
      <w:lvlText w:val="%5)"/>
      <w:lvlJc w:val="left"/>
      <w:pPr>
        <w:pStyle w:val="1063"/>
        <w:ind w:left="2520" w:hanging="420"/>
      </w:pPr>
    </w:lvl>
    <w:lvl w:ilvl="5">
      <w:start w:val="1"/>
      <w:numFmt w:val="lowerRoman"/>
      <w:isLgl w:val="false"/>
      <w:suff w:val="tab"/>
      <w:lvlText w:val="%6."/>
      <w:lvlJc w:val="right"/>
      <w:pPr>
        <w:pStyle w:val="1063"/>
        <w:ind w:left="2940" w:hanging="420"/>
      </w:pPr>
    </w:lvl>
    <w:lvl w:ilvl="6">
      <w:start w:val="1"/>
      <w:numFmt w:val="decimal"/>
      <w:isLgl w:val="false"/>
      <w:suff w:val="tab"/>
      <w:lvlText w:val="%7."/>
      <w:lvlJc w:val="left"/>
      <w:pPr>
        <w:pStyle w:val="1063"/>
        <w:ind w:left="3360" w:hanging="420"/>
      </w:pPr>
    </w:lvl>
    <w:lvl w:ilvl="7">
      <w:start w:val="1"/>
      <w:numFmt w:val="lowerLetter"/>
      <w:isLgl w:val="false"/>
      <w:suff w:val="tab"/>
      <w:lvlText w:val="%8)"/>
      <w:lvlJc w:val="left"/>
      <w:pPr>
        <w:pStyle w:val="1063"/>
        <w:ind w:left="3780" w:hanging="420"/>
      </w:pPr>
    </w:lvl>
    <w:lvl w:ilvl="8">
      <w:start w:val="1"/>
      <w:numFmt w:val="lowerRoman"/>
      <w:isLgl w:val="false"/>
      <w:suff w:val="tab"/>
      <w:lvlText w:val="%9."/>
      <w:lvlJc w:val="right"/>
      <w:pPr>
        <w:pStyle w:val="1063"/>
        <w:ind w:left="4200" w:hanging="420"/>
      </w:pPr>
    </w:lvl>
  </w:abstractNum>
  <w:num w:numId="1">
    <w:abstractNumId w:val="0"/>
  </w:num>
  <w:num w:numId="2">
    <w:abstractNumId w:val="10"/>
  </w:num>
  <w:num w:numId="3">
    <w:abstractNumId w:val="2"/>
  </w:num>
  <w:num w:numId="4">
    <w:abstractNumId w:val="6"/>
  </w:num>
  <w:num w:numId="5">
    <w:abstractNumId w:val="9"/>
  </w:num>
  <w:num w:numId="6">
    <w:abstractNumId w:val="8"/>
  </w:num>
  <w:num w:numId="7">
    <w:abstractNumId w:val="5"/>
  </w:num>
  <w:num w:numId="8">
    <w:abstractNumId w:val="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3"/>
    <w:next w:val="1063"/>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3"/>
    <w:next w:val="1063"/>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3"/>
    <w:next w:val="1063"/>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3"/>
    <w:next w:val="1063"/>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3"/>
    <w:next w:val="1063"/>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3"/>
    <w:next w:val="1063"/>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3"/>
    <w:next w:val="1063"/>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3"/>
    <w:next w:val="1063"/>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3"/>
    <w:next w:val="1063"/>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Title"/>
    <w:basedOn w:val="1063"/>
    <w:next w:val="1063"/>
    <w:link w:val="906"/>
    <w:uiPriority w:val="10"/>
    <w:qFormat/>
    <w:pPr>
      <w:contextualSpacing/>
      <w:spacing w:before="300" w:after="200"/>
    </w:pPr>
    <w:rPr>
      <w:sz w:val="48"/>
      <w:szCs w:val="48"/>
    </w:rPr>
  </w:style>
  <w:style w:type="character" w:styleId="906">
    <w:name w:val="Title Char"/>
    <w:link w:val="905"/>
    <w:uiPriority w:val="10"/>
    <w:rPr>
      <w:sz w:val="48"/>
      <w:szCs w:val="48"/>
    </w:rPr>
  </w:style>
  <w:style w:type="paragraph" w:styleId="907">
    <w:name w:val="Subtitle"/>
    <w:basedOn w:val="1063"/>
    <w:next w:val="1063"/>
    <w:link w:val="908"/>
    <w:uiPriority w:val="11"/>
    <w:qFormat/>
    <w:pPr>
      <w:spacing w:before="200" w:after="200"/>
    </w:pPr>
    <w:rPr>
      <w:sz w:val="24"/>
      <w:szCs w:val="24"/>
    </w:rPr>
  </w:style>
  <w:style w:type="character" w:styleId="908">
    <w:name w:val="Subtitle Char"/>
    <w:link w:val="907"/>
    <w:uiPriority w:val="11"/>
    <w:rPr>
      <w:sz w:val="24"/>
      <w:szCs w:val="24"/>
    </w:rPr>
  </w:style>
  <w:style w:type="paragraph" w:styleId="909">
    <w:name w:val="Quote"/>
    <w:basedOn w:val="1063"/>
    <w:next w:val="1063"/>
    <w:link w:val="910"/>
    <w:uiPriority w:val="29"/>
    <w:qFormat/>
    <w:pPr>
      <w:ind w:left="720" w:right="720"/>
    </w:pPr>
    <w:rPr>
      <w:i/>
    </w:rPr>
  </w:style>
  <w:style w:type="character" w:styleId="910">
    <w:name w:val="Quote Char"/>
    <w:link w:val="909"/>
    <w:uiPriority w:val="29"/>
    <w:rPr>
      <w:i/>
    </w:rPr>
  </w:style>
  <w:style w:type="paragraph" w:styleId="911">
    <w:name w:val="Intense Quote"/>
    <w:basedOn w:val="1063"/>
    <w:next w:val="1063"/>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1063"/>
    <w:link w:val="914"/>
    <w:uiPriority w:val="99"/>
    <w:unhideWhenUsed/>
    <w:pPr>
      <w:spacing w:after="0" w:line="240" w:lineRule="auto"/>
      <w:tabs>
        <w:tab w:val="center" w:pos="7143" w:leader="none"/>
        <w:tab w:val="right" w:pos="14287" w:leader="none"/>
      </w:tabs>
    </w:pPr>
  </w:style>
  <w:style w:type="character" w:styleId="914">
    <w:name w:val="Header Char"/>
    <w:link w:val="913"/>
    <w:uiPriority w:val="99"/>
  </w:style>
  <w:style w:type="paragraph" w:styleId="915">
    <w:name w:val="Footer"/>
    <w:basedOn w:val="1063"/>
    <w:link w:val="918"/>
    <w:uiPriority w:val="99"/>
    <w:unhideWhenUsed/>
    <w:pPr>
      <w:spacing w:after="0" w:line="240" w:lineRule="auto"/>
      <w:tabs>
        <w:tab w:val="center" w:pos="7143" w:leader="none"/>
        <w:tab w:val="right" w:pos="14287" w:leader="none"/>
      </w:tabs>
    </w:pPr>
  </w:style>
  <w:style w:type="character" w:styleId="916">
    <w:name w:val="Footer Char"/>
    <w:link w:val="915"/>
    <w:uiPriority w:val="99"/>
  </w:style>
  <w:style w:type="paragraph" w:styleId="917">
    <w:name w:val="Caption"/>
    <w:basedOn w:val="1063"/>
    <w:next w:val="1063"/>
    <w:uiPriority w:val="35"/>
    <w:semiHidden/>
    <w:unhideWhenUsed/>
    <w:qFormat/>
    <w:pPr>
      <w:spacing w:line="276" w:lineRule="auto"/>
    </w:pPr>
    <w:rPr>
      <w:b/>
      <w:bCs/>
      <w:color w:val="4f81bd" w:themeColor="accent1"/>
      <w:sz w:val="18"/>
      <w:szCs w:val="18"/>
    </w:rPr>
  </w:style>
  <w:style w:type="character" w:styleId="918">
    <w:name w:val="Caption Char"/>
    <w:basedOn w:val="917"/>
    <w:link w:val="915"/>
    <w:uiPriority w:val="99"/>
  </w:style>
  <w:style w:type="table" w:styleId="9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sz w:val="21"/>
      <w:lang w:val="en-US" w:eastAsia="zh-CN" w:bidi="ar-SA"/>
    </w:rPr>
  </w:style>
  <w:style w:type="paragraph" w:styleId="1064">
    <w:name w:val="标题 1"/>
    <w:basedOn w:val="1063"/>
    <w:next w:val="1063"/>
    <w:link w:val="1075"/>
    <w:qFormat/>
    <w:pPr>
      <w:jc w:val="center"/>
      <w:keepNext/>
      <w:spacing w:before="240" w:after="240"/>
      <w:tabs>
        <w:tab w:val="left" w:pos="1440" w:leader="none"/>
        <w:tab w:val="left" w:pos="5670" w:leader="none"/>
      </w:tabs>
      <w:outlineLvl w:val="0"/>
    </w:pPr>
    <w:rPr>
      <w:rFonts w:ascii="黑体" w:eastAsia="黑体" w:cs="Times New Roman"/>
      <w:b/>
      <w:sz w:val="24"/>
      <w:szCs w:val="24"/>
    </w:rPr>
  </w:style>
  <w:style w:type="paragraph" w:styleId="1065">
    <w:name w:val="标题 2"/>
    <w:basedOn w:val="1063"/>
    <w:next w:val="1063"/>
    <w:link w:val="1076"/>
    <w:qFormat/>
    <w:pPr>
      <w:jc w:val="left"/>
      <w:keepLines/>
      <w:keepNext/>
      <w:spacing w:before="120" w:after="120"/>
      <w:outlineLvl w:val="1"/>
    </w:pPr>
    <w:rPr>
      <w:rFonts w:ascii="宋体" w:hAnsi="宋体" w:cs="Times New Roman"/>
      <w:szCs w:val="21"/>
      <w:lang w:val="zh-CN"/>
    </w:rPr>
  </w:style>
  <w:style w:type="paragraph" w:styleId="1066">
    <w:name w:val="标题 3"/>
    <w:basedOn w:val="1063"/>
    <w:next w:val="1063"/>
    <w:link w:val="1077"/>
    <w:qFormat/>
    <w:pPr>
      <w:keepLines/>
      <w:keepNext/>
      <w:spacing w:line="390" w:lineRule="atLeast"/>
      <w:shd w:val="clear" w:color="auto" w:fill="ffffff"/>
      <w:outlineLvl w:val="2"/>
    </w:pPr>
    <w:rPr>
      <w:rFonts w:ascii="宋体" w:hAnsi="宋体" w:eastAsia="宋体" w:cs="Times New Roman"/>
      <w:b/>
      <w:szCs w:val="21"/>
    </w:rPr>
  </w:style>
  <w:style w:type="paragraph" w:styleId="1067">
    <w:name w:val="标题 4"/>
    <w:basedOn w:val="1063"/>
    <w:next w:val="1063"/>
    <w:link w:val="1078"/>
    <w:qFormat/>
    <w:pPr>
      <w:keepLines/>
      <w:keepNext/>
      <w:spacing w:before="120" w:after="120"/>
      <w:outlineLvl w:val="3"/>
    </w:pPr>
    <w:rPr>
      <w:rFonts w:ascii="Arial" w:hAnsi="Arial" w:eastAsia="黑体"/>
      <w:b/>
      <w:sz w:val="28"/>
    </w:rPr>
  </w:style>
  <w:style w:type="paragraph" w:styleId="1068">
    <w:name w:val="标题 5"/>
    <w:basedOn w:val="1063"/>
    <w:next w:val="1080"/>
    <w:link w:val="1079"/>
    <w:qFormat/>
    <w:pPr>
      <w:keepNext/>
      <w:spacing w:before="145" w:after="145"/>
      <w:outlineLvl w:val="4"/>
    </w:pPr>
    <w:rPr>
      <w:rFonts w:ascii="黑体" w:eastAsia="黑体"/>
      <w:b/>
      <w:color w:val="000000"/>
      <w:sz w:val="28"/>
    </w:rPr>
  </w:style>
  <w:style w:type="paragraph" w:styleId="1069">
    <w:name w:val="标题 6"/>
    <w:basedOn w:val="1063"/>
    <w:next w:val="1063"/>
    <w:link w:val="1082"/>
    <w:qFormat/>
    <w:pPr>
      <w:keepLines/>
      <w:keepNext/>
      <w:spacing w:before="240" w:after="64" w:line="320" w:lineRule="auto"/>
      <w:outlineLvl w:val="5"/>
    </w:pPr>
    <w:rPr>
      <w:rFonts w:ascii="Arial" w:hAnsi="Arial" w:eastAsia="黑体"/>
      <w:b/>
      <w:bCs/>
      <w:sz w:val="24"/>
      <w:szCs w:val="24"/>
    </w:rPr>
  </w:style>
  <w:style w:type="paragraph" w:styleId="1070">
    <w:name w:val="标题 7"/>
    <w:basedOn w:val="1063"/>
    <w:next w:val="1063"/>
    <w:link w:val="1083"/>
    <w:qFormat/>
    <w:pPr>
      <w:keepLines/>
      <w:keepNext/>
      <w:spacing w:before="240" w:after="64" w:line="320" w:lineRule="auto"/>
      <w:outlineLvl w:val="6"/>
    </w:pPr>
    <w:rPr>
      <w:rFonts w:eastAsia="宋体"/>
      <w:b/>
      <w:bCs/>
      <w:sz w:val="24"/>
      <w:szCs w:val="24"/>
    </w:rPr>
  </w:style>
  <w:style w:type="paragraph" w:styleId="1071">
    <w:name w:val="标题 8"/>
    <w:basedOn w:val="1063"/>
    <w:next w:val="1063"/>
    <w:link w:val="1084"/>
    <w:qFormat/>
    <w:pPr>
      <w:keepLines/>
      <w:keepNext/>
      <w:spacing w:before="240" w:after="64" w:line="320" w:lineRule="auto"/>
      <w:outlineLvl w:val="7"/>
    </w:pPr>
    <w:rPr>
      <w:rFonts w:ascii="Arial" w:hAnsi="Arial" w:eastAsia="黑体"/>
      <w:sz w:val="24"/>
      <w:szCs w:val="24"/>
    </w:rPr>
  </w:style>
  <w:style w:type="paragraph" w:styleId="1072">
    <w:name w:val="标题 9"/>
    <w:basedOn w:val="1063"/>
    <w:next w:val="1063"/>
    <w:link w:val="1085"/>
    <w:qFormat/>
    <w:pPr>
      <w:keepLines/>
      <w:keepNext/>
      <w:spacing w:before="240" w:after="64" w:line="320" w:lineRule="auto"/>
      <w:outlineLvl w:val="8"/>
    </w:pPr>
    <w:rPr>
      <w:rFonts w:ascii="Arial" w:hAnsi="Arial" w:eastAsia="黑体"/>
      <w:szCs w:val="21"/>
    </w:rPr>
  </w:style>
  <w:style w:type="character" w:styleId="1073">
    <w:name w:val="默认段落字体"/>
    <w:next w:val="1073"/>
    <w:link w:val="1063"/>
    <w:semiHidden/>
  </w:style>
  <w:style w:type="table" w:styleId="1074">
    <w:name w:val="普通表格"/>
    <w:next w:val="1074"/>
    <w:link w:val="1063"/>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75">
    <w:name w:val="标题 1 Char"/>
    <w:next w:val="1075"/>
    <w:link w:val="1064"/>
    <w:rPr>
      <w:rFonts w:ascii="黑体" w:eastAsia="黑体"/>
      <w:b/>
      <w:sz w:val="24"/>
      <w:szCs w:val="24"/>
    </w:rPr>
  </w:style>
  <w:style w:type="character" w:styleId="1076">
    <w:name w:val="标题 2 Char"/>
    <w:next w:val="1076"/>
    <w:link w:val="1065"/>
    <w:rPr>
      <w:rFonts w:ascii="宋体" w:hAnsi="宋体"/>
      <w:sz w:val="21"/>
      <w:szCs w:val="21"/>
      <w:lang w:val="zh-CN"/>
    </w:rPr>
  </w:style>
  <w:style w:type="character" w:styleId="1077">
    <w:name w:val="标题 3 Char2"/>
    <w:next w:val="1077"/>
    <w:link w:val="1066"/>
    <w:rPr>
      <w:rFonts w:ascii="宋体" w:hAnsi="宋体" w:eastAsia="宋体"/>
      <w:b/>
      <w:sz w:val="21"/>
      <w:szCs w:val="21"/>
      <w:shd w:val="clear" w:color="auto" w:fill="ffffff"/>
    </w:rPr>
  </w:style>
  <w:style w:type="character" w:styleId="1078">
    <w:name w:val="标题 4 Char"/>
    <w:next w:val="1078"/>
    <w:link w:val="1067"/>
    <w:rPr>
      <w:rFonts w:ascii="Arial" w:hAnsi="Arial" w:eastAsia="黑体"/>
      <w:b/>
      <w:sz w:val="28"/>
      <w:lang w:val="en-US" w:eastAsia="zh-CN" w:bidi="ar-SA"/>
    </w:rPr>
  </w:style>
  <w:style w:type="character" w:styleId="1079">
    <w:name w:val="标题 5 Char"/>
    <w:next w:val="1079"/>
    <w:link w:val="1068"/>
    <w:rPr>
      <w:rFonts w:ascii="黑体" w:eastAsia="黑体"/>
      <w:b/>
      <w:color w:val="000000"/>
      <w:sz w:val="28"/>
      <w:lang w:val="en-US" w:eastAsia="zh-CN" w:bidi="ar-SA"/>
    </w:rPr>
  </w:style>
  <w:style w:type="paragraph" w:styleId="1080">
    <w:name w:val="正文缩进"/>
    <w:basedOn w:val="1063"/>
    <w:next w:val="1080"/>
    <w:link w:val="1081"/>
    <w:pPr>
      <w:ind w:firstLine="420"/>
    </w:pPr>
    <w:rPr>
      <w:rFonts w:ascii="Times New Roman" w:hAnsi="Times New Roman" w:eastAsia="宋体" w:cs="Times New Roman"/>
      <w:sz w:val="24"/>
      <w:lang w:val="zh-CN"/>
    </w:rPr>
  </w:style>
  <w:style w:type="character" w:styleId="1081">
    <w:name w:val="正文缩进 Char"/>
    <w:next w:val="1081"/>
    <w:link w:val="1080"/>
    <w:rPr>
      <w:rFonts w:ascii="Times New Roman" w:hAnsi="Times New Roman" w:eastAsia="宋体" w:cs="Times New Roman"/>
      <w:sz w:val="24"/>
      <w:lang w:val="zh-CN"/>
    </w:rPr>
  </w:style>
  <w:style w:type="character" w:styleId="1082">
    <w:name w:val="标题 6 Char"/>
    <w:next w:val="1082"/>
    <w:link w:val="1069"/>
    <w:rPr>
      <w:rFonts w:ascii="Arial" w:hAnsi="Arial" w:eastAsia="黑体"/>
      <w:b/>
      <w:bCs/>
      <w:sz w:val="24"/>
      <w:szCs w:val="24"/>
      <w:lang w:val="en-US" w:eastAsia="zh-CN" w:bidi="ar-SA"/>
    </w:rPr>
  </w:style>
  <w:style w:type="character" w:styleId="1083">
    <w:name w:val="标题 7 Char"/>
    <w:next w:val="1083"/>
    <w:link w:val="1070"/>
    <w:rPr>
      <w:rFonts w:eastAsia="宋体"/>
      <w:b/>
      <w:bCs/>
      <w:sz w:val="24"/>
      <w:szCs w:val="24"/>
      <w:lang w:val="en-US" w:eastAsia="zh-CN" w:bidi="ar-SA"/>
    </w:rPr>
  </w:style>
  <w:style w:type="character" w:styleId="1084">
    <w:name w:val="标题 8 Char"/>
    <w:next w:val="1084"/>
    <w:link w:val="1071"/>
    <w:rPr>
      <w:rFonts w:ascii="Arial" w:hAnsi="Arial" w:eastAsia="黑体"/>
      <w:sz w:val="24"/>
      <w:szCs w:val="24"/>
      <w:lang w:val="en-US" w:eastAsia="zh-CN" w:bidi="ar-SA"/>
    </w:rPr>
  </w:style>
  <w:style w:type="character" w:styleId="1085">
    <w:name w:val="标题 9 Char"/>
    <w:next w:val="1085"/>
    <w:link w:val="1072"/>
    <w:rPr>
      <w:rFonts w:ascii="Arial" w:hAnsi="Arial" w:eastAsia="黑体"/>
      <w:sz w:val="21"/>
      <w:szCs w:val="21"/>
      <w:lang w:val="en-US" w:eastAsia="zh-CN" w:bidi="ar-SA"/>
    </w:rPr>
  </w:style>
  <w:style w:type="paragraph" w:styleId="1086">
    <w:name w:val="列表 3"/>
    <w:basedOn w:val="1063"/>
    <w:next w:val="1086"/>
    <w:link w:val="1063"/>
    <w:pPr>
      <w:ind w:left="1260" w:hanging="420"/>
    </w:pPr>
  </w:style>
  <w:style w:type="paragraph" w:styleId="1087">
    <w:name w:val="目录 7"/>
    <w:basedOn w:val="1063"/>
    <w:next w:val="1063"/>
    <w:link w:val="1063"/>
    <w:semiHidden/>
    <w:pPr>
      <w:ind w:left="1260"/>
      <w:jc w:val="left"/>
    </w:pPr>
    <w:rPr>
      <w:sz w:val="18"/>
    </w:rPr>
  </w:style>
  <w:style w:type="paragraph" w:styleId="1088">
    <w:name w:val="列表编号 2"/>
    <w:basedOn w:val="1063"/>
    <w:next w:val="1088"/>
    <w:link w:val="1063"/>
    <w:pPr>
      <w:ind w:left="1440" w:hanging="1440"/>
      <w:spacing w:line="360" w:lineRule="auto"/>
      <w:tabs>
        <w:tab w:val="left" w:pos="1440" w:leader="none"/>
      </w:tabs>
    </w:pPr>
    <w:rPr>
      <w:sz w:val="24"/>
      <w:szCs w:val="24"/>
    </w:rPr>
  </w:style>
  <w:style w:type="paragraph" w:styleId="1089">
    <w:name w:val="索引 8"/>
    <w:basedOn w:val="1063"/>
    <w:next w:val="1063"/>
    <w:link w:val="1063"/>
    <w:semiHidden/>
    <w:pPr>
      <w:ind w:left="2940"/>
    </w:pPr>
  </w:style>
  <w:style w:type="paragraph" w:styleId="1090">
    <w:name w:val="列表编号"/>
    <w:basedOn w:val="1063"/>
    <w:next w:val="1090"/>
    <w:link w:val="1063"/>
    <w:pPr>
      <w:ind w:left="2952" w:hanging="432"/>
      <w:tabs>
        <w:tab w:val="left" w:pos="2952" w:leader="none"/>
      </w:tabs>
    </w:pPr>
    <w:rPr>
      <w:szCs w:val="24"/>
    </w:rPr>
  </w:style>
  <w:style w:type="paragraph" w:styleId="1091">
    <w:name w:val="索引 5"/>
    <w:basedOn w:val="1063"/>
    <w:next w:val="1063"/>
    <w:link w:val="1063"/>
    <w:semiHidden/>
    <w:pPr>
      <w:ind w:left="1680"/>
    </w:pPr>
  </w:style>
  <w:style w:type="paragraph" w:styleId="1092">
    <w:name w:val="列表项目符号"/>
    <w:basedOn w:val="1063"/>
    <w:next w:val="1092"/>
    <w:link w:val="1063"/>
    <w:pPr>
      <w:numPr>
        <w:ilvl w:val="0"/>
        <w:numId w:val="1"/>
      </w:numPr>
      <w:tabs>
        <w:tab w:val="left" w:pos="360" w:leader="none"/>
      </w:tabs>
    </w:pPr>
  </w:style>
  <w:style w:type="paragraph" w:styleId="1093">
    <w:name w:val="文档结构图"/>
    <w:basedOn w:val="1063"/>
    <w:next w:val="1093"/>
    <w:link w:val="1094"/>
    <w:semiHidden/>
    <w:pPr>
      <w:shd w:val="clear" w:color="auto" w:fill="000080"/>
    </w:pPr>
    <w:rPr>
      <w:rFonts w:eastAsia="宋体"/>
    </w:rPr>
  </w:style>
  <w:style w:type="character" w:styleId="1094">
    <w:name w:val="文档结构图 Char"/>
    <w:next w:val="1094"/>
    <w:link w:val="1093"/>
    <w:rPr>
      <w:rFonts w:eastAsia="宋体"/>
      <w:sz w:val="21"/>
      <w:lang w:val="en-US" w:eastAsia="zh-CN" w:bidi="ar-SA"/>
    </w:rPr>
  </w:style>
  <w:style w:type="paragraph" w:styleId="1095">
    <w:name w:val="批注文字"/>
    <w:basedOn w:val="1063"/>
    <w:next w:val="1095"/>
    <w:link w:val="1096"/>
    <w:qFormat/>
    <w:pPr>
      <w:jc w:val="left"/>
    </w:pPr>
    <w:rPr>
      <w:rFonts w:eastAsia="宋体"/>
    </w:rPr>
  </w:style>
  <w:style w:type="character" w:styleId="1096">
    <w:name w:val="批注文字 Char"/>
    <w:next w:val="1096"/>
    <w:link w:val="1095"/>
    <w:rPr>
      <w:rFonts w:eastAsia="宋体"/>
      <w:sz w:val="21"/>
      <w:lang w:val="en-US" w:eastAsia="zh-CN" w:bidi="ar-SA"/>
    </w:rPr>
  </w:style>
  <w:style w:type="paragraph" w:styleId="1097">
    <w:name w:val="索引 6"/>
    <w:basedOn w:val="1063"/>
    <w:next w:val="1063"/>
    <w:link w:val="1063"/>
    <w:semiHidden/>
    <w:pPr>
      <w:ind w:left="2100"/>
    </w:pPr>
  </w:style>
  <w:style w:type="paragraph" w:styleId="1098">
    <w:name w:val="称呼"/>
    <w:basedOn w:val="1063"/>
    <w:next w:val="1063"/>
    <w:link w:val="1063"/>
    <w:rPr>
      <w:rFonts w:ascii="仿宋_GB2312" w:eastAsia="仿宋_GB2312"/>
      <w:sz w:val="28"/>
    </w:rPr>
  </w:style>
  <w:style w:type="paragraph" w:styleId="1099">
    <w:name w:val="正文文本 3"/>
    <w:basedOn w:val="1063"/>
    <w:next w:val="1099"/>
    <w:link w:val="1063"/>
    <w:rPr>
      <w:rFonts w:ascii="仿宋_GB2312" w:hAnsi="Arial" w:eastAsia="仿宋_GB2312"/>
      <w:sz w:val="32"/>
    </w:rPr>
  </w:style>
  <w:style w:type="paragraph" w:styleId="1100">
    <w:name w:val="正文文本"/>
    <w:basedOn w:val="1063"/>
    <w:next w:val="1100"/>
    <w:link w:val="1101"/>
    <w:qFormat/>
    <w:rPr>
      <w:rFonts w:ascii="楷体_GB2312" w:hAnsi="Arial" w:eastAsia="楷体_GB2312" w:cs="Times New Roman"/>
      <w:sz w:val="28"/>
    </w:rPr>
  </w:style>
  <w:style w:type="character" w:styleId="1101">
    <w:name w:val="正文文本 Char"/>
    <w:next w:val="1101"/>
    <w:link w:val="1100"/>
    <w:rPr>
      <w:rFonts w:ascii="楷体_GB2312" w:hAnsi="Arial" w:eastAsia="楷体_GB2312"/>
      <w:sz w:val="28"/>
    </w:rPr>
  </w:style>
  <w:style w:type="paragraph" w:styleId="1102">
    <w:name w:val="正文文本缩进"/>
    <w:basedOn w:val="1063"/>
    <w:next w:val="1102"/>
    <w:link w:val="1103"/>
    <w:pPr>
      <w:ind w:firstLine="645"/>
    </w:pPr>
    <w:rPr>
      <w:rFonts w:ascii="楷体_GB2312" w:eastAsia="楷体_GB2312"/>
      <w:sz w:val="32"/>
    </w:rPr>
  </w:style>
  <w:style w:type="character" w:styleId="1103">
    <w:name w:val="正文文本缩进 Char"/>
    <w:next w:val="1103"/>
    <w:link w:val="1102"/>
    <w:rPr>
      <w:rFonts w:ascii="楷体_GB2312" w:eastAsia="楷体_GB2312"/>
      <w:sz w:val="32"/>
      <w:lang w:val="en-US" w:eastAsia="zh-CN" w:bidi="ar-SA"/>
    </w:rPr>
  </w:style>
  <w:style w:type="paragraph" w:styleId="1104">
    <w:name w:val="索引 4"/>
    <w:basedOn w:val="1063"/>
    <w:next w:val="1063"/>
    <w:link w:val="1063"/>
    <w:semiHidden/>
    <w:pPr>
      <w:ind w:left="1260"/>
    </w:pPr>
  </w:style>
  <w:style w:type="paragraph" w:styleId="1105">
    <w:name w:val="目录 5"/>
    <w:basedOn w:val="1063"/>
    <w:next w:val="1063"/>
    <w:link w:val="1063"/>
    <w:semiHidden/>
    <w:pPr>
      <w:ind w:left="840"/>
      <w:jc w:val="left"/>
    </w:pPr>
    <w:rPr>
      <w:sz w:val="18"/>
    </w:rPr>
  </w:style>
  <w:style w:type="paragraph" w:styleId="1106">
    <w:name w:val="目录 3"/>
    <w:basedOn w:val="1063"/>
    <w:next w:val="1063"/>
    <w:link w:val="1063"/>
    <w:uiPriority w:val="39"/>
    <w:pPr>
      <w:ind w:left="420"/>
      <w:jc w:val="left"/>
    </w:pPr>
    <w:rPr>
      <w:i/>
      <w:sz w:val="20"/>
    </w:rPr>
  </w:style>
  <w:style w:type="paragraph" w:styleId="1107">
    <w:name w:val="纯文本"/>
    <w:basedOn w:val="1063"/>
    <w:next w:val="1107"/>
    <w:link w:val="1108"/>
    <w:qFormat/>
    <w:rPr>
      <w:rFonts w:ascii="宋体" w:hAnsi="Courier New" w:eastAsia="宋体"/>
    </w:rPr>
  </w:style>
  <w:style w:type="character" w:styleId="1108">
    <w:name w:val="纯文本 Char"/>
    <w:next w:val="1108"/>
    <w:link w:val="1107"/>
    <w:rPr>
      <w:rFonts w:ascii="宋体" w:hAnsi="Courier New" w:eastAsia="宋体"/>
      <w:sz w:val="21"/>
      <w:lang w:val="en-US" w:eastAsia="zh-CN" w:bidi="ar-SA"/>
    </w:rPr>
  </w:style>
  <w:style w:type="paragraph" w:styleId="1109">
    <w:name w:val="目录 8"/>
    <w:basedOn w:val="1063"/>
    <w:next w:val="1063"/>
    <w:link w:val="1063"/>
    <w:semiHidden/>
    <w:pPr>
      <w:ind w:left="1470"/>
      <w:jc w:val="left"/>
    </w:pPr>
    <w:rPr>
      <w:sz w:val="18"/>
    </w:rPr>
  </w:style>
  <w:style w:type="paragraph" w:styleId="1110">
    <w:name w:val="索引 3"/>
    <w:basedOn w:val="1063"/>
    <w:next w:val="1063"/>
    <w:link w:val="1063"/>
    <w:semiHidden/>
    <w:pPr>
      <w:ind w:left="840"/>
    </w:pPr>
  </w:style>
  <w:style w:type="paragraph" w:styleId="1111">
    <w:name w:val="日期"/>
    <w:basedOn w:val="1063"/>
    <w:next w:val="1063"/>
    <w:link w:val="1063"/>
    <w:pPr>
      <w:ind w:left="100"/>
    </w:pPr>
    <w:rPr>
      <w:sz w:val="28"/>
    </w:rPr>
  </w:style>
  <w:style w:type="paragraph" w:styleId="1112">
    <w:name w:val="正文文本缩进 2"/>
    <w:basedOn w:val="1063"/>
    <w:next w:val="1112"/>
    <w:link w:val="1113"/>
    <w:pPr>
      <w:ind w:left="630" w:firstLine="645"/>
    </w:pPr>
    <w:rPr>
      <w:rFonts w:ascii="Arial" w:hAnsi="Arial" w:eastAsia="仿宋_GB2312"/>
      <w:sz w:val="32"/>
    </w:rPr>
  </w:style>
  <w:style w:type="character" w:styleId="1113">
    <w:name w:val="正文文本缩进 2 Char"/>
    <w:next w:val="1113"/>
    <w:link w:val="1112"/>
    <w:rPr>
      <w:rFonts w:ascii="Arial" w:hAnsi="Arial" w:eastAsia="仿宋_GB2312"/>
      <w:sz w:val="32"/>
      <w:lang w:val="en-US" w:eastAsia="zh-CN" w:bidi="ar-SA"/>
    </w:rPr>
  </w:style>
  <w:style w:type="paragraph" w:styleId="1114">
    <w:name w:val="尾注文本"/>
    <w:basedOn w:val="1063"/>
    <w:next w:val="1114"/>
    <w:link w:val="1063"/>
    <w:pPr>
      <w:jc w:val="left"/>
    </w:pPr>
    <w:rPr>
      <w:sz w:val="20"/>
      <w:szCs w:val="24"/>
    </w:rPr>
  </w:style>
  <w:style w:type="paragraph" w:styleId="1115">
    <w:name w:val="批注框文本"/>
    <w:basedOn w:val="1063"/>
    <w:next w:val="1115"/>
    <w:link w:val="1063"/>
    <w:semiHidden/>
    <w:rPr>
      <w:sz w:val="18"/>
      <w:szCs w:val="18"/>
    </w:rPr>
  </w:style>
  <w:style w:type="paragraph" w:styleId="1116">
    <w:name w:val="页脚"/>
    <w:basedOn w:val="1063"/>
    <w:next w:val="1116"/>
    <w:link w:val="1117"/>
    <w:pPr>
      <w:jc w:val="left"/>
      <w:tabs>
        <w:tab w:val="center" w:pos="4153" w:leader="none"/>
        <w:tab w:val="right" w:pos="8306" w:leader="none"/>
      </w:tabs>
    </w:pPr>
    <w:rPr>
      <w:rFonts w:cs="Times New Roman"/>
      <w:sz w:val="18"/>
    </w:rPr>
  </w:style>
  <w:style w:type="character" w:styleId="1117">
    <w:name w:val="页脚 Char"/>
    <w:next w:val="1117"/>
    <w:link w:val="1116"/>
    <w:rPr>
      <w:sz w:val="18"/>
    </w:rPr>
  </w:style>
  <w:style w:type="paragraph" w:styleId="1118">
    <w:name w:val="页眉"/>
    <w:basedOn w:val="1063"/>
    <w:next w:val="1118"/>
    <w:link w:val="1063"/>
    <w:pPr>
      <w:jc w:val="center"/>
      <w:tabs>
        <w:tab w:val="center" w:pos="4153" w:leader="none"/>
        <w:tab w:val="right" w:pos="8306" w:leader="none"/>
      </w:tabs>
      <w:pBdr>
        <w:bottom w:val="single" w:color="000000" w:sz="6" w:space="1"/>
      </w:pBdr>
    </w:pPr>
    <w:rPr>
      <w:sz w:val="18"/>
    </w:rPr>
  </w:style>
  <w:style w:type="paragraph" w:styleId="1119">
    <w:name w:val="签名"/>
    <w:basedOn w:val="1063"/>
    <w:next w:val="1119"/>
    <w:link w:val="1063"/>
    <w:pPr>
      <w:jc w:val="center"/>
      <w:spacing w:after="600" w:line="312" w:lineRule="atLeast"/>
    </w:pPr>
    <w:rPr>
      <w:rFonts w:eastAsia="仿宋_GB2312"/>
      <w:sz w:val="24"/>
    </w:rPr>
  </w:style>
  <w:style w:type="paragraph" w:styleId="1120">
    <w:name w:val="目录 1"/>
    <w:basedOn w:val="1063"/>
    <w:next w:val="1063"/>
    <w:link w:val="1063"/>
    <w:uiPriority w:val="39"/>
    <w:pPr>
      <w:jc w:val="left"/>
      <w:spacing w:before="120" w:after="120"/>
    </w:pPr>
    <w:rPr>
      <w:b/>
      <w:caps/>
      <w:sz w:val="20"/>
    </w:rPr>
  </w:style>
  <w:style w:type="paragraph" w:styleId="1121">
    <w:name w:val="目录 4"/>
    <w:basedOn w:val="1063"/>
    <w:next w:val="1063"/>
    <w:link w:val="1063"/>
    <w:semiHidden/>
    <w:pPr>
      <w:ind w:left="630"/>
      <w:jc w:val="left"/>
    </w:pPr>
    <w:rPr>
      <w:sz w:val="18"/>
    </w:rPr>
  </w:style>
  <w:style w:type="paragraph" w:styleId="1122">
    <w:name w:val="索引标题"/>
    <w:basedOn w:val="1063"/>
    <w:next w:val="1123"/>
    <w:link w:val="1063"/>
    <w:semiHidden/>
  </w:style>
  <w:style w:type="paragraph" w:styleId="1123">
    <w:name w:val="索引 1"/>
    <w:basedOn w:val="1063"/>
    <w:next w:val="1063"/>
    <w:link w:val="1063"/>
    <w:semiHidden/>
    <w:rPr>
      <w:rFonts w:ascii="仿宋_GB2312" w:hAnsi="宋体" w:eastAsia="仿宋_GB2312"/>
      <w:sz w:val="30"/>
      <w:szCs w:val="24"/>
    </w:rPr>
  </w:style>
  <w:style w:type="paragraph" w:styleId="1124">
    <w:name w:val="副标题"/>
    <w:basedOn w:val="1063"/>
    <w:next w:val="1063"/>
    <w:link w:val="1063"/>
    <w:qFormat/>
    <w:pPr>
      <w:jc w:val="left"/>
      <w:spacing w:after="600" w:line="276" w:lineRule="auto"/>
      <w:widowControl/>
    </w:pPr>
    <w:rPr>
      <w:rFonts w:ascii="Cambria" w:hAnsi="Cambria"/>
      <w:i/>
      <w:iCs/>
      <w:spacing w:val="13"/>
      <w:sz w:val="24"/>
      <w:szCs w:val="24"/>
      <w:lang w:eastAsia="en-US" w:bidi="en-US"/>
    </w:rPr>
  </w:style>
  <w:style w:type="paragraph" w:styleId="1125">
    <w:name w:val="列表"/>
    <w:basedOn w:val="1063"/>
    <w:next w:val="1125"/>
    <w:link w:val="1063"/>
    <w:qFormat/>
    <w:pPr>
      <w:ind w:left="420" w:hanging="420"/>
      <w:spacing w:after="20" w:line="288" w:lineRule="auto"/>
      <w:tabs>
        <w:tab w:val="left" w:pos="420" w:leader="none"/>
      </w:tabs>
    </w:pPr>
    <w:rPr>
      <w:lang w:val="en-GB"/>
    </w:rPr>
  </w:style>
  <w:style w:type="paragraph" w:styleId="1126">
    <w:name w:val="脚注文本"/>
    <w:basedOn w:val="1063"/>
    <w:next w:val="1126"/>
    <w:link w:val="1063"/>
    <w:pPr>
      <w:jc w:val="left"/>
    </w:pPr>
    <w:rPr>
      <w:sz w:val="18"/>
      <w:szCs w:val="18"/>
    </w:rPr>
  </w:style>
  <w:style w:type="paragraph" w:styleId="1127">
    <w:name w:val="目录 6"/>
    <w:basedOn w:val="1063"/>
    <w:next w:val="1063"/>
    <w:link w:val="1063"/>
    <w:semiHidden/>
    <w:pPr>
      <w:ind w:left="1050"/>
      <w:jc w:val="left"/>
    </w:pPr>
    <w:rPr>
      <w:sz w:val="18"/>
    </w:rPr>
  </w:style>
  <w:style w:type="paragraph" w:styleId="1128">
    <w:name w:val="正文文本缩进 3"/>
    <w:basedOn w:val="1063"/>
    <w:next w:val="1128"/>
    <w:link w:val="1129"/>
    <w:pPr>
      <w:ind w:left="645" w:firstLine="645"/>
    </w:pPr>
    <w:rPr>
      <w:rFonts w:ascii="Arial" w:hAnsi="Arial" w:eastAsia="仿宋_GB2312"/>
      <w:color w:val="ffff00"/>
      <w:sz w:val="32"/>
    </w:rPr>
  </w:style>
  <w:style w:type="character" w:styleId="1129">
    <w:name w:val="正文文本缩进 3 Char"/>
    <w:next w:val="1129"/>
    <w:link w:val="1128"/>
    <w:rPr>
      <w:rFonts w:ascii="Arial" w:hAnsi="Arial" w:eastAsia="仿宋_GB2312"/>
      <w:color w:val="ffff00"/>
      <w:sz w:val="32"/>
      <w:lang w:val="en-US" w:eastAsia="zh-CN" w:bidi="ar-SA"/>
    </w:rPr>
  </w:style>
  <w:style w:type="paragraph" w:styleId="1130">
    <w:name w:val="索引 7"/>
    <w:basedOn w:val="1063"/>
    <w:next w:val="1063"/>
    <w:link w:val="1063"/>
    <w:semiHidden/>
    <w:pPr>
      <w:ind w:left="2520"/>
    </w:pPr>
  </w:style>
  <w:style w:type="paragraph" w:styleId="1131">
    <w:name w:val="索引 9"/>
    <w:basedOn w:val="1063"/>
    <w:next w:val="1063"/>
    <w:link w:val="1063"/>
    <w:semiHidden/>
    <w:pPr>
      <w:ind w:left="3360"/>
    </w:pPr>
  </w:style>
  <w:style w:type="paragraph" w:styleId="1132">
    <w:name w:val="图表目录"/>
    <w:basedOn w:val="1063"/>
    <w:next w:val="1063"/>
    <w:link w:val="1063"/>
    <w:semiHidden/>
    <w:pPr>
      <w:ind w:left="840" w:hanging="420"/>
    </w:pPr>
  </w:style>
  <w:style w:type="paragraph" w:styleId="1133">
    <w:name w:val="目录 2"/>
    <w:basedOn w:val="1063"/>
    <w:next w:val="1063"/>
    <w:link w:val="1063"/>
    <w:uiPriority w:val="39"/>
    <w:pPr>
      <w:ind w:left="210"/>
      <w:jc w:val="left"/>
    </w:pPr>
    <w:rPr>
      <w:smallCaps/>
      <w:sz w:val="20"/>
    </w:rPr>
  </w:style>
  <w:style w:type="paragraph" w:styleId="1134">
    <w:name w:val="目录 9"/>
    <w:basedOn w:val="1063"/>
    <w:next w:val="1063"/>
    <w:link w:val="1063"/>
    <w:semiHidden/>
    <w:pPr>
      <w:ind w:left="1680"/>
      <w:jc w:val="left"/>
    </w:pPr>
    <w:rPr>
      <w:sz w:val="18"/>
    </w:rPr>
  </w:style>
  <w:style w:type="paragraph" w:styleId="1135">
    <w:name w:val="正文文本 2"/>
    <w:basedOn w:val="1063"/>
    <w:next w:val="1135"/>
    <w:link w:val="1063"/>
    <w:pPr>
      <w:jc w:val="center"/>
      <w:widowControl/>
    </w:pPr>
    <w:rPr>
      <w:rFonts w:ascii="楷体_GB2312" w:eastAsia="楷体_GB2312"/>
      <w:sz w:val="28"/>
    </w:rPr>
  </w:style>
  <w:style w:type="paragraph" w:styleId="1136">
    <w:name w:val="HTML 预设格式"/>
    <w:basedOn w:val="1063"/>
    <w:next w:val="1136"/>
    <w:link w:val="113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37">
    <w:name w:val="HTML 预设格式 Char"/>
    <w:next w:val="1137"/>
    <w:link w:val="1136"/>
    <w:rPr>
      <w:rFonts w:ascii="黑体" w:hAnsi="Courier New" w:eastAsia="黑体" w:cs="Courier New"/>
      <w:lang w:val="en-US" w:eastAsia="zh-CN" w:bidi="ar-SA"/>
    </w:rPr>
  </w:style>
  <w:style w:type="paragraph" w:styleId="1138">
    <w:name w:val="普通(网站)"/>
    <w:basedOn w:val="1063"/>
    <w:next w:val="1138"/>
    <w:link w:val="1063"/>
    <w:uiPriority w:val="99"/>
    <w:qFormat/>
    <w:pPr>
      <w:jc w:val="left"/>
      <w:spacing w:before="100" w:beforeAutospacing="1" w:after="100" w:afterAutospacing="1"/>
      <w:widowControl/>
    </w:pPr>
    <w:rPr>
      <w:rFonts w:ascii="Arial" w:hAnsi="Arial" w:eastAsia="Arial Unicode MS" w:cs="Arial"/>
      <w:sz w:val="24"/>
      <w:szCs w:val="24"/>
    </w:rPr>
  </w:style>
  <w:style w:type="paragraph" w:styleId="1139">
    <w:name w:val="索引 2"/>
    <w:basedOn w:val="1063"/>
    <w:next w:val="1063"/>
    <w:link w:val="1063"/>
    <w:semiHidden/>
    <w:pPr>
      <w:ind w:left="420"/>
    </w:pPr>
  </w:style>
  <w:style w:type="paragraph" w:styleId="1140">
    <w:name w:val="标题"/>
    <w:basedOn w:val="1063"/>
    <w:next w:val="1140"/>
    <w:link w:val="1141"/>
    <w:qFormat/>
    <w:pPr>
      <w:jc w:val="center"/>
      <w:spacing w:line="420" w:lineRule="exact"/>
      <w:widowControl/>
    </w:pPr>
    <w:rPr>
      <w:rFonts w:eastAsia="黑体"/>
      <w:b/>
      <w:sz w:val="28"/>
      <w:lang w:val="en-GB"/>
    </w:rPr>
  </w:style>
  <w:style w:type="character" w:styleId="1141">
    <w:name w:val="标题 Char"/>
    <w:next w:val="1141"/>
    <w:link w:val="1140"/>
    <w:rPr>
      <w:rFonts w:eastAsia="黑体"/>
      <w:b/>
      <w:sz w:val="28"/>
      <w:lang w:val="en-GB" w:eastAsia="zh-CN" w:bidi="ar-SA"/>
    </w:rPr>
  </w:style>
  <w:style w:type="paragraph" w:styleId="1142">
    <w:name w:val="批注主题"/>
    <w:basedOn w:val="1095"/>
    <w:next w:val="1095"/>
    <w:link w:val="1143"/>
    <w:semiHidden/>
    <w:rPr>
      <w:b/>
      <w:bCs/>
    </w:rPr>
  </w:style>
  <w:style w:type="character" w:styleId="1143">
    <w:name w:val="批注主题 Char"/>
    <w:next w:val="1143"/>
    <w:link w:val="1142"/>
    <w:rPr>
      <w:rFonts w:eastAsia="宋体"/>
      <w:b/>
      <w:bCs/>
      <w:sz w:val="21"/>
      <w:lang w:val="en-US" w:eastAsia="zh-CN" w:bidi="ar-SA"/>
    </w:rPr>
  </w:style>
  <w:style w:type="paragraph" w:styleId="1144">
    <w:name w:val="正文首行缩进"/>
    <w:basedOn w:val="1100"/>
    <w:next w:val="1144"/>
    <w:link w:val="1063"/>
    <w:pPr>
      <w:ind w:firstLine="420"/>
      <w:spacing w:after="120"/>
    </w:pPr>
    <w:rPr>
      <w:rFonts w:ascii="Times New Roman" w:hAnsi="Times New Roman" w:eastAsia="宋体"/>
      <w:sz w:val="21"/>
      <w:szCs w:val="24"/>
    </w:rPr>
  </w:style>
  <w:style w:type="table" w:styleId="1145">
    <w:name w:val="网格型"/>
    <w:basedOn w:val="1074"/>
    <w:next w:val="1145"/>
    <w:link w:val="1063"/>
    <w:uiPriority w:val="99"/>
    <w:qFormat/>
    <w:pPr>
      <w:jc w:val="both"/>
      <w:widowControl w:val="off"/>
    </w:pPr>
    <w:tblPr/>
  </w:style>
  <w:style w:type="character" w:styleId="1146">
    <w:name w:val="要点"/>
    <w:next w:val="1146"/>
    <w:link w:val="1063"/>
    <w:uiPriority w:val="22"/>
    <w:qFormat/>
    <w:rPr>
      <w:b/>
      <w:bCs/>
    </w:rPr>
  </w:style>
  <w:style w:type="character" w:styleId="1147">
    <w:name w:val="尾注引用"/>
    <w:next w:val="1147"/>
    <w:link w:val="1063"/>
    <w:rPr>
      <w:vertAlign w:val="superscript"/>
    </w:rPr>
  </w:style>
  <w:style w:type="character" w:styleId="1148">
    <w:name w:val="页码"/>
    <w:basedOn w:val="1073"/>
    <w:next w:val="1148"/>
    <w:link w:val="1063"/>
  </w:style>
  <w:style w:type="character" w:styleId="1149">
    <w:name w:val="已访问的超链接"/>
    <w:next w:val="1149"/>
    <w:link w:val="1063"/>
    <w:rPr>
      <w:color w:val="800080"/>
      <w:u w:val="single"/>
    </w:rPr>
  </w:style>
  <w:style w:type="character" w:styleId="1150">
    <w:name w:val="强调"/>
    <w:next w:val="1150"/>
    <w:link w:val="1063"/>
    <w:qFormat/>
    <w:rPr>
      <w:b/>
      <w:bCs/>
      <w:i/>
      <w:iCs/>
      <w:spacing w:val="10"/>
      <w:shd w:val="clear" w:color="auto" w:fill="auto"/>
    </w:rPr>
  </w:style>
  <w:style w:type="character" w:styleId="1151">
    <w:name w:val="行号"/>
    <w:next w:val="1151"/>
    <w:link w:val="1063"/>
  </w:style>
  <w:style w:type="character" w:styleId="1152">
    <w:name w:val="HTML 打字机"/>
    <w:next w:val="1152"/>
    <w:link w:val="1063"/>
    <w:rPr>
      <w:rFonts w:ascii="宋体" w:hAnsi="宋体" w:eastAsia="宋体" w:cs="宋体"/>
      <w:sz w:val="24"/>
      <w:szCs w:val="24"/>
    </w:rPr>
  </w:style>
  <w:style w:type="character" w:styleId="1153">
    <w:name w:val="超链接"/>
    <w:next w:val="1153"/>
    <w:link w:val="1063"/>
    <w:uiPriority w:val="99"/>
    <w:rPr>
      <w:color w:val="0000ff"/>
      <w:u w:val="single"/>
    </w:rPr>
  </w:style>
  <w:style w:type="character" w:styleId="1154">
    <w:name w:val="批注引用"/>
    <w:next w:val="1154"/>
    <w:link w:val="1063"/>
    <w:rPr>
      <w:sz w:val="21"/>
    </w:rPr>
  </w:style>
  <w:style w:type="character" w:styleId="1155">
    <w:name w:val="脚注引用"/>
    <w:next w:val="1155"/>
    <w:link w:val="1063"/>
    <w:rPr>
      <w:vertAlign w:val="superscript"/>
    </w:rPr>
  </w:style>
  <w:style w:type="character" w:styleId="1156">
    <w:name w:val="HTML 样本"/>
    <w:next w:val="1156"/>
    <w:link w:val="1063"/>
    <w:rPr>
      <w:rFonts w:ascii="Courier New" w:hAnsi="宋体" w:eastAsia="宋体" w:cs="Courier New"/>
    </w:rPr>
  </w:style>
  <w:style w:type="paragraph" w:styleId="1157">
    <w:name w:val="列出段落"/>
    <w:basedOn w:val="1063"/>
    <w:next w:val="1157"/>
    <w:link w:val="1158"/>
    <w:qFormat/>
    <w:pPr>
      <w:ind w:firstLine="420"/>
    </w:pPr>
    <w:rPr>
      <w:rFonts w:cs="Times New Roman"/>
      <w:szCs w:val="24"/>
    </w:rPr>
  </w:style>
  <w:style w:type="character" w:styleId="1158">
    <w:name w:val="列出段落 Char"/>
    <w:next w:val="1158"/>
    <w:link w:val="1157"/>
    <w:rPr>
      <w:sz w:val="21"/>
      <w:szCs w:val="24"/>
    </w:rPr>
  </w:style>
  <w:style w:type="character" w:styleId="1159">
    <w:name w:val="content"/>
    <w:next w:val="1159"/>
    <w:link w:val="1063"/>
  </w:style>
  <w:style w:type="character" w:styleId="1160">
    <w:name w:val=" Char Char17"/>
    <w:next w:val="1160"/>
    <w:link w:val="1063"/>
    <w:rPr>
      <w:rFonts w:ascii="宋体" w:hAnsi="Courier New"/>
      <w:sz w:val="21"/>
      <w:szCs w:val="21"/>
    </w:rPr>
  </w:style>
  <w:style w:type="character" w:styleId="1161">
    <w:name w:val="已访问的超链接1"/>
    <w:next w:val="1161"/>
    <w:link w:val="1063"/>
    <w:rPr>
      <w:color w:val="000000"/>
      <w:u w:val="none"/>
    </w:rPr>
  </w:style>
  <w:style w:type="character" w:styleId="1162">
    <w:name w:val=" Char Char24"/>
    <w:next w:val="1162"/>
    <w:link w:val="1063"/>
    <w:rPr>
      <w:b/>
      <w:bCs/>
      <w:sz w:val="28"/>
      <w:szCs w:val="28"/>
    </w:rPr>
  </w:style>
  <w:style w:type="character" w:styleId="1163">
    <w:name w:val="ih151"/>
    <w:next w:val="1163"/>
    <w:link w:val="1063"/>
    <w:rPr>
      <w:color w:val="666666"/>
      <w:sz w:val="18"/>
      <w:szCs w:val="18"/>
      <w:u w:val="none"/>
    </w:rPr>
  </w:style>
  <w:style w:type="character" w:styleId="1164">
    <w:name w:val="subtitle1"/>
    <w:next w:val="1164"/>
    <w:link w:val="1063"/>
    <w:rPr>
      <w:rFonts w:ascii="Georgia" w:hAnsi="Georgia"/>
      <w:b/>
      <w:bCs/>
      <w:color w:val="666666"/>
      <w:sz w:val="18"/>
      <w:szCs w:val="18"/>
    </w:rPr>
  </w:style>
  <w:style w:type="character" w:styleId="1165">
    <w:name w:val="2nd level Char,h2 Char,2 Char,Header 2 Char,l2 Char,Titre2 Char,Head 2 Char,H2 Char,Heading 2 Hidden Char,Heading 2 CCBS Char,heading 2 Char,第一章 标题 2 Char,ISO1 Char,UNDERRUBRIK 1-2 Char,Underrubrik1 Char,prop2 Char,Level 2 Topic Heading Char,H21 Char"/>
    <w:next w:val="1165"/>
    <w:link w:val="1063"/>
    <w:rPr>
      <w:rFonts w:ascii="Arial" w:hAnsi="Arial" w:eastAsia="黑体"/>
      <w:b/>
      <w:bCs/>
      <w:sz w:val="32"/>
      <w:szCs w:val="32"/>
      <w:lang w:val="en-US" w:eastAsia="zh-CN" w:bidi="ar-SA"/>
    </w:rPr>
  </w:style>
  <w:style w:type="character" w:styleId="1166">
    <w:name w:val="标准小四 Char Char"/>
    <w:next w:val="1166"/>
    <w:link w:val="1063"/>
    <w:rPr>
      <w:rFonts w:ascii="Arial" w:hAnsi="Arial" w:eastAsia="宋体"/>
      <w:sz w:val="24"/>
      <w:szCs w:val="21"/>
      <w:lang w:val="en-US" w:eastAsia="zh-CN" w:bidi="ar-SA"/>
    </w:rPr>
  </w:style>
  <w:style w:type="character" w:styleId="1167">
    <w:name w:val="纯文本 Char1"/>
    <w:next w:val="1167"/>
    <w:link w:val="1063"/>
    <w:rPr>
      <w:rFonts w:ascii="宋体" w:hAnsi="Courier New" w:cs="Courier New"/>
      <w:sz w:val="21"/>
      <w:szCs w:val="21"/>
    </w:rPr>
  </w:style>
  <w:style w:type="character" w:styleId="1168">
    <w:name w:val="正文缩进 Char1"/>
    <w:next w:val="1168"/>
    <w:link w:val="1169"/>
    <w:rPr>
      <w:rFonts w:eastAsia="宋体"/>
      <w:lang w:bidi="ar-SA"/>
    </w:rPr>
  </w:style>
  <w:style w:type="paragraph" w:styleId="1169">
    <w:name w:val="Normal Indent"/>
    <w:basedOn w:val="1063"/>
    <w:next w:val="1169"/>
    <w:link w:val="1168"/>
    <w:pPr>
      <w:ind w:firstLine="420"/>
    </w:pPr>
    <w:rPr>
      <w:rFonts w:eastAsia="宋体"/>
      <w:sz w:val="20"/>
    </w:rPr>
  </w:style>
  <w:style w:type="character" w:styleId="1170">
    <w:name w:val="引用 Char"/>
    <w:next w:val="1170"/>
    <w:link w:val="1171"/>
    <w:rPr>
      <w:rFonts w:ascii="Calibri" w:hAnsi="Calibri" w:eastAsia="宋体"/>
      <w:i/>
      <w:iCs/>
      <w:sz w:val="22"/>
      <w:szCs w:val="22"/>
      <w:lang w:val="en-US" w:eastAsia="en-US" w:bidi="en-US"/>
    </w:rPr>
  </w:style>
  <w:style w:type="paragraph" w:styleId="1171">
    <w:name w:val="引用"/>
    <w:basedOn w:val="1063"/>
    <w:next w:val="1063"/>
    <w:link w:val="1170"/>
    <w:qFormat/>
    <w:pPr>
      <w:ind w:left="360" w:right="360"/>
      <w:jc w:val="left"/>
      <w:spacing w:before="200" w:line="276" w:lineRule="auto"/>
      <w:widowControl/>
    </w:pPr>
    <w:rPr>
      <w:rFonts w:ascii="Calibri" w:hAnsi="Calibri" w:eastAsia="宋体"/>
      <w:i/>
      <w:iCs/>
      <w:sz w:val="22"/>
      <w:szCs w:val="22"/>
      <w:lang w:eastAsia="en-US" w:bidi="en-US"/>
    </w:rPr>
  </w:style>
  <w:style w:type="character" w:styleId="1172">
    <w:name w:val="样式 首行缩进:  2 字符 Char"/>
    <w:next w:val="1172"/>
    <w:link w:val="1063"/>
    <w:rPr>
      <w:rFonts w:eastAsia="宋体" w:cs="宋体"/>
      <w:sz w:val="24"/>
      <w:lang w:val="en-US" w:eastAsia="zh-CN" w:bidi="ar-SA"/>
    </w:rPr>
  </w:style>
  <w:style w:type="character" w:styleId="1173">
    <w:name w:val="样式 首行缩进:  2 字符 Char Char"/>
    <w:next w:val="1173"/>
    <w:link w:val="1174"/>
    <w:rPr>
      <w:rFonts w:eastAsia="宋体" w:cs="宋体"/>
      <w:sz w:val="24"/>
      <w:lang w:val="en-US" w:eastAsia="zh-CN" w:bidi="ar-SA"/>
    </w:rPr>
  </w:style>
  <w:style w:type="paragraph" w:styleId="1174">
    <w:name w:val="样式 首行缩进:  2 字符"/>
    <w:basedOn w:val="1063"/>
    <w:next w:val="1174"/>
    <w:link w:val="1173"/>
    <w:pPr>
      <w:ind w:firstLine="480"/>
      <w:spacing w:line="360" w:lineRule="auto"/>
    </w:pPr>
    <w:rPr>
      <w:rFonts w:eastAsia="宋体" w:cs="宋体"/>
      <w:sz w:val="24"/>
    </w:rPr>
  </w:style>
  <w:style w:type="character" w:styleId="1175">
    <w:name w:val=" Char Char26"/>
    <w:next w:val="1175"/>
    <w:link w:val="1063"/>
    <w:rPr>
      <w:b/>
      <w:bCs/>
      <w:sz w:val="32"/>
      <w:szCs w:val="32"/>
    </w:rPr>
  </w:style>
  <w:style w:type="character" w:styleId="117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76"/>
    <w:link w:val="1063"/>
    <w:rPr>
      <w:rFonts w:eastAsia="宋体"/>
      <w:sz w:val="21"/>
      <w:lang w:val="en-US" w:eastAsia="zh-CN" w:bidi="ar-SA"/>
    </w:rPr>
  </w:style>
  <w:style w:type="character" w:styleId="1177">
    <w:name w:val="明显强调"/>
    <w:next w:val="1177"/>
    <w:link w:val="1063"/>
    <w:qFormat/>
    <w:rPr>
      <w:b/>
      <w:bCs/>
    </w:rPr>
  </w:style>
  <w:style w:type="character" w:styleId="1178">
    <w:name w:val="listbenefit"/>
    <w:next w:val="1178"/>
    <w:link w:val="1063"/>
  </w:style>
  <w:style w:type="character" w:styleId="1179">
    <w:name w:val="111111 Char"/>
    <w:next w:val="1179"/>
    <w:link w:val="1180"/>
    <w:rPr>
      <w:rFonts w:ascii="宋体" w:hAnsi="宋体" w:eastAsia="黑体" w:cs="宋体"/>
      <w:b/>
      <w:bCs/>
      <w:sz w:val="21"/>
      <w:szCs w:val="21"/>
      <w:lang w:val="en-US" w:eastAsia="zh-CN" w:bidi="ar-SA"/>
    </w:rPr>
  </w:style>
  <w:style w:type="paragraph" w:styleId="1180">
    <w:name w:val="111111"/>
    <w:basedOn w:val="1063"/>
    <w:next w:val="1180"/>
    <w:link w:val="1179"/>
    <w:pPr>
      <w:jc w:val="center"/>
      <w:spacing w:before="120" w:after="120"/>
    </w:pPr>
    <w:rPr>
      <w:rFonts w:ascii="宋体" w:hAnsi="宋体" w:eastAsia="黑体" w:cs="宋体"/>
      <w:b/>
      <w:bCs/>
      <w:szCs w:val="21"/>
    </w:rPr>
  </w:style>
  <w:style w:type="character" w:styleId="1181">
    <w:name w:val="纯文本 Char Char"/>
    <w:next w:val="1181"/>
    <w:link w:val="1063"/>
    <w:rPr>
      <w:rFonts w:ascii="宋体" w:hAnsi="Courier New" w:eastAsia="宋体"/>
      <w:sz w:val="21"/>
      <w:szCs w:val="21"/>
      <w:lang w:val="en-US" w:eastAsia="zh-CN" w:bidi="ar-SA"/>
    </w:rPr>
  </w:style>
  <w:style w:type="character" w:styleId="1182">
    <w:name w:val="font21"/>
    <w:next w:val="1182"/>
    <w:link w:val="1063"/>
    <w:rPr>
      <w:rFonts w:ascii="Times New Roman" w:hAnsi="Times New Roman" w:cs="Times New Roman"/>
      <w:color w:val="000000"/>
      <w:sz w:val="16"/>
      <w:szCs w:val="16"/>
      <w:u w:val="none"/>
    </w:rPr>
  </w:style>
  <w:style w:type="character" w:styleId="118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3"/>
    <w:link w:val="1063"/>
    <w:rPr>
      <w:rFonts w:eastAsia="宋体"/>
      <w:b/>
      <w:bCs/>
      <w:sz w:val="32"/>
      <w:szCs w:val="32"/>
      <w:lang w:val="en-US" w:eastAsia="zh-CN" w:bidi="ar-SA"/>
    </w:rPr>
  </w:style>
  <w:style w:type="character" w:styleId="1184">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1184"/>
    <w:link w:val="1063"/>
    <w:rPr>
      <w:rFonts w:ascii="宋体" w:eastAsia="宋体"/>
      <w:sz w:val="21"/>
      <w:szCs w:val="21"/>
      <w:lang w:val="en-US" w:eastAsia="zh-CN" w:bidi="ar-SA"/>
    </w:rPr>
  </w:style>
  <w:style w:type="character" w:styleId="1185">
    <w:name w:val="A2"/>
    <w:next w:val="1185"/>
    <w:link w:val="1063"/>
    <w:rPr>
      <w:rFonts w:cs="Helvetica"/>
      <w:color w:val="000000"/>
      <w:sz w:val="18"/>
      <w:szCs w:val="18"/>
    </w:rPr>
  </w:style>
  <w:style w:type="character" w:styleId="1186">
    <w:name w:val="明显引用 Char"/>
    <w:next w:val="1186"/>
    <w:link w:val="1187"/>
    <w:rPr>
      <w:rFonts w:ascii="Calibri" w:hAnsi="Calibri" w:eastAsia="宋体"/>
      <w:b/>
      <w:bCs/>
      <w:i/>
      <w:iCs/>
      <w:sz w:val="22"/>
      <w:szCs w:val="22"/>
      <w:lang w:val="en-US" w:eastAsia="en-US" w:bidi="en-US"/>
    </w:rPr>
  </w:style>
  <w:style w:type="paragraph" w:styleId="1187">
    <w:name w:val="明显引用"/>
    <w:basedOn w:val="1063"/>
    <w:next w:val="1063"/>
    <w:link w:val="1186"/>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188">
    <w:name w:val="小四 段落 宋体 Char Char Char Char Char"/>
    <w:next w:val="1188"/>
    <w:link w:val="1063"/>
    <w:rPr>
      <w:rFonts w:eastAsia="宋体"/>
      <w:sz w:val="24"/>
      <w:szCs w:val="24"/>
      <w:lang w:val="en-US" w:eastAsia="zh-CN" w:bidi="ar-SA"/>
    </w:rPr>
  </w:style>
  <w:style w:type="character" w:styleId="1189">
    <w:name w:val="h Char Char"/>
    <w:next w:val="1189"/>
    <w:link w:val="1063"/>
    <w:rPr>
      <w:rFonts w:eastAsia="宋体"/>
      <w:sz w:val="18"/>
      <w:szCs w:val="18"/>
      <w:lang w:val="en-US" w:eastAsia="zh-CN" w:bidi="ar-SA"/>
    </w:rPr>
  </w:style>
  <w:style w:type="character" w:styleId="1190">
    <w:name w:val="concon"/>
    <w:next w:val="1190"/>
    <w:link w:val="1063"/>
  </w:style>
  <w:style w:type="character" w:styleId="1191">
    <w:name w:val="表格抬头 Char"/>
    <w:next w:val="1191"/>
    <w:link w:val="1192"/>
    <w:rPr>
      <w:rFonts w:ascii="黑体" w:eastAsia="黑体"/>
      <w:b/>
      <w:sz w:val="21"/>
      <w:lang w:bidi="ar-SA"/>
    </w:rPr>
  </w:style>
  <w:style w:type="paragraph" w:styleId="1192">
    <w:name w:val="表格抬头"/>
    <w:basedOn w:val="1063"/>
    <w:next w:val="1192"/>
    <w:link w:val="1191"/>
    <w:pPr>
      <w:jc w:val="center"/>
    </w:pPr>
    <w:rPr>
      <w:rFonts w:ascii="黑体" w:eastAsia="黑体"/>
      <w:b/>
    </w:rPr>
  </w:style>
  <w:style w:type="character" w:styleId="1193">
    <w:name w:val="标准小四 Char"/>
    <w:next w:val="1193"/>
    <w:link w:val="1063"/>
    <w:rPr>
      <w:rFonts w:ascii="Arial" w:hAnsi="Arial" w:eastAsia="宋体"/>
      <w:sz w:val="24"/>
      <w:szCs w:val="21"/>
      <w:lang w:val="en-US" w:eastAsia="zh-CN" w:bidi="ar-SA"/>
    </w:rPr>
  </w:style>
  <w:style w:type="character" w:styleId="1194">
    <w:name w:val="param-value"/>
    <w:next w:val="1194"/>
    <w:link w:val="1063"/>
  </w:style>
  <w:style w:type="character" w:styleId="1195">
    <w:name w:val="书籍标题"/>
    <w:next w:val="1195"/>
    <w:link w:val="1063"/>
    <w:qFormat/>
    <w:rPr>
      <w:i/>
      <w:iCs/>
      <w:smallCaps/>
      <w:spacing w:val="5"/>
    </w:rPr>
  </w:style>
  <w:style w:type="character" w:styleId="1196">
    <w:name w:val="纯文本 Char Char Char1"/>
    <w:next w:val="1196"/>
    <w:link w:val="1063"/>
    <w:rPr>
      <w:rFonts w:ascii="宋体" w:hAnsi="Courier New" w:eastAsia="宋体"/>
      <w:sz w:val="21"/>
      <w:szCs w:val="21"/>
      <w:lang w:val="en-US" w:eastAsia="zh-CN" w:bidi="ar-SA"/>
    </w:rPr>
  </w:style>
  <w:style w:type="character" w:styleId="1197">
    <w:name w:val="小四 段落 宋体 Char Char Char Char Char Char"/>
    <w:next w:val="1197"/>
    <w:link w:val="1063"/>
    <w:rPr>
      <w:rFonts w:eastAsia="宋体"/>
      <w:sz w:val="24"/>
      <w:szCs w:val="24"/>
      <w:lang w:val="en-US" w:eastAsia="zh-CN" w:bidi="ar-SA"/>
    </w:rPr>
  </w:style>
  <w:style w:type="character" w:styleId="1198">
    <w:name w:val="不明显强调"/>
    <w:next w:val="1198"/>
    <w:link w:val="1063"/>
    <w:qFormat/>
    <w:rPr>
      <w:i/>
      <w:iCs/>
    </w:rPr>
  </w:style>
  <w:style w:type="character" w:styleId="1199">
    <w:name w:val="标准文本 Char"/>
    <w:next w:val="1199"/>
    <w:link w:val="1063"/>
    <w:rPr>
      <w:rFonts w:eastAsia="宋体" w:cs="宋体"/>
      <w:sz w:val="24"/>
      <w:szCs w:val="24"/>
      <w:lang w:val="en-US" w:eastAsia="zh-CN" w:bidi="ar-SA"/>
    </w:rPr>
  </w:style>
  <w:style w:type="character" w:styleId="1200">
    <w:name w:val=" Char Char29"/>
    <w:next w:val="1200"/>
    <w:link w:val="1063"/>
    <w:rPr>
      <w:rFonts w:ascii="Times New Roman" w:hAnsi="Times New Roman" w:eastAsia="宋体" w:cs="Times New Roman"/>
      <w:b/>
      <w:bCs/>
      <w:sz w:val="44"/>
      <w:szCs w:val="44"/>
    </w:rPr>
  </w:style>
  <w:style w:type="character" w:styleId="1201">
    <w:name w:val="小四 段落 宋体 Char1"/>
    <w:next w:val="1201"/>
    <w:link w:val="1063"/>
    <w:rPr>
      <w:rFonts w:eastAsia="宋体"/>
      <w:sz w:val="24"/>
      <w:szCs w:val="24"/>
      <w:lang w:val="en-US" w:eastAsia="zh-CN" w:bidi="ar-SA"/>
    </w:rPr>
  </w:style>
  <w:style w:type="character" w:styleId="1202">
    <w:name w:val="明显参考"/>
    <w:next w:val="1202"/>
    <w:link w:val="1063"/>
    <w:qFormat/>
    <w:rPr>
      <w:smallCaps/>
      <w:spacing w:val="5"/>
      <w:u w:val="single"/>
    </w:rPr>
  </w:style>
  <w:style w:type="character" w:styleId="1203">
    <w:name w:val=" Char Char28"/>
    <w:next w:val="1203"/>
    <w:link w:val="1063"/>
    <w:rPr>
      <w:rFonts w:ascii="Arial" w:hAnsi="Arial" w:eastAsia="黑体" w:cs="Arial"/>
      <w:b/>
      <w:bCs/>
      <w:sz w:val="32"/>
      <w:szCs w:val="32"/>
    </w:rPr>
  </w:style>
  <w:style w:type="character" w:styleId="1204">
    <w:name w:val="小四 段落 宋体 Char Char Char1"/>
    <w:next w:val="1204"/>
    <w:link w:val="1063"/>
    <w:rPr>
      <w:rFonts w:ascii="宋体" w:hAnsi="宋体" w:eastAsia="宋体"/>
      <w:sz w:val="24"/>
      <w:szCs w:val="24"/>
      <w:lang w:val="en-US" w:eastAsia="zh-CN" w:bidi="ar-SA"/>
    </w:rPr>
  </w:style>
  <w:style w:type="character" w:styleId="1205">
    <w:name w:val="标题 3 Char Char"/>
    <w:next w:val="1205"/>
    <w:link w:val="1063"/>
    <w:rPr>
      <w:rFonts w:eastAsia="仿宋_GB2312"/>
      <w:b/>
      <w:bCs/>
      <w:sz w:val="28"/>
      <w:szCs w:val="32"/>
      <w:lang w:val="en-US" w:eastAsia="zh-CN" w:bidi="ar-SA"/>
    </w:rPr>
  </w:style>
  <w:style w:type="character" w:styleId="1206">
    <w:name w:val="para_small"/>
    <w:next w:val="1206"/>
    <w:link w:val="1063"/>
  </w:style>
  <w:style w:type="character" w:styleId="1207">
    <w:name w:val=" Char Char2"/>
    <w:next w:val="1207"/>
    <w:link w:val="1063"/>
    <w:rPr>
      <w:rFonts w:ascii="宋体" w:hAnsi="Courier New" w:eastAsia="宋体"/>
      <w:sz w:val="21"/>
      <w:szCs w:val="21"/>
      <w:lang w:val="en-US" w:eastAsia="zh-CN" w:bidi="ar-SA"/>
    </w:rPr>
  </w:style>
  <w:style w:type="character" w:styleId="1208">
    <w:name w:val="标题 3 Char,h3 Char,3rd level Char,3 Char,标题4 Char,Heading 3 - old Char,标题 3 Char1,正文 + 小三 Char,H3 Char,sect1.2.3 Char,BOD 0 Char,l3 Char,CT Char,Level 3 Head Char,3rd lev...] Char Char,heading 3 Char,123456 Char,F Char Char,Map Char,H31 Char,level_3 Char"/>
    <w:next w:val="1208"/>
    <w:link w:val="1063"/>
    <w:rPr>
      <w:rFonts w:ascii="宋体" w:hAnsi="宋体" w:eastAsia="宋体"/>
      <w:b/>
      <w:bCs/>
      <w:sz w:val="24"/>
      <w:szCs w:val="32"/>
      <w:lang w:val="en-US" w:eastAsia="zh-CN" w:bidi="ar-SA"/>
    </w:rPr>
  </w:style>
  <w:style w:type="character" w:styleId="1209">
    <w:name w:val="表头 Char"/>
    <w:next w:val="1209"/>
    <w:link w:val="1210"/>
    <w:rPr>
      <w:rFonts w:eastAsia="黑体"/>
      <w:spacing w:val="-10"/>
      <w:sz w:val="21"/>
    </w:rPr>
  </w:style>
  <w:style w:type="paragraph" w:styleId="1210">
    <w:name w:val="表头"/>
    <w:basedOn w:val="1063"/>
    <w:next w:val="1210"/>
    <w:link w:val="1209"/>
    <w:pPr>
      <w:jc w:val="center"/>
      <w:spacing w:line="320" w:lineRule="atLeast"/>
    </w:pPr>
    <w:rPr>
      <w:rFonts w:eastAsia="黑体" w:cs="Times New Roman"/>
      <w:spacing w:val="-10"/>
    </w:rPr>
  </w:style>
  <w:style w:type="character" w:styleId="1211">
    <w:name w:val="小四 段落 宋体 Char Char Char Char Char Char Char Char"/>
    <w:next w:val="1211"/>
    <w:link w:val="1063"/>
    <w:rPr>
      <w:rFonts w:eastAsia="宋体"/>
      <w:sz w:val="24"/>
      <w:szCs w:val="24"/>
      <w:lang w:val="en-US" w:eastAsia="zh-CN" w:bidi="ar-SA"/>
    </w:rPr>
  </w:style>
  <w:style w:type="character" w:styleId="1212">
    <w:name w:val="标题 Char1"/>
    <w:next w:val="1212"/>
    <w:link w:val="1063"/>
    <w:rPr>
      <w:rFonts w:ascii="Cambria" w:eastAsia="宋体" w:cs="Times New Roman"/>
      <w:b/>
      <w:bCs/>
      <w:sz w:val="32"/>
      <w:szCs w:val="32"/>
    </w:rPr>
  </w:style>
  <w:style w:type="character" w:styleId="1213">
    <w:name w:val="不明显参考"/>
    <w:next w:val="1213"/>
    <w:link w:val="1063"/>
    <w:qFormat/>
    <w:rPr>
      <w:smallCaps/>
    </w:rPr>
  </w:style>
  <w:style w:type="character" w:styleId="1214">
    <w:name w:val="表蕊 Char1"/>
    <w:next w:val="1214"/>
    <w:link w:val="1215"/>
    <w:rPr>
      <w:rFonts w:eastAsia="楷体_GB2312"/>
      <w:spacing w:val="-10"/>
      <w:sz w:val="21"/>
    </w:rPr>
  </w:style>
  <w:style w:type="paragraph" w:styleId="1215">
    <w:name w:val="表蕊"/>
    <w:basedOn w:val="1063"/>
    <w:next w:val="1215"/>
    <w:link w:val="1214"/>
    <w:pPr>
      <w:jc w:val="left"/>
      <w:spacing w:line="320" w:lineRule="atLeast"/>
    </w:pPr>
    <w:rPr>
      <w:rFonts w:eastAsia="楷体_GB2312" w:cs="Times New Roman"/>
      <w:spacing w:val="-10"/>
    </w:rPr>
  </w:style>
  <w:style w:type="character" w:styleId="1216">
    <w:name w:val="正文 + 宋体 Char,小四 Char,黑色 Char,行距: 1.5 倍行距 Char"/>
    <w:next w:val="1216"/>
    <w:link w:val="1063"/>
    <w:rPr>
      <w:rFonts w:eastAsia="宋体"/>
      <w:sz w:val="21"/>
      <w:szCs w:val="24"/>
      <w:lang w:val="en-US" w:eastAsia="zh-CN" w:bidi="ar-SA"/>
    </w:rPr>
  </w:style>
  <w:style w:type="character" w:styleId="1217">
    <w:name w:val=" Char Char21"/>
    <w:next w:val="1217"/>
    <w:link w:val="1063"/>
    <w:rPr>
      <w:rFonts w:ascii="Arial" w:hAnsi="Arial" w:eastAsia="黑体"/>
      <w:sz w:val="24"/>
      <w:szCs w:val="24"/>
    </w:rPr>
  </w:style>
  <w:style w:type="character" w:styleId="1218">
    <w:name w:val="无间隔 Char"/>
    <w:next w:val="1218"/>
    <w:link w:val="1219"/>
    <w:rPr>
      <w:rFonts w:eastAsia="微软雅黑"/>
      <w:sz w:val="24"/>
      <w:szCs w:val="22"/>
      <w:lang w:val="en-US" w:eastAsia="zh-CN" w:bidi="ar-SA"/>
    </w:rPr>
  </w:style>
  <w:style w:type="paragraph" w:styleId="1219">
    <w:name w:val="无间隔"/>
    <w:next w:val="1219"/>
    <w:link w:val="1218"/>
    <w:qFormat/>
    <w:pPr>
      <w:jc w:val="both"/>
      <w:widowControl w:val="off"/>
    </w:pPr>
    <w:rPr>
      <w:rFonts w:eastAsia="微软雅黑"/>
      <w:sz w:val="24"/>
      <w:szCs w:val="22"/>
      <w:lang w:val="en-US" w:eastAsia="zh-CN" w:bidi="ar-SA"/>
    </w:rPr>
  </w:style>
  <w:style w:type="character" w:styleId="1220">
    <w:name w:val="style131"/>
    <w:next w:val="1220"/>
    <w:link w:val="1063"/>
    <w:rPr>
      <w:rFonts w:cs="Times New Roman"/>
      <w:sz w:val="18"/>
      <w:szCs w:val="18"/>
    </w:rPr>
  </w:style>
  <w:style w:type="character" w:styleId="1221">
    <w:name w:val="纯文本 Char Char Char"/>
    <w:next w:val="1221"/>
    <w:link w:val="1063"/>
    <w:rPr>
      <w:rFonts w:ascii="宋体" w:hAnsi="Courier New" w:eastAsia="宋体"/>
      <w:sz w:val="21"/>
      <w:szCs w:val="21"/>
      <w:lang w:val="en-US" w:eastAsia="zh-CN" w:bidi="ar-SA"/>
    </w:rPr>
  </w:style>
  <w:style w:type="character" w:styleId="1222">
    <w:name w:val="title_emph1"/>
    <w:next w:val="1222"/>
    <w:link w:val="1063"/>
    <w:rPr>
      <w:rFonts w:ascii="Arial" w:cs="Arial"/>
      <w:b/>
      <w:bCs/>
      <w:sz w:val="18"/>
      <w:szCs w:val="18"/>
    </w:rPr>
  </w:style>
  <w:style w:type="character" w:styleId="1223">
    <w:name w:val="content_lineheight1"/>
    <w:next w:val="1223"/>
    <w:link w:val="1063"/>
  </w:style>
  <w:style w:type="character" w:styleId="1224">
    <w:name w:val="case31"/>
    <w:next w:val="1224"/>
    <w:link w:val="1063"/>
    <w:rPr>
      <w:sz w:val="21"/>
      <w:szCs w:val="21"/>
    </w:rPr>
  </w:style>
  <w:style w:type="character" w:styleId="1225">
    <w:name w:val="style13"/>
    <w:next w:val="1225"/>
    <w:link w:val="1063"/>
    <w:rPr>
      <w:sz w:val="18"/>
      <w:szCs w:val="18"/>
    </w:rPr>
  </w:style>
  <w:style w:type="character" w:styleId="1226">
    <w:name w:val="Title1 Char,H1 Char,Normal + Font: Helvetica Char,Bold Char,Space Before 12 pt Char,Not Bold Char,h1 Char,H11 Char,H12 Char,H111 Char,H13 Char,H112 Char,1 Char,h:1 Char,h:1app Char,level 1 Char,Level 1 Head Char,heading 1 Char,Huvudrubrik Char,章 Char"/>
    <w:next w:val="1226"/>
    <w:link w:val="1063"/>
    <w:rPr>
      <w:rFonts w:eastAsia="宋体"/>
      <w:b/>
      <w:bCs/>
      <w:sz w:val="44"/>
      <w:szCs w:val="44"/>
      <w:lang w:val="en-US" w:eastAsia="zh-CN" w:bidi="ar-SA"/>
    </w:rPr>
  </w:style>
  <w:style w:type="character" w:styleId="1227">
    <w:name w:val="apple-converted-space"/>
    <w:next w:val="1227"/>
    <w:link w:val="1063"/>
  </w:style>
  <w:style w:type="character" w:styleId="1228">
    <w:name w:val="point_normal1"/>
    <w:next w:val="1228"/>
    <w:link w:val="1063"/>
    <w:rPr>
      <w:rFonts w:ascii="Arial" w:hAnsi="Arial" w:cs="Arial"/>
      <w:sz w:val="18"/>
      <w:szCs w:val="18"/>
    </w:rPr>
  </w:style>
  <w:style w:type="character" w:styleId="1229">
    <w:name w:val="二级目录 Char Char"/>
    <w:next w:val="1229"/>
    <w:link w:val="1230"/>
    <w:rPr>
      <w:b/>
      <w:sz w:val="30"/>
      <w:szCs w:val="28"/>
      <w:lang w:val="en-US" w:eastAsia="zh-CN" w:bidi="ar-SA"/>
    </w:rPr>
  </w:style>
  <w:style w:type="paragraph" w:styleId="1230">
    <w:name w:val="二级目录"/>
    <w:next w:val="1063"/>
    <w:link w:val="1229"/>
    <w:pPr>
      <w:numPr>
        <w:ilvl w:val="0"/>
        <w:numId w:val="2"/>
      </w:numPr>
      <w:ind w:left="0" w:firstLine="0"/>
      <w:tabs>
        <w:tab w:val="left" w:pos="360" w:leader="none"/>
        <w:tab w:val="left" w:pos="720" w:leader="none"/>
      </w:tabs>
      <w:outlineLvl w:val="1"/>
    </w:pPr>
    <w:rPr>
      <w:b/>
      <w:sz w:val="30"/>
      <w:szCs w:val="28"/>
      <w:lang w:val="en-US" w:eastAsia="zh-CN" w:bidi="ar-SA"/>
    </w:rPr>
  </w:style>
  <w:style w:type="character" w:styleId="1231">
    <w:name w:val="新图表正文 Char Char"/>
    <w:next w:val="1231"/>
    <w:link w:val="1232"/>
    <w:rPr>
      <w:rFonts w:ascii="宋体" w:hAnsi="宋体"/>
      <w:sz w:val="18"/>
      <w:szCs w:val="21"/>
      <w:lang w:val="en-US" w:eastAsia="zh-CN" w:bidi="ar-SA"/>
    </w:rPr>
  </w:style>
  <w:style w:type="paragraph" w:styleId="1232">
    <w:name w:val="新图表正文"/>
    <w:next w:val="1232"/>
    <w:link w:val="1231"/>
    <w:pPr>
      <w:jc w:val="both"/>
    </w:pPr>
    <w:rPr>
      <w:rFonts w:ascii="宋体" w:hAnsi="宋体"/>
      <w:sz w:val="18"/>
      <w:szCs w:val="21"/>
      <w:lang w:val="en-US" w:eastAsia="zh-CN" w:bidi="ar-SA"/>
    </w:rPr>
  </w:style>
  <w:style w:type="character" w:styleId="1233">
    <w:name w:val="标准文本 Char Char"/>
    <w:next w:val="1233"/>
    <w:link w:val="1063"/>
    <w:rPr>
      <w:rFonts w:eastAsia="宋体" w:cs="宋体"/>
      <w:sz w:val="24"/>
      <w:szCs w:val="24"/>
      <w:lang w:val="en-US" w:eastAsia="zh-CN" w:bidi="ar-SA"/>
    </w:rPr>
  </w:style>
  <w:style w:type="character" w:styleId="1234">
    <w:name w:val="华宇段落1 Char Char Char"/>
    <w:next w:val="1234"/>
    <w:link w:val="1063"/>
    <w:rPr>
      <w:rFonts w:eastAsia="宋体"/>
      <w:bCs/>
      <w:sz w:val="24"/>
      <w:szCs w:val="24"/>
      <w:lang w:val="en-US" w:eastAsia="zh-CN" w:bidi="ar-SA"/>
    </w:rPr>
  </w:style>
  <w:style w:type="character" w:styleId="1235">
    <w:name w:val="textcontents"/>
    <w:next w:val="1235"/>
    <w:link w:val="1063"/>
  </w:style>
  <w:style w:type="character" w:styleId="1236">
    <w:name w:val="样式 宋体 小四"/>
    <w:next w:val="1236"/>
    <w:link w:val="1063"/>
    <w:rPr>
      <w:rFonts w:ascii="宋体" w:hAnsi="宋体"/>
      <w:sz w:val="24"/>
    </w:rPr>
  </w:style>
  <w:style w:type="character" w:styleId="1237">
    <w:name w:val=" Char Char27"/>
    <w:next w:val="1237"/>
    <w:link w:val="1063"/>
    <w:rPr>
      <w:b/>
      <w:bCs/>
      <w:sz w:val="44"/>
      <w:szCs w:val="44"/>
    </w:rPr>
  </w:style>
  <w:style w:type="character" w:styleId="1238">
    <w:name w:val=" Char Char22"/>
    <w:next w:val="1238"/>
    <w:link w:val="1063"/>
    <w:rPr>
      <w:b/>
      <w:bCs/>
      <w:sz w:val="24"/>
      <w:szCs w:val="24"/>
    </w:rPr>
  </w:style>
  <w:style w:type="character" w:styleId="1239">
    <w:name w:val="t1"/>
    <w:next w:val="1239"/>
    <w:link w:val="1063"/>
  </w:style>
  <w:style w:type="character" w:styleId="1240">
    <w:name w:val=" Char Char25"/>
    <w:next w:val="1240"/>
    <w:link w:val="1063"/>
    <w:rPr>
      <w:rFonts w:ascii="Arial" w:hAnsi="Arial" w:eastAsia="黑体"/>
      <w:b/>
      <w:sz w:val="28"/>
    </w:rPr>
  </w:style>
  <w:style w:type="character" w:styleId="1241">
    <w:name w:val="3zw"/>
    <w:next w:val="1241"/>
    <w:link w:val="1063"/>
  </w:style>
  <w:style w:type="character" w:styleId="1242">
    <w:name w:val="小四 段落 宋体 Char Char Char Char1"/>
    <w:next w:val="1242"/>
    <w:link w:val="1063"/>
    <w:rPr>
      <w:rFonts w:eastAsia="宋体"/>
      <w:sz w:val="24"/>
      <w:szCs w:val="24"/>
      <w:lang w:val="en-US" w:eastAsia="zh-CN" w:bidi="ar-SA"/>
    </w:rPr>
  </w:style>
  <w:style w:type="character" w:styleId="1243">
    <w:name w:val="样式 非加粗"/>
    <w:next w:val="1243"/>
    <w:link w:val="1063"/>
    <w:rPr>
      <w:rFonts w:eastAsia="宋体"/>
      <w:sz w:val="28"/>
    </w:rPr>
  </w:style>
  <w:style w:type="character" w:styleId="1244">
    <w:name w:val=" Char Char20"/>
    <w:next w:val="1244"/>
    <w:link w:val="1063"/>
    <w:rPr>
      <w:rFonts w:ascii="Arial" w:hAnsi="Arial" w:eastAsia="黑体"/>
      <w:sz w:val="21"/>
      <w:szCs w:val="21"/>
    </w:rPr>
  </w:style>
  <w:style w:type="character" w:styleId="1245">
    <w:name w:val=" Char Char23"/>
    <w:next w:val="1245"/>
    <w:link w:val="1063"/>
    <w:rPr>
      <w:rFonts w:ascii="Arial" w:hAnsi="Arial" w:eastAsia="黑体"/>
      <w:b/>
      <w:bCs/>
      <w:sz w:val="24"/>
      <w:szCs w:val="24"/>
    </w:rPr>
  </w:style>
  <w:style w:type="character" w:styleId="1246">
    <w:name w:val="normalfont1"/>
    <w:next w:val="1246"/>
    <w:link w:val="1063"/>
    <w:rPr>
      <w:rFonts w:ascii="ˎ̥" w:hAnsi="ˎ̥"/>
      <w:sz w:val="18"/>
      <w:szCs w:val="18"/>
      <w:u w:val="none"/>
    </w:rPr>
  </w:style>
  <w:style w:type="character" w:styleId="1247">
    <w:name w:val="华宇段落1 Char Char"/>
    <w:next w:val="1247"/>
    <w:link w:val="1063"/>
    <w:rPr>
      <w:rFonts w:eastAsia="宋体"/>
      <w:bCs/>
      <w:sz w:val="24"/>
      <w:szCs w:val="24"/>
      <w:lang w:val="en-US" w:eastAsia="zh-CN" w:bidi="ar-SA"/>
    </w:rPr>
  </w:style>
  <w:style w:type="paragraph" w:styleId="1248">
    <w:name w:val="段 Char"/>
    <w:next w:val="1248"/>
    <w:link w:val="1063"/>
    <w:pPr>
      <w:ind w:firstLine="200"/>
      <w:jc w:val="both"/>
    </w:pPr>
    <w:rPr>
      <w:rFonts w:ascii="宋体"/>
      <w:sz w:val="21"/>
      <w:lang w:val="en-US" w:eastAsia="zh-CN" w:bidi="ar-SA"/>
    </w:rPr>
  </w:style>
  <w:style w:type="paragraph" w:styleId="1249">
    <w:name w:val="标题4，章节第四层"/>
    <w:basedOn w:val="1063"/>
    <w:next w:val="1063"/>
    <w:link w:val="1063"/>
    <w:pPr>
      <w:spacing w:line="360" w:lineRule="auto"/>
      <w:tabs>
        <w:tab w:val="left" w:pos="0" w:leader="none"/>
      </w:tabs>
      <w:outlineLvl w:val="3"/>
    </w:pPr>
    <w:rPr>
      <w:rFonts w:ascii="宋体" w:hAnsi="宋体"/>
      <w:b/>
      <w:sz w:val="24"/>
      <w:szCs w:val="24"/>
    </w:rPr>
  </w:style>
  <w:style w:type="paragraph" w:styleId="1250">
    <w:name w:val="样式 加点正文 + 段前: 0.5 行 段后: 0.5 行1"/>
    <w:basedOn w:val="1063"/>
    <w:next w:val="1250"/>
    <w:link w:val="1063"/>
    <w:pPr>
      <w:numPr>
        <w:ilvl w:val="0"/>
        <w:numId w:val="3"/>
      </w:numPr>
      <w:ind w:left="1268"/>
      <w:spacing w:before="156" w:after="156" w:line="300" w:lineRule="auto"/>
      <w:tabs>
        <w:tab w:val="left" w:pos="420" w:leader="none"/>
        <w:tab w:val="left" w:pos="1268" w:leader="none"/>
      </w:tabs>
    </w:pPr>
    <w:rPr>
      <w:sz w:val="24"/>
    </w:rPr>
  </w:style>
  <w:style w:type="paragraph" w:styleId="1251">
    <w:name w:val="样式2"/>
    <w:basedOn w:val="1063"/>
    <w:next w:val="1251"/>
    <w:link w:val="1063"/>
    <w:pPr>
      <w:ind w:left="200"/>
      <w:spacing w:line="360" w:lineRule="auto"/>
    </w:pPr>
    <w:rPr>
      <w:rFonts w:ascii="宋体" w:hAnsi="宋体"/>
      <w:b/>
      <w:sz w:val="24"/>
      <w:szCs w:val="24"/>
    </w:rPr>
  </w:style>
  <w:style w:type="paragraph" w:styleId="1252">
    <w:name w:val="小四 段落 宋体 Char Char"/>
    <w:basedOn w:val="1063"/>
    <w:next w:val="1252"/>
    <w:link w:val="1063"/>
    <w:pPr>
      <w:ind w:firstLine="480"/>
      <w:spacing w:line="360" w:lineRule="auto"/>
    </w:pPr>
    <w:rPr>
      <w:rFonts w:ascii="宋体" w:hAnsi="宋体"/>
      <w:sz w:val="24"/>
      <w:szCs w:val="24"/>
    </w:rPr>
  </w:style>
  <w:style w:type="paragraph" w:styleId="1253">
    <w:name w:val="xl42"/>
    <w:basedOn w:val="1063"/>
    <w:next w:val="1253"/>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4">
    <w:name w:val="Char Char Char Char Char Char Char Char Char Char Char Char Char Char Char Char Char Char Char Char Char"/>
    <w:basedOn w:val="1063"/>
    <w:next w:val="1254"/>
    <w:link w:val="1063"/>
    <w:rPr>
      <w:rFonts w:ascii="Tahoma" w:hAnsi="Tahoma" w:cs="Tahoma"/>
      <w:sz w:val="24"/>
    </w:rPr>
  </w:style>
  <w:style w:type="paragraph" w:styleId="1255">
    <w:name w:val="正文 + Arial Char"/>
    <w:basedOn w:val="1063"/>
    <w:next w:val="1255"/>
    <w:link w:val="1063"/>
    <w:pPr>
      <w:ind w:left="315" w:hanging="315"/>
      <w:spacing w:line="300" w:lineRule="auto"/>
      <w:widowControl/>
      <w:tabs>
        <w:tab w:val="left" w:pos="315" w:leader="none"/>
      </w:tabs>
    </w:pPr>
    <w:rPr>
      <w:rFonts w:ascii="Arial" w:hAnsi="Arial" w:cs="Arial"/>
      <w:b/>
      <w:color w:val="000000"/>
    </w:rPr>
  </w:style>
  <w:style w:type="paragraph" w:styleId="1256">
    <w:name w:val="Char Char"/>
    <w:basedOn w:val="1063"/>
    <w:next w:val="1256"/>
    <w:link w:val="1063"/>
    <w:rPr>
      <w:rFonts w:ascii="Tahoma" w:hAnsi="Tahoma" w:cs="Tahoma"/>
      <w:sz w:val="24"/>
    </w:rPr>
  </w:style>
  <w:style w:type="paragraph" w:styleId="1257">
    <w:name w:val="xl60"/>
    <w:basedOn w:val="1063"/>
    <w:next w:val="1257"/>
    <w:link w:val="106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8">
    <w:name w:val="xl27"/>
    <w:basedOn w:val="1063"/>
    <w:next w:val="1258"/>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9">
    <w:name w:val="标题2，章节第二层"/>
    <w:basedOn w:val="1063"/>
    <w:next w:val="1260"/>
    <w:link w:val="106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60">
    <w:name w:val="正文格式"/>
    <w:basedOn w:val="1063"/>
    <w:next w:val="1260"/>
    <w:link w:val="1063"/>
    <w:pPr>
      <w:ind w:left="178" w:right="44" w:hanging="178"/>
      <w:jc w:val="left"/>
      <w:spacing w:before="78" w:line="360" w:lineRule="auto"/>
      <w:widowControl/>
    </w:pPr>
    <w:rPr>
      <w:rFonts w:ascii="宋体" w:hAnsi="宋体"/>
      <w:bCs/>
      <w:szCs w:val="21"/>
    </w:rPr>
  </w:style>
  <w:style w:type="paragraph" w:styleId="1261">
    <w:name w:val="标题 4宋体"/>
    <w:basedOn w:val="1067"/>
    <w:next w:val="1261"/>
    <w:link w:val="1063"/>
    <w:pPr>
      <w:jc w:val="left"/>
      <w:keepLines w:val="0"/>
      <w:spacing w:before="0" w:after="0" w:line="360" w:lineRule="auto"/>
    </w:pPr>
    <w:rPr>
      <w:rFonts w:ascii="宋体" w:hAnsi="宋体" w:eastAsia="宋体"/>
      <w:bCs/>
      <w:color w:val="000000"/>
      <w:sz w:val="24"/>
    </w:rPr>
  </w:style>
  <w:style w:type="paragraph" w:styleId="1262">
    <w:name w:val="列出段落1"/>
    <w:basedOn w:val="1063"/>
    <w:next w:val="1262"/>
    <w:link w:val="1063"/>
    <w:pPr>
      <w:contextualSpacing/>
      <w:ind w:left="720"/>
      <w:jc w:val="left"/>
      <w:widowControl/>
    </w:pPr>
    <w:rPr>
      <w:rFonts w:ascii="Arial" w:hAnsi="Arial" w:eastAsia="黑体"/>
      <w:sz w:val="24"/>
      <w:szCs w:val="24"/>
      <w:lang w:eastAsia="en-US"/>
    </w:rPr>
  </w:style>
  <w:style w:type="paragraph" w:styleId="1263">
    <w:name w:val="正文文本缩进1"/>
    <w:basedOn w:val="1063"/>
    <w:next w:val="1263"/>
    <w:link w:val="1063"/>
    <w:pPr>
      <w:ind w:left="420"/>
      <w:spacing w:after="120"/>
    </w:pPr>
    <w:rPr>
      <w:szCs w:val="24"/>
    </w:rPr>
  </w:style>
  <w:style w:type="paragraph" w:styleId="1264">
    <w:name w:val="正文文本 New New"/>
    <w:basedOn w:val="1063"/>
    <w:next w:val="1264"/>
    <w:link w:val="1063"/>
    <w:pPr>
      <w:ind w:firstLine="200"/>
      <w:spacing w:before="60" w:after="60" w:line="360" w:lineRule="auto"/>
      <w:widowControl/>
    </w:pPr>
    <w:rPr>
      <w:rFonts w:eastAsia="华文楷体"/>
      <w:sz w:val="24"/>
      <w:szCs w:val="24"/>
    </w:rPr>
  </w:style>
  <w:style w:type="paragraph" w:styleId="1265">
    <w:name w:val="xl44"/>
    <w:basedOn w:val="1063"/>
    <w:next w:val="1265"/>
    <w:link w:val="10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6">
    <w:name w:val="符号与编号 Char Char"/>
    <w:basedOn w:val="1063"/>
    <w:next w:val="1266"/>
    <w:link w:val="1063"/>
    <w:pPr>
      <w:ind w:left="839" w:hanging="419"/>
      <w:spacing w:after="156" w:line="400" w:lineRule="atLeast"/>
      <w:tabs>
        <w:tab w:val="left" w:pos="840" w:leader="none"/>
      </w:tabs>
    </w:pPr>
    <w:rPr>
      <w:sz w:val="24"/>
      <w:szCs w:val="24"/>
    </w:rPr>
  </w:style>
  <w:style w:type="paragraph" w:styleId="1267">
    <w:name w:val="xl49"/>
    <w:basedOn w:val="1063"/>
    <w:next w:val="1267"/>
    <w:link w:val="1063"/>
    <w:pPr>
      <w:jc w:val="center"/>
      <w:spacing w:before="100" w:beforeAutospacing="1" w:after="100" w:afterAutospacing="1"/>
      <w:widowControl/>
      <w:pBdr>
        <w:left w:val="single" w:color="000000" w:sz="4" w:space="0"/>
        <w:right w:val="single" w:color="000000" w:sz="4" w:space="0"/>
      </w:pBdr>
    </w:pPr>
    <w:rPr>
      <w:b/>
      <w:bCs/>
      <w:sz w:val="20"/>
    </w:rPr>
  </w:style>
  <w:style w:type="paragraph" w:styleId="1268">
    <w:name w:val="xl28"/>
    <w:basedOn w:val="1063"/>
    <w:next w:val="1268"/>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9">
    <w:name w:val=" Char1"/>
    <w:basedOn w:val="1063"/>
    <w:next w:val="1269"/>
    <w:link w:val="1063"/>
    <w:pPr>
      <w:jc w:val="left"/>
      <w:spacing w:after="160" w:line="240" w:lineRule="exact"/>
      <w:widowControl/>
    </w:pPr>
    <w:rPr>
      <w:rFonts w:ascii="Verdana" w:hAnsi="Verdana" w:eastAsia="仿宋_GB2312"/>
      <w:sz w:val="24"/>
      <w:lang w:eastAsia="en-US"/>
    </w:rPr>
  </w:style>
  <w:style w:type="paragraph" w:styleId="1270">
    <w:name w:val="xl53"/>
    <w:basedOn w:val="1063"/>
    <w:next w:val="1270"/>
    <w:link w:val="106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1">
    <w:name w:val="Char Char1 Char Char Char Char Char Char Char"/>
    <w:basedOn w:val="1063"/>
    <w:next w:val="1271"/>
    <w:link w:val="1063"/>
    <w:rPr>
      <w:rFonts w:ascii="Tahoma" w:hAnsi="Tahoma" w:cs="Tahoma"/>
      <w:sz w:val="24"/>
    </w:rPr>
  </w:style>
  <w:style w:type="paragraph" w:styleId="1272">
    <w:name w:val="Item Step in Table"/>
    <w:next w:val="1272"/>
    <w:link w:val="106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73">
    <w:name w:val="Char Char Char Char Char Char Char Char Char Char Char1 Char Char Char1"/>
    <w:basedOn w:val="1063"/>
    <w:next w:val="1273"/>
    <w:link w:val="1063"/>
    <w:semiHidden/>
    <w:pPr>
      <w:ind w:firstLine="200"/>
      <w:jc w:val="left"/>
    </w:pPr>
    <w:rPr>
      <w:rFonts w:ascii="Tahoma" w:hAnsi="Tahoma"/>
      <w:sz w:val="24"/>
      <w:szCs w:val="24"/>
    </w:rPr>
  </w:style>
  <w:style w:type="paragraph" w:styleId="1274">
    <w:name w:val="条1"/>
    <w:basedOn w:val="1063"/>
    <w:next w:val="1274"/>
    <w:link w:val="1063"/>
    <w:pPr>
      <w:ind w:left="780" w:hanging="360"/>
      <w:spacing w:before="156" w:line="360" w:lineRule="auto"/>
      <w:tabs>
        <w:tab w:val="left" w:pos="780" w:leader="none"/>
      </w:tabs>
    </w:pPr>
    <w:rPr>
      <w:rFonts w:eastAsia="黑体"/>
      <w:sz w:val="24"/>
    </w:rPr>
  </w:style>
  <w:style w:type="paragraph" w:styleId="1275">
    <w:name w:val="af17cgridlangnp1033langf"/>
    <w:next w:val="1275"/>
    <w:link w:val="1063"/>
    <w:pPr>
      <w:ind w:left="567" w:firstLine="510"/>
      <w:jc w:val="both"/>
      <w:spacing w:before="156" w:line="360" w:lineRule="atLeast"/>
      <w:widowControl w:val="off"/>
    </w:pPr>
    <w:rPr>
      <w:lang w:val="en-US" w:eastAsia="zh-CN" w:bidi="ar-SA"/>
    </w:rPr>
  </w:style>
  <w:style w:type="paragraph" w:styleId="1276">
    <w:name w:val="Char Char Char"/>
    <w:basedOn w:val="1063"/>
    <w:next w:val="1276"/>
    <w:link w:val="1063"/>
    <w:rPr>
      <w:rFonts w:ascii="Tahoma" w:hAnsi="Tahoma"/>
      <w:sz w:val="24"/>
    </w:rPr>
  </w:style>
  <w:style w:type="paragraph" w:styleId="1277">
    <w:name w:val="Pa5"/>
    <w:basedOn w:val="1063"/>
    <w:next w:val="1063"/>
    <w:link w:val="1063"/>
    <w:pPr>
      <w:jc w:val="left"/>
      <w:spacing w:line="241" w:lineRule="atLeast"/>
    </w:pPr>
    <w:rPr>
      <w:rFonts w:ascii="HYDaHeiJ" w:eastAsia="HYDaHeiJ"/>
      <w:sz w:val="24"/>
      <w:szCs w:val="24"/>
    </w:rPr>
  </w:style>
  <w:style w:type="paragraph" w:styleId="1278">
    <w:name w:val="修订"/>
    <w:next w:val="1278"/>
    <w:link w:val="1063"/>
    <w:semiHidden/>
    <w:rPr>
      <w:sz w:val="21"/>
      <w:szCs w:val="24"/>
      <w:lang w:val="en-US" w:eastAsia="zh-CN" w:bidi="ar-SA"/>
    </w:rPr>
  </w:style>
  <w:style w:type="paragraph" w:styleId="1279">
    <w:name w:val="正文文本 21"/>
    <w:basedOn w:val="1063"/>
    <w:next w:val="1279"/>
    <w:link w:val="1063"/>
    <w:pPr>
      <w:ind w:left="720" w:hanging="720"/>
      <w:widowControl/>
    </w:pPr>
    <w:rPr>
      <w:sz w:val="24"/>
      <w:lang w:val="en-GB"/>
    </w:rPr>
  </w:style>
  <w:style w:type="paragraph" w:styleId="1280">
    <w:name w:val="标准小四"/>
    <w:basedOn w:val="1063"/>
    <w:next w:val="1280"/>
    <w:link w:val="1063"/>
    <w:pPr>
      <w:ind w:firstLine="480"/>
      <w:spacing w:line="360" w:lineRule="auto"/>
    </w:pPr>
    <w:rPr>
      <w:rFonts w:ascii="Arial" w:hAnsi="Arial"/>
      <w:sz w:val="24"/>
      <w:szCs w:val="21"/>
    </w:rPr>
  </w:style>
  <w:style w:type="paragraph" w:styleId="1281">
    <w:name w:val="段落"/>
    <w:basedOn w:val="1063"/>
    <w:next w:val="1281"/>
    <w:link w:val="1063"/>
    <w:pPr>
      <w:ind w:firstLine="480"/>
      <w:spacing w:line="460" w:lineRule="exact"/>
    </w:pPr>
    <w:rPr>
      <w:sz w:val="24"/>
    </w:rPr>
  </w:style>
  <w:style w:type="paragraph" w:styleId="1282">
    <w:name w:val="Item List Char Char"/>
    <w:next w:val="1282"/>
    <w:link w:val="1063"/>
    <w:pPr>
      <w:jc w:val="both"/>
      <w:spacing w:line="288" w:lineRule="auto"/>
    </w:pPr>
    <w:rPr>
      <w:rFonts w:ascii="Arial" w:hAnsi="Arial" w:cs="Arial"/>
      <w:b/>
      <w:bCs/>
      <w:sz w:val="21"/>
      <w:szCs w:val="28"/>
      <w:lang w:val="en-US" w:eastAsia="zh-CN" w:bidi="ar-SA"/>
    </w:rPr>
  </w:style>
  <w:style w:type="paragraph" w:styleId="1283">
    <w:name w:val="qw"/>
    <w:next w:val="1283"/>
    <w:link w:val="1063"/>
    <w:pPr>
      <w:jc w:val="both"/>
      <w:spacing w:line="312" w:lineRule="atLeast"/>
      <w:widowControl w:val="off"/>
    </w:pPr>
    <w:rPr>
      <w:rFonts w:ascii="宋体"/>
      <w:sz w:val="24"/>
      <w:lang w:val="en-US" w:eastAsia="zh-CN" w:bidi="ar-SA"/>
    </w:rPr>
  </w:style>
  <w:style w:type="paragraph" w:styleId="1284">
    <w:name w:val="方案正文"/>
    <w:basedOn w:val="1063"/>
    <w:next w:val="1284"/>
    <w:link w:val="1063"/>
    <w:pPr>
      <w:ind w:firstLine="359"/>
      <w:jc w:val="left"/>
      <w:spacing w:before="156" w:line="360" w:lineRule="auto"/>
    </w:pPr>
    <w:rPr>
      <w:rFonts w:ascii="Arial" w:hAnsi="Arial" w:cs="宋体"/>
      <w:sz w:val="24"/>
      <w:szCs w:val="21"/>
    </w:rPr>
  </w:style>
  <w:style w:type="paragraph" w:styleId="1285">
    <w:name w:val="tableau"/>
    <w:basedOn w:val="1063"/>
    <w:next w:val="1285"/>
    <w:link w:val="1063"/>
    <w:pPr>
      <w:jc w:val="center"/>
      <w:spacing w:before="20" w:after="20"/>
      <w:widowControl/>
    </w:pPr>
    <w:rPr>
      <w:rFonts w:ascii="Arial" w:hAnsi="Arial"/>
      <w:sz w:val="16"/>
      <w:lang w:val="en-GB" w:eastAsia="en-US"/>
    </w:rPr>
  </w:style>
  <w:style w:type="paragraph" w:styleId="1286">
    <w:name w:val="List Paragraph"/>
    <w:basedOn w:val="1063"/>
    <w:next w:val="1286"/>
    <w:link w:val="1063"/>
    <w:pPr>
      <w:contextualSpacing/>
      <w:ind w:left="720"/>
      <w:jc w:val="left"/>
      <w:widowControl/>
    </w:pPr>
    <w:rPr>
      <w:rFonts w:ascii="Arial" w:hAnsi="Arial" w:eastAsia="黑体"/>
      <w:sz w:val="24"/>
      <w:szCs w:val="24"/>
      <w:lang w:eastAsia="en-US"/>
    </w:rPr>
  </w:style>
  <w:style w:type="paragraph" w:styleId="1287">
    <w:name w:val="表格内文字"/>
    <w:basedOn w:val="1063"/>
    <w:next w:val="1287"/>
    <w:link w:val="1063"/>
    <w:pPr>
      <w:spacing w:line="300" w:lineRule="atLeast"/>
    </w:pPr>
    <w:rPr>
      <w:sz w:val="18"/>
      <w:szCs w:val="24"/>
    </w:rPr>
  </w:style>
  <w:style w:type="paragraph" w:styleId="1288">
    <w:name w:val="xl25"/>
    <w:basedOn w:val="1063"/>
    <w:next w:val="1288"/>
    <w:link w:val="1063"/>
    <w:pPr>
      <w:jc w:val="center"/>
      <w:spacing w:before="100" w:beforeAutospacing="1" w:after="100" w:afterAutospacing="1"/>
      <w:widowControl/>
      <w:pBdr>
        <w:right w:val="single" w:color="000000" w:sz="4" w:space="0"/>
      </w:pBdr>
    </w:pPr>
    <w:rPr>
      <w:szCs w:val="21"/>
    </w:rPr>
  </w:style>
  <w:style w:type="paragraph" w:styleId="1289">
    <w:name w:val="No Spacing"/>
    <w:next w:val="1289"/>
    <w:link w:val="1063"/>
    <w:qFormat/>
    <w:pPr>
      <w:jc w:val="both"/>
      <w:widowControl w:val="off"/>
    </w:pPr>
    <w:rPr>
      <w:rFonts w:eastAsia="微软雅黑"/>
      <w:sz w:val="24"/>
      <w:szCs w:val="22"/>
      <w:lang w:val="en-US" w:eastAsia="zh-CN" w:bidi="ar-SA"/>
    </w:rPr>
  </w:style>
  <w:style w:type="paragraph" w:styleId="1290">
    <w:name w:val="font6"/>
    <w:basedOn w:val="1063"/>
    <w:next w:val="1290"/>
    <w:link w:val="1063"/>
    <w:pPr>
      <w:jc w:val="left"/>
      <w:spacing w:before="100" w:beforeAutospacing="1" w:after="100" w:afterAutospacing="1"/>
      <w:widowControl/>
    </w:pPr>
    <w:rPr>
      <w:rFonts w:ascii="宋体" w:hAnsi="宋体" w:cs="宋体"/>
      <w:b/>
      <w:bCs/>
      <w:sz w:val="20"/>
    </w:rPr>
  </w:style>
  <w:style w:type="paragraph" w:styleId="1291">
    <w:name w:val="Normal1"/>
    <w:basedOn w:val="1063"/>
    <w:next w:val="1291"/>
    <w:link w:val="1063"/>
    <w:rPr>
      <w:rFonts w:ascii="Calibri" w:hAnsi="Calibri" w:eastAsia="Calibri" w:cs="宋体"/>
      <w:lang w:val="zh-CN"/>
    </w:rPr>
  </w:style>
  <w:style w:type="paragraph" w:styleId="1292">
    <w:name w:val="样式"/>
    <w:basedOn w:val="1063"/>
    <w:next w:val="1292"/>
    <w:link w:val="1063"/>
    <w:pPr>
      <w:spacing w:before="120" w:after="120" w:line="360" w:lineRule="auto"/>
    </w:pPr>
    <w:rPr>
      <w:rFonts w:ascii="宋体"/>
      <w:sz w:val="24"/>
    </w:rPr>
  </w:style>
  <w:style w:type="paragraph" w:styleId="1293">
    <w:name w:val="纯文本1"/>
    <w:basedOn w:val="1063"/>
    <w:next w:val="1293"/>
    <w:link w:val="1063"/>
    <w:rPr>
      <w:rFonts w:ascii="宋体" w:hAnsi="宋体" w:eastAsia="楷体_GB2312" w:cs="宋体"/>
      <w:sz w:val="28"/>
    </w:rPr>
  </w:style>
  <w:style w:type="paragraph" w:styleId="1294">
    <w:name w:val="论文正文"/>
    <w:basedOn w:val="1112"/>
    <w:next w:val="1294"/>
    <w:link w:val="1063"/>
    <w:pPr>
      <w:ind w:left="0" w:firstLine="200"/>
      <w:jc w:val="left"/>
      <w:spacing w:line="360" w:lineRule="auto"/>
    </w:pPr>
    <w:rPr>
      <w:rFonts w:ascii="Times New Roman" w:hAnsi="Times New Roman"/>
      <w:sz w:val="28"/>
      <w:szCs w:val="24"/>
    </w:rPr>
  </w:style>
  <w:style w:type="paragraph" w:styleId="1295">
    <w:name w:val="xl40"/>
    <w:basedOn w:val="1063"/>
    <w:next w:val="1295"/>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6">
    <w:name w:val="xl46"/>
    <w:basedOn w:val="1063"/>
    <w:next w:val="1296"/>
    <w:link w:val="1063"/>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97">
    <w:name w:val="标题1，章节第一层"/>
    <w:basedOn w:val="1260"/>
    <w:next w:val="1260"/>
    <w:link w:val="1063"/>
    <w:pPr>
      <w:ind w:left="482"/>
      <w:spacing w:before="0"/>
      <w:tabs>
        <w:tab w:val="left" w:pos="693" w:leader="none"/>
      </w:tabs>
      <w:outlineLvl w:val="0"/>
    </w:pPr>
    <w:rPr>
      <w:color w:val="000000"/>
      <w:sz w:val="24"/>
      <w:szCs w:val="24"/>
    </w:rPr>
  </w:style>
  <w:style w:type="paragraph" w:styleId="1298">
    <w:name w:val="项目符号，一级"/>
    <w:basedOn w:val="1260"/>
    <w:next w:val="1260"/>
    <w:link w:val="1063"/>
    <w:pPr>
      <w:ind w:left="376" w:firstLine="0"/>
      <w:spacing w:line="240" w:lineRule="atLeast"/>
      <w:tabs>
        <w:tab w:val="left" w:pos="1320" w:leader="none"/>
      </w:tabs>
    </w:pPr>
    <w:rPr>
      <w:bCs w:val="0"/>
      <w:color w:val="000000"/>
      <w:szCs w:val="24"/>
    </w:rPr>
  </w:style>
  <w:style w:type="paragraph" w:styleId="1299">
    <w:name w:val="表格内容"/>
    <w:basedOn w:val="1063"/>
    <w:next w:val="1299"/>
    <w:link w:val="1063"/>
    <w:pPr>
      <w:jc w:val="center"/>
      <w:spacing w:before="60" w:line="300" w:lineRule="auto"/>
      <w:widowControl/>
    </w:pPr>
  </w:style>
  <w:style w:type="paragraph" w:styleId="1300">
    <w:name w:val="符号与编号 Char"/>
    <w:basedOn w:val="1063"/>
    <w:next w:val="1300"/>
    <w:link w:val="1063"/>
    <w:pPr>
      <w:ind w:left="720"/>
      <w:spacing w:after="156" w:line="400" w:lineRule="atLeast"/>
      <w:tabs>
        <w:tab w:val="left" w:pos="720" w:leader="none"/>
      </w:tabs>
    </w:pPr>
    <w:rPr>
      <w:sz w:val="24"/>
      <w:szCs w:val="24"/>
    </w:rPr>
  </w:style>
  <w:style w:type="paragraph" w:styleId="1301">
    <w:name w:val="Normal1"/>
    <w:basedOn w:val="1063"/>
    <w:next w:val="1301"/>
    <w:link w:val="1063"/>
    <w:rPr>
      <w:rFonts w:ascii="Calibri" w:hAnsi="Calibri" w:eastAsia="Calibri" w:cs="宋体"/>
      <w:lang w:val="zh-CN"/>
    </w:rPr>
  </w:style>
  <w:style w:type="paragraph" w:styleId="1302">
    <w:name w:val="正文 居中"/>
    <w:basedOn w:val="1063"/>
    <w:next w:val="1302"/>
    <w:link w:val="1063"/>
    <w:pPr>
      <w:jc w:val="center"/>
      <w:spacing w:line="360" w:lineRule="auto"/>
    </w:pPr>
    <w:rPr>
      <w:sz w:val="24"/>
    </w:rPr>
  </w:style>
  <w:style w:type="paragraph" w:styleId="1303">
    <w:name w:val=" Char"/>
    <w:basedOn w:val="1063"/>
    <w:next w:val="1303"/>
    <w:link w:val="1063"/>
    <w:pPr>
      <w:spacing w:after="156" w:line="360" w:lineRule="auto"/>
    </w:pPr>
    <w:rPr>
      <w:rFonts w:ascii="Tahoma" w:hAnsi="Tahoma"/>
      <w:sz w:val="24"/>
    </w:rPr>
  </w:style>
  <w:style w:type="paragraph" w:styleId="1304">
    <w:name w:val="符号与编号"/>
    <w:basedOn w:val="1063"/>
    <w:next w:val="1304"/>
    <w:link w:val="1063"/>
    <w:pPr>
      <w:ind w:left="900" w:hanging="420"/>
      <w:spacing w:after="156" w:line="400" w:lineRule="atLeast"/>
      <w:tabs>
        <w:tab w:val="left" w:pos="900" w:leader="none"/>
      </w:tabs>
    </w:pPr>
    <w:rPr>
      <w:sz w:val="24"/>
      <w:szCs w:val="24"/>
    </w:rPr>
  </w:style>
  <w:style w:type="paragraph" w:styleId="1305">
    <w:name w:val="p0"/>
    <w:basedOn w:val="1063"/>
    <w:next w:val="1305"/>
    <w:link w:val="1063"/>
    <w:pPr>
      <w:jc w:val="left"/>
      <w:spacing w:before="100" w:beforeAutospacing="1" w:after="100" w:afterAutospacing="1"/>
      <w:widowControl/>
    </w:pPr>
    <w:rPr>
      <w:rFonts w:ascii="宋体" w:hAnsi="宋体" w:cs="宋体"/>
      <w:sz w:val="24"/>
      <w:szCs w:val="24"/>
    </w:rPr>
  </w:style>
  <w:style w:type="paragraph" w:styleId="1306">
    <w:name w:val=" Char Char Char"/>
    <w:basedOn w:val="1093"/>
    <w:next w:val="1306"/>
    <w:link w:val="1063"/>
    <w:pPr>
      <w:spacing w:line="436" w:lineRule="exact"/>
    </w:pPr>
    <w:rPr>
      <w:szCs w:val="24"/>
    </w:rPr>
  </w:style>
  <w:style w:type="paragraph" w:styleId="1307">
    <w:name w:val="TOC 标题"/>
    <w:basedOn w:val="1064"/>
    <w:next w:val="1063"/>
    <w:link w:val="1063"/>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08">
    <w:name w:val="font7"/>
    <w:basedOn w:val="1063"/>
    <w:next w:val="1308"/>
    <w:link w:val="1063"/>
    <w:pPr>
      <w:jc w:val="left"/>
      <w:spacing w:before="100" w:beforeAutospacing="1" w:after="100" w:afterAutospacing="1"/>
      <w:widowControl/>
    </w:pPr>
    <w:rPr>
      <w:rFonts w:hint="eastAsia" w:ascii="宋体" w:hAnsi="宋体"/>
      <w:b/>
      <w:bCs/>
      <w:sz w:val="24"/>
      <w:szCs w:val="24"/>
    </w:rPr>
  </w:style>
  <w:style w:type="paragraph" w:styleId="1309">
    <w:name w:val="正文 首行缩进:  2 字符 Char"/>
    <w:basedOn w:val="1063"/>
    <w:next w:val="1309"/>
    <w:link w:val="1063"/>
    <w:pPr>
      <w:ind w:firstLine="480"/>
      <w:spacing w:line="360" w:lineRule="auto"/>
    </w:pPr>
    <w:rPr>
      <w:rFonts w:cs="宋体"/>
      <w:sz w:val="24"/>
    </w:rPr>
  </w:style>
  <w:style w:type="paragraph" w:styleId="1310">
    <w:name w:val="Char1"/>
    <w:basedOn w:val="1063"/>
    <w:next w:val="1310"/>
    <w:link w:val="1063"/>
    <w:rPr>
      <w:rFonts w:ascii="仿宋_GB2312" w:hAnsi="宋体" w:eastAsia="仿宋_GB2312" w:cs="宋体"/>
      <w:b/>
      <w:sz w:val="32"/>
      <w:szCs w:val="32"/>
    </w:rPr>
  </w:style>
  <w:style w:type="paragraph" w:styleId="1311">
    <w:name w:val="font9"/>
    <w:basedOn w:val="1063"/>
    <w:next w:val="1311"/>
    <w:link w:val="1063"/>
    <w:pPr>
      <w:jc w:val="left"/>
      <w:spacing w:before="100" w:beforeAutospacing="1" w:after="100" w:afterAutospacing="1"/>
      <w:widowControl/>
    </w:pPr>
    <w:rPr>
      <w:b/>
      <w:bCs/>
      <w:sz w:val="20"/>
    </w:rPr>
  </w:style>
  <w:style w:type="paragraph" w:styleId="1312">
    <w:name w:val="中等深浅网格 1 - 强调文字颜色 21"/>
    <w:basedOn w:val="1063"/>
    <w:next w:val="1312"/>
    <w:link w:val="1063"/>
    <w:qFormat/>
    <w:pPr>
      <w:ind w:firstLine="420"/>
    </w:pPr>
    <w:rPr>
      <w:rFonts w:ascii="Calibri" w:hAnsi="Calibri"/>
      <w:szCs w:val="22"/>
    </w:rPr>
  </w:style>
  <w:style w:type="paragraph" w:styleId="1313">
    <w:name w:val="正文缩进2字符"/>
    <w:basedOn w:val="1063"/>
    <w:next w:val="1313"/>
    <w:link w:val="1063"/>
    <w:pPr>
      <w:ind w:firstLine="200"/>
      <w:spacing w:line="300" w:lineRule="auto"/>
    </w:pPr>
    <w:rPr>
      <w:rFonts w:ascii="仿宋_GB2312" w:eastAsia="仿宋_GB2312"/>
      <w:sz w:val="32"/>
      <w:szCs w:val="32"/>
    </w:rPr>
  </w:style>
  <w:style w:type="paragraph" w:styleId="1314">
    <w:name w:val="xl51"/>
    <w:basedOn w:val="1063"/>
    <w:next w:val="1314"/>
    <w:link w:val="106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5">
    <w:name w:val="样式 标题 3H3sect1.2.3BOD 0Heading 3 - oldh3l3CTLevel 3 Head..."/>
    <w:basedOn w:val="1066"/>
    <w:next w:val="1315"/>
    <w:link w:val="1063"/>
    <w:pPr>
      <w:jc w:val="left"/>
      <w:spacing w:before="156" w:after="156"/>
    </w:pPr>
    <w:rPr>
      <w:rFonts w:eastAsia="宋体" w:cs="宋体"/>
      <w:bCs/>
      <w:sz w:val="30"/>
    </w:rPr>
  </w:style>
  <w:style w:type="paragraph" w:styleId="1316">
    <w:name w:val="样式1"/>
    <w:basedOn w:val="1063"/>
    <w:next w:val="1316"/>
    <w:link w:val="1063"/>
    <w:pPr>
      <w:ind w:firstLine="480"/>
      <w:spacing w:line="300" w:lineRule="auto"/>
    </w:pPr>
    <w:rPr>
      <w:sz w:val="24"/>
      <w:szCs w:val="24"/>
    </w:rPr>
  </w:style>
  <w:style w:type="paragraph" w:styleId="1317">
    <w:name w:val="Char Char Char Char Char Char Char Char Char Char Char Char Char"/>
    <w:basedOn w:val="1063"/>
    <w:next w:val="1317"/>
    <w:link w:val="1063"/>
    <w:pPr>
      <w:jc w:val="left"/>
      <w:spacing w:after="160" w:line="240" w:lineRule="exact"/>
      <w:widowControl/>
    </w:pPr>
    <w:rPr>
      <w:szCs w:val="24"/>
    </w:rPr>
  </w:style>
  <w:style w:type="paragraph" w:styleId="1318">
    <w:name w:val=" Char Char Char Char Char Char Char Char Char"/>
    <w:basedOn w:val="1063"/>
    <w:next w:val="1318"/>
    <w:link w:val="1063"/>
    <w:pPr>
      <w:ind w:left="360" w:hanging="360"/>
      <w:tabs>
        <w:tab w:val="left" w:pos="360" w:leader="none"/>
      </w:tabs>
    </w:pPr>
    <w:rPr>
      <w:sz w:val="24"/>
      <w:szCs w:val="24"/>
    </w:rPr>
  </w:style>
  <w:style w:type="paragraph" w:styleId="1319">
    <w:name w:val="标题3，章节第三层"/>
    <w:basedOn w:val="1063"/>
    <w:next w:val="1260"/>
    <w:link w:val="1063"/>
    <w:pPr>
      <w:spacing w:before="78" w:line="300" w:lineRule="auto"/>
      <w:outlineLvl w:val="2"/>
    </w:pPr>
    <w:rPr>
      <w:rFonts w:ascii="Arial" w:hAnsi="Arial" w:eastAsia="华文细黑"/>
      <w:sz w:val="30"/>
      <w:szCs w:val="24"/>
    </w:rPr>
  </w:style>
  <w:style w:type="paragraph" w:styleId="1320">
    <w:name w:val="xl58"/>
    <w:basedOn w:val="1063"/>
    <w:next w:val="1320"/>
    <w:link w:val="106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1">
    <w:name w:val=" Char Char Char Char Char Char Char Char Char Char Char"/>
    <w:basedOn w:val="1063"/>
    <w:next w:val="1321"/>
    <w:link w:val="1063"/>
    <w:rPr>
      <w:rFonts w:ascii="Tahoma" w:hAnsi="Tahoma"/>
      <w:sz w:val="24"/>
    </w:rPr>
  </w:style>
  <w:style w:type="paragraph" w:styleId="1322">
    <w:name w:val=" Char Char Char Char Char"/>
    <w:basedOn w:val="1063"/>
    <w:next w:val="1322"/>
    <w:link w:val="1063"/>
    <w:rPr>
      <w:rFonts w:ascii="Tahoma" w:hAnsi="Tahoma"/>
      <w:sz w:val="24"/>
    </w:rPr>
  </w:style>
  <w:style w:type="paragraph" w:styleId="1323">
    <w:name w:val="标题6"/>
    <w:basedOn w:val="1068"/>
    <w:next w:val="1323"/>
    <w:link w:val="1063"/>
    <w:pPr>
      <w:numPr>
        <w:ilvl w:val="0"/>
        <w:numId w:val="3"/>
      </w:numPr>
      <w:keepLines/>
      <w:tabs>
        <w:tab w:val="left" w:pos="420" w:leader="none"/>
      </w:tabs>
    </w:pPr>
    <w:rPr>
      <w:rFonts w:ascii="Times New Roman"/>
      <w:b w:val="0"/>
      <w:bCs/>
      <w:color w:val="000000"/>
      <w:sz w:val="24"/>
      <w:szCs w:val="28"/>
    </w:rPr>
  </w:style>
  <w:style w:type="paragraph" w:styleId="1324">
    <w:name w:val=" Char Char1 Char"/>
    <w:basedOn w:val="1063"/>
    <w:next w:val="1324"/>
    <w:link w:val="1063"/>
    <w:pPr>
      <w:jc w:val="left"/>
      <w:spacing w:after="160" w:line="240" w:lineRule="exact"/>
      <w:widowControl/>
    </w:pPr>
    <w:rPr>
      <w:rFonts w:ascii="Verdana" w:hAnsi="Verdana"/>
      <w:sz w:val="20"/>
      <w:lang w:eastAsia="en-US"/>
    </w:rPr>
  </w:style>
  <w:style w:type="paragraph" w:styleId="1325">
    <w:name w:val=" Char Char Char Char"/>
    <w:basedOn w:val="1063"/>
    <w:next w:val="1325"/>
    <w:link w:val="1063"/>
    <w:pPr>
      <w:jc w:val="center"/>
      <w:spacing w:after="160" w:line="240" w:lineRule="exact"/>
      <w:widowControl/>
    </w:pPr>
    <w:rPr>
      <w:rFonts w:ascii="黑体" w:hAnsi="Verdana" w:eastAsia="黑体"/>
      <w:sz w:val="32"/>
      <w:szCs w:val="32"/>
      <w:lang w:eastAsia="en-US"/>
    </w:rPr>
  </w:style>
  <w:style w:type="paragraph" w:styleId="1326">
    <w:name w:val="小四 段落 宋体"/>
    <w:basedOn w:val="1090"/>
    <w:next w:val="1326"/>
    <w:link w:val="1063"/>
    <w:pPr>
      <w:ind w:left="113" w:right="113" w:firstLine="425"/>
      <w:jc w:val="left"/>
      <w:spacing w:line="360" w:lineRule="auto"/>
      <w:tabs>
        <w:tab w:val="clear" w:pos="2952" w:leader="none"/>
      </w:tabs>
    </w:pPr>
    <w:rPr>
      <w:sz w:val="24"/>
    </w:rPr>
  </w:style>
  <w:style w:type="paragraph" w:styleId="1327">
    <w:name w:val="xl52"/>
    <w:basedOn w:val="1063"/>
    <w:next w:val="1327"/>
    <w:link w:val="106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8">
    <w:name w:val="font8"/>
    <w:basedOn w:val="1063"/>
    <w:next w:val="1328"/>
    <w:link w:val="1063"/>
    <w:pPr>
      <w:jc w:val="left"/>
      <w:spacing w:before="100" w:beforeAutospacing="1" w:after="100" w:afterAutospacing="1"/>
      <w:widowControl/>
    </w:pPr>
    <w:rPr>
      <w:rFonts w:ascii="宋体" w:hAnsi="宋体" w:cs="宋体"/>
      <w:b/>
      <w:bCs/>
      <w:i/>
      <w:iCs/>
      <w:sz w:val="20"/>
    </w:rPr>
  </w:style>
  <w:style w:type="paragraph" w:styleId="1329">
    <w:name w:val="项目符号，二级"/>
    <w:basedOn w:val="1260"/>
    <w:next w:val="1260"/>
    <w:link w:val="1063"/>
    <w:pPr>
      <w:numPr>
        <w:ilvl w:val="0"/>
        <w:numId w:val="5"/>
      </w:numPr>
      <w:ind w:left="1337" w:right="-27" w:firstLine="480"/>
      <w:tabs>
        <w:tab w:val="left" w:pos="567" w:leader="none"/>
        <w:tab w:val="left" w:pos="1211" w:leader="none"/>
        <w:tab w:val="left" w:pos="1337" w:leader="none"/>
      </w:tabs>
    </w:pPr>
    <w:rPr>
      <w:bCs w:val="0"/>
      <w:color w:val="000000"/>
      <w:sz w:val="24"/>
      <w:szCs w:val="24"/>
    </w:rPr>
  </w:style>
  <w:style w:type="paragraph" w:styleId="1330">
    <w:name w:val="Char Char Char Char Char Char"/>
    <w:basedOn w:val="1063"/>
    <w:next w:val="1330"/>
    <w:link w:val="1063"/>
    <w:rPr>
      <w:rFonts w:ascii="Tahoma" w:hAnsi="Tahoma" w:cs="Tahoma"/>
      <w:sz w:val="24"/>
    </w:rPr>
  </w:style>
  <w:style w:type="paragraph" w:styleId="1331">
    <w:name w:val="7"/>
    <w:basedOn w:val="1063"/>
    <w:next w:val="1138"/>
    <w:link w:val="1063"/>
    <w:pPr>
      <w:jc w:val="left"/>
      <w:spacing w:before="100" w:beforeAutospacing="1" w:after="100" w:afterAutospacing="1"/>
      <w:widowControl/>
    </w:pPr>
    <w:rPr>
      <w:rFonts w:ascii="宋体" w:hAnsi="宋体"/>
      <w:sz w:val="24"/>
    </w:rPr>
  </w:style>
  <w:style w:type="paragraph" w:styleId="1332">
    <w:name w:val="马刚标题4"/>
    <w:basedOn w:val="1333"/>
    <w:next w:val="1063"/>
    <w:link w:val="1063"/>
    <w:pPr>
      <w:spacing w:before="100" w:after="40"/>
      <w:tabs>
        <w:tab w:val="left" w:pos="1050" w:leader="none"/>
      </w:tabs>
      <w:outlineLvl w:val="3"/>
    </w:pPr>
    <w:rPr>
      <w:b w:val="0"/>
    </w:rPr>
  </w:style>
  <w:style w:type="paragraph" w:styleId="1333">
    <w:name w:val="马刚标题3"/>
    <w:basedOn w:val="1063"/>
    <w:next w:val="1063"/>
    <w:link w:val="106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34">
    <w:name w:val="xl41"/>
    <w:basedOn w:val="1063"/>
    <w:next w:val="1334"/>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5">
    <w:name w:val="正文--表格内正文"/>
    <w:basedOn w:val="1063"/>
    <w:next w:val="1335"/>
    <w:link w:val="1063"/>
    <w:pPr>
      <w:jc w:val="center"/>
      <w:spacing w:before="156" w:line="0" w:lineRule="atLeast"/>
    </w:pPr>
    <w:rPr>
      <w:rFonts w:ascii="宋体" w:hAnsi="宋体"/>
      <w:color w:val="000000"/>
      <w:sz w:val="24"/>
      <w:szCs w:val="24"/>
    </w:rPr>
  </w:style>
  <w:style w:type="paragraph" w:styleId="1336">
    <w:name w:val="Table Text Char"/>
    <w:next w:val="1336"/>
    <w:link w:val="1063"/>
    <w:pPr>
      <w:spacing w:before="80" w:after="80"/>
    </w:pPr>
    <w:rPr>
      <w:rFonts w:ascii="Arial" w:hAnsi="Arial" w:cs="Arial"/>
      <w:sz w:val="18"/>
      <w:szCs w:val="28"/>
      <w:lang w:val="en-US" w:eastAsia="zh-CN" w:bidi="ar-SA"/>
    </w:rPr>
  </w:style>
  <w:style w:type="paragraph" w:styleId="1337">
    <w:name w:val="样式 样式 首行缩进:  0.74 厘米 行距: 1.5 倍行距 + 段后: 0.5 行"/>
    <w:basedOn w:val="1063"/>
    <w:next w:val="1337"/>
    <w:link w:val="1063"/>
    <w:pPr>
      <w:ind w:firstLine="420"/>
      <w:spacing w:line="360" w:lineRule="auto"/>
    </w:pPr>
    <w:rPr>
      <w:rFonts w:ascii="楷体_GB2312" w:eastAsia="楷体_GB2312"/>
      <w:bCs/>
      <w:sz w:val="24"/>
    </w:rPr>
  </w:style>
  <w:style w:type="paragraph" w:styleId="1338">
    <w:name w:val="Char Char Char Char Char Char Char Char Char"/>
    <w:basedOn w:val="1063"/>
    <w:next w:val="1338"/>
    <w:link w:val="1063"/>
    <w:pPr>
      <w:ind w:left="200" w:hanging="200"/>
      <w:tabs>
        <w:tab w:val="left" w:pos="360" w:leader="none"/>
      </w:tabs>
    </w:pPr>
    <w:rPr>
      <w:sz w:val="24"/>
      <w:szCs w:val="24"/>
    </w:rPr>
  </w:style>
  <w:style w:type="paragraph" w:styleId="1339">
    <w:name w:val="xl54"/>
    <w:basedOn w:val="1063"/>
    <w:next w:val="1339"/>
    <w:link w:val="106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40">
    <w:name w:val="zw"/>
    <w:basedOn w:val="1063"/>
    <w:next w:val="1340"/>
    <w:link w:val="1063"/>
    <w:pPr>
      <w:ind w:firstLine="480"/>
      <w:jc w:val="left"/>
      <w:spacing w:line="360" w:lineRule="auto"/>
      <w:widowControl/>
    </w:pPr>
    <w:rPr>
      <w:rFonts w:ascii="宋体" w:hAnsi="宋体"/>
      <w:bCs/>
      <w:sz w:val="24"/>
    </w:rPr>
  </w:style>
  <w:style w:type="paragraph" w:styleId="1341">
    <w:name w:val=" Char Char1 Char Char Char Char1 Char Char Char Char Char Char"/>
    <w:basedOn w:val="1063"/>
    <w:next w:val="1341"/>
    <w:link w:val="1063"/>
    <w:rPr>
      <w:rFonts w:ascii="Tahoma" w:hAnsi="Tahoma"/>
      <w:sz w:val="24"/>
    </w:rPr>
  </w:style>
  <w:style w:type="paragraph" w:styleId="1342">
    <w:name w:val="xl30"/>
    <w:basedOn w:val="1063"/>
    <w:next w:val="1342"/>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3">
    <w:name w:val="xl55"/>
    <w:basedOn w:val="1063"/>
    <w:next w:val="1343"/>
    <w:link w:val="106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4">
    <w:name w:val=" Char Char Char Char Char Char Char"/>
    <w:basedOn w:val="1063"/>
    <w:next w:val="1344"/>
    <w:link w:val="1063"/>
    <w:rPr>
      <w:rFonts w:ascii="Tahoma" w:hAnsi="Tahoma"/>
      <w:sz w:val="24"/>
    </w:rPr>
  </w:style>
  <w:style w:type="paragraph" w:styleId="1345">
    <w:name w:val="xl38"/>
    <w:basedOn w:val="1063"/>
    <w:next w:val="1345"/>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6">
    <w:name w:val="正文表标题"/>
    <w:next w:val="1347"/>
    <w:link w:val="1063"/>
    <w:pPr>
      <w:ind w:left="900" w:hanging="420"/>
      <w:jc w:val="center"/>
      <w:tabs>
        <w:tab w:val="left" w:pos="900" w:leader="none"/>
      </w:tabs>
    </w:pPr>
    <w:rPr>
      <w:rFonts w:ascii="黑体" w:eastAsia="黑体"/>
      <w:sz w:val="21"/>
      <w:lang w:val="en-US" w:eastAsia="zh-CN" w:bidi="ar-SA"/>
    </w:rPr>
  </w:style>
  <w:style w:type="paragraph" w:styleId="1347">
    <w:name w:val="段"/>
    <w:next w:val="1347"/>
    <w:link w:val="1063"/>
    <w:pPr>
      <w:ind w:firstLine="200"/>
      <w:jc w:val="both"/>
    </w:pPr>
    <w:rPr>
      <w:rFonts w:ascii="宋体"/>
      <w:sz w:val="21"/>
      <w:lang w:val="en-US" w:eastAsia="zh-CN" w:bidi="ar-SA"/>
    </w:rPr>
  </w:style>
  <w:style w:type="paragraph" w:styleId="1348">
    <w:name w:val="表格"/>
    <w:basedOn w:val="1063"/>
    <w:next w:val="1348"/>
    <w:link w:val="1063"/>
    <w:pPr>
      <w:ind w:firstLine="21"/>
    </w:pPr>
    <w:rPr>
      <w:rFonts w:ascii="宋体" w:hAnsi="宋体" w:cs="宋体"/>
      <w:sz w:val="20"/>
    </w:rPr>
  </w:style>
  <w:style w:type="paragraph" w:styleId="1349">
    <w:name w:val="丁华正文"/>
    <w:basedOn w:val="1128"/>
    <w:next w:val="1349"/>
    <w:link w:val="1063"/>
    <w:pPr>
      <w:ind w:left="0" w:firstLine="510"/>
      <w:spacing w:line="360" w:lineRule="auto"/>
    </w:pPr>
    <w:rPr>
      <w:rFonts w:ascii="Times New Roman" w:hAnsi="Times New Roman" w:eastAsia="宋体"/>
      <w:color w:val="000000"/>
      <w:sz w:val="24"/>
      <w:szCs w:val="16"/>
    </w:rPr>
  </w:style>
  <w:style w:type="paragraph" w:styleId="1350">
    <w:name w:val="xl36"/>
    <w:basedOn w:val="1063"/>
    <w:next w:val="1350"/>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1">
    <w:name w:val="xl59"/>
    <w:basedOn w:val="1063"/>
    <w:next w:val="1351"/>
    <w:link w:val="106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52">
    <w:name w:val="标准文本"/>
    <w:basedOn w:val="1063"/>
    <w:next w:val="1352"/>
    <w:link w:val="1063"/>
    <w:pPr>
      <w:ind w:firstLine="480"/>
      <w:spacing w:line="360" w:lineRule="auto"/>
    </w:pPr>
    <w:rPr>
      <w:rFonts w:cs="宋体"/>
      <w:sz w:val="24"/>
      <w:szCs w:val="24"/>
    </w:rPr>
  </w:style>
  <w:style w:type="paragraph" w:styleId="1353">
    <w:name w:val="样式 标题 2第一章 标题 2Heading 2 HiddenHeading 2 CCBSheading 2H2h2..."/>
    <w:basedOn w:val="1065"/>
    <w:next w:val="1353"/>
    <w:link w:val="1063"/>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354">
    <w:name w:val="font12"/>
    <w:basedOn w:val="1063"/>
    <w:next w:val="1354"/>
    <w:link w:val="1063"/>
    <w:pPr>
      <w:jc w:val="left"/>
      <w:spacing w:before="100" w:beforeAutospacing="1" w:after="100" w:afterAutospacing="1"/>
      <w:widowControl/>
    </w:pPr>
    <w:rPr>
      <w:rFonts w:ascii="宋体" w:hAnsi="宋体" w:cs="宋体"/>
      <w:sz w:val="36"/>
      <w:szCs w:val="36"/>
    </w:rPr>
  </w:style>
  <w:style w:type="paragraph" w:styleId="1355">
    <w:name w:val="xl45"/>
    <w:basedOn w:val="1063"/>
    <w:next w:val="1355"/>
    <w:link w:val="1063"/>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6">
    <w:name w:val="xl37"/>
    <w:basedOn w:val="1063"/>
    <w:next w:val="1356"/>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57">
    <w:name w:val="丁华标题2"/>
    <w:basedOn w:val="1065"/>
    <w:next w:val="1349"/>
    <w:link w:val="1063"/>
    <w:pPr>
      <w:numPr>
        <w:ilvl w:val="1"/>
        <w:numId w:val="5"/>
      </w:numPr>
      <w:spacing w:line="415" w:lineRule="auto"/>
      <w:tabs>
        <w:tab w:val="left" w:pos="1004" w:leader="none"/>
      </w:tabs>
    </w:pPr>
    <w:rPr>
      <w:rFonts w:ascii="Arial" w:hAnsi="Arial" w:eastAsia="黑体"/>
      <w:b/>
      <w:sz w:val="28"/>
      <w:szCs w:val="20"/>
    </w:rPr>
  </w:style>
  <w:style w:type="paragraph" w:styleId="1358">
    <w:name w:val="样式 段后: 0.5 行 左  0.75 字符"/>
    <w:basedOn w:val="1063"/>
    <w:next w:val="1358"/>
    <w:link w:val="1063"/>
    <w:pPr>
      <w:ind w:firstLine="420"/>
      <w:spacing w:line="360" w:lineRule="auto"/>
      <w:widowControl/>
    </w:pPr>
    <w:rPr>
      <w:rFonts w:hAnsi="Arial" w:cs="Arial"/>
      <w:szCs w:val="21"/>
    </w:rPr>
  </w:style>
  <w:style w:type="paragraph" w:styleId="1359">
    <w:name w:val="样式 样式 标题 3H3sect1.2.3BOD 0Heading 3 - oldh3l3CTLevel 3 Head... +..."/>
    <w:basedOn w:val="1063"/>
    <w:next w:val="1359"/>
    <w:link w:val="1063"/>
    <w:pPr>
      <w:jc w:val="left"/>
      <w:keepLines/>
      <w:keepNext/>
      <w:spacing w:before="156" w:after="156"/>
      <w:outlineLvl w:val="2"/>
    </w:pPr>
    <w:rPr>
      <w:rFonts w:cs="宋体"/>
      <w:b/>
      <w:bCs/>
      <w:sz w:val="24"/>
    </w:rPr>
  </w:style>
  <w:style w:type="paragraph" w:styleId="1360">
    <w:name w:val="xl34"/>
    <w:basedOn w:val="1063"/>
    <w:next w:val="1360"/>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61">
    <w:name w:val="xl31"/>
    <w:basedOn w:val="1063"/>
    <w:next w:val="1361"/>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62">
    <w:name w:val="flNote"/>
    <w:basedOn w:val="1063"/>
    <w:next w:val="1362"/>
    <w:link w:val="1063"/>
    <w:pPr>
      <w:jc w:val="center"/>
      <w:spacing w:before="567" w:line="360" w:lineRule="atLeast"/>
    </w:pPr>
    <w:rPr>
      <w:rFonts w:eastAsia="黑体"/>
      <w:b/>
      <w:sz w:val="24"/>
    </w:rPr>
  </w:style>
  <w:style w:type="paragraph" w:styleId="1363">
    <w:name w:val="正文1"/>
    <w:basedOn w:val="1063"/>
    <w:next w:val="1063"/>
    <w:link w:val="1063"/>
    <w:pPr>
      <w:ind w:firstLine="510"/>
      <w:spacing w:before="156" w:line="360" w:lineRule="auto"/>
    </w:pPr>
    <w:rPr>
      <w:sz w:val="24"/>
    </w:rPr>
  </w:style>
  <w:style w:type="paragraph" w:styleId="1364">
    <w:name w:val="小四 段落 宋体 Char Char Char"/>
    <w:basedOn w:val="1090"/>
    <w:next w:val="1364"/>
    <w:link w:val="1063"/>
    <w:pPr>
      <w:ind w:left="0" w:right="-33" w:firstLine="545"/>
      <w:jc w:val="left"/>
      <w:spacing w:line="360" w:lineRule="auto"/>
      <w:tabs>
        <w:tab w:val="clear" w:pos="2952" w:leader="none"/>
      </w:tabs>
    </w:pPr>
    <w:rPr>
      <w:sz w:val="24"/>
    </w:rPr>
  </w:style>
  <w:style w:type="paragraph" w:styleId="1365">
    <w:name w:val="公文标题 2"/>
    <w:basedOn w:val="1063"/>
    <w:next w:val="1366"/>
    <w:link w:val="1063"/>
    <w:pPr>
      <w:outlineLvl w:val="1"/>
    </w:pPr>
    <w:rPr>
      <w:rFonts w:ascii="仿宋_GB2312" w:hAnsi="宋体" w:eastAsia="仿宋_GB2312"/>
      <w:sz w:val="28"/>
      <w:szCs w:val="24"/>
    </w:rPr>
  </w:style>
  <w:style w:type="paragraph" w:styleId="1366">
    <w:name w:val="公文正文"/>
    <w:basedOn w:val="1102"/>
    <w:next w:val="1366"/>
    <w:link w:val="1063"/>
    <w:pPr>
      <w:ind w:firstLine="200"/>
    </w:pPr>
    <w:rPr>
      <w:rFonts w:ascii="仿宋_GB2312" w:hAnsi="宋体" w:eastAsia="仿宋_GB2312"/>
      <w:sz w:val="28"/>
      <w:szCs w:val="24"/>
    </w:rPr>
  </w:style>
  <w:style w:type="paragraph" w:styleId="1367">
    <w:name w:val="_Style 42"/>
    <w:basedOn w:val="1063"/>
    <w:next w:val="1100"/>
    <w:link w:val="1063"/>
    <w:rPr>
      <w:rFonts w:ascii="楷体_GB2312" w:hAnsi="Arial" w:eastAsia="楷体_GB2312"/>
      <w:sz w:val="28"/>
    </w:rPr>
  </w:style>
  <w:style w:type="paragraph" w:styleId="1368">
    <w:name w:val="Char Char Char Char Char Char Char Char Char Char Char"/>
    <w:basedOn w:val="1063"/>
    <w:next w:val="1368"/>
    <w:link w:val="1063"/>
    <w:rPr>
      <w:rFonts w:ascii="Tahoma" w:hAnsi="Tahoma" w:cs="Tahoma"/>
      <w:sz w:val="24"/>
    </w:rPr>
  </w:style>
  <w:style w:type="paragraph" w:styleId="1369">
    <w:name w:val="表头_5"/>
    <w:basedOn w:val="1063"/>
    <w:next w:val="1369"/>
    <w:link w:val="1063"/>
    <w:pPr>
      <w:spacing w:line="360" w:lineRule="auto"/>
    </w:pPr>
    <w:rPr>
      <w:b/>
      <w:bCs/>
      <w:sz w:val="28"/>
      <w:szCs w:val="21"/>
    </w:rPr>
  </w:style>
  <w:style w:type="paragraph" w:styleId="1370">
    <w:name w:val="Char Char1 Char Char Char Char"/>
    <w:basedOn w:val="1093"/>
    <w:next w:val="1370"/>
    <w:link w:val="1063"/>
    <w:pPr>
      <w:ind w:left="357"/>
      <w:jc w:val="left"/>
      <w:spacing w:line="436" w:lineRule="exact"/>
      <w:outlineLvl w:val="3"/>
    </w:pPr>
    <w:rPr>
      <w:rFonts w:ascii="Tahoma" w:hAnsi="Tahoma" w:cs="Tahoma"/>
      <w:b/>
      <w:sz w:val="24"/>
      <w:szCs w:val="24"/>
    </w:rPr>
  </w:style>
  <w:style w:type="paragraph" w:styleId="1371">
    <w:name w:val="正文 New New New New New New New New New New New New New New"/>
    <w:next w:val="1371"/>
    <w:link w:val="1063"/>
    <w:pPr>
      <w:jc w:val="both"/>
      <w:widowControl w:val="off"/>
    </w:pPr>
    <w:rPr>
      <w:rFonts w:hint="eastAsia"/>
      <w:sz w:val="21"/>
      <w:lang w:val="en-US" w:eastAsia="zh-CN" w:bidi="ar-SA"/>
    </w:rPr>
  </w:style>
  <w:style w:type="paragraph" w:styleId="1372">
    <w:name w:val="样式 样式 首行缩进:  2 字符 + 行距: 1.5 倍行距"/>
    <w:basedOn w:val="1063"/>
    <w:next w:val="1372"/>
    <w:link w:val="1063"/>
    <w:pPr>
      <w:ind w:firstLine="470"/>
      <w:spacing w:line="360" w:lineRule="auto"/>
    </w:pPr>
    <w:rPr>
      <w:sz w:val="24"/>
    </w:rPr>
  </w:style>
  <w:style w:type="paragraph" w:styleId="1373">
    <w:name w:val="xl39"/>
    <w:basedOn w:val="1063"/>
    <w:next w:val="1373"/>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4">
    <w:name w:val="xl24"/>
    <w:basedOn w:val="1063"/>
    <w:next w:val="1374"/>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5">
    <w:name w:val="章标题"/>
    <w:next w:val="1347"/>
    <w:link w:val="1063"/>
    <w:pPr>
      <w:jc w:val="both"/>
      <w:spacing w:before="156" w:after="156"/>
      <w:outlineLvl w:val="1"/>
    </w:pPr>
    <w:rPr>
      <w:rFonts w:eastAsia="黑体"/>
      <w:sz w:val="21"/>
      <w:lang w:val="en-US" w:eastAsia="zh-CN" w:bidi="ar-SA"/>
    </w:rPr>
  </w:style>
  <w:style w:type="paragraph" w:styleId="1376">
    <w:name w:val="正文2"/>
    <w:basedOn w:val="1063"/>
    <w:next w:val="1376"/>
    <w:link w:val="1063"/>
    <w:pPr>
      <w:ind w:firstLine="510"/>
      <w:spacing w:before="156" w:line="360" w:lineRule="auto"/>
    </w:pPr>
    <w:rPr>
      <w:sz w:val="24"/>
    </w:rPr>
  </w:style>
  <w:style w:type="paragraph" w:styleId="1377">
    <w:name w:val="retrait3"/>
    <w:basedOn w:val="1063"/>
    <w:next w:val="1377"/>
    <w:link w:val="1063"/>
    <w:pPr>
      <w:ind w:left="851"/>
      <w:jc w:val="left"/>
      <w:spacing w:before="20" w:after="20"/>
      <w:widowControl/>
    </w:pPr>
    <w:rPr>
      <w:rFonts w:ascii="Arial" w:hAnsi="Arial"/>
      <w:sz w:val="24"/>
      <w:lang w:val="en-GB"/>
    </w:rPr>
  </w:style>
  <w:style w:type="paragraph" w:styleId="1378">
    <w:name w:val="Pa6"/>
    <w:basedOn w:val="1063"/>
    <w:next w:val="1063"/>
    <w:link w:val="1063"/>
    <w:pPr>
      <w:jc w:val="left"/>
      <w:spacing w:line="241" w:lineRule="atLeast"/>
    </w:pPr>
    <w:rPr>
      <w:rFonts w:ascii="HYDaHeiJ" w:eastAsia="HYDaHeiJ"/>
      <w:sz w:val="24"/>
      <w:szCs w:val="24"/>
    </w:rPr>
  </w:style>
  <w:style w:type="paragraph" w:styleId="1379">
    <w:name w:val="xl32"/>
    <w:basedOn w:val="1063"/>
    <w:next w:val="1379"/>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0">
    <w:name w:val="xl26"/>
    <w:basedOn w:val="1063"/>
    <w:next w:val="1380"/>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1">
    <w:name w:val="Char Char Char Char Char Char Char Char Char Char Char Char Char Char"/>
    <w:basedOn w:val="1063"/>
    <w:next w:val="1381"/>
    <w:link w:val="1063"/>
    <w:rPr>
      <w:rFonts w:ascii="Tahoma" w:hAnsi="Tahoma" w:cs="Tahoma"/>
      <w:sz w:val="24"/>
    </w:rPr>
  </w:style>
  <w:style w:type="paragraph" w:styleId="1382">
    <w:name w:val="表格文字"/>
    <w:basedOn w:val="1063"/>
    <w:next w:val="1382"/>
    <w:link w:val="1063"/>
    <w:pPr>
      <w:ind w:firstLine="200"/>
      <w:jc w:val="left"/>
      <w:spacing w:line="360" w:lineRule="auto"/>
    </w:pPr>
    <w:rPr>
      <w:rFonts w:ascii="Arial" w:hAnsi="Arial"/>
      <w:sz w:val="24"/>
    </w:rPr>
  </w:style>
  <w:style w:type="paragraph" w:styleId="1383">
    <w:name w:val=" Char1 Char Char Char"/>
    <w:basedOn w:val="1063"/>
    <w:next w:val="1383"/>
    <w:link w:val="1063"/>
    <w:rPr>
      <w:rFonts w:ascii="Tahoma" w:hAnsi="Tahoma"/>
      <w:sz w:val="24"/>
    </w:rPr>
  </w:style>
  <w:style w:type="paragraph" w:styleId="1384">
    <w:name w:val="表格标题"/>
    <w:basedOn w:val="1063"/>
    <w:next w:val="1384"/>
    <w:link w:val="1063"/>
    <w:pPr>
      <w:jc w:val="center"/>
      <w:spacing w:before="120" w:line="400" w:lineRule="exact"/>
    </w:pPr>
    <w:rPr>
      <w:rFonts w:eastAsia="文鼎CS中宋"/>
      <w:spacing w:val="8"/>
      <w:sz w:val="24"/>
    </w:rPr>
  </w:style>
  <w:style w:type="paragraph" w:styleId="1385">
    <w:name w:val="xl33"/>
    <w:basedOn w:val="1063"/>
    <w:next w:val="1385"/>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6">
    <w:name w:val="样式 段后: 0.25 行"/>
    <w:basedOn w:val="1063"/>
    <w:next w:val="1386"/>
    <w:link w:val="1063"/>
    <w:pPr>
      <w:ind w:firstLine="420"/>
      <w:jc w:val="left"/>
      <w:spacing w:after="78" w:line="300" w:lineRule="auto"/>
      <w:widowControl/>
    </w:pPr>
    <w:rPr>
      <w:rFonts w:ascii="Arial" w:hAnsi="Arial" w:cs="宋体"/>
      <w:sz w:val="22"/>
      <w:lang w:eastAsia="en-US" w:bidi="en-US"/>
    </w:rPr>
  </w:style>
  <w:style w:type="paragraph" w:styleId="1387">
    <w:name w:val="插图"/>
    <w:basedOn w:val="1063"/>
    <w:next w:val="1387"/>
    <w:link w:val="1063"/>
    <w:pPr>
      <w:jc w:val="center"/>
      <w:tabs>
        <w:tab w:val="left" w:pos="1620" w:leader="none"/>
      </w:tabs>
    </w:pPr>
    <w:rPr>
      <w:bCs/>
      <w:color w:val="000000"/>
      <w:szCs w:val="22"/>
    </w:rPr>
  </w:style>
  <w:style w:type="paragraph" w:styleId="1388">
    <w:name w:val="大标题"/>
    <w:basedOn w:val="1063"/>
    <w:next w:val="1063"/>
    <w:link w:val="1063"/>
    <w:pPr>
      <w:ind w:hanging="420"/>
      <w:pageBreakBefore/>
      <w:spacing w:line="360" w:lineRule="auto"/>
      <w:tabs>
        <w:tab w:val="left" w:pos="420" w:leader="none"/>
      </w:tabs>
      <w:outlineLvl w:val="0"/>
    </w:pPr>
    <w:rPr>
      <w:b/>
      <w:iCs/>
      <w:sz w:val="44"/>
      <w:szCs w:val="24"/>
    </w:rPr>
  </w:style>
  <w:style w:type="paragraph" w:styleId="1389">
    <w:name w:val="列出段落2"/>
    <w:basedOn w:val="1063"/>
    <w:next w:val="1389"/>
    <w:link w:val="1063"/>
    <w:pPr>
      <w:ind w:left="720"/>
      <w:jc w:val="left"/>
      <w:widowControl/>
    </w:pPr>
    <w:rPr>
      <w:rFonts w:ascii="Arial" w:hAnsi="Arial" w:eastAsia="黑体" w:cs="Arial"/>
      <w:sz w:val="24"/>
      <w:szCs w:val="24"/>
      <w:lang w:eastAsia="en-US"/>
    </w:rPr>
  </w:style>
  <w:style w:type="paragraph" w:styleId="1390">
    <w:name w:val="丁华标题1"/>
    <w:basedOn w:val="1064"/>
    <w:next w:val="1349"/>
    <w:link w:val="1063"/>
    <w:pPr>
      <w:numPr>
        <w:ilvl w:val="0"/>
        <w:numId w:val="5"/>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391">
    <w:name w:val="a"/>
    <w:basedOn w:val="1063"/>
    <w:next w:val="1391"/>
    <w:link w:val="1063"/>
    <w:pPr>
      <w:spacing w:before="100" w:beforeAutospacing="1" w:after="100" w:afterAutospacing="1"/>
      <w:widowControl/>
    </w:pPr>
    <w:rPr>
      <w:rFonts w:ascii="宋体" w:hAnsi="宋体" w:cs="宋体"/>
      <w:sz w:val="24"/>
      <w:szCs w:val="24"/>
    </w:rPr>
  </w:style>
  <w:style w:type="paragraph" w:styleId="1392">
    <w:name w:val=" Char Char Char Char Char Char Char Char"/>
    <w:basedOn w:val="1063"/>
    <w:next w:val="1392"/>
    <w:link w:val="1063"/>
    <w:rPr>
      <w:rFonts w:ascii="Tahoma" w:hAnsi="Tahoma"/>
      <w:sz w:val="24"/>
    </w:rPr>
  </w:style>
  <w:style w:type="paragraph" w:styleId="1393">
    <w:name w:val="font13"/>
    <w:basedOn w:val="1063"/>
    <w:next w:val="1393"/>
    <w:link w:val="1063"/>
    <w:pPr>
      <w:jc w:val="left"/>
      <w:spacing w:before="100" w:beforeAutospacing="1" w:after="100" w:afterAutospacing="1"/>
      <w:widowControl/>
    </w:pPr>
    <w:rPr>
      <w:i/>
      <w:iCs/>
      <w:sz w:val="36"/>
      <w:szCs w:val="36"/>
    </w:rPr>
  </w:style>
  <w:style w:type="paragraph" w:styleId="1394">
    <w:name w:val="xl47"/>
    <w:basedOn w:val="1063"/>
    <w:next w:val="1394"/>
    <w:link w:val="10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95">
    <w:name w:val="Char Char Char Char"/>
    <w:basedOn w:val="1093"/>
    <w:next w:val="1395"/>
    <w:link w:val="1063"/>
    <w:pPr>
      <w:spacing w:line="360" w:lineRule="auto"/>
    </w:pPr>
    <w:rPr>
      <w:rFonts w:ascii="Tahoma" w:hAnsi="Tahoma"/>
      <w:sz w:val="24"/>
      <w:szCs w:val="24"/>
    </w:rPr>
  </w:style>
  <w:style w:type="paragraph" w:styleId="1396">
    <w:name w:val="一级标题"/>
    <w:basedOn w:val="1063"/>
    <w:next w:val="1396"/>
    <w:link w:val="1063"/>
    <w:pPr>
      <w:ind w:left="900" w:hanging="420"/>
      <w:spacing w:line="360" w:lineRule="auto"/>
      <w:tabs>
        <w:tab w:val="left" w:pos="903" w:leader="none"/>
      </w:tabs>
    </w:pPr>
    <w:rPr>
      <w:rFonts w:ascii="Arial" w:hAnsi="Arial" w:cs="Arial"/>
      <w:sz w:val="24"/>
    </w:rPr>
  </w:style>
  <w:style w:type="paragraph" w:styleId="1397">
    <w:name w:val="标题5，章节第五层"/>
    <w:basedOn w:val="1063"/>
    <w:next w:val="1063"/>
    <w:link w:val="1063"/>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98">
    <w:name w:val="部分1"/>
    <w:basedOn w:val="1063"/>
    <w:next w:val="1398"/>
    <w:link w:val="1063"/>
    <w:pPr>
      <w:jc w:val="center"/>
      <w:keepNext/>
      <w:pageBreakBefore/>
      <w:spacing w:line="360" w:lineRule="auto"/>
      <w:tabs>
        <w:tab w:val="left" w:pos="360" w:leader="none"/>
      </w:tabs>
      <w:outlineLvl w:val="0"/>
    </w:pPr>
    <w:rPr>
      <w:rFonts w:eastAsia="黑体"/>
      <w:b/>
      <w:sz w:val="36"/>
    </w:rPr>
  </w:style>
  <w:style w:type="paragraph" w:styleId="1399">
    <w:name w:val="小四 段落 宋体 Char"/>
    <w:basedOn w:val="1090"/>
    <w:next w:val="1399"/>
    <w:link w:val="1063"/>
    <w:pPr>
      <w:ind w:left="0" w:right="-33" w:firstLine="600"/>
      <w:jc w:val="left"/>
      <w:tabs>
        <w:tab w:val="clear" w:pos="2952" w:leader="none"/>
      </w:tabs>
    </w:pPr>
    <w:rPr>
      <w:rFonts w:ascii="仿宋_GB2312" w:eastAsia="仿宋_GB2312"/>
      <w:sz w:val="30"/>
      <w:szCs w:val="30"/>
    </w:rPr>
  </w:style>
  <w:style w:type="paragraph" w:styleId="1400">
    <w:name w:val="Bullets L1"/>
    <w:basedOn w:val="1063"/>
    <w:next w:val="1400"/>
    <w:link w:val="1063"/>
    <w:pPr>
      <w:numPr>
        <w:ilvl w:val="0"/>
        <w:numId w:val="6"/>
      </w:numPr>
      <w:jc w:val="left"/>
      <w:spacing w:before="60" w:after="60"/>
      <w:widowControl/>
      <w:tabs>
        <w:tab w:val="left" w:pos="360" w:leader="none"/>
      </w:tabs>
    </w:pPr>
    <w:rPr>
      <w:rFonts w:ascii="Arial" w:hAnsi="Arial"/>
      <w:sz w:val="20"/>
    </w:rPr>
  </w:style>
  <w:style w:type="paragraph" w:styleId="1401">
    <w:name w:val="font11"/>
    <w:basedOn w:val="1063"/>
    <w:next w:val="1401"/>
    <w:link w:val="1063"/>
    <w:pPr>
      <w:jc w:val="left"/>
      <w:spacing w:before="100" w:beforeAutospacing="1" w:after="100" w:afterAutospacing="1"/>
      <w:widowControl/>
    </w:pPr>
    <w:rPr>
      <w:b/>
      <w:bCs/>
      <w:sz w:val="18"/>
      <w:szCs w:val="18"/>
    </w:rPr>
  </w:style>
  <w:style w:type="paragraph" w:styleId="1402">
    <w:name w:val="xl62"/>
    <w:basedOn w:val="1063"/>
    <w:next w:val="1402"/>
    <w:link w:val="106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03">
    <w:name w:val="xl29"/>
    <w:basedOn w:val="1063"/>
    <w:next w:val="1403"/>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04">
    <w:name w:val="Default Text"/>
    <w:basedOn w:val="1063"/>
    <w:next w:val="1404"/>
    <w:link w:val="1063"/>
    <w:pPr>
      <w:jc w:val="left"/>
      <w:widowControl/>
    </w:pPr>
    <w:rPr>
      <w:sz w:val="24"/>
      <w:lang w:eastAsia="en-US"/>
    </w:rPr>
  </w:style>
  <w:style w:type="paragraph" w:styleId="1405">
    <w:name w:val="表格1"/>
    <w:basedOn w:val="1063"/>
    <w:next w:val="1405"/>
    <w:link w:val="1063"/>
    <w:rPr>
      <w:rFonts w:ascii="宋体"/>
      <w:szCs w:val="21"/>
    </w:rPr>
  </w:style>
  <w:style w:type="paragraph" w:styleId="1406">
    <w:name w:val="正文 首行缩进:  2 字符 Char Char"/>
    <w:basedOn w:val="1063"/>
    <w:next w:val="1406"/>
    <w:link w:val="1063"/>
    <w:pPr>
      <w:ind w:firstLine="480"/>
      <w:spacing w:line="360" w:lineRule="auto"/>
    </w:pPr>
    <w:rPr>
      <w:rFonts w:ascii="楷体_GB2312" w:eastAsia="楷体_GB2312"/>
      <w:bCs/>
      <w:sz w:val="24"/>
      <w:szCs w:val="24"/>
    </w:rPr>
  </w:style>
  <w:style w:type="paragraph" w:styleId="1407">
    <w:name w:val="font5"/>
    <w:basedOn w:val="1063"/>
    <w:next w:val="1407"/>
    <w:link w:val="1063"/>
    <w:pPr>
      <w:jc w:val="left"/>
      <w:spacing w:before="100" w:beforeAutospacing="1" w:after="100" w:afterAutospacing="1"/>
      <w:widowControl/>
    </w:pPr>
    <w:rPr>
      <w:rFonts w:ascii="宋体" w:hAnsi="宋体" w:cs="宋体"/>
      <w:sz w:val="18"/>
      <w:szCs w:val="18"/>
    </w:rPr>
  </w:style>
  <w:style w:type="paragraph" w:styleId="1408">
    <w:name w:val="马刚标题1"/>
    <w:basedOn w:val="1064"/>
    <w:next w:val="1063"/>
    <w:link w:val="1063"/>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09">
    <w:name w:val="标题3"/>
    <w:basedOn w:val="1066"/>
    <w:next w:val="1409"/>
    <w:link w:val="1063"/>
    <w:pPr>
      <w:keepLines w:val="0"/>
      <w:keepNext w:val="0"/>
      <w:spacing w:before="0" w:after="0" w:line="360" w:lineRule="auto"/>
    </w:pPr>
    <w:rPr>
      <w:rFonts w:eastAsia="仿宋_GB2312"/>
      <w:b w:val="0"/>
      <w:bCs/>
      <w:sz w:val="30"/>
      <w:szCs w:val="32"/>
    </w:rPr>
  </w:style>
  <w:style w:type="paragraph" w:styleId="1410">
    <w:name w:val="丁华标题3"/>
    <w:basedOn w:val="1357"/>
    <w:next w:val="1349"/>
    <w:link w:val="1063"/>
    <w:pPr>
      <w:numPr>
        <w:ilvl w:val="2"/>
        <w:numId w:val="5"/>
      </w:numPr>
      <w:ind w:left="1980" w:hanging="420"/>
      <w:spacing w:after="0"/>
      <w:tabs>
        <w:tab w:val="left" w:pos="1004" w:leader="none"/>
        <w:tab w:val="left" w:pos="1470" w:leader="none"/>
        <w:tab w:val="left" w:pos="1980" w:leader="none"/>
      </w:tabs>
      <w:outlineLvl w:val="2"/>
    </w:pPr>
    <w:rPr>
      <w:sz w:val="24"/>
    </w:rPr>
  </w:style>
  <w:style w:type="paragraph" w:styleId="1411">
    <w:name w:val="Body Text 21"/>
    <w:basedOn w:val="1063"/>
    <w:next w:val="1411"/>
    <w:link w:val="1063"/>
    <w:pPr>
      <w:ind w:left="720" w:hanging="720"/>
      <w:widowControl/>
    </w:pPr>
    <w:rPr>
      <w:sz w:val="24"/>
      <w:lang w:val="en-GB"/>
    </w:rPr>
  </w:style>
  <w:style w:type="paragraph" w:styleId="1412">
    <w:name w:val="font14"/>
    <w:basedOn w:val="1063"/>
    <w:next w:val="1412"/>
    <w:link w:val="1063"/>
    <w:pPr>
      <w:jc w:val="left"/>
      <w:spacing w:before="100" w:beforeAutospacing="1" w:after="100" w:afterAutospacing="1"/>
      <w:widowControl/>
    </w:pPr>
    <w:rPr>
      <w:sz w:val="36"/>
      <w:szCs w:val="36"/>
    </w:rPr>
  </w:style>
  <w:style w:type="paragraph" w:styleId="1413">
    <w:name w:val="Default"/>
    <w:next w:val="1413"/>
    <w:link w:val="1063"/>
    <w:qFormat/>
    <w:pPr>
      <w:widowControl w:val="off"/>
    </w:pPr>
    <w:rPr>
      <w:rFonts w:ascii="宋体" w:cs="宋体"/>
      <w:color w:val="000000"/>
      <w:sz w:val="24"/>
      <w:szCs w:val="24"/>
      <w:lang w:val="en-US" w:eastAsia="zh-CN" w:bidi="ar-SA"/>
    </w:rPr>
  </w:style>
  <w:style w:type="paragraph" w:styleId="1414">
    <w:name w:val="我的正文"/>
    <w:basedOn w:val="1063"/>
    <w:next w:val="1414"/>
    <w:link w:val="1063"/>
    <w:pPr>
      <w:ind w:firstLine="420"/>
      <w:jc w:val="left"/>
      <w:spacing w:line="360" w:lineRule="auto"/>
      <w:widowControl/>
    </w:pPr>
    <w:rPr>
      <w:rFonts w:ascii="宋体" w:hAnsi="宋体" w:cs="宋体"/>
      <w:szCs w:val="21"/>
    </w:rPr>
  </w:style>
  <w:style w:type="paragraph" w:styleId="1415">
    <w:name w:val="a0"/>
    <w:basedOn w:val="1063"/>
    <w:next w:val="1415"/>
    <w:link w:val="1063"/>
    <w:pPr>
      <w:spacing w:before="100" w:beforeAutospacing="1" w:after="100" w:afterAutospacing="1"/>
      <w:widowControl/>
    </w:pPr>
    <w:rPr>
      <w:rFonts w:ascii="宋体" w:hAnsi="宋体" w:cs="宋体"/>
      <w:sz w:val="24"/>
      <w:szCs w:val="24"/>
    </w:rPr>
  </w:style>
  <w:style w:type="paragraph" w:styleId="1416">
    <w:name w:val="Char2 Char Char Char Char Char Char1"/>
    <w:basedOn w:val="1063"/>
    <w:next w:val="1416"/>
    <w:link w:val="1063"/>
    <w:pPr>
      <w:ind w:hanging="425"/>
      <w:keepNext/>
      <w:spacing w:before="80" w:after="80"/>
      <w:widowControl/>
      <w:tabs>
        <w:tab w:val="left" w:pos="425" w:leader="none"/>
      </w:tabs>
    </w:pPr>
    <w:rPr>
      <w:rFonts w:ascii="Arial" w:hAnsi="Arial" w:cs="Arial"/>
      <w:sz w:val="20"/>
    </w:rPr>
  </w:style>
  <w:style w:type="paragraph" w:styleId="1417">
    <w:name w:val="小四 段落 宋体 Char Char Char Char"/>
    <w:basedOn w:val="1063"/>
    <w:next w:val="1417"/>
    <w:link w:val="1063"/>
    <w:pPr>
      <w:ind w:right="-33" w:firstLine="480"/>
      <w:jc w:val="left"/>
      <w:spacing w:line="360" w:lineRule="auto"/>
    </w:pPr>
    <w:rPr>
      <w:sz w:val="24"/>
      <w:szCs w:val="24"/>
    </w:rPr>
  </w:style>
  <w:style w:type="paragraph" w:styleId="1418">
    <w:name w:val="Char Char1 Char"/>
    <w:basedOn w:val="1063"/>
    <w:next w:val="1418"/>
    <w:link w:val="1063"/>
    <w:pPr>
      <w:jc w:val="left"/>
      <w:spacing w:after="160" w:line="240" w:lineRule="exact"/>
      <w:widowControl/>
    </w:pPr>
    <w:rPr>
      <w:rFonts w:ascii="Verdana" w:hAnsi="Verdana"/>
      <w:sz w:val="20"/>
      <w:lang w:eastAsia="en-US"/>
    </w:rPr>
  </w:style>
  <w:style w:type="paragraph" w:styleId="1419">
    <w:name w:val="font10"/>
    <w:basedOn w:val="1063"/>
    <w:next w:val="1419"/>
    <w:link w:val="1063"/>
    <w:pPr>
      <w:jc w:val="left"/>
      <w:spacing w:before="100" w:beforeAutospacing="1" w:after="100" w:afterAutospacing="1"/>
      <w:widowControl/>
    </w:pPr>
    <w:rPr>
      <w:rFonts w:ascii="楷体_GB2312" w:hAnsi="宋体" w:eastAsia="楷体_GB2312" w:cs="宋体"/>
      <w:b/>
      <w:bCs/>
      <w:sz w:val="18"/>
      <w:szCs w:val="18"/>
    </w:rPr>
  </w:style>
  <w:style w:type="paragraph" w:styleId="1420">
    <w:name w:val="xl50"/>
    <w:basedOn w:val="1063"/>
    <w:next w:val="1420"/>
    <w:link w:val="106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21">
    <w:name w:val=" Char Char"/>
    <w:basedOn w:val="1063"/>
    <w:next w:val="1421"/>
    <w:link w:val="1063"/>
    <w:rPr>
      <w:rFonts w:ascii="Tahoma" w:hAnsi="Tahoma"/>
      <w:sz w:val="24"/>
    </w:rPr>
  </w:style>
  <w:style w:type="paragraph" w:styleId="1422">
    <w:name w:val="xl63"/>
    <w:basedOn w:val="1063"/>
    <w:next w:val="1422"/>
    <w:link w:val="106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23">
    <w:name w:val="文档正文"/>
    <w:basedOn w:val="1063"/>
    <w:next w:val="1423"/>
    <w:link w:val="1063"/>
    <w:pPr>
      <w:spacing w:line="360" w:lineRule="auto"/>
    </w:pPr>
    <w:rPr>
      <w:rFonts w:ascii="宋体" w:hAnsi="宋体"/>
      <w:b/>
      <w:bCs/>
      <w:szCs w:val="24"/>
    </w:rPr>
  </w:style>
  <w:style w:type="paragraph" w:styleId="1424">
    <w:name w:val="Test2"/>
    <w:basedOn w:val="1065"/>
    <w:next w:val="1424"/>
    <w:link w:val="1063"/>
    <w:pPr>
      <w:jc w:val="center"/>
      <w:spacing w:before="156" w:after="156" w:line="480" w:lineRule="exact"/>
      <w:widowControl/>
    </w:pPr>
    <w:rPr>
      <w:rFonts w:ascii="黑体" w:hAnsi="Arial" w:eastAsia="黑体"/>
      <w:bCs/>
      <w:sz w:val="24"/>
    </w:rPr>
  </w:style>
  <w:style w:type="paragraph" w:styleId="1425">
    <w:name w:val=" Char Char1"/>
    <w:basedOn w:val="1063"/>
    <w:next w:val="1425"/>
    <w:link w:val="1063"/>
    <w:rPr>
      <w:rFonts w:ascii="Tahoma" w:hAnsi="Tahoma"/>
      <w:sz w:val="24"/>
    </w:rPr>
  </w:style>
  <w:style w:type="paragraph" w:styleId="1426">
    <w:name w:val="xl35"/>
    <w:basedOn w:val="1063"/>
    <w:next w:val="1426"/>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27">
    <w:name w:val="xl43"/>
    <w:basedOn w:val="1063"/>
    <w:next w:val="1427"/>
    <w:link w:val="10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28">
    <w:name w:val=" Char Char Char Char Char Char Char Char Char Char Char Char Char Char Char Char Char Char Char Char Char Char Char"/>
    <w:basedOn w:val="1063"/>
    <w:next w:val="1428"/>
    <w:link w:val="1063"/>
    <w:rPr>
      <w:rFonts w:ascii="Tahoma" w:hAnsi="Tahoma"/>
      <w:sz w:val="24"/>
    </w:rPr>
  </w:style>
  <w:style w:type="paragraph" w:styleId="1429">
    <w:name w:val="Char Char Char Char Char Char Char1 Char"/>
    <w:basedOn w:val="1063"/>
    <w:next w:val="1429"/>
    <w:link w:val="1063"/>
    <w:rPr>
      <w:rFonts w:ascii="Tahoma" w:hAnsi="Tahoma" w:cs="Tahoma"/>
      <w:sz w:val="24"/>
    </w:rPr>
  </w:style>
  <w:style w:type="paragraph" w:styleId="1430">
    <w:name w:val="普通文字"/>
    <w:basedOn w:val="1063"/>
    <w:next w:val="1063"/>
    <w:link w:val="1063"/>
    <w:rPr>
      <w:rFonts w:ascii="宋体" w:hAnsi="宋体" w:cs="宋体"/>
      <w:sz w:val="24"/>
    </w:rPr>
  </w:style>
  <w:style w:type="paragraph" w:styleId="1431">
    <w:name w:val="正文lzq"/>
    <w:basedOn w:val="1063"/>
    <w:next w:val="1431"/>
    <w:link w:val="1063"/>
    <w:pPr>
      <w:ind w:firstLine="480"/>
      <w:spacing w:line="360" w:lineRule="auto"/>
    </w:pPr>
    <w:rPr>
      <w:sz w:val="24"/>
    </w:rPr>
  </w:style>
  <w:style w:type="paragraph" w:styleId="1432">
    <w:name w:val="样式4 Char"/>
    <w:basedOn w:val="1063"/>
    <w:next w:val="1432"/>
    <w:link w:val="1063"/>
    <w:pPr>
      <w:ind w:firstLine="480"/>
      <w:jc w:val="left"/>
      <w:spacing w:line="360" w:lineRule="auto"/>
      <w:widowControl/>
    </w:pPr>
    <w:rPr>
      <w:rFonts w:cs="宋体"/>
      <w:color w:val="000000"/>
      <w:sz w:val="24"/>
      <w:szCs w:val="24"/>
    </w:rPr>
  </w:style>
  <w:style w:type="paragraph" w:styleId="1433">
    <w:name w:val="Char"/>
    <w:basedOn w:val="1063"/>
    <w:next w:val="1433"/>
    <w:link w:val="1063"/>
    <w:semiHidden/>
    <w:rPr>
      <w:rFonts w:ascii="Tahoma" w:hAnsi="Tahoma" w:cs="仿宋_GB2312"/>
      <w:sz w:val="24"/>
      <w:szCs w:val="28"/>
    </w:rPr>
  </w:style>
  <w:style w:type="paragraph" w:styleId="1434">
    <w:name w:val="项目符号：一级"/>
    <w:basedOn w:val="1260"/>
    <w:next w:val="1260"/>
    <w:link w:val="1063"/>
    <w:pPr>
      <w:ind w:right="-134"/>
    </w:pPr>
    <w:rPr>
      <w:bCs w:val="0"/>
    </w:rPr>
  </w:style>
  <w:style w:type="paragraph" w:styleId="1435">
    <w:name w:val="样式3"/>
    <w:basedOn w:val="1063"/>
    <w:next w:val="1063"/>
    <w:link w:val="1063"/>
    <w:pPr>
      <w:spacing w:line="360" w:lineRule="auto"/>
    </w:pPr>
  </w:style>
  <w:style w:type="paragraph" w:styleId="1436">
    <w:name w:val=" Char Char Char Char Char Char Char Char Char Char Char Char Char Char"/>
    <w:basedOn w:val="1063"/>
    <w:next w:val="1436"/>
    <w:link w:val="1063"/>
    <w:rPr>
      <w:rFonts w:ascii="Tahoma" w:hAnsi="Tahoma"/>
      <w:sz w:val="24"/>
    </w:rPr>
  </w:style>
  <w:style w:type="paragraph" w:styleId="1437">
    <w:name w:val="列表内容"/>
    <w:basedOn w:val="1063"/>
    <w:next w:val="1063"/>
    <w:link w:val="1063"/>
    <w:pPr>
      <w:ind w:left="840" w:hanging="420"/>
      <w:jc w:val="left"/>
      <w:widowControl/>
      <w:tabs>
        <w:tab w:val="left" w:pos="840" w:leader="none"/>
      </w:tabs>
    </w:pPr>
    <w:rPr>
      <w:sz w:val="18"/>
      <w:szCs w:val="24"/>
    </w:rPr>
  </w:style>
  <w:style w:type="paragraph" w:styleId="1438">
    <w:name w:val="Char Char1"/>
    <w:basedOn w:val="1063"/>
    <w:next w:val="1438"/>
    <w:link w:val="1063"/>
    <w:rPr>
      <w:rFonts w:ascii="Tahoma" w:hAnsi="Tahoma" w:cs="Tahoma"/>
      <w:sz w:val="24"/>
    </w:rPr>
  </w:style>
  <w:style w:type="paragraph" w:styleId="1439">
    <w:name w:val=" Char Char Char Char Char Char Char Char Char Char Char Char Char Char Char Char Char Char Char Char Char"/>
    <w:basedOn w:val="1063"/>
    <w:next w:val="1439"/>
    <w:link w:val="1063"/>
    <w:rPr>
      <w:rFonts w:ascii="Tahoma" w:hAnsi="Tahoma"/>
      <w:sz w:val="24"/>
    </w:rPr>
  </w:style>
  <w:style w:type="paragraph" w:styleId="1440">
    <w:name w:val="xl61"/>
    <w:basedOn w:val="1063"/>
    <w:next w:val="1440"/>
    <w:link w:val="106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41">
    <w:name w:val="正文 + 宋体"/>
    <w:basedOn w:val="1063"/>
    <w:next w:val="1441"/>
    <w:link w:val="1063"/>
    <w:pPr>
      <w:ind w:firstLine="420"/>
      <w:spacing w:line="360" w:lineRule="auto"/>
    </w:pPr>
    <w:rPr>
      <w:szCs w:val="24"/>
    </w:rPr>
  </w:style>
  <w:style w:type="paragraph" w:styleId="1442">
    <w:name w:val="Char1 Char Char Char"/>
    <w:basedOn w:val="1063"/>
    <w:next w:val="1442"/>
    <w:link w:val="1063"/>
    <w:rPr>
      <w:rFonts w:ascii="Tahoma" w:hAnsi="Tahoma" w:cs="Tahoma"/>
      <w:sz w:val="24"/>
    </w:rPr>
  </w:style>
  <w:style w:type="paragraph" w:styleId="1443">
    <w:name w:val="默认段落字体 Para Char Char Char Char Char Char Char Char Char1 Char Char Char Char Char Char Char"/>
    <w:basedOn w:val="1093"/>
    <w:next w:val="1443"/>
    <w:link w:val="1063"/>
  </w:style>
  <w:style w:type="paragraph" w:styleId="1444">
    <w:name w:val=" Char Char Char Char Char Char Char Char Char Char Char Char Char"/>
    <w:basedOn w:val="1093"/>
    <w:next w:val="1444"/>
    <w:link w:val="1063"/>
    <w:rPr>
      <w:rFonts w:ascii="Tahoma" w:hAnsi="Tahoma"/>
      <w:sz w:val="24"/>
      <w:szCs w:val="24"/>
    </w:rPr>
  </w:style>
  <w:style w:type="paragraph" w:styleId="1445">
    <w:name w:val="默认段落字体 Para Char"/>
    <w:basedOn w:val="1063"/>
    <w:next w:val="1445"/>
    <w:link w:val="1063"/>
    <w:rPr>
      <w:sz w:val="24"/>
      <w:szCs w:val="24"/>
    </w:rPr>
  </w:style>
  <w:style w:type="paragraph" w:styleId="1446">
    <w:name w:val="Char Char Char Char Char"/>
    <w:basedOn w:val="1063"/>
    <w:next w:val="1446"/>
    <w:link w:val="1063"/>
    <w:rPr>
      <w:rFonts w:ascii="Tahoma" w:hAnsi="Tahoma" w:cs="Tahoma"/>
      <w:sz w:val="24"/>
    </w:rPr>
  </w:style>
  <w:style w:type="paragraph" w:styleId="1447">
    <w:name w:val="flName"/>
    <w:basedOn w:val="1362"/>
    <w:next w:val="1447"/>
    <w:link w:val="1063"/>
    <w:pPr>
      <w:spacing w:before="0" w:line="113" w:lineRule="atLeast"/>
    </w:pPr>
  </w:style>
  <w:style w:type="paragraph" w:styleId="1448">
    <w:name w:val="1"/>
    <w:basedOn w:val="1063"/>
    <w:next w:val="1135"/>
    <w:link w:val="1063"/>
    <w:pPr>
      <w:spacing w:line="360" w:lineRule="auto"/>
    </w:pPr>
    <w:rPr>
      <w:rFonts w:eastAsia="仿宋_GB2312"/>
      <w:sz w:val="24"/>
      <w:szCs w:val="24"/>
    </w:rPr>
  </w:style>
  <w:style w:type="paragraph" w:styleId="1449">
    <w:name w:val="greytypebeni"/>
    <w:basedOn w:val="1063"/>
    <w:next w:val="1449"/>
    <w:link w:val="1063"/>
    <w:pPr>
      <w:jc w:val="left"/>
      <w:widowControl/>
    </w:pPr>
    <w:rPr>
      <w:rFonts w:ascii="宋体" w:hAnsi="宋体" w:cs="宋体"/>
      <w:sz w:val="24"/>
      <w:szCs w:val="24"/>
    </w:rPr>
  </w:style>
  <w:style w:type="paragraph" w:styleId="1450">
    <w:name w:val="content_lineheight"/>
    <w:basedOn w:val="1063"/>
    <w:next w:val="1450"/>
    <w:link w:val="1063"/>
    <w:pPr>
      <w:jc w:val="left"/>
      <w:spacing w:before="100" w:beforeAutospacing="1" w:after="100" w:afterAutospacing="1"/>
      <w:widowControl/>
    </w:pPr>
    <w:rPr>
      <w:rFonts w:ascii="宋体" w:hAnsi="宋体"/>
      <w:sz w:val="24"/>
      <w:szCs w:val="24"/>
    </w:rPr>
  </w:style>
  <w:style w:type="paragraph" w:styleId="1451">
    <w:name w:val="Char Char Char Char Char Char Char Char Char Char Char Char Char Char Char Char Char Char Char Char Char Char Char"/>
    <w:basedOn w:val="1063"/>
    <w:next w:val="1451"/>
    <w:link w:val="1063"/>
    <w:rPr>
      <w:rFonts w:ascii="Tahoma" w:hAnsi="Tahoma" w:cs="Tahoma"/>
      <w:sz w:val="24"/>
    </w:rPr>
  </w:style>
  <w:style w:type="paragraph" w:styleId="1452">
    <w:name w:val="flType"/>
    <w:basedOn w:val="1447"/>
    <w:next w:val="1452"/>
    <w:link w:val="1063"/>
    <w:pPr>
      <w:spacing w:after="284"/>
    </w:pPr>
    <w:rPr>
      <w:rFonts w:eastAsia="宋体"/>
      <w:b/>
    </w:rPr>
  </w:style>
  <w:style w:type="paragraph" w:styleId="1453">
    <w:name w:val="Char Char Char Char Char Char Char Char"/>
    <w:basedOn w:val="1063"/>
    <w:next w:val="1453"/>
    <w:link w:val="1063"/>
    <w:rPr>
      <w:rFonts w:ascii="Tahoma" w:hAnsi="Tahoma" w:cs="Tahoma"/>
      <w:sz w:val="24"/>
    </w:rPr>
  </w:style>
  <w:style w:type="paragraph" w:styleId="1454">
    <w:name w:val="Body Text 2"/>
    <w:basedOn w:val="1063"/>
    <w:next w:val="1454"/>
    <w:link w:val="1063"/>
    <w:pPr>
      <w:ind w:left="720" w:hanging="720"/>
      <w:widowControl/>
    </w:pPr>
    <w:rPr>
      <w:sz w:val="24"/>
      <w:lang w:val="en-GB"/>
    </w:rPr>
  </w:style>
  <w:style w:type="paragraph" w:styleId="1455">
    <w:name w:val="xl57"/>
    <w:basedOn w:val="1063"/>
    <w:next w:val="1455"/>
    <w:link w:val="106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56">
    <w:name w:val="华宇段落1 Char"/>
    <w:basedOn w:val="1063"/>
    <w:next w:val="1456"/>
    <w:link w:val="1063"/>
    <w:pPr>
      <w:ind w:firstLine="200"/>
      <w:spacing w:line="360" w:lineRule="auto"/>
    </w:pPr>
    <w:rPr>
      <w:bCs/>
      <w:sz w:val="24"/>
      <w:szCs w:val="24"/>
    </w:rPr>
  </w:style>
  <w:style w:type="paragraph" w:styleId="1457">
    <w:name w:val="Char Char Char Char Char Char Char"/>
    <w:basedOn w:val="1063"/>
    <w:next w:val="1457"/>
    <w:link w:val="1063"/>
    <w:pPr>
      <w:jc w:val="left"/>
    </w:pPr>
    <w:rPr>
      <w:rFonts w:ascii="Tahoma" w:hAnsi="Tahoma"/>
      <w:sz w:val="24"/>
    </w:rPr>
  </w:style>
  <w:style w:type="paragraph" w:styleId="1458">
    <w:name w:val="xl48"/>
    <w:basedOn w:val="1063"/>
    <w:next w:val="1458"/>
    <w:link w:val="106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59">
    <w:name w:val="xl56"/>
    <w:basedOn w:val="1063"/>
    <w:next w:val="1459"/>
    <w:link w:val="106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60">
    <w:name w:val="二级条标题"/>
    <w:basedOn w:val="1063"/>
    <w:next w:val="1347"/>
    <w:link w:val="1063"/>
    <w:pPr>
      <w:ind w:hanging="420"/>
      <w:widowControl/>
      <w:tabs>
        <w:tab w:val="left" w:pos="2240" w:leader="none"/>
      </w:tabs>
      <w:outlineLvl w:val="3"/>
    </w:pPr>
    <w:rPr>
      <w:rFonts w:eastAsia="黑体"/>
    </w:rPr>
  </w:style>
  <w:style w:type="paragraph" w:styleId="1461">
    <w:name w:val="默认段落字体 Para Char Char Char Char Char Char Char"/>
    <w:basedOn w:val="1063"/>
    <w:next w:val="1461"/>
    <w:link w:val="1063"/>
  </w:style>
  <w:style w:type="paragraph" w:styleId="1462">
    <w:name w:val="Header or footer|1"/>
    <w:basedOn w:val="1063"/>
    <w:next w:val="1462"/>
    <w:link w:val="1063"/>
    <w:pPr>
      <w:jc w:val="left"/>
    </w:pPr>
    <w:rPr>
      <w:rFonts w:ascii="Times New Roman" w:hAnsi="Times New Roman"/>
      <w:sz w:val="17"/>
      <w:szCs w:val="17"/>
      <w:lang w:val="zh-TW" w:eastAsia="zh-TW" w:bidi="zh-TW"/>
    </w:rPr>
  </w:style>
  <w:style w:type="paragraph" w:styleId="1463">
    <w:name w:val="标题二级"/>
    <w:basedOn w:val="1063"/>
    <w:next w:val="1463"/>
    <w:link w:val="1063"/>
    <w:qFormat/>
    <w:pPr>
      <w:ind w:firstLine="412"/>
      <w:spacing w:after="160" w:line="259" w:lineRule="auto"/>
    </w:pPr>
    <w:rPr>
      <w:rFonts w:ascii="宋体" w:hAnsi="宋体"/>
      <w:szCs w:val="21"/>
    </w:rPr>
  </w:style>
  <w:style w:type="paragraph" w:styleId="1464">
    <w:name w:val="列表段落1"/>
    <w:basedOn w:val="1063"/>
    <w:next w:val="1464"/>
    <w:link w:val="1063"/>
    <w:uiPriority w:val="99"/>
    <w:qFormat/>
    <w:pPr>
      <w:ind w:firstLine="420"/>
    </w:pPr>
    <w:rPr>
      <w:rFonts w:ascii="Times New Roman" w:hAnsi="Times New Roman" w:eastAsia="宋体" w:cs="宋体"/>
      <w:sz w:val="24"/>
      <w:szCs w:val="22"/>
      <w:lang w:val="en-US"/>
    </w:rPr>
  </w:style>
  <w:style w:type="table" w:styleId="1465">
    <w:name w:val="Table Normal"/>
    <w:next w:val="1465"/>
    <w:link w:val="1063"/>
    <w:unhideWhenUsed/>
    <w:qFormat/>
    <w:tblPr/>
  </w:style>
  <w:style w:type="paragraph" w:styleId="1466">
    <w:name w:val="Table Text"/>
    <w:basedOn w:val="1063"/>
    <w:next w:val="1466"/>
    <w:link w:val="1063"/>
    <w:semiHidden/>
    <w:qFormat/>
    <w:rPr>
      <w:rFonts w:ascii="宋体" w:hAnsi="宋体" w:cs="宋体"/>
      <w:sz w:val="28"/>
      <w:szCs w:val="28"/>
      <w:lang w:eastAsia="en-US"/>
    </w:rPr>
  </w:style>
  <w:style w:type="paragraph" w:styleId="1467">
    <w:name w:val="样式 标题 2 + Times New Roman 四号 非加粗 段前: 5 磅 段后: 0 磅 行距: 固定值 20..."/>
    <w:basedOn w:val="1065"/>
    <w:next w:val="1467"/>
    <w:link w:val="1063"/>
    <w:qFormat/>
    <w:pPr>
      <w:spacing w:before="100" w:after="0" w:line="400" w:lineRule="exact"/>
    </w:pPr>
    <w:rPr>
      <w:rFonts w:ascii="Times New Roman" w:hAnsi="Times New Roman" w:eastAsia="黑体"/>
      <w:b w:val="0"/>
      <w:bCs w:val="0"/>
      <w:sz w:val="28"/>
      <w:szCs w:val="20"/>
      <w:lang w:val="en-US"/>
    </w:rPr>
  </w:style>
  <w:style w:type="paragraph" w:styleId="1468">
    <w:name w:val="Blockquote"/>
    <w:basedOn w:val="1063"/>
    <w:next w:val="1468"/>
    <w:link w:val="1063"/>
    <w:qFormat/>
    <w:pPr>
      <w:ind w:left="360" w:right="360"/>
      <w:jc w:val="left"/>
      <w:spacing w:before="100" w:after="100"/>
    </w:pPr>
    <w:rPr>
      <w:rFonts w:ascii="Times New Roman" w:hAnsi="Times New Roman" w:eastAsia="宋体" w:cs="Times New Roman"/>
      <w:sz w:val="24"/>
      <w:szCs w:val="20"/>
    </w:rPr>
  </w:style>
  <w:style w:type="paragraph" w:styleId="1469">
    <w:name w:val="样式 标题 3 + (中文) 黑体 小四 非加粗 段前: 7.8 磅 段后: 0 磅 行距: 固定值 20 磅"/>
    <w:basedOn w:val="1066"/>
    <w:next w:val="1469"/>
    <w:link w:val="1063"/>
    <w:qFormat/>
    <w:pPr>
      <w:ind w:firstLine="0"/>
      <w:jc w:val="both"/>
      <w:keepLines/>
      <w:spacing w:line="400" w:lineRule="exact"/>
      <w:widowControl w:val="off"/>
    </w:pPr>
    <w:rPr>
      <w:rFonts w:ascii="Times New Roman" w:hAnsi="Times New Roman" w:eastAsia="黑体"/>
      <w:b w:val="0"/>
      <w:bCs w:val="0"/>
      <w:sz w:val="24"/>
      <w:szCs w:val="20"/>
    </w:rPr>
  </w:style>
  <w:style w:type="paragraph" w:styleId="1470">
    <w:name w:val="TOC 标题2"/>
    <w:basedOn w:val="1064"/>
    <w:next w:val="1063"/>
    <w:link w:val="1063"/>
    <w:qFormat/>
    <w:pPr>
      <w:spacing w:before="480" w:after="0" w:line="273" w:lineRule="auto"/>
      <w:widowControl/>
      <w:tabs>
        <w:tab w:val="left" w:pos="1440" w:leader="none"/>
        <w:tab w:val="left" w:pos="5670" w:leader="none"/>
      </w:tabs>
      <w:outlineLvl w:val="9"/>
    </w:pPr>
    <w:rPr>
      <w:rFonts w:ascii="Cambria" w:hAnsi="Cambria"/>
      <w:color w:val="365f91"/>
      <w:sz w:val="28"/>
      <w:szCs w:val="28"/>
    </w:rPr>
  </w:style>
  <w:style w:type="character" w:styleId="1471">
    <w:name w:val="15"/>
    <w:basedOn w:val="1073"/>
    <w:next w:val="1471"/>
    <w:link w:val="1063"/>
    <w:rPr>
      <w:rFonts w:ascii="Times New Roman" w:hAnsi="Times New Roman" w:cs="Times New Roman"/>
      <w:color w:val="0563c1"/>
      <w:u w:val="single"/>
    </w:rPr>
  </w:style>
  <w:style w:type="paragraph" w:styleId="1472">
    <w:name w:val="正文_1"/>
    <w:basedOn w:val="1063"/>
    <w:next w:val="1472"/>
    <w:link w:val="1063"/>
    <w:qFormat/>
    <w:pPr>
      <w:jc w:val="both"/>
      <w:widowControl w:val="off"/>
    </w:pPr>
    <w:rPr>
      <w:rFonts w:ascii="Times New Roman" w:hAnsi="Times New Roman" w:cs="Times New Roman"/>
      <w:color w:val="000000"/>
    </w:rPr>
  </w:style>
  <w:style w:type="paragraph" w:styleId="1473">
    <w:name w:val="专用标题2"/>
    <w:basedOn w:val="1065"/>
    <w:next w:val="1063"/>
    <w:link w:val="1063"/>
    <w:qFormat/>
    <w:pPr>
      <w:keepLines w:val="0"/>
      <w:keepNext w:val="0"/>
      <w:spacing w:line="360" w:lineRule="auto"/>
      <w:tabs>
        <w:tab w:val="left" w:pos="993" w:leader="none"/>
      </w:tabs>
    </w:pPr>
    <w:rPr>
      <w:rFonts w:ascii="宋体" w:hAnsi="宋体" w:cs="Times"/>
      <w:bCs/>
    </w:rPr>
  </w:style>
  <w:style w:type="paragraph" w:styleId="1474">
    <w:name w:val="附件标题"/>
    <w:basedOn w:val="1065"/>
    <w:next w:val="1063"/>
    <w:link w:val="1063"/>
    <w:qFormat/>
    <w:pPr>
      <w:jc w:val="center"/>
      <w:spacing w:line="360" w:lineRule="auto"/>
      <w:tabs>
        <w:tab w:val="left" w:pos="360" w:leader="none"/>
        <w:tab w:val="left" w:pos="1134" w:leader="none"/>
      </w:tabs>
    </w:pPr>
    <w:rPr>
      <w:rFonts w:ascii="黑体" w:hAnsi="黑体"/>
      <w:bCs/>
      <w:sz w:val="30"/>
      <w:szCs w:val="30"/>
    </w:rPr>
  </w:style>
  <w:style w:type="character" w:styleId="1475" w:default="1">
    <w:name w:val="Default Paragraph Font"/>
    <w:uiPriority w:val="1"/>
    <w:semiHidden/>
    <w:unhideWhenUsed/>
  </w:style>
  <w:style w:type="numbering" w:styleId="1476" w:default="1">
    <w:name w:val="No List"/>
    <w:uiPriority w:val="99"/>
    <w:semiHidden/>
    <w:unhideWhenUsed/>
  </w:style>
  <w:style w:type="table" w:styleId="14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冀晓月</cp:lastModifiedBy>
  <cp:revision>4</cp:revision>
  <dcterms:created xsi:type="dcterms:W3CDTF">2024-04-23T03:34:00Z</dcterms:created>
  <dcterms:modified xsi:type="dcterms:W3CDTF">2026-08-28T09:47:32Z</dcterms:modified>
</cp:coreProperties>
</file>