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08.27定稿</w:t>
      </w:r>
      <w:r>
        <w:rPr>
          <w:rFonts w:hint="eastAsia" w:ascii="黑体" w:hAnsi="黑体" w:eastAsia="黑体" w:cs="黑体"/>
          <w:b w:val="0"/>
          <w:bCs w:val="0"/>
          <w:sz w:val="32"/>
          <w:szCs w:val="32"/>
          <w:highlight w:val="yellow"/>
          <w:lang w:eastAsia="zh-CN"/>
        </w:rPr>
        <w:t xml:space="preserve">】</w:t>
      </w:r>
      <w:r/>
    </w:p>
    <w:p>
      <w:pPr>
        <w:pStyle w:val="854"/>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854"/>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val="en-US" w:eastAsia="zh-CN"/>
        </w:rPr>
        <w:t xml:space="preserve">   兴化市行政村电子政务外网服务   </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JSZC-321281-JZCG-C2026-0011</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rPr>
        <w:t xml:space="preserve">兴化市</w:t>
      </w:r>
      <w:r>
        <w:rPr>
          <w:rFonts w:hint="eastAsia" w:ascii="楷体" w:hAnsi="楷体" w:eastAsia="楷体"/>
          <w:b/>
          <w:bCs/>
          <w:color w:val="000000"/>
          <w:sz w:val="36"/>
          <w:u w:val="single"/>
          <w:lang w:eastAsia="zh-CN"/>
        </w:rPr>
        <w:t xml:space="preserve">电子政务中心</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52"/>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52"/>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8</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52"/>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52"/>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52"/>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52"/>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52"/>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52"/>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59"/>
          <w:rFonts w:hint="eastAsia" w:ascii="仿宋" w:hAnsi="仿宋" w:eastAsia="仿宋" w:cs="仿宋"/>
          <w:color w:val="auto"/>
          <w:spacing w:val="1"/>
          <w:sz w:val="28"/>
          <w:szCs w:val="28"/>
        </w:rPr>
        <w:t xml:space="preserve">http://www.ccgp-jiangsu.gov.cn/jiangsu/paying.html</w:t>
      </w:r>
      <w:r>
        <w:rPr>
          <w:rStyle w:val="85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59"/>
          <w:rFonts w:hint="eastAsia" w:ascii="仿宋" w:hAnsi="仿宋" w:eastAsia="仿宋" w:cs="仿宋"/>
          <w:color w:val="auto"/>
          <w:spacing w:val="1"/>
          <w:sz w:val="28"/>
          <w:szCs w:val="28"/>
        </w:rPr>
        <w:t xml:space="preserve">https://www.crcrfsp.com/</w:t>
      </w:r>
      <w:r>
        <w:rPr>
          <w:rStyle w:val="859"/>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13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13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2"/>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52"/>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52"/>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52"/>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54"/>
      </w:pPr>
      <w:r/>
      <w:r/>
    </w:p>
    <w:p>
      <w:pPr>
        <w:pStyle w:val="854"/>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z w:val="32"/>
          <w:szCs w:val="36"/>
          <w:lang w:val="en-US" w:eastAsia="zh-CN"/>
        </w:rPr>
        <w:t xml:space="preserve">2.“苏采云” 平台网址：</w:t>
      </w:r>
      <w:r>
        <w:rPr>
          <w:rFonts w:hint="eastAsia" w:ascii="黑体" w:hAnsi="黑体" w:eastAsia="黑体" w:cs="黑体"/>
          <w:sz w:val="32"/>
          <w:szCs w:val="36"/>
          <w:lang w:val="en-US" w:eastAsia="zh-CN"/>
        </w:rPr>
        <w:fldChar w:fldCharType="begin"/>
      </w:r>
      <w:r>
        <w:rPr>
          <w:rFonts w:hint="eastAsia" w:ascii="黑体" w:hAnsi="黑体" w:eastAsia="黑体" w:cs="黑体"/>
          <w:sz w:val="32"/>
          <w:szCs w:val="36"/>
          <w:lang w:val="en-US" w:eastAsia="zh-CN"/>
        </w:rPr>
        <w:instrText xml:space="preserve"> HYPERLINK "http://jszfcg.jsczt.cn/" \t "http://jszfcg.jsczt.cn/jszc/_blank" </w:instrText>
      </w:r>
      <w:r>
        <w:rPr>
          <w:rFonts w:hint="eastAsia" w:ascii="黑体" w:hAnsi="黑体" w:eastAsia="黑体" w:cs="黑体"/>
          <w:sz w:val="32"/>
          <w:szCs w:val="36"/>
          <w:lang w:val="en-US" w:eastAsia="zh-CN"/>
        </w:rPr>
        <w:fldChar w:fldCharType="separate"/>
      </w:r>
      <w:r>
        <w:rPr>
          <w:rFonts w:hint="eastAsia" w:ascii="黑体" w:hAnsi="黑体" w:eastAsia="黑体" w:cs="黑体"/>
          <w:sz w:val="32"/>
          <w:szCs w:val="36"/>
        </w:rPr>
        <w:t xml:space="preserve">http://jszfcg.jsczt.cn</w:t>
      </w:r>
      <w:r>
        <w:rPr>
          <w:rFonts w:hint="eastAsia" w:ascii="黑体" w:hAnsi="黑体" w:eastAsia="黑体" w:cs="黑体"/>
          <w:sz w:val="32"/>
          <w:szCs w:val="36"/>
          <w:lang w:val="en-US" w:eastAsia="zh-CN"/>
        </w:rPr>
        <w:fldChar w:fldCharType="end"/>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5</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rPr>
          <w:rFonts w:hint="eastAsia" w:ascii="仿宋" w:hAnsi="仿宋" w:eastAsia="仿宋"/>
          <w:b/>
          <w:sz w:val="36"/>
          <w:szCs w:val="36"/>
        </w:rPr>
      </w:pPr>
      <w:r>
        <w:rPr>
          <w:rFonts w:hint="eastAsia" w:ascii="仿宋" w:hAnsi="仿宋" w:eastAsia="仿宋"/>
          <w:b/>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兴化市电子政务中心</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eastAsia="zh-CN"/>
        </w:rPr>
        <w:t xml:space="preserve">兴化市行政村电子政务外网服务</w:t>
      </w:r>
      <w:r>
        <w:rPr>
          <w:rFonts w:hint="eastAsia" w:ascii="仿宋_GB2312" w:hAnsi="仿宋_GB2312" w:eastAsia="仿宋_GB2312" w:cs="仿宋_GB2312"/>
          <w:sz w:val="28"/>
          <w:szCs w:val="28"/>
        </w:rPr>
        <w:t xml:space="preserve">(JSZC-321281-JZCG-C2026-0011</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eastAsia="zh-CN"/>
        </w:rPr>
        <w:t xml:space="preserve">兴化市行政村电子政务外网服务</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9</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10</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28359002"/>
      <w:r/>
      <w:bookmarkStart w:id="8" w:name="_Toc35393621"/>
      <w:r/>
      <w:bookmarkStart w:id="9" w:name="_Toc28359079"/>
      <w:r/>
      <w:bookmarkStart w:id="10" w:name="_Toc38985263"/>
      <w:r/>
      <w:bookmarkStart w:id="11" w:name="_Toc35393790"/>
      <w:r/>
      <w:bookmarkStart w:id="12" w:name="_Hlk24379207"/>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keepLines w:val="0"/>
        <w:keepNext w:val="0"/>
        <w:pageBreakBefore w:val="0"/>
        <w:spacing w:line="50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1.项目编号：JSZC-321281-JZCG-C2026-0011</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eastAsia="zh-CN"/>
        </w:rPr>
        <w:t xml:space="preserve">兴化市行政村电子政务外网服务</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50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pacing w:val="-11"/>
          <w:sz w:val="28"/>
          <w:szCs w:val="28"/>
          <w:highlight w:val="none"/>
          <w:lang w:eastAsia="zh-CN"/>
        </w:rPr>
        <w:t xml:space="preserve">项目总预算为</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壹佰肆拾柒万壹仟贰佰元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1471200.00</w:t>
      </w:r>
      <w:r>
        <w:rPr>
          <w:rFonts w:hint="eastAsia" w:ascii="仿宋_GB2312" w:hAnsi="仿宋_GB2312" w:eastAsia="仿宋_GB2312" w:cs="仿宋_GB2312"/>
          <w:b/>
          <w:bCs/>
          <w:color w:val="auto"/>
          <w:sz w:val="28"/>
          <w:szCs w:val="28"/>
          <w:highlight w:val="none"/>
          <w:lang w:eastAsia="zh-CN"/>
        </w:rPr>
        <w:t xml:space="preserve">元/年）</w:t>
      </w:r>
      <w:r>
        <w:rPr>
          <w:rFonts w:hint="eastAsia" w:ascii="仿宋_GB2312" w:hAnsi="仿宋_GB2312" w:eastAsia="仿宋_GB2312" w:cs="仿宋_GB2312"/>
          <w:color w:val="auto"/>
          <w:spacing w:val="-11"/>
          <w:sz w:val="28"/>
          <w:szCs w:val="28"/>
          <w:highlight w:val="none"/>
          <w:lang w:eastAsia="zh-CN"/>
        </w:rPr>
        <w:t xml:space="preserve">，</w:t>
      </w:r>
      <w:r>
        <w:rPr>
          <w:rFonts w:hint="eastAsia" w:ascii="仿宋_GB2312" w:hAnsi="仿宋_GB2312" w:eastAsia="仿宋_GB2312" w:cs="仿宋_GB2312"/>
          <w:color w:val="auto"/>
          <w:sz w:val="28"/>
          <w:szCs w:val="28"/>
          <w:highlight w:val="none"/>
          <w:lang w:eastAsia="zh-CN"/>
        </w:rPr>
        <w:t xml:space="preserve">其中：</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预算为人民币</w:t>
      </w:r>
      <w:r>
        <w:rPr>
          <w:rFonts w:hint="eastAsia" w:ascii="仿宋_GB2312" w:hAnsi="仿宋_GB2312" w:eastAsia="仿宋_GB2312" w:cs="仿宋_GB2312"/>
          <w:b/>
          <w:bCs/>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柒拾伍万陆仟贰佰元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（¥756200.00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b w:val="0"/>
          <w:bCs w:val="0"/>
          <w:color w:val="auto"/>
          <w:sz w:val="28"/>
          <w:szCs w:val="28"/>
          <w:highlight w:val="none"/>
          <w:lang w:eastAsia="zh-CN"/>
        </w:rPr>
        <w:t xml:space="preserve">预算为人民币</w:t>
      </w:r>
      <w:r>
        <w:rPr>
          <w:rFonts w:hint="eastAsia" w:ascii="仿宋_GB2312" w:hAnsi="仿宋_GB2312" w:eastAsia="仿宋_GB2312" w:cs="仿宋_GB2312"/>
          <w:b w:val="0"/>
          <w:bCs w:val="0"/>
          <w:color w:val="auto"/>
          <w:sz w:val="28"/>
          <w:szCs w:val="28"/>
          <w:highlight w:val="none"/>
          <w:lang w:val="en-US" w:eastAsia="zh-CN"/>
        </w:rPr>
        <w:t xml:space="preserve"> </w:t>
      </w:r>
      <w:r>
        <w:rPr>
          <w:rFonts w:hint="eastAsia" w:ascii="仿宋_GB2312" w:hAnsi="仿宋_GB2312" w:eastAsia="仿宋_GB2312" w:cs="仿宋_GB2312"/>
          <w:b/>
          <w:bCs/>
          <w:color w:val="auto"/>
          <w:sz w:val="28"/>
          <w:szCs w:val="28"/>
          <w:highlight w:val="none"/>
          <w:lang w:eastAsia="zh-CN"/>
        </w:rPr>
        <w:t xml:space="preserve">柒拾壹万伍仟元</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b/>
          <w:bCs/>
          <w:color w:val="auto"/>
          <w:sz w:val="28"/>
          <w:szCs w:val="28"/>
          <w:highlight w:val="none"/>
          <w:lang w:eastAsia="zh-CN"/>
        </w:rPr>
        <w:t xml:space="preserve">每年</w:t>
      </w:r>
      <w:r>
        <w:rPr>
          <w:rFonts w:hint="default" w:ascii="仿宋_GB2312" w:hAnsi="仿宋_GB2312" w:eastAsia="仿宋_GB2312" w:cs="仿宋_GB2312"/>
          <w:b/>
          <w:bCs/>
          <w:color w:val="auto"/>
          <w:sz w:val="28"/>
          <w:szCs w:val="28"/>
          <w:highlight w:val="none"/>
          <w:lang w:eastAsia="zh-CN"/>
        </w:rPr>
        <w:t xml:space="preserve">（¥715000.00</w:t>
      </w:r>
      <w:r>
        <w:rPr>
          <w:rFonts w:hint="eastAsia" w:ascii="仿宋_GB2312" w:hAnsi="仿宋_GB2312" w:eastAsia="仿宋_GB2312" w:cs="仿宋_GB2312"/>
          <w:b/>
          <w:bCs/>
          <w:color w:val="auto"/>
          <w:sz w:val="28"/>
          <w:szCs w:val="28"/>
          <w:highlight w:val="none"/>
          <w:lang w:eastAsia="zh-CN"/>
        </w:rPr>
        <w:t xml:space="preserve">元/年</w:t>
      </w:r>
      <w:r>
        <w:rPr>
          <w:rFonts w:hint="default"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p>
    <w:p>
      <w:pPr>
        <w:ind w:left="0" w:right="0" w:firstLine="560"/>
        <w:keepLines w:val="0"/>
        <w:keepNext w:val="0"/>
        <w:pageBreakBefore w:val="0"/>
        <w:spacing w:line="50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bookmarkStart w:id="13" w:name="_Hlk134691785"/>
      <w:r>
        <w:rPr>
          <w:rFonts w:hint="eastAsia" w:ascii="仿宋_GB2312" w:hAnsi="仿宋_GB2312" w:eastAsia="仿宋_GB2312" w:cs="仿宋_GB2312"/>
          <w:color w:val="auto"/>
          <w:sz w:val="28"/>
          <w:szCs w:val="28"/>
          <w:highlight w:val="none"/>
          <w:lang w:val="en-US" w:eastAsia="zh-CN"/>
        </w:rPr>
        <w:t xml:space="preserve">为兴化市所有行政村提供新一代电子政务外网服务，全部采用50M线路接入。</w:t>
      </w:r>
      <w:r>
        <w:rPr>
          <w:rFonts w:hint="eastAsia" w:ascii="仿宋_GB2312" w:hAnsi="仿宋_GB2312" w:eastAsia="仿宋_GB2312" w:cs="仿宋_GB2312"/>
          <w:color w:val="auto"/>
          <w:sz w:val="28"/>
          <w:szCs w:val="28"/>
          <w:highlight w:val="none"/>
          <w:lang w:eastAsia="zh-CN"/>
        </w:rPr>
        <w:t xml:space="preserve">项目分为两个包，</w:t>
      </w:r>
      <w:r>
        <w:rPr>
          <w:rFonts w:hint="eastAsia" w:ascii="仿宋_GB2312" w:hAnsi="仿宋_GB2312" w:eastAsia="仿宋_GB2312" w:cs="仿宋_GB2312"/>
          <w:b/>
          <w:bCs/>
          <w:color w:val="auto"/>
          <w:sz w:val="28"/>
          <w:szCs w:val="28"/>
          <w:highlight w:val="none"/>
          <w:lang w:eastAsia="zh-CN"/>
        </w:rPr>
        <w:t xml:space="preserve">第1包</w:t>
      </w:r>
      <w:r>
        <w:rPr>
          <w:rFonts w:hint="eastAsia" w:ascii="仿宋_GB2312" w:hAnsi="仿宋_GB2312" w:eastAsia="仿宋_GB2312" w:cs="仿宋_GB2312"/>
          <w:color w:val="auto"/>
          <w:sz w:val="28"/>
          <w:szCs w:val="28"/>
          <w:highlight w:val="none"/>
          <w:lang w:eastAsia="zh-CN"/>
        </w:rPr>
        <w:t xml:space="preserve">包含城市和东北、西北片14个乡镇(街道)238个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第2包</w:t>
      </w:r>
      <w:r>
        <w:rPr>
          <w:rFonts w:hint="eastAsia" w:ascii="仿宋_GB2312" w:hAnsi="仿宋_GB2312" w:eastAsia="仿宋_GB2312" w:cs="仿宋_GB2312"/>
          <w:color w:val="auto"/>
          <w:sz w:val="28"/>
          <w:szCs w:val="28"/>
          <w:highlight w:val="none"/>
          <w:lang w:eastAsia="zh-CN"/>
        </w:rPr>
        <w:t xml:space="preserve">包含东南、西南片12个乡镇225个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lang w:eastAsia="zh-CN"/>
        </w:rPr>
        <w:t xml:space="preserve">。</w:t>
      </w:r>
      <w:bookmarkEnd w:id="13"/>
      <w:r>
        <w:rPr>
          <w:rFonts w:hint="eastAsia" w:ascii="仿宋_GB2312" w:hAnsi="仿宋_GB2312" w:eastAsia="仿宋_GB2312" w:cs="仿宋_GB2312"/>
          <w:sz w:val="28"/>
          <w:szCs w:val="28"/>
          <w:highlight w:val="none"/>
          <w:lang w:val="zh-CN"/>
        </w:rPr>
        <w:t xml:space="preserve">详见磋商文件第四章</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.合同履行期限：1年。（</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bookmarkStart w:id="14" w:name="_Toc28359080"/>
      <w:r/>
      <w:bookmarkStart w:id="15" w:name="_Toc28359003"/>
      <w:r/>
      <w:bookmarkStart w:id="16" w:name="_Toc35393791"/>
      <w:r/>
      <w:bookmarkStart w:id="17" w:name="_Toc38985264"/>
      <w:r/>
      <w:bookmarkStart w:id="18" w:name="_Toc35393622"/>
      <w:r>
        <w:rPr>
          <w:rFonts w:hint="eastAsia" w:ascii="黑体" w:hAnsi="黑体" w:eastAsia="黑体" w:cs="黑体"/>
          <w:b w:val="0"/>
          <w:bCs w:val="0"/>
          <w:color w:val="auto"/>
          <w:sz w:val="28"/>
          <w:szCs w:val="28"/>
          <w:highlight w:val="none"/>
        </w:rPr>
        <w:t xml:space="preserve">二、申请人的资格要求</w:t>
      </w:r>
      <w:bookmarkEnd w:id="14"/>
      <w:r/>
      <w:bookmarkEnd w:id="15"/>
      <w:r/>
      <w:bookmarkEnd w:id="16"/>
      <w:r/>
      <w:bookmarkEnd w:id="17"/>
      <w:r/>
      <w:bookmarkEnd w:id="18"/>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bookmarkStart w:id="19" w:name="_Toc35393623"/>
      <w:r/>
      <w:bookmarkStart w:id="20" w:name="_Toc35393792"/>
      <w:r/>
      <w:bookmarkStart w:id="21" w:name="_Toc38985265"/>
      <w:r/>
      <w:bookmarkStart w:id="22" w:name="_Toc28359004"/>
      <w:r/>
      <w:bookmarkStart w:id="23" w:name="_Toc28359081"/>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仿宋_GB2312" w:hAnsi="仿宋_GB2312" w:eastAsia="仿宋_GB2312" w:cs="仿宋_GB2312"/>
          <w:i w:val="0"/>
          <w:iCs w:val="0"/>
          <w:color w:val="auto"/>
          <w:sz w:val="28"/>
          <w:szCs w:val="28"/>
          <w:highlight w:val="none"/>
          <w:u w:val="none"/>
          <w:lang w:eastAsia="zh-CN"/>
        </w:rPr>
        <w:t xml:space="preserve">无</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50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（二）本项目的特定资格要求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黑体" w:hAnsi="黑体" w:eastAsia="黑体" w:cs="黑体"/>
          <w:i/>
          <w:iCs/>
          <w:color w:val="auto"/>
          <w:sz w:val="28"/>
          <w:szCs w:val="28"/>
          <w:u w:val="single"/>
          <w:lang w:val="en-US" w:eastAsia="zh-CN"/>
        </w:rPr>
      </w:pPr>
      <w:r>
        <w:rPr>
          <w:rFonts w:hint="eastAsia" w:ascii="黑体" w:hAnsi="黑体" w:eastAsia="黑体" w:cs="黑体"/>
          <w:i/>
          <w:iCs/>
          <w:color w:val="auto"/>
          <w:sz w:val="28"/>
          <w:szCs w:val="28"/>
          <w:u w:val="single"/>
          <w:lang w:val="en-US" w:eastAsia="zh-CN"/>
        </w:rPr>
        <w:t xml:space="preserve">1.具有基础电信业务经营许可的法人或其分支机构，提供许可证或资质证书扫描件。</w:t>
      </w:r>
      <w:r/>
    </w:p>
    <w:p>
      <w:pPr>
        <w:ind w:firstLine="560"/>
        <w:keepLines w:val="0"/>
        <w:keepNext w:val="0"/>
        <w:pageBreakBefore w:val="0"/>
        <w:spacing w:line="500" w:lineRule="exact"/>
        <w:widowControl w:val="off"/>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u w:val="single"/>
          <w:lang w:val="en-US" w:eastAsia="zh-CN"/>
        </w:rPr>
        <w:t xml:space="preserve">2.接受分公司投标，总公司（法人）和分公司不得同时参与本项目投标，同一法人的不同分支机构不得同时参与本项目投标。</w:t>
      </w:r>
      <w:r>
        <w:rPr>
          <w:rFonts w:hint="eastAsia" w:ascii="黑体" w:hAnsi="黑体" w:eastAsia="黑体" w:cs="黑体"/>
          <w:i/>
          <w:iCs/>
          <w:sz w:val="28"/>
          <w:szCs w:val="28"/>
          <w:u w:val="single"/>
          <w:lang w:eastAsia="zh-CN"/>
        </w:rPr>
        <w:t xml:space="preserve">（供应商需提供承诺函，格式自拟）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9"/>
      <w:r/>
      <w:bookmarkEnd w:id="20"/>
      <w:r/>
      <w:bookmarkEnd w:id="21"/>
      <w:r/>
      <w:bookmarkEnd w:id="22"/>
      <w:r/>
      <w:bookmarkEnd w:id="23"/>
      <w:r>
        <w:rPr>
          <w:rFonts w:hint="eastAsia" w:ascii="黑体" w:hAnsi="黑体" w:eastAsia="黑体" w:cs="黑体"/>
          <w:b w:val="0"/>
          <w:bCs w:val="0"/>
          <w:color w:val="auto"/>
          <w:sz w:val="28"/>
          <w:szCs w:val="28"/>
          <w:highlight w:val="none"/>
        </w:rPr>
        <w:t xml:space="preserve">磋商文件</w:t>
      </w:r>
      <w:bookmarkStart w:id="24" w:name="_Toc28359082"/>
      <w:r/>
      <w:bookmarkStart w:id="25" w:name="_Toc35393793"/>
      <w:r/>
      <w:bookmarkStart w:id="26" w:name="_Toc35393624"/>
      <w:r/>
      <w:bookmarkStart w:id="27" w:name="_Toc28359005"/>
      <w:r/>
      <w:bookmarkStart w:id="28" w:name="_Toc38985266"/>
      <w:r/>
      <w:r/>
    </w:p>
    <w:p>
      <w:pPr>
        <w:ind w:left="0" w:right="0" w:firstLine="560"/>
        <w:keepLines/>
        <w:keepNext/>
        <w:pageBreakBefore w:val="0"/>
        <w:spacing w:line="50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4"/>
      <w:r/>
      <w:bookmarkEnd w:id="25"/>
      <w:r/>
      <w:bookmarkEnd w:id="26"/>
      <w:r/>
      <w:bookmarkEnd w:id="27"/>
      <w:r/>
      <w:bookmarkEnd w:id="28"/>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9" w:name="_Toc28359084"/>
      <w:r/>
      <w:bookmarkStart w:id="30" w:name="_Toc35393794"/>
      <w:r/>
      <w:bookmarkStart w:id="31" w:name="_Toc35393625"/>
      <w:r/>
      <w:bookmarkStart w:id="32" w:name="_Toc38985267"/>
      <w:r/>
      <w:bookmarkStart w:id="33" w:name="_Toc28359007"/>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50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9</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10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bookmarkStart w:id="34"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rPr>
        <w:t xml:space="preserve">202</w:t>
      </w:r>
      <w:r>
        <w:rPr>
          <w:rFonts w:hint="eastAsia" w:ascii="仿宋_GB2312" w:hAnsi="仿宋_GB2312" w:eastAsia="仿宋_GB2312" w:cs="仿宋_GB2312"/>
          <w:b/>
          <w:bCs/>
          <w:color w:val="auto"/>
          <w:sz w:val="28"/>
          <w:szCs w:val="28"/>
          <w:highlight w:val="yellow"/>
          <w:lang w:val="en-US" w:eastAsia="zh-CN"/>
        </w:rPr>
        <w:t xml:space="preserve">6</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9</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10</w:t>
      </w:r>
      <w:r>
        <w:rPr>
          <w:rFonts w:hint="eastAsia" w:ascii="仿宋_GB2312" w:hAnsi="仿宋_GB2312" w:eastAsia="仿宋_GB2312" w:cs="仿宋_GB2312"/>
          <w:b/>
          <w:bCs/>
          <w:color w:val="auto"/>
          <w:sz w:val="28"/>
          <w:szCs w:val="28"/>
          <w:highlight w:val="yellow"/>
        </w:rPr>
        <w:t xml:space="preserve"> 09:30</w:t>
      </w:r>
      <w:r>
        <w:rPr>
          <w:rFonts w:hint="eastAsia" w:ascii="仿宋_GB2312" w:hAnsi="仿宋_GB2312" w:eastAsia="仿宋_GB2312" w:cs="仿宋_GB2312"/>
          <w:color w:val="auto"/>
          <w:sz w:val="28"/>
          <w:szCs w:val="28"/>
          <w:highlight w:val="yellow"/>
        </w:rPr>
        <w:t xml:space="preserve"> </w:t>
      </w:r>
      <w:r>
        <w:rPr>
          <w:rFonts w:hint="eastAsia" w:ascii="仿宋_GB2312" w:hAnsi="仿宋_GB2312" w:eastAsia="仿宋_GB2312" w:cs="仿宋_GB2312"/>
          <w:color w:val="auto"/>
          <w:sz w:val="28"/>
          <w:szCs w:val="28"/>
          <w:highlight w:val="none"/>
        </w:rPr>
        <w:t xml:space="preserve">（北京时间）</w:t>
      </w:r>
      <w:r/>
    </w:p>
    <w:p>
      <w:pPr>
        <w:ind w:left="0" w:right="0" w:firstLine="560"/>
        <w:pageBreakBefore w:val="0"/>
        <w:spacing w:line="50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4"/>
      <w:r/>
      <w:r/>
    </w:p>
    <w:p>
      <w:pPr>
        <w:ind w:left="0" w:right="0" w:firstLine="560"/>
        <w:keepLines/>
        <w:keepNext/>
        <w:pageBreakBefore w:val="0"/>
        <w:spacing w:line="50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9"/>
      <w:r/>
      <w:bookmarkEnd w:id="30"/>
      <w:r/>
      <w:bookmarkEnd w:id="31"/>
      <w:r/>
      <w:bookmarkEnd w:id="32"/>
      <w:r/>
      <w:bookmarkEnd w:id="33"/>
      <w:r/>
      <w:r/>
    </w:p>
    <w:p>
      <w:pPr>
        <w:ind w:left="0" w:right="0" w:firstLine="560"/>
        <w:pageBreakBefore w:val="0"/>
        <w:spacing w:line="500" w:lineRule="exact"/>
        <w:widowControl w:val="off"/>
        <w:rPr>
          <w:rFonts w:hint="eastAsia" w:ascii="仿宋_GB2312" w:hAnsi="仿宋_GB2312" w:eastAsia="仿宋_GB2312" w:cs="仿宋_GB2312"/>
          <w:sz w:val="28"/>
          <w:szCs w:val="28"/>
          <w:highlight w:val="none"/>
        </w:rPr>
      </w:pPr>
      <w:r/>
      <w:bookmarkStart w:id="35" w:name="_Toc38985268"/>
      <w:r/>
      <w:bookmarkStart w:id="36" w:name="_Toc35393795"/>
      <w:r/>
      <w:bookmarkStart w:id="37" w:name="_Toc35393626"/>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5"/>
      <w:r/>
      <w:bookmarkEnd w:id="36"/>
      <w:r/>
      <w:bookmarkEnd w:id="37"/>
      <w:r/>
      <w:bookmarkStart w:id="211" w:name="_GoBack"/>
      <w:r/>
      <w:bookmarkEnd w:id="211"/>
      <w:r/>
      <w:r/>
    </w:p>
    <w:p>
      <w:pPr>
        <w:ind w:firstLine="560"/>
        <w:pageBreakBefore w:val="0"/>
        <w:spacing w:line="500" w:lineRule="exact"/>
        <w:rPr>
          <w:rFonts w:hint="eastAsia" w:ascii="仿宋_GB2312" w:hAnsi="仿宋_GB2312" w:eastAsia="仿宋_GB2312" w:cs="仿宋_GB2312"/>
          <w:color w:val="auto"/>
          <w:sz w:val="28"/>
          <w:szCs w:val="28"/>
          <w:highlight w:val="none"/>
        </w:rPr>
      </w:pPr>
      <w:r/>
      <w:bookmarkStart w:id="38" w:name="_Toc28359008"/>
      <w:r/>
      <w:bookmarkStart w:id="39" w:name="_Toc38985269"/>
      <w:r/>
      <w:bookmarkStart w:id="40" w:name="_Toc35393627"/>
      <w:r/>
      <w:bookmarkStart w:id="41" w:name="_Toc35393796"/>
      <w:r/>
      <w:bookmarkStart w:id="42" w:name="_Toc28359085"/>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50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50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如潜在</w:t>
      </w:r>
      <w:r>
        <w:rPr>
          <w:rFonts w:hint="eastAsia" w:ascii="仿宋_GB2312" w:hAnsi="仿宋_GB2312" w:eastAsia="仿宋_GB2312" w:cs="仿宋_GB2312"/>
          <w:color w:val="auto"/>
          <w:sz w:val="28"/>
          <w:szCs w:val="28"/>
          <w:highlight w:val="none"/>
          <w:lang w:eastAsia="zh-CN"/>
        </w:rPr>
        <w:t xml:space="preserve">投标人</w:t>
      </w:r>
      <w:r>
        <w:rPr>
          <w:rFonts w:hint="eastAsia" w:ascii="仿宋_GB2312" w:hAnsi="仿宋_GB2312" w:eastAsia="仿宋_GB2312" w:cs="仿宋_GB2312"/>
          <w:color w:val="auto"/>
          <w:sz w:val="28"/>
          <w:szCs w:val="28"/>
          <w:highlight w:val="none"/>
        </w:rPr>
        <w:t xml:space="preserve">未按上述要求操作，将自行承担所产生的风险。</w:t>
      </w:r>
      <w:r/>
    </w:p>
    <w:p>
      <w:pPr>
        <w:ind w:firstLine="560"/>
        <w:pageBreakBefore w:val="0"/>
        <w:spacing w:line="5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50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50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8"/>
      <w:r/>
      <w:bookmarkEnd w:id="39"/>
      <w:r/>
      <w:bookmarkEnd w:id="40"/>
      <w:r/>
      <w:bookmarkEnd w:id="41"/>
      <w:r/>
      <w:bookmarkEnd w:id="42"/>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bookmarkStart w:id="43" w:name="OLE_LINK4"/>
      <w:r/>
      <w:bookmarkStart w:id="44" w:name="OLE_LINK9"/>
      <w:r/>
      <w:bookmarkStart w:id="45" w:name="OLE_LINK22"/>
      <w:r/>
      <w:bookmarkStart w:id="46" w:name="_Toc28359010"/>
      <w:r/>
      <w:bookmarkStart w:id="47" w:name="_Toc28359087"/>
      <w:r/>
      <w:bookmarkStart w:id="48" w:name="OLE_LINK3"/>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bookmarkStart w:id="49" w:name="_Toc28359009"/>
      <w:r/>
      <w:bookmarkStart w:id="50" w:name="_Toc28359086"/>
      <w:r>
        <w:rPr>
          <w:rFonts w:hint="eastAsia" w:ascii="仿宋_GB2312" w:hAnsi="仿宋_GB2312" w:eastAsia="仿宋_GB2312" w:cs="仿宋_GB2312"/>
          <w:color w:val="auto"/>
          <w:sz w:val="28"/>
          <w:szCs w:val="28"/>
          <w:highlight w:val="none"/>
          <w:lang w:val="en-US" w:eastAsia="zh-CN"/>
        </w:rPr>
        <w:t xml:space="preserve">名称：兴化市电子政务中心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地址：兴化市行政中心8号楼8201室</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联系方式：倪先生   17768624678</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9"/>
      <w:r/>
      <w:bookmarkEnd w:id="50"/>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3"/>
      <w:r/>
      <w:bookmarkEnd w:id="44"/>
      <w:r/>
      <w:bookmarkEnd w:id="45"/>
      <w:r/>
      <w:bookmarkEnd w:id="46"/>
      <w:r/>
      <w:bookmarkEnd w:id="47"/>
      <w:r/>
      <w:bookmarkEnd w:id="48"/>
      <w:r/>
      <w:r/>
    </w:p>
    <w:p>
      <w:pPr>
        <w:ind w:firstLine="600"/>
        <w:jc w:val="left"/>
        <w:keepLines w:val="0"/>
        <w:keepNext w:val="0"/>
        <w:pageBreakBefore w:val="0"/>
        <w:spacing w:line="50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50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color w:val="auto"/>
          <w:sz w:val="28"/>
          <w:szCs w:val="28"/>
          <w:highlight w:val="none"/>
          <w:lang w:val="en-US" w:eastAsia="zh-CN"/>
        </w:rPr>
        <w:t xml:space="preserve">倪先生   17768624678</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50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1"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1"/>
      <w:r>
        <w:rPr>
          <w:rFonts w:hint="eastAsia" w:ascii="黑体" w:hAnsi="黑体" w:eastAsia="黑体" w:cs="黑体"/>
          <w:b w:val="0"/>
          <w:bCs w:val="0"/>
          <w:sz w:val="36"/>
          <w:szCs w:val="36"/>
        </w:rPr>
        <w:t xml:space="preserve">供应商须知</w:t>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2" w:name="_Toc16938519"/>
      <w:r/>
      <w:bookmarkStart w:id="53" w:name="_Toc513029203"/>
      <w:r/>
      <w:bookmarkStart w:id="54" w:name="_Toc120614214"/>
      <w:r/>
      <w:bookmarkStart w:id="55" w:name="_Toc20823275"/>
      <w:r/>
      <w:bookmarkStart w:id="56" w:name="_Toc16938558"/>
      <w:r/>
      <w:bookmarkStart w:id="57" w:name="_Toc120614221"/>
      <w:r/>
      <w:bookmarkStart w:id="58" w:name="_Toc20823314"/>
      <w:r/>
      <w:bookmarkStart w:id="59" w:name="_Toc479757207"/>
      <w:r/>
      <w:bookmarkStart w:id="60" w:name="_Toc513029242"/>
      <w:r>
        <w:rPr>
          <w:rFonts w:hint="eastAsia" w:ascii="仿宋_GB2312" w:hAnsi="仿宋_GB2312" w:eastAsia="仿宋_GB2312" w:cs="仿宋_GB2312"/>
          <w:b/>
          <w:bCs/>
          <w:sz w:val="28"/>
          <w:szCs w:val="28"/>
        </w:rPr>
        <w:t xml:space="preserve">一、总则</w:t>
      </w:r>
      <w:bookmarkEnd w:id="52"/>
      <w:r/>
      <w:bookmarkEnd w:id="53"/>
      <w:r/>
      <w:bookmarkEnd w:id="54"/>
      <w:r/>
      <w:bookmarkEnd w:id="55"/>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1" w:name="_Hlt16619475"/>
      <w:r/>
      <w:bookmarkEnd w:id="61"/>
      <w:r/>
      <w:bookmarkStart w:id="62" w:name="_Toc458694821"/>
      <w:r/>
      <w:bookmarkStart w:id="63" w:name="_Toc20823276"/>
      <w:r/>
      <w:bookmarkStart w:id="64" w:name="_Toc16938520"/>
      <w:r/>
      <w:bookmarkStart w:id="65" w:name="_Toc513029204"/>
      <w:r>
        <w:rPr>
          <w:rFonts w:hint="eastAsia" w:ascii="仿宋_GB2312" w:hAnsi="仿宋_GB2312" w:eastAsia="仿宋_GB2312" w:cs="仿宋_GB2312"/>
          <w:sz w:val="28"/>
          <w:szCs w:val="28"/>
        </w:rPr>
        <w:t xml:space="preserve">1</w:t>
      </w:r>
      <w:bookmarkEnd w:id="62"/>
      <w:r>
        <w:rPr>
          <w:rFonts w:hint="eastAsia" w:ascii="仿宋_GB2312" w:hAnsi="仿宋_GB2312" w:eastAsia="仿宋_GB2312" w:cs="仿宋_GB2312"/>
          <w:sz w:val="28"/>
          <w:szCs w:val="28"/>
        </w:rPr>
        <w:t xml:space="preserve">、采购方式</w:t>
      </w:r>
      <w:bookmarkEnd w:id="63"/>
      <w:r/>
      <w:bookmarkEnd w:id="64"/>
      <w:r/>
      <w:bookmarkEnd w:id="6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6" w:name="_Toc513029205"/>
      <w:r/>
      <w:bookmarkStart w:id="67" w:name="_Toc16938521"/>
      <w:r/>
      <w:bookmarkStart w:id="68" w:name="_Toc20823277"/>
      <w:r>
        <w:rPr>
          <w:rFonts w:hint="eastAsia" w:ascii="仿宋_GB2312" w:hAnsi="仿宋_GB2312" w:eastAsia="仿宋_GB2312" w:cs="仿宋_GB2312"/>
          <w:sz w:val="28"/>
          <w:szCs w:val="28"/>
        </w:rPr>
        <w:t xml:space="preserve">2、合格的</w:t>
      </w:r>
      <w:bookmarkEnd w:id="66"/>
      <w:r/>
      <w:bookmarkEnd w:id="67"/>
      <w:r/>
      <w:bookmarkEnd w:id="68"/>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9" w:name="_Toc513029206"/>
      <w:r/>
      <w:bookmarkStart w:id="70" w:name="_Toc20823278"/>
      <w:r/>
      <w:bookmarkStart w:id="71" w:name="_Toc16938522"/>
      <w:r>
        <w:rPr>
          <w:rFonts w:hint="eastAsia" w:ascii="仿宋_GB2312" w:hAnsi="仿宋_GB2312" w:eastAsia="仿宋_GB2312" w:cs="仿宋_GB2312"/>
          <w:sz w:val="28"/>
          <w:szCs w:val="28"/>
        </w:rPr>
        <w:t xml:space="preserve">3、适用法律</w:t>
      </w:r>
      <w:bookmarkEnd w:id="69"/>
      <w:r/>
      <w:bookmarkEnd w:id="70"/>
      <w:r/>
      <w:bookmarkEnd w:id="71"/>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2" w:name="_Toc20823279"/>
      <w:r/>
      <w:bookmarkStart w:id="73" w:name="_Toc462564067"/>
      <w:r/>
      <w:bookmarkStart w:id="74" w:name="_Toc513029207"/>
      <w:r/>
      <w:bookmarkStart w:id="75" w:name="_Toc16938523"/>
      <w:r>
        <w:rPr>
          <w:rFonts w:hint="eastAsia" w:ascii="仿宋_GB2312" w:hAnsi="仿宋_GB2312" w:eastAsia="仿宋_GB2312" w:cs="仿宋_GB2312"/>
          <w:sz w:val="28"/>
          <w:szCs w:val="28"/>
        </w:rPr>
        <w:t xml:space="preserve">4、磋商费用</w:t>
      </w:r>
      <w:bookmarkEnd w:id="72"/>
      <w:r/>
      <w:bookmarkEnd w:id="73"/>
      <w:r/>
      <w:bookmarkEnd w:id="74"/>
      <w:r/>
      <w:bookmarkEnd w:id="7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6" w:name="_Toc16938525"/>
      <w:r/>
      <w:bookmarkStart w:id="77" w:name="_Toc120614215"/>
      <w:r/>
      <w:bookmarkStart w:id="78" w:name="_Toc513029209"/>
      <w:r/>
      <w:bookmarkStart w:id="79" w:name="_Toc20823281"/>
      <w:r>
        <w:rPr>
          <w:rFonts w:hint="eastAsia" w:ascii="仿宋_GB2312" w:hAnsi="仿宋_GB2312" w:eastAsia="仿宋_GB2312" w:cs="仿宋_GB2312"/>
          <w:b/>
          <w:bCs/>
          <w:sz w:val="28"/>
          <w:szCs w:val="28"/>
        </w:rPr>
        <w:t xml:space="preserve">二、</w:t>
      </w:r>
      <w:bookmarkEnd w:id="76"/>
      <w:r/>
      <w:bookmarkEnd w:id="77"/>
      <w:r/>
      <w:bookmarkEnd w:id="78"/>
      <w:r/>
      <w:bookmarkEnd w:id="79"/>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0" w:name="_Toc20823282"/>
      <w:r/>
      <w:bookmarkStart w:id="81" w:name="_Toc16938526"/>
      <w:r/>
      <w:bookmarkStart w:id="82" w:name="_Toc513029210"/>
      <w:r>
        <w:rPr>
          <w:rFonts w:hint="eastAsia" w:ascii="仿宋_GB2312" w:hAnsi="仿宋_GB2312" w:eastAsia="仿宋_GB2312" w:cs="仿宋_GB2312"/>
          <w:sz w:val="28"/>
          <w:szCs w:val="28"/>
        </w:rPr>
        <w:t xml:space="preserve">6、磋商文件构成</w:t>
      </w:r>
      <w:bookmarkEnd w:id="80"/>
      <w:r/>
      <w:bookmarkEnd w:id="81"/>
      <w:r/>
      <w:bookmarkEnd w:id="8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3" w:name="_Toc513029211"/>
      <w:r/>
      <w:bookmarkStart w:id="84" w:name="_Toc462564070"/>
      <w:r/>
      <w:bookmarkStart w:id="85" w:name="_Toc16938527"/>
      <w:r/>
      <w:bookmarkStart w:id="86" w:name="_Toc20823283"/>
      <w:r>
        <w:rPr>
          <w:rFonts w:hint="eastAsia" w:ascii="仿宋_GB2312" w:hAnsi="仿宋_GB2312" w:eastAsia="仿宋_GB2312" w:cs="仿宋_GB2312"/>
          <w:sz w:val="28"/>
          <w:szCs w:val="28"/>
        </w:rPr>
        <w:t xml:space="preserve">7、磋商文件的澄清</w:t>
      </w:r>
      <w:bookmarkEnd w:id="83"/>
      <w:r/>
      <w:bookmarkEnd w:id="84"/>
      <w:r/>
      <w:bookmarkEnd w:id="85"/>
      <w:r/>
      <w:bookmarkEnd w:id="86"/>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7" w:name="_Toc462564071"/>
      <w:r/>
      <w:bookmarkStart w:id="88" w:name="_Toc20823284"/>
      <w:r/>
      <w:bookmarkStart w:id="89" w:name="_Toc16938528"/>
      <w:r/>
      <w:bookmarkStart w:id="90" w:name="_Toc513029212"/>
      <w:r>
        <w:rPr>
          <w:rFonts w:hint="eastAsia" w:ascii="仿宋_GB2312" w:hAnsi="仿宋_GB2312" w:eastAsia="仿宋_GB2312" w:cs="仿宋_GB2312"/>
          <w:sz w:val="28"/>
          <w:szCs w:val="28"/>
        </w:rPr>
        <w:t xml:space="preserve">8、磋商文件的澄清和修改</w:t>
      </w:r>
      <w:bookmarkEnd w:id="87"/>
      <w:r/>
      <w:bookmarkEnd w:id="88"/>
      <w:r/>
      <w:bookmarkEnd w:id="89"/>
      <w:r/>
      <w:bookmarkEnd w:id="90"/>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1" w:name="_Toc20823285"/>
      <w:r/>
      <w:bookmarkStart w:id="92" w:name="_Toc16938529"/>
      <w:r/>
      <w:bookmarkStart w:id="93" w:name="_Toc513029213"/>
      <w:r/>
      <w:bookmarkStart w:id="94" w:name="_Toc462564072"/>
      <w:r/>
      <w:bookmarkStart w:id="95" w:name="_Toc120614216"/>
      <w:r>
        <w:rPr>
          <w:rFonts w:hint="eastAsia" w:ascii="仿宋_GB2312" w:hAnsi="仿宋_GB2312" w:eastAsia="仿宋_GB2312" w:cs="仿宋_GB2312"/>
          <w:b/>
          <w:bCs/>
          <w:sz w:val="28"/>
          <w:szCs w:val="28"/>
        </w:rPr>
        <w:t xml:space="preserve">三、响应文件的编制</w:t>
      </w:r>
      <w:bookmarkEnd w:id="91"/>
      <w:r/>
      <w:bookmarkEnd w:id="92"/>
      <w:r/>
      <w:bookmarkEnd w:id="93"/>
      <w:r/>
      <w:bookmarkEnd w:id="94"/>
      <w:r/>
      <w:bookmarkEnd w:id="95"/>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6" w:name="_Toc462564073"/>
      <w:r/>
      <w:bookmarkStart w:id="97" w:name="_Toc20823286"/>
      <w:r/>
      <w:bookmarkStart w:id="98" w:name="_Toc513029214"/>
      <w:r/>
      <w:bookmarkStart w:id="99" w:name="_Toc16938530"/>
      <w:r>
        <w:rPr>
          <w:rFonts w:hint="eastAsia" w:ascii="仿宋_GB2312" w:hAnsi="仿宋_GB2312" w:eastAsia="仿宋_GB2312" w:cs="仿宋_GB2312"/>
          <w:sz w:val="28"/>
          <w:szCs w:val="28"/>
        </w:rPr>
        <w:t xml:space="preserve">9、响应文件的语言及度量衡单位</w:t>
      </w:r>
      <w:bookmarkEnd w:id="96"/>
      <w:r/>
      <w:bookmarkEnd w:id="97"/>
      <w:r/>
      <w:bookmarkEnd w:id="98"/>
      <w:r/>
      <w:bookmarkEnd w:id="9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0" w:name="_Toc16938531"/>
      <w:r/>
      <w:bookmarkStart w:id="101" w:name="_Toc513029215"/>
      <w:r/>
      <w:bookmarkStart w:id="102" w:name="_Toc462564074"/>
      <w:r/>
      <w:bookmarkStart w:id="103" w:name="_Toc20823287"/>
      <w:r>
        <w:rPr>
          <w:rFonts w:hint="eastAsia" w:ascii="仿宋_GB2312" w:hAnsi="仿宋_GB2312" w:eastAsia="仿宋_GB2312" w:cs="仿宋_GB2312"/>
          <w:sz w:val="28"/>
          <w:szCs w:val="28"/>
        </w:rPr>
        <w:t xml:space="preserve">10、响应文件构成</w:t>
      </w:r>
      <w:bookmarkEnd w:id="100"/>
      <w:r/>
      <w:bookmarkEnd w:id="101"/>
      <w:r/>
      <w:bookmarkEnd w:id="102"/>
      <w:r/>
      <w:bookmarkEnd w:id="103"/>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4" w:name="_Hlt26670360"/>
      <w:r/>
      <w:bookmarkEnd w:id="104"/>
      <w:r/>
      <w:bookmarkStart w:id="105" w:name="_Hlt26954838"/>
      <w:r/>
      <w:bookmarkEnd w:id="105"/>
      <w:r/>
      <w:bookmarkStart w:id="106" w:name="_Hlt26668975"/>
      <w:r/>
      <w:bookmarkEnd w:id="106"/>
      <w:r/>
      <w:bookmarkStart w:id="107" w:name="_Toc14577357"/>
      <w:r/>
      <w:bookmarkStart w:id="108" w:name="_Toc513029219"/>
      <w:r/>
      <w:bookmarkStart w:id="109" w:name="_Toc49090509"/>
      <w:r/>
      <w:bookmarkStart w:id="110" w:name="_Toc513029216"/>
      <w:r/>
      <w:bookmarkStart w:id="111" w:name="_Toc49090507"/>
      <w:r/>
      <w:bookmarkStart w:id="112" w:name="_Toc14577354"/>
      <w:r/>
      <w:bookmarkStart w:id="113" w:name="_Toc14577355"/>
      <w:r/>
      <w:bookmarkStart w:id="114" w:name="_Toc49090508"/>
      <w:r>
        <w:rPr>
          <w:rFonts w:hint="eastAsia" w:ascii="仿宋_GB2312" w:hAnsi="仿宋_GB2312" w:eastAsia="仿宋_GB2312" w:cs="仿宋_GB2312"/>
          <w:sz w:val="28"/>
          <w:szCs w:val="28"/>
        </w:rPr>
        <w:t xml:space="preserve">11、证明磋商响应标的符合磋商文件规定的文件</w:t>
      </w:r>
      <w:bookmarkEnd w:id="107"/>
      <w:r/>
      <w:bookmarkEnd w:id="108"/>
      <w:r/>
      <w:bookmarkEnd w:id="109"/>
      <w:r/>
      <w:bookmarkEnd w:id="110"/>
      <w:r/>
      <w:bookmarkEnd w:id="111"/>
      <w:r/>
      <w:bookmarkEnd w:id="112"/>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3"/>
      <w:r/>
      <w:bookmarkEnd w:id="114"/>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5" w:name="_Hlt26670486"/>
      <w:r/>
      <w:bookmarkEnd w:id="115"/>
      <w:r/>
      <w:bookmarkStart w:id="116" w:name="_Hlt26670482"/>
      <w:r/>
      <w:bookmarkEnd w:id="116"/>
      <w:r/>
      <w:bookmarkStart w:id="117" w:name="_Hlt26954848"/>
      <w:r/>
      <w:bookmarkEnd w:id="117"/>
      <w:r/>
      <w:bookmarkStart w:id="118" w:name="_Hlt26954846"/>
      <w:r/>
      <w:bookmarkEnd w:id="118"/>
      <w:r/>
      <w:bookmarkStart w:id="119" w:name="_Hlt26954731"/>
      <w:r/>
      <w:bookmarkEnd w:id="119"/>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0" w:name="_Toc49090510"/>
      <w:r/>
      <w:bookmarkStart w:id="121" w:name="_Toc14577359"/>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20"/>
      <w:r/>
      <w:bookmarkEnd w:id="121"/>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2" w:name="_Toc14577360"/>
      <w:r/>
      <w:bookmarkStart w:id="123" w:name="_Toc49090511"/>
      <w:r>
        <w:rPr>
          <w:rFonts w:hint="eastAsia" w:ascii="仿宋_GB2312" w:hAnsi="仿宋_GB2312" w:eastAsia="仿宋_GB2312" w:cs="仿宋_GB2312"/>
          <w:sz w:val="28"/>
          <w:szCs w:val="28"/>
        </w:rPr>
        <w:t xml:space="preserve">16、磋商有效期</w:t>
      </w:r>
      <w:bookmarkEnd w:id="122"/>
      <w:r/>
      <w:bookmarkEnd w:id="123"/>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4" w:name="_Hlt26954739"/>
      <w:r/>
      <w:bookmarkEnd w:id="124"/>
      <w:r/>
      <w:bookmarkStart w:id="125" w:name="_Hlt26954852"/>
      <w:r/>
      <w:bookmarkEnd w:id="125"/>
      <w:r/>
      <w:bookmarkStart w:id="126" w:name="_Toc20823296"/>
      <w:r/>
      <w:bookmarkStart w:id="127" w:name="_Toc120614217"/>
      <w:r/>
      <w:bookmarkStart w:id="128" w:name="_Toc16938540"/>
      <w:r/>
      <w:bookmarkStart w:id="129" w:name="_Toc513029224"/>
      <w:r>
        <w:rPr>
          <w:rFonts w:hint="eastAsia" w:ascii="仿宋_GB2312" w:hAnsi="仿宋_GB2312" w:eastAsia="仿宋_GB2312" w:cs="仿宋_GB2312"/>
          <w:b/>
          <w:bCs/>
          <w:sz w:val="28"/>
          <w:szCs w:val="28"/>
        </w:rPr>
        <w:t xml:space="preserve">四、响应文件的递交</w:t>
      </w:r>
      <w:bookmarkEnd w:id="126"/>
      <w:r/>
      <w:bookmarkEnd w:id="127"/>
      <w:r/>
      <w:bookmarkEnd w:id="128"/>
      <w:r/>
      <w:bookmarkEnd w:id="129"/>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0" w:name="_Toc513029225"/>
      <w:r/>
      <w:bookmarkStart w:id="131" w:name="_Toc462564084"/>
      <w:r/>
      <w:bookmarkStart w:id="132" w:name="_Toc16938541"/>
      <w:r/>
      <w:bookmarkStart w:id="133" w:name="_Toc20823297"/>
      <w:r>
        <w:rPr>
          <w:rFonts w:hint="eastAsia" w:ascii="仿宋_GB2312" w:hAnsi="仿宋_GB2312" w:eastAsia="仿宋_GB2312" w:cs="仿宋_GB2312"/>
          <w:sz w:val="28"/>
          <w:szCs w:val="28"/>
        </w:rPr>
        <w:t xml:space="preserve">18、电子磋商</w:t>
      </w:r>
      <w:bookmarkEnd w:id="130"/>
      <w:r/>
      <w:bookmarkEnd w:id="131"/>
      <w:r/>
      <w:bookmarkEnd w:id="132"/>
      <w:r/>
      <w:bookmarkEnd w:id="133"/>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4" w:name="_Toc20823298"/>
      <w:r/>
      <w:bookmarkStart w:id="135" w:name="_Toc513029226"/>
      <w:r/>
      <w:bookmarkStart w:id="136" w:name="_Toc16938542"/>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4"/>
      <w:r/>
      <w:bookmarkEnd w:id="135"/>
      <w:r/>
      <w:bookmarkEnd w:id="136"/>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7" w:name="_Toc16938543"/>
      <w:r/>
      <w:bookmarkStart w:id="138" w:name="_Toc20823299"/>
      <w:r/>
      <w:bookmarkStart w:id="139" w:name="_Toc513029227"/>
      <w:r>
        <w:rPr>
          <w:rFonts w:hint="eastAsia" w:ascii="仿宋_GB2312" w:hAnsi="仿宋_GB2312" w:eastAsia="仿宋_GB2312" w:cs="仿宋_GB2312"/>
          <w:sz w:val="28"/>
          <w:szCs w:val="28"/>
        </w:rPr>
        <w:t xml:space="preserve">20、响应文件</w:t>
      </w:r>
      <w:bookmarkEnd w:id="137"/>
      <w:r/>
      <w:bookmarkEnd w:id="138"/>
      <w:r/>
      <w:bookmarkEnd w:id="139"/>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40" w:name="_Toc513029228"/>
      <w:r/>
      <w:bookmarkStart w:id="141" w:name="_Toc20823300"/>
      <w:r/>
      <w:bookmarkStart w:id="142" w:name="_Toc16938544"/>
      <w:r>
        <w:rPr>
          <w:rFonts w:hint="eastAsia" w:ascii="仿宋_GB2312" w:hAnsi="仿宋_GB2312" w:eastAsia="仿宋_GB2312" w:cs="仿宋_GB2312"/>
          <w:sz w:val="28"/>
          <w:szCs w:val="28"/>
        </w:rPr>
        <w:t xml:space="preserve">21、响应文件的撤回和修改</w:t>
      </w:r>
      <w:bookmarkEnd w:id="140"/>
      <w:r/>
      <w:bookmarkEnd w:id="141"/>
      <w:r/>
      <w:bookmarkEnd w:id="14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3" w:name="_Toc513029229"/>
      <w:r/>
      <w:bookmarkStart w:id="144" w:name="_Toc16938545"/>
      <w:r/>
      <w:bookmarkStart w:id="145" w:name="_Toc20823301"/>
      <w:r/>
      <w:bookmarkStart w:id="146" w:name="_Toc120614218"/>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3"/>
      <w:r/>
      <w:bookmarkEnd w:id="144"/>
      <w:r/>
      <w:bookmarkEnd w:id="145"/>
      <w:r/>
      <w:bookmarkEnd w:id="146"/>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7" w:name="_Toc513029230"/>
      <w:r/>
      <w:bookmarkStart w:id="148" w:name="_Toc16938546"/>
      <w:r/>
      <w:bookmarkStart w:id="149" w:name="_Toc20823302"/>
      <w:r>
        <w:rPr>
          <w:rFonts w:hint="eastAsia" w:ascii="仿宋_GB2312" w:hAnsi="仿宋_GB2312" w:eastAsia="仿宋_GB2312" w:cs="仿宋_GB2312"/>
          <w:color w:val="auto"/>
          <w:sz w:val="28"/>
          <w:szCs w:val="28"/>
        </w:rPr>
        <w:t xml:space="preserve">22、</w:t>
      </w:r>
      <w:bookmarkEnd w:id="147"/>
      <w:r/>
      <w:bookmarkEnd w:id="148"/>
      <w:r/>
      <w:bookmarkEnd w:id="149"/>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0" w:name="_Toc513029231"/>
      <w:r/>
      <w:bookmarkStart w:id="151" w:name="_Toc20823303"/>
      <w:r/>
      <w:bookmarkStart w:id="152" w:name="_Toc16938547"/>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50"/>
      <w:r/>
      <w:bookmarkEnd w:id="151"/>
      <w:r/>
      <w:bookmarkEnd w:id="152"/>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3" w:name="_Toc513029232"/>
      <w:r/>
      <w:bookmarkStart w:id="154" w:name="_Toc20823304"/>
      <w:r/>
      <w:bookmarkStart w:id="155" w:name="_Toc16938548"/>
      <w:r>
        <w:rPr>
          <w:rFonts w:hint="eastAsia" w:ascii="仿宋_GB2312" w:hAnsi="仿宋_GB2312" w:eastAsia="仿宋_GB2312" w:cs="仿宋_GB2312"/>
          <w:sz w:val="28"/>
          <w:szCs w:val="28"/>
        </w:rPr>
        <w:t xml:space="preserve">25、评审过程中的的澄清</w:t>
      </w:r>
      <w:bookmarkEnd w:id="153"/>
      <w:r/>
      <w:bookmarkEnd w:id="154"/>
      <w:r/>
      <w:bookmarkEnd w:id="155"/>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6" w:name="_Toc513029233"/>
      <w:r/>
      <w:bookmarkStart w:id="157" w:name="_Toc16938549"/>
      <w:r/>
      <w:bookmarkStart w:id="158" w:name="_Toc20823305"/>
      <w:r>
        <w:rPr>
          <w:rFonts w:hint="eastAsia" w:ascii="仿宋_GB2312" w:hAnsi="仿宋_GB2312" w:eastAsia="仿宋_GB2312" w:cs="仿宋_GB2312"/>
          <w:color w:val="auto"/>
          <w:sz w:val="28"/>
          <w:szCs w:val="28"/>
        </w:rPr>
        <w:t xml:space="preserve">26、对响应文件的审</w:t>
      </w:r>
      <w:bookmarkEnd w:id="156"/>
      <w:r/>
      <w:bookmarkEnd w:id="157"/>
      <w:r/>
      <w:bookmarkEnd w:id="158"/>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9" w:name="_Toc513029234"/>
      <w:r/>
      <w:bookmarkStart w:id="160" w:name="_Toc20823306"/>
      <w:r/>
      <w:bookmarkStart w:id="161" w:name="_Toc16938550"/>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9"/>
      <w:r/>
      <w:bookmarkEnd w:id="160"/>
      <w:r/>
      <w:bookmarkEnd w:id="161"/>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30"/>
          <w:szCs w:val="30"/>
        </w:rPr>
      </w:pPr>
      <w:r>
        <w:rPr>
          <w:rFonts w:hint="eastAsia" w:ascii="仿宋" w:hAnsi="仿宋" w:eastAsia="仿宋" w:cs="仿宋_GB2312"/>
          <w:b/>
          <w:bCs/>
          <w:sz w:val="30"/>
          <w:szCs w:val="30"/>
          <w:highlight w:val="yellow"/>
        </w:rPr>
        <w:t xml:space="preserve">（</w:t>
      </w:r>
      <w:r>
        <w:rPr>
          <w:rFonts w:hint="eastAsia" w:ascii="仿宋" w:hAnsi="仿宋" w:eastAsia="仿宋" w:cs="仿宋_GB2312"/>
          <w:b/>
          <w:bCs/>
          <w:sz w:val="30"/>
          <w:szCs w:val="30"/>
          <w:highlight w:val="yellow"/>
          <w:lang w:eastAsia="zh-CN"/>
        </w:rPr>
        <w:t xml:space="preserve">特别提醒：</w:t>
      </w:r>
      <w:r>
        <w:rPr>
          <w:rFonts w:hint="eastAsia" w:ascii="仿宋" w:hAnsi="仿宋" w:eastAsia="仿宋"/>
          <w:b/>
          <w:color w:val="ff0000"/>
          <w:sz w:val="30"/>
          <w:szCs w:val="30"/>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30"/>
          <w:szCs w:val="30"/>
        </w:rPr>
        <w:t xml:space="preserve">20</w:t>
      </w:r>
      <w:r>
        <w:rPr>
          <w:rFonts w:hint="eastAsia" w:ascii="仿宋" w:hAnsi="仿宋" w:eastAsia="仿宋"/>
          <w:b/>
          <w:color w:val="ff0000"/>
          <w:sz w:val="30"/>
          <w:szCs w:val="30"/>
        </w:rPr>
        <w:t xml:space="preserve">分钟，</w:t>
      </w:r>
      <w:r>
        <w:rPr>
          <w:rFonts w:ascii="仿宋" w:hAnsi="仿宋" w:eastAsia="仿宋"/>
          <w:b/>
          <w:color w:val="ff0000"/>
          <w:sz w:val="30"/>
          <w:szCs w:val="30"/>
        </w:rPr>
        <w:t xml:space="preserve">20</w:t>
      </w:r>
      <w:r>
        <w:rPr>
          <w:rFonts w:hint="eastAsia" w:ascii="仿宋" w:hAnsi="仿宋" w:eastAsia="仿宋"/>
          <w:b/>
          <w:color w:val="ff0000"/>
          <w:sz w:val="30"/>
          <w:szCs w:val="30"/>
        </w:rPr>
        <w:t xml:space="preserve">分钟内供应商可以对所提交的最后报价进行撤回和更改操作，未在规定时间内提交最后报价的，视同退出本次</w:t>
      </w:r>
      <w:r>
        <w:rPr>
          <w:rFonts w:hint="eastAsia" w:ascii="仿宋" w:hAnsi="仿宋" w:eastAsia="仿宋"/>
          <w:b/>
          <w:color w:val="ff0000"/>
          <w:sz w:val="30"/>
          <w:szCs w:val="30"/>
          <w:lang w:eastAsia="zh-CN"/>
        </w:rPr>
        <w:t xml:space="preserve">磋商。</w:t>
      </w:r>
      <w:r>
        <w:rPr>
          <w:rFonts w:hint="eastAsia" w:ascii="仿宋" w:hAnsi="仿宋" w:eastAsia="仿宋" w:cs="仿宋_GB2312"/>
          <w:sz w:val="30"/>
          <w:szCs w:val="30"/>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2" w:name="_Toc120614219"/>
      <w:r/>
      <w:bookmarkStart w:id="163" w:name="_Toc16938551"/>
      <w:r/>
      <w:bookmarkStart w:id="164" w:name="_Toc20823307"/>
      <w:r/>
      <w:bookmarkStart w:id="165" w:name="_Toc513029235"/>
      <w:r>
        <w:rPr>
          <w:rFonts w:hint="eastAsia" w:ascii="仿宋_GB2312" w:hAnsi="仿宋_GB2312" w:eastAsia="仿宋_GB2312" w:cs="仿宋_GB2312"/>
          <w:b/>
          <w:bCs/>
          <w:color w:val="auto"/>
          <w:sz w:val="28"/>
          <w:szCs w:val="28"/>
        </w:rPr>
        <w:t xml:space="preserve">六、</w:t>
      </w:r>
      <w:bookmarkEnd w:id="162"/>
      <w:r/>
      <w:bookmarkEnd w:id="163"/>
      <w:r/>
      <w:bookmarkEnd w:id="164"/>
      <w:r/>
      <w:bookmarkEnd w:id="165"/>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6" w:name="_Toc513029238"/>
      <w:r/>
      <w:bookmarkStart w:id="167" w:name="_Toc20823310"/>
      <w:r/>
      <w:bookmarkStart w:id="168" w:name="_Toc16938554"/>
      <w:r>
        <w:rPr>
          <w:rFonts w:hint="eastAsia" w:ascii="仿宋_GB2312" w:hAnsi="仿宋_GB2312" w:eastAsia="仿宋_GB2312" w:cs="仿宋_GB2312"/>
          <w:bCs/>
          <w:color w:val="auto"/>
          <w:sz w:val="28"/>
          <w:szCs w:val="28"/>
        </w:rPr>
        <w:t xml:space="preserve">28、</w:t>
      </w:r>
      <w:bookmarkEnd w:id="166"/>
      <w:r>
        <w:rPr>
          <w:rFonts w:hint="eastAsia" w:ascii="仿宋_GB2312" w:hAnsi="仿宋_GB2312" w:eastAsia="仿宋_GB2312" w:cs="仿宋_GB2312"/>
          <w:bCs/>
          <w:color w:val="auto"/>
          <w:sz w:val="28"/>
          <w:szCs w:val="28"/>
        </w:rPr>
        <w:t xml:space="preserve">确定</w:t>
      </w:r>
      <w:bookmarkEnd w:id="167"/>
      <w:r/>
      <w:bookmarkEnd w:id="168"/>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9" w:name="_Toc200451960"/>
      <w:r>
        <w:rPr>
          <w:rFonts w:hint="eastAsia" w:ascii="仿宋_GB2312" w:hAnsi="仿宋_GB2312" w:eastAsia="仿宋_GB2312" w:cs="仿宋_GB2312"/>
          <w:bCs/>
          <w:sz w:val="28"/>
          <w:szCs w:val="28"/>
        </w:rPr>
        <w:t xml:space="preserve">29、质疑处理</w:t>
      </w:r>
      <w:bookmarkEnd w:id="16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70" w:name="_Toc120614220"/>
      <w:r/>
      <w:bookmarkStart w:id="171" w:name="_Toc16938552"/>
      <w:r/>
      <w:bookmarkStart w:id="172" w:name="_Toc513029236"/>
      <w:r/>
      <w:bookmarkStart w:id="173" w:name="_Toc20823308"/>
      <w:r>
        <w:rPr>
          <w:rFonts w:hint="eastAsia" w:ascii="仿宋_GB2312" w:hAnsi="仿宋_GB2312" w:eastAsia="仿宋_GB2312" w:cs="仿宋_GB2312"/>
          <w:b/>
          <w:bCs/>
          <w:sz w:val="28"/>
          <w:szCs w:val="28"/>
        </w:rPr>
        <w:t xml:space="preserve">七、授予合同</w:t>
      </w:r>
      <w:bookmarkEnd w:id="170"/>
      <w:r/>
      <w:bookmarkEnd w:id="171"/>
      <w:r/>
      <w:bookmarkEnd w:id="172"/>
      <w:r/>
      <w:bookmarkEnd w:id="173"/>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4" w:name="_Toc20823309"/>
      <w:r/>
      <w:bookmarkStart w:id="175" w:name="_Toc513029237"/>
      <w:r/>
      <w:bookmarkStart w:id="176" w:name="_Toc16938553"/>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4"/>
      <w:r/>
      <w:bookmarkEnd w:id="175"/>
      <w:r/>
      <w:bookmarkEnd w:id="176"/>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6"/>
      <w:r/>
      <w:bookmarkEnd w:id="57"/>
      <w:r/>
      <w:bookmarkEnd w:id="58"/>
      <w:r/>
      <w:bookmarkEnd w:id="59"/>
      <w:r/>
      <w:bookmarkEnd w:id="60"/>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7" w:name="_Toc16938559"/>
      <w:r/>
      <w:bookmarkStart w:id="178" w:name="_Toc513029243"/>
      <w:r/>
      <w:bookmarkStart w:id="179"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7"/>
      <w:r/>
      <w:bookmarkEnd w:id="178"/>
      <w:r/>
      <w:bookmarkEnd w:id="179"/>
      <w:r/>
      <w:r/>
    </w:p>
    <w:p>
      <w:pPr>
        <w:ind w:firstLine="800"/>
        <w:jc w:val="center"/>
        <w:spacing w:line="520" w:lineRule="exact"/>
        <w:rPr>
          <w:rFonts w:ascii="方正小标宋_GBK" w:hAnsi="方正小标宋_GBK" w:eastAsia="方正小标宋_GBK" w:cs="方正小标宋_GBK"/>
          <w:bCs/>
          <w:sz w:val="40"/>
          <w:szCs w:val="40"/>
        </w:rPr>
        <w:outlineLvl w:val="0"/>
      </w:pPr>
      <w:r/>
      <w:bookmarkStart w:id="180" w:name="_Hlt16619369"/>
      <w:r/>
      <w:bookmarkEnd w:id="180"/>
      <w:r/>
      <w:bookmarkStart w:id="181" w:name="_Toc16938590"/>
      <w:r/>
      <w:bookmarkStart w:id="182" w:name="_Toc120614244"/>
      <w:r/>
      <w:bookmarkStart w:id="183" w:name="_Toc20823346"/>
      <w:r/>
      <w:bookmarkStart w:id="184" w:name="_Hlt16619350"/>
      <w:r/>
      <w:bookmarkStart w:id="185" w:name="_Toc479757211"/>
      <w:r/>
      <w:bookmarkStart w:id="186" w:name="_Toc462564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4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4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48"/>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48"/>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48"/>
        <w:ind w:firstLine="562"/>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48"/>
        <w:ind w:firstLine="560"/>
        <w:spacing w:line="50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48"/>
        <w:ind w:firstLine="560"/>
        <w:spacing w:line="50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不设置</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spacing w:line="500" w:lineRule="exac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spacing w:line="50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48"/>
        <w:ind w:firstLine="560"/>
        <w:spacing w:line="50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48"/>
        <w:ind w:firstLine="562"/>
        <w:spacing w:line="50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48"/>
        <w:ind w:firstLine="562"/>
        <w:spacing w:line="50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48"/>
        <w:ind w:firstLine="560"/>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48"/>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4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4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48"/>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48"/>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48"/>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1"/>
      <w:r/>
      <w:bookmarkEnd w:id="182"/>
      <w:r/>
      <w:bookmarkEnd w:id="183"/>
      <w:r/>
      <w:bookmarkEnd w:id="184"/>
      <w:r/>
      <w:bookmarkStart w:id="187" w:name="_Toc26554093"/>
      <w:r/>
      <w:bookmarkStart w:id="188" w:name="_Toc49090575"/>
      <w:r/>
      <w:r/>
    </w:p>
    <w:p>
      <w:pPr>
        <w:pStyle w:val="1048"/>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828"/>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eastAsia" w:ascii="仿宋_GB2312" w:hAnsi="仿宋_GB2312" w:eastAsia="仿宋_GB2312" w:cs="仿宋_GB2312"/>
                <w:color w:val="auto"/>
                <w:sz w:val="28"/>
                <w:szCs w:val="28"/>
                <w:highlight w:val="none"/>
                <w:lang w:eastAsia="zh-CN"/>
              </w:rPr>
              <w:t xml:space="preserve">兴化市行政村电子政务外网服务</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包</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信息传输业</w:t>
            </w:r>
            <w:r/>
          </w:p>
        </w:tc>
      </w:tr>
      <w:tr>
        <w:trPr>
          <w:cantSplit/>
          <w:jc w:val="center"/>
          <w:trHeight w:val="92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w:t>
            </w:r>
            <w:r/>
          </w:p>
        </w:tc>
        <w:tc>
          <w:tcPr>
            <w:tcW w:w="3612"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兴化市行政村电子政务外网服务</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包</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信息传输业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828"/>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r>
        <w:trPr>
          <w:jc w:val="center"/>
          <w:trHeight w:val="703"/>
        </w:trPr>
        <w:tc>
          <w:tcPr>
            <w:tcW w:w="1487" w:type="dxa"/>
            <w:vAlign w:val="center"/>
            <w:textDirection w:val="lrTb"/>
            <w:noWrap w:val="false"/>
          </w:tcPr>
          <w:p>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w:t>
            </w:r>
            <w:r/>
          </w:p>
        </w:tc>
        <w:tc>
          <w:tcPr>
            <w:tcW w:w="7372"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ind w:firstLine="482"/>
        <w:keepLines w:val="0"/>
        <w:keepNext w:val="0"/>
        <w:pageBreakBefore w:val="0"/>
        <w:spacing w:line="0" w:lineRule="atLeast"/>
        <w:rPr>
          <w:rFonts w:ascii="宋体"/>
          <w:b/>
          <w:color w:val="000000"/>
          <w:sz w:val="24"/>
          <w:szCs w:val="24"/>
        </w:rPr>
      </w:pPr>
      <w:r>
        <w:rPr>
          <w:rFonts w:ascii="宋体"/>
          <w:b/>
          <w:color w:val="000000"/>
          <w:sz w:val="24"/>
          <w:szCs w:val="24"/>
        </w:rPr>
      </w:r>
      <w:r/>
    </w:p>
    <w:p>
      <w:pPr>
        <w:numPr>
          <w:ilvl w:val="0"/>
          <w:numId w:val="0"/>
        </w:numPr>
        <w:ind w:firstLine="560"/>
        <w:keepLines w:val="0"/>
        <w:keepNext w:val="0"/>
        <w:pageBreakBefore w:val="0"/>
        <w:spacing w:after="181" w:line="500" w:lineRule="exact"/>
        <w:widowControl w:val="off"/>
        <w:rPr>
          <w:rFonts w:hint="eastAsia" w:ascii="黑体" w:hAnsi="黑体" w:eastAsia="黑体" w:cs="方正黑体_GBK"/>
          <w:bCs/>
          <w:color w:val="000000"/>
          <w:sz w:val="28"/>
          <w:szCs w:val="28"/>
          <w:lang w:eastAsia="zh-CN"/>
        </w:rPr>
      </w:pPr>
      <w:r/>
      <w:bookmarkStart w:id="189" w:name="_Toc515706159"/>
      <w:r>
        <w:rPr>
          <w:rFonts w:hint="eastAsia" w:ascii="黑体" w:hAnsi="黑体" w:eastAsia="黑体" w:cs="方正黑体_GBK"/>
          <w:bCs/>
          <w:color w:val="000000"/>
          <w:sz w:val="28"/>
          <w:szCs w:val="28"/>
        </w:rPr>
        <w:t xml:space="preserve">项目概况</w:t>
      </w:r>
      <w:bookmarkEnd w:id="189"/>
      <w:r>
        <w:rPr>
          <w:rFonts w:hint="eastAsia" w:ascii="黑体" w:hAnsi="黑体" w:eastAsia="黑体" w:cs="方正黑体_GBK"/>
          <w:bCs/>
          <w:color w:val="000000"/>
          <w:sz w:val="28"/>
          <w:szCs w:val="28"/>
          <w:lang w:eastAsia="zh-CN"/>
        </w:rPr>
        <w:t xml:space="preserve">：</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黑体" w:hAnsi="黑体" w:eastAsia="黑体" w:cs="仿宋"/>
          <w:i w:val="0"/>
          <w:iCs w:val="0"/>
          <w:color w:val="auto"/>
          <w:sz w:val="28"/>
          <w:szCs w:val="28"/>
          <w:highlight w:val="none"/>
          <w:u w:val="none"/>
          <w:lang w:val="en-US" w:eastAsia="zh-CN" w:bidi="ar-SA"/>
        </w:rPr>
        <w:t xml:space="preserve">本项目总预算为：人民币 壹佰肆拾柒万壹仟贰佰元/每年（¥：1471200.00元/年），其中：</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黑体" w:hAnsi="黑体" w:eastAsia="黑体" w:cs="仿宋"/>
          <w:i w:val="0"/>
          <w:iCs w:val="0"/>
          <w:color w:val="auto"/>
          <w:sz w:val="28"/>
          <w:szCs w:val="28"/>
          <w:highlight w:val="none"/>
          <w:u w:val="none"/>
          <w:lang w:val="en-US" w:eastAsia="zh-CN" w:bidi="ar-SA"/>
        </w:rPr>
        <w:t xml:space="preserve">第1包预算为：柒拾伍万陆仟贰佰元/每年（¥：756200.00元/年），</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黑体" w:hAnsi="黑体" w:eastAsia="黑体" w:cs="仿宋"/>
          <w:i w:val="0"/>
          <w:iCs w:val="0"/>
          <w:color w:val="auto"/>
          <w:sz w:val="28"/>
          <w:szCs w:val="28"/>
          <w:highlight w:val="none"/>
          <w:u w:val="none"/>
          <w:lang w:val="en-US" w:eastAsia="zh-CN" w:bidi="ar-SA"/>
        </w:rPr>
        <w:t xml:space="preserve">第2包预算为：柒拾壹万伍仟元/每年（¥：715000.00元/年）。</w:t>
      </w:r>
      <w:r/>
    </w:p>
    <w:p>
      <w:pPr>
        <w:pStyle w:val="1118"/>
        <w:ind w:firstLine="560"/>
        <w:keepLines w:val="0"/>
        <w:keepNext w:val="0"/>
        <w:pageBreakBefore w:val="0"/>
        <w:spacing w:before="0" w:beforeAutospacing="0" w:after="0" w:afterAutospacing="0" w:line="500" w:lineRule="exact"/>
        <w:widowControl/>
        <w:rPr>
          <w:rFonts w:hint="eastAsia" w:ascii="黑体" w:hAnsi="黑体" w:eastAsia="黑体" w:cs="仿宋"/>
          <w:i/>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t xml:space="preserve">最后响应报价高于采购预算价的，将被判定为无效投标文件。  </w:t>
      </w:r>
      <w:r/>
    </w:p>
    <w:p>
      <w:pPr>
        <w:pStyle w:val="1136"/>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rPr>
        <w:suppressLineNumbers w:val="0"/>
      </w:pP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为兴化市所有行政村提供新一代电子政务外网服务，全部采用50M线路接入。本</w:t>
      </w:r>
      <w:r>
        <w:rPr>
          <w:rFonts w:hint="eastAsia" w:ascii="仿宋_GB2312" w:hAnsi="仿宋_GB2312" w:eastAsia="仿宋_GB2312" w:cs="仿宋_GB2312"/>
          <w:color w:val="auto"/>
          <w:sz w:val="28"/>
          <w:szCs w:val="28"/>
          <w:highlight w:val="none"/>
        </w:rPr>
        <w:t xml:space="preserve">项目分为两个包，</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包包含城</w:t>
      </w:r>
      <w:r>
        <w:rPr>
          <w:rFonts w:hint="eastAsia" w:ascii="仿宋_GB2312" w:hAnsi="仿宋_GB2312" w:eastAsia="仿宋_GB2312" w:cs="仿宋_GB2312"/>
          <w:color w:val="auto"/>
          <w:sz w:val="28"/>
          <w:szCs w:val="28"/>
          <w:highlight w:val="none"/>
          <w:lang w:eastAsia="zh-CN"/>
        </w:rPr>
        <w:t xml:space="preserve">市</w:t>
      </w:r>
      <w:r>
        <w:rPr>
          <w:rFonts w:hint="eastAsia" w:ascii="仿宋_GB2312" w:hAnsi="仿宋_GB2312" w:eastAsia="仿宋_GB2312" w:cs="仿宋_GB2312"/>
          <w:color w:val="auto"/>
          <w:sz w:val="28"/>
          <w:szCs w:val="28"/>
          <w:highlight w:val="none"/>
        </w:rPr>
        <w:t xml:space="preserve">和东北、西北片14个乡镇(街道)238个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第</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包包含东南、西南片12个乡镇225个</w:t>
      </w:r>
      <w:r>
        <w:rPr>
          <w:rFonts w:hint="eastAsia" w:ascii="仿宋_GB2312" w:hAnsi="仿宋_GB2312" w:eastAsia="仿宋_GB2312" w:cs="仿宋_GB2312"/>
          <w:color w:val="auto"/>
          <w:sz w:val="28"/>
          <w:szCs w:val="28"/>
          <w:highlight w:val="none"/>
          <w:lang w:val="en-US" w:eastAsia="zh-CN"/>
        </w:rPr>
        <w:t xml:space="preserve">行政村</w:t>
      </w:r>
      <w:r>
        <w:rPr>
          <w:rFonts w:hint="eastAsia" w:ascii="仿宋_GB2312" w:hAnsi="仿宋_GB2312" w:eastAsia="仿宋_GB2312" w:cs="仿宋_GB2312"/>
          <w:color w:val="auto"/>
          <w:sz w:val="28"/>
          <w:szCs w:val="28"/>
          <w:highlight w:val="none"/>
        </w:rPr>
        <w:t xml:space="preserve">。</w:t>
      </w:r>
      <w:r/>
    </w:p>
    <w:p>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pStyle w:val="1136"/>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r>
      <w:r/>
    </w:p>
    <w:tbl>
      <w:tblPr>
        <w:tblStyle w:val="828"/>
        <w:tblW w:w="48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4"/>
        <w:gridCol w:w="2064"/>
        <w:gridCol w:w="1455"/>
        <w:gridCol w:w="1332"/>
        <w:gridCol w:w="1479"/>
        <w:gridCol w:w="1504"/>
      </w:tblGrid>
      <w:tr>
        <w:trPr>
          <w:jc w:val="center"/>
          <w:trHeight w:val="588"/>
        </w:trPr>
        <w:tc>
          <w:tcPr>
            <w:gridSpan w:val="3"/>
            <w:shd w:val="clear" w:color="auto" w:fill="auto"/>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黑体" w:hAnsi="黑体" w:eastAsia="黑体" w:cs="黑体"/>
                <w:b/>
                <w:bCs/>
                <w:i w:val="0"/>
                <w:iCs w:val="0"/>
                <w:color w:val="auto"/>
                <w:sz w:val="24"/>
                <w:szCs w:val="24"/>
                <w:highlight w:val="none"/>
                <w:u w:val="none"/>
                <w:lang w:val="en-US" w:eastAsia="zh-CN" w:bidi="ar"/>
              </w:rPr>
              <w:suppressLineNumbers w:val="0"/>
            </w:pPr>
            <w:r>
              <w:rPr>
                <w:rFonts w:hint="eastAsia" w:ascii="黑体" w:hAnsi="黑体" w:eastAsia="黑体" w:cs="黑体"/>
                <w:b/>
                <w:bCs/>
                <w:color w:val="auto"/>
                <w:sz w:val="24"/>
                <w:szCs w:val="24"/>
                <w:highlight w:val="none"/>
                <w:lang w:eastAsia="zh-CN"/>
              </w:rPr>
              <w:t xml:space="preserve">第</w:t>
            </w:r>
            <w:r>
              <w:rPr>
                <w:rFonts w:hint="eastAsia" w:ascii="黑体" w:hAnsi="黑体" w:eastAsia="黑体" w:cs="黑体"/>
                <w:b/>
                <w:bCs/>
                <w:color w:val="auto"/>
                <w:sz w:val="24"/>
                <w:szCs w:val="24"/>
                <w:highlight w:val="none"/>
                <w:lang w:val="en-US" w:eastAsia="zh-CN"/>
              </w:rPr>
              <w:t xml:space="preserve">1</w:t>
            </w:r>
            <w:r>
              <w:rPr>
                <w:rFonts w:hint="eastAsia" w:ascii="黑体" w:hAnsi="黑体" w:eastAsia="黑体" w:cs="黑体"/>
                <w:b/>
                <w:bCs/>
                <w:color w:val="auto"/>
                <w:sz w:val="24"/>
                <w:szCs w:val="24"/>
                <w:highlight w:val="none"/>
              </w:rPr>
              <w:t xml:space="preserve">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81" w:type="pct"/>
            <w:vAlign w:val="center"/>
            <w:textDirection w:val="lrTb"/>
            <w:noWrap/>
          </w:tcPr>
          <w:p>
            <w:pPr>
              <w:jc w:val="center"/>
              <w:keepLines w:val="0"/>
              <w:keepNext w:val="0"/>
              <w:widowControl/>
              <w:rPr>
                <w:rFonts w:hint="eastAsia" w:ascii="黑体" w:hAnsi="黑体" w:eastAsia="黑体" w:cs="黑体"/>
                <w:b/>
                <w:bCs/>
                <w:i w:val="0"/>
                <w:iCs w:val="0"/>
                <w:color w:val="auto"/>
                <w:sz w:val="24"/>
                <w:szCs w:val="24"/>
                <w:highlight w:val="none"/>
                <w:u w:val="none"/>
                <w:lang w:val="en-US" w:eastAsia="zh-CN" w:bidi="ar"/>
              </w:rPr>
              <w:suppressLineNumbers w:val="0"/>
            </w:pPr>
            <w:r>
              <w:rPr>
                <w:rFonts w:hint="eastAsia" w:ascii="黑体" w:hAnsi="黑体" w:eastAsia="黑体" w:cs="黑体"/>
                <w:b/>
                <w:bCs/>
                <w:color w:val="auto"/>
                <w:sz w:val="24"/>
                <w:szCs w:val="24"/>
                <w:highlight w:val="none"/>
                <w:lang w:eastAsia="zh-CN"/>
              </w:rPr>
              <w:t xml:space="preserve">第</w:t>
            </w:r>
            <w:r>
              <w:rPr>
                <w:rFonts w:hint="eastAsia" w:ascii="黑体" w:hAnsi="黑体" w:eastAsia="黑体" w:cs="黑体"/>
                <w:b/>
                <w:bCs/>
                <w:color w:val="auto"/>
                <w:sz w:val="24"/>
                <w:szCs w:val="24"/>
                <w:highlight w:val="none"/>
                <w:lang w:val="en-US" w:eastAsia="zh-CN"/>
              </w:rPr>
              <w:t xml:space="preserve">2</w:t>
            </w:r>
            <w:r>
              <w:rPr>
                <w:rFonts w:hint="eastAsia" w:ascii="黑体" w:hAnsi="黑体" w:eastAsia="黑体" w:cs="黑体"/>
                <w:b/>
                <w:bCs/>
                <w:color w:val="auto"/>
                <w:sz w:val="24"/>
                <w:szCs w:val="24"/>
                <w:highlight w:val="none"/>
              </w:rPr>
              <w:t xml:space="preserve">包</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片市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片市</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b/>
                <w:bCs/>
                <w:i w:val="0"/>
                <w:iCs w:val="0"/>
                <w:color w:val="auto"/>
                <w:sz w:val="24"/>
                <w:szCs w:val="24"/>
                <w:highlight w:val="none"/>
                <w:u w:val="none"/>
              </w:rPr>
              <w:suppressLineNumbers w:val="0"/>
            </w:pPr>
            <w:r>
              <w:rPr>
                <w:rFonts w:hint="eastAsia" w:ascii="仿宋_GB2312" w:hAnsi="仿宋_GB2312" w:eastAsia="仿宋_GB2312" w:cs="仿宋_GB2312"/>
                <w:b/>
                <w:bCs/>
                <w:i w:val="0"/>
                <w:iCs w:val="0"/>
                <w:color w:val="auto"/>
                <w:sz w:val="24"/>
                <w:szCs w:val="24"/>
                <w:highlight w:val="none"/>
                <w:u w:val="none"/>
                <w:lang w:val="en-US" w:eastAsia="zh-CN" w:bidi="ar"/>
              </w:rPr>
              <w:t xml:space="preserve">行政村</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临城街道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戴南镇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58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昭阳街道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大垛镇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城市</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垛田街道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荻垛镇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海南镇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戴窑镇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大邹镇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合陈镇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永丰镇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昌荣镇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安丰镇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陶庄镇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14</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新垛镇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陈堡镇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15</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钓鱼镇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周庄镇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18</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东北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大营镇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竹泓镇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13</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沙沟镇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林湖乡</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9</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千垛镇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西南</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沈伦镇</w:t>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r>
      <w:tr>
        <w:trPr>
          <w:jc w:val="center"/>
          <w:trHeight w:val="588"/>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中堡镇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r>
      <w:tr>
        <w:trPr>
          <w:jc w:val="center"/>
          <w:trHeight w:val="665"/>
        </w:trPr>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西北</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兴东镇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jc w:val="center"/>
              <w:keepLines w:val="0"/>
              <w:keepNext w:val="0"/>
              <w:widowControl/>
              <w:rPr>
                <w:rFonts w:hint="eastAsia" w:ascii="仿宋_GB2312" w:hAnsi="仿宋_GB2312" w:eastAsia="仿宋_GB2312" w:cs="仿宋_GB2312"/>
                <w:i w:val="0"/>
                <w:iCs w:val="0"/>
                <w:color w:val="auto"/>
                <w:sz w:val="24"/>
                <w:szCs w:val="24"/>
                <w:highlight w:val="none"/>
                <w:u w:val="none"/>
              </w:rPr>
              <w:suppressLineNumbers w:val="0"/>
            </w:pPr>
            <w:r>
              <w:rPr>
                <w:rFonts w:hint="eastAsia" w:ascii="仿宋_GB2312" w:hAnsi="仿宋_GB2312" w:eastAsia="仿宋_GB2312" w:cs="仿宋_GB2312"/>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sz w:val="24"/>
                <w:szCs w:val="24"/>
                <w:highlight w:val="none"/>
                <w:u w:val="none"/>
              </w:rPr>
            </w:r>
            <w:r/>
          </w:p>
        </w:tc>
      </w:tr>
    </w:tbl>
    <w:p>
      <w:pPr>
        <w:ind w:left="0" w:right="0" w:firstLine="562"/>
        <w:pageBreakBefore w:val="0"/>
        <w:spacing w:line="520"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lang w:val="en-US" w:eastAsia="zh-CN" w:bidi="ar-SA"/>
        </w:rPr>
        <w:t xml:space="preserve">3.</w:t>
      </w:r>
      <w:r>
        <w:rPr>
          <w:rFonts w:hint="eastAsia" w:ascii="仿宋_GB2312" w:hAnsi="仿宋_GB2312" w:eastAsia="仿宋_GB2312" w:cs="仿宋_GB2312"/>
          <w:b/>
          <w:bCs/>
          <w:color w:val="000000"/>
          <w:sz w:val="28"/>
          <w:szCs w:val="28"/>
        </w:rPr>
        <w:t xml:space="preserve">本项目按分包</w:t>
      </w:r>
      <w:r>
        <w:rPr>
          <w:rFonts w:hint="eastAsia" w:ascii="仿宋_GB2312" w:hAnsi="仿宋_GB2312" w:eastAsia="仿宋_GB2312" w:cs="仿宋_GB2312"/>
          <w:b/>
          <w:bCs/>
          <w:color w:val="000000"/>
          <w:sz w:val="28"/>
          <w:szCs w:val="28"/>
          <w:lang w:val="en-US" w:eastAsia="zh-CN"/>
        </w:rPr>
        <w:t xml:space="preserve">1至分包2的</w:t>
      </w:r>
      <w:r>
        <w:rPr>
          <w:rFonts w:hint="eastAsia" w:ascii="仿宋_GB2312" w:hAnsi="仿宋_GB2312" w:eastAsia="仿宋_GB2312" w:cs="仿宋_GB2312"/>
          <w:b/>
          <w:bCs/>
          <w:color w:val="000000"/>
          <w:sz w:val="28"/>
          <w:szCs w:val="28"/>
        </w:rPr>
        <w:t xml:space="preserve">顺序开评标，供应商可参与所有分包的投标，</w:t>
      </w:r>
      <w:r>
        <w:rPr>
          <w:rFonts w:hint="eastAsia" w:ascii="仿宋_GB2312" w:hAnsi="仿宋_GB2312" w:eastAsia="仿宋_GB2312" w:cs="仿宋_GB2312"/>
          <w:b/>
          <w:bCs/>
          <w:color w:val="auto"/>
          <w:sz w:val="28"/>
          <w:szCs w:val="28"/>
          <w:highlight w:val="none"/>
        </w:rPr>
        <w:t xml:space="preserve">可兼投不可兼中</w:t>
      </w:r>
      <w:r>
        <w:rPr>
          <w:rFonts w:hint="eastAsia" w:ascii="仿宋_GB2312" w:hAnsi="仿宋_GB2312" w:eastAsia="仿宋_GB2312" w:cs="仿宋_GB2312"/>
          <w:b/>
          <w:bCs/>
          <w:color w:val="auto"/>
          <w:sz w:val="28"/>
          <w:szCs w:val="28"/>
          <w:highlight w:val="none"/>
          <w:lang w:val="en-US" w:eastAsia="zh-CN"/>
        </w:rPr>
        <w:t xml:space="preserve">,即供应商在第1包被推荐为中选候选人的，在第2包不得推荐为中选候选人</w:t>
      </w:r>
      <w:r>
        <w:rPr>
          <w:rFonts w:hint="eastAsia" w:ascii="仿宋_GB2312" w:hAnsi="仿宋_GB2312" w:eastAsia="仿宋_GB2312" w:cs="仿宋_GB2312"/>
          <w:b/>
          <w:bCs/>
          <w:color w:val="auto"/>
          <w:sz w:val="28"/>
          <w:szCs w:val="28"/>
          <w:highlight w:val="none"/>
        </w:rPr>
        <w:t xml:space="preserve">。</w:t>
      </w:r>
      <w:r/>
    </w:p>
    <w:p>
      <w:pPr>
        <w:ind w:firstLine="560"/>
        <w:spacing w:line="480" w:lineRule="exact"/>
        <w:rPr>
          <w:rFonts w:hint="eastAsia" w:ascii="Times New Roman" w:hAnsi="Times New Roman" w:eastAsia="黑体" w:cs="Times New Roman"/>
          <w:color w:val="auto"/>
          <w:sz w:val="28"/>
          <w:szCs w:val="24"/>
          <w:highlight w:val="none"/>
          <w:lang w:eastAsia="zh-CN"/>
        </w:rPr>
        <w:outlineLvl w:val="1"/>
      </w:pPr>
      <w:r>
        <w:rPr>
          <w:rFonts w:hint="eastAsia" w:ascii="Times New Roman" w:hAnsi="Times New Roman" w:eastAsia="黑体" w:cs="Times New Roman"/>
          <w:color w:val="auto"/>
          <w:sz w:val="28"/>
          <w:szCs w:val="24"/>
          <w:highlight w:val="none"/>
          <w:lang w:eastAsia="zh-CN"/>
        </w:rPr>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一、项目背景</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电子政务外网是全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电子政务传输骨干网，主要运行政务部门面向社会的专业性服务业务和不需在涉密内网运行的业务，满足各级政务部门社会管理和公共服务需要，是各级政府开展业务的重要支撑平台。</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rPr>
        <w:t xml:space="preserve">根据《省政府办公厅关于加快推进全省电子政务外网建设的意见》（苏政办发〔2016〕147号）《省政府办公厅关于启用省电子政务外网的通知》（苏政传发〔2017〕150号）《江苏省电子政务外网管理办法（试行）》（苏政办发〔2023〕32号）</w:t>
      </w:r>
      <w:r>
        <w:rPr>
          <w:rFonts w:hint="eastAsia" w:ascii="仿宋_GB2312" w:hAnsi="仿宋_GB2312" w:eastAsia="仿宋_GB2312" w:cs="仿宋_GB2312"/>
          <w:color w:val="auto"/>
          <w:sz w:val="28"/>
          <w:szCs w:val="28"/>
          <w:highlight w:val="none"/>
          <w:lang w:val="en-US" w:eastAsia="zh-CN"/>
        </w:rPr>
        <w:t xml:space="preserve">《关于加强全省新“一张网”高质量建设管理有关工作的通知》（苏数发〔2025〕42号）《江苏省新一代电子政务外网建设指南》等文件</w:t>
      </w:r>
      <w:r>
        <w:rPr>
          <w:rFonts w:hint="eastAsia" w:ascii="仿宋_GB2312" w:hAnsi="仿宋_GB2312" w:eastAsia="仿宋_GB2312" w:cs="仿宋_GB2312"/>
          <w:color w:val="auto"/>
          <w:sz w:val="28"/>
          <w:szCs w:val="28"/>
          <w:highlight w:val="none"/>
        </w:rPr>
        <w:t xml:space="preserve">要求，通过租用光纤链路，建成横向连接全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各级党政机关、群团组织、事业单位等，纵向实现国家、省、市、</w:t>
      </w:r>
      <w:r>
        <w:rPr>
          <w:rFonts w:hint="eastAsia" w:ascii="仿宋_GB2312" w:hAnsi="仿宋_GB2312" w:eastAsia="仿宋_GB2312" w:cs="仿宋_GB2312"/>
          <w:color w:val="auto"/>
          <w:sz w:val="28"/>
          <w:szCs w:val="28"/>
          <w:highlight w:val="none"/>
          <w:lang w:eastAsia="zh-CN"/>
        </w:rPr>
        <w:t xml:space="preserve">市</w:t>
      </w:r>
      <w:r>
        <w:rPr>
          <w:rFonts w:hint="eastAsia" w:ascii="仿宋_GB2312" w:hAnsi="仿宋_GB2312" w:eastAsia="仿宋_GB2312" w:cs="仿宋_GB2312"/>
          <w:color w:val="auto"/>
          <w:sz w:val="28"/>
          <w:szCs w:val="28"/>
          <w:highlight w:val="none"/>
        </w:rPr>
        <w:t xml:space="preserve">、镇、村六级互联互通的全</w:t>
      </w:r>
      <w:r>
        <w:rPr>
          <w:rFonts w:hint="eastAsia" w:ascii="仿宋_GB2312" w:hAnsi="仿宋_GB2312" w:eastAsia="仿宋_GB2312" w:cs="仿宋_GB2312"/>
          <w:color w:val="auto"/>
          <w:sz w:val="28"/>
          <w:szCs w:val="28"/>
          <w:highlight w:val="none"/>
          <w:lang w:val="en-US" w:eastAsia="zh-CN"/>
        </w:rPr>
        <w:t xml:space="preserve">市</w:t>
      </w:r>
      <w:r>
        <w:rPr>
          <w:rFonts w:hint="eastAsia" w:ascii="仿宋_GB2312" w:hAnsi="仿宋_GB2312" w:eastAsia="仿宋_GB2312" w:cs="仿宋_GB2312"/>
          <w:color w:val="auto"/>
          <w:sz w:val="28"/>
          <w:szCs w:val="28"/>
          <w:highlight w:val="none"/>
        </w:rPr>
        <w:t xml:space="preserve">统一电子政务外网网络体系，</w:t>
      </w:r>
      <w:r>
        <w:rPr>
          <w:rFonts w:hint="eastAsia" w:ascii="仿宋_GB2312" w:hAnsi="仿宋_GB2312" w:eastAsia="仿宋_GB2312" w:cs="仿宋_GB2312"/>
          <w:color w:val="auto"/>
          <w:sz w:val="28"/>
          <w:szCs w:val="28"/>
          <w:highlight w:val="none"/>
          <w:lang w:val="en-US" w:eastAsia="zh-CN"/>
        </w:rPr>
        <w:t xml:space="preserve">并同步配套网络核心路由器、汇聚交换机等网络设备及运维保障服务。</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二、建设目标</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eastAsia="zh-CN"/>
        </w:rPr>
        <w:suppressLineNumbers w:val="0"/>
      </w:pPr>
      <w:r>
        <w:rPr>
          <w:rFonts w:hint="eastAsia" w:ascii="仿宋_GB2312" w:hAnsi="仿宋_GB2312" w:eastAsia="仿宋_GB2312" w:cs="仿宋_GB2312"/>
          <w:color w:val="auto"/>
          <w:sz w:val="28"/>
          <w:szCs w:val="28"/>
          <w:highlight w:val="none"/>
          <w:lang w:val="en-US" w:eastAsia="zh-CN"/>
        </w:rPr>
        <w:t xml:space="preserve">对标省级电子政务外网建设规范、技术参数与安全准则，实现租赁网络等同自建水平，适配政务业务长效运行。统筹整合链路、设备、平台、人力等各类资源，融合SDN、零信任等前沿技术，搭建统一管控、全域承载、智能防护的一体化政务网络架构，着力打造高速畅通、智能高效、安全可控的电子政务网络体系，全面提升网络承载、业务支撑、安全防护、运维管理综合能力，夯实数字政府基础设施根基，为全市数字化政务建设筑牢坚实网络底座。</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三、建设原则</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按照国</w:t>
      </w:r>
      <w:r>
        <w:rPr>
          <w:rFonts w:hint="eastAsia" w:ascii="仿宋_GB2312" w:hAnsi="仿宋_GB2312" w:eastAsia="仿宋_GB2312" w:cs="仿宋_GB2312"/>
          <w:color w:val="auto"/>
          <w:sz w:val="28"/>
          <w:szCs w:val="28"/>
          <w:highlight w:val="none"/>
        </w:rPr>
        <w:t xml:space="preserve">家、省、市电子政务外网建设相关技术规范，在本次电子政务外网链路组网时遵循以下基本原则：</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1.网络设计标准化</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本项目网络改造组网设计所采用的组网技术和设备应符合国标标准和行业标准，为网络系统的扩展升级改造提供基础。</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2.组网技术的先进性和成熟性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本项目网络建设应适应自身的发展特点及网络通信技术的更新换代，在网络结构设计、网络配置、网络管理方式等方面具有一定的先进性和前瞻性，同时又是成熟、实用的技术，尽量避免技术风险。</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3.高度的网络安全性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提供完备的安全防护策略，能防止对网络资源的非法访问，保护网络使用者的合法权益。</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4.高度的网络可靠性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组网设计应能有效避免单点故障，在设备的选择和关键设备互连时，应提供充分的冗余备份，一方面最大限度地减少故障的可能性，另一方面要保证网络能在最短时间内修复。</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5.良好的扩展能力</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能够根据未来业务的增长和变化，平滑扩充和升级现有的网络覆盖范围，扩大网络容量和提高网络的各层次节点的功能，最大程度地减少对网络架构和现有设备的调整。</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6.良好的管理能力</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在组网设计中，需建立有效的网络管理解决方案。通过先进的管理策略、管理工具提高网络的运维效率，简化网络的维护工作。</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outlineLvl w:val="2"/>
      </w:pPr>
      <w:r>
        <w:rPr>
          <w:rFonts w:hint="eastAsia" w:ascii="仿宋_GB2312" w:hAnsi="仿宋_GB2312" w:eastAsia="仿宋_GB2312" w:cs="仿宋_GB2312"/>
          <w:b/>
          <w:bCs/>
          <w:color w:val="auto"/>
          <w:sz w:val="28"/>
          <w:szCs w:val="28"/>
          <w:highlight w:val="none"/>
        </w:rPr>
        <w:t xml:space="preserve">7.经济性和实用性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建设原则以实际需求为出发点，以满足网络应用需求和适应一定时间内的发展规划为原则。</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8.业务过渡平滑性</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为保障采购人业务的连续性，</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应在充分调研客户业务架构和运行情况的基础上，就电子政务外网制定符合项目需求的组网方案，尽可能降低实施过程对现有网络运行的影响。</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四、技术要求</w:t>
      </w:r>
      <w:r/>
    </w:p>
    <w:p>
      <w:pPr>
        <w:ind w:firstLine="562"/>
        <w:keepLines w:val="0"/>
        <w:keepNext w:val="0"/>
        <w:pageBreakBefore w:val="0"/>
        <w:spacing w:line="520"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1.技术</w:t>
      </w:r>
      <w:r>
        <w:rPr>
          <w:rFonts w:hint="eastAsia" w:ascii="仿宋_GB2312" w:hAnsi="仿宋_GB2312" w:eastAsia="仿宋_GB2312" w:cs="仿宋_GB2312"/>
          <w:b/>
          <w:bCs/>
          <w:color w:val="auto"/>
          <w:sz w:val="28"/>
          <w:szCs w:val="28"/>
          <w:highlight w:val="none"/>
        </w:rPr>
        <w:t xml:space="preserve">参数要求</w:t>
      </w:r>
      <w:r/>
    </w:p>
    <w:p>
      <w:pPr>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专线电路组网</w:t>
      </w:r>
      <w:r/>
    </w:p>
    <w:tbl>
      <w:tblPr>
        <w:tblStyle w:val="8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7871"/>
      </w:tblGrid>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序号</w:t>
            </w:r>
            <w:r/>
          </w:p>
        </w:tc>
        <w:tc>
          <w:tcPr>
            <w:tcW w:w="7871"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技术要求</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p>
        </w:tc>
        <w:tc>
          <w:tcPr>
            <w:tcW w:w="7871" w:type="dxa"/>
            <w:vAlign w:val="center"/>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行政村新一代电子政务外网接入所需的传输、</w:t>
            </w:r>
            <w:r>
              <w:rPr>
                <w:rFonts w:hint="eastAsia" w:ascii="仿宋_GB2312" w:hAnsi="仿宋_GB2312" w:eastAsia="仿宋_GB2312" w:cs="仿宋_GB2312"/>
                <w:color w:val="auto"/>
                <w:sz w:val="24"/>
                <w:szCs w:val="24"/>
                <w:highlight w:val="none"/>
              </w:rPr>
              <w:t xml:space="preserve">交换</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安全</w:t>
            </w:r>
            <w:r>
              <w:rPr>
                <w:rFonts w:hint="eastAsia" w:ascii="仿宋_GB2312" w:hAnsi="仿宋_GB2312" w:eastAsia="仿宋_GB2312" w:cs="仿宋_GB2312"/>
                <w:color w:val="auto"/>
                <w:sz w:val="24"/>
                <w:szCs w:val="24"/>
                <w:highlight w:val="none"/>
              </w:rPr>
              <w:t xml:space="preserve">设备</w:t>
            </w:r>
            <w:r>
              <w:rPr>
                <w:rFonts w:hint="eastAsia" w:ascii="仿宋_GB2312" w:hAnsi="仿宋_GB2312" w:eastAsia="仿宋_GB2312" w:cs="仿宋_GB2312"/>
                <w:color w:val="auto"/>
                <w:sz w:val="24"/>
                <w:szCs w:val="24"/>
                <w:highlight w:val="none"/>
                <w:lang w:val="en-US" w:eastAsia="zh-CN"/>
              </w:rPr>
              <w:t xml:space="preserve">由供应商提供，其</w:t>
            </w:r>
            <w:r>
              <w:rPr>
                <w:rFonts w:hint="eastAsia" w:ascii="仿宋_GB2312" w:hAnsi="仿宋_GB2312" w:eastAsia="仿宋_GB2312" w:cs="仿宋_GB2312"/>
                <w:color w:val="auto"/>
                <w:sz w:val="24"/>
                <w:szCs w:val="24"/>
                <w:highlight w:val="none"/>
              </w:rPr>
              <w:t xml:space="preserve">维护更换</w:t>
            </w:r>
            <w:r>
              <w:rPr>
                <w:rFonts w:hint="eastAsia" w:ascii="仿宋_GB2312" w:hAnsi="仿宋_GB2312" w:eastAsia="仿宋_GB2312" w:cs="仿宋_GB2312"/>
                <w:color w:val="auto"/>
                <w:sz w:val="24"/>
                <w:szCs w:val="24"/>
                <w:highlight w:val="none"/>
                <w:lang w:val="en-US" w:eastAsia="zh-CN"/>
              </w:rPr>
              <w:t xml:space="preserve">亦</w:t>
            </w:r>
            <w:r>
              <w:rPr>
                <w:rFonts w:hint="eastAsia" w:ascii="仿宋_GB2312" w:hAnsi="仿宋_GB2312" w:eastAsia="仿宋_GB2312" w:cs="仿宋_GB2312"/>
                <w:color w:val="auto"/>
                <w:sz w:val="24"/>
                <w:szCs w:val="24"/>
                <w:highlight w:val="none"/>
              </w:rPr>
              <w:t xml:space="preserve">由</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自行负责</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所有设备需满足省级所需要求</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p>
        </w:tc>
        <w:tc>
          <w:tcPr>
            <w:tcW w:w="7871" w:type="dxa"/>
            <w:vAlign w:val="center"/>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每条光纤专线业务两端发送和接收光功率应符合设备光功率技术要求，且正常情况下接收</w:t>
            </w:r>
            <w:r>
              <w:rPr>
                <w:rFonts w:hint="eastAsia" w:ascii="仿宋_GB2312" w:hAnsi="仿宋_GB2312" w:eastAsia="仿宋_GB2312" w:cs="仿宋_GB2312"/>
                <w:color w:val="auto"/>
                <w:sz w:val="24"/>
                <w:szCs w:val="24"/>
                <w:highlight w:val="none"/>
                <w:lang w:eastAsia="zh-CN"/>
              </w:rPr>
              <w:t xml:space="preserve">光功率不低于</w:t>
            </w:r>
            <w:r>
              <w:rPr>
                <w:rFonts w:hint="eastAsia" w:ascii="仿宋_GB2312" w:hAnsi="仿宋_GB2312" w:eastAsia="仿宋_GB2312" w:cs="仿宋_GB2312"/>
                <w:color w:val="auto"/>
                <w:sz w:val="24"/>
                <w:szCs w:val="24"/>
                <w:highlight w:val="none"/>
              </w:rPr>
              <w:t xml:space="preserve">-15dBm。</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每条光纤专线业务两端发送和接收光功率应基本保持一致，两端接收光功率差值应小于1dBm。</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每条光纤专线业务每个跳纤点衰耗不应大于0.5dBm，且跳纤尾纤原则上不允许采用增加法兰头短纤用作长纤的方式。</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w:t>
            </w:r>
            <w:r/>
          </w:p>
        </w:tc>
        <w:tc>
          <w:tcPr>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每条光纤专线业务的吞吐量、丢包率、时延和抖动等指标测试均应符合承载业务要求。</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6</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▲在采购人规定的时限内完成</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电子政务外网IP地址规划、配置（包括编制所有接入单位IPV4的地址规划表，并配合做好各接入单位网络设备及业务终端的IPV4地址配置；IPV6地址规划表及各接入单位网络设备和业务终端的IPV6配置待上级明确统一规划和标准后，</w:t>
            </w:r>
            <w:r>
              <w:rPr>
                <w:rFonts w:hint="eastAsia" w:ascii="仿宋_GB2312" w:hAnsi="仿宋_GB2312" w:eastAsia="仿宋_GB2312" w:cs="仿宋_GB2312"/>
                <w:color w:val="auto"/>
                <w:sz w:val="24"/>
                <w:szCs w:val="24"/>
                <w:highlight w:val="none"/>
                <w:lang w:eastAsia="zh-CN"/>
              </w:rPr>
              <w:t xml:space="preserve">无偿配合采购人</w:t>
            </w:r>
            <w:r>
              <w:rPr>
                <w:rFonts w:hint="eastAsia" w:ascii="仿宋_GB2312" w:hAnsi="仿宋_GB2312" w:eastAsia="仿宋_GB2312" w:cs="仿宋_GB2312"/>
                <w:color w:val="auto"/>
                <w:sz w:val="24"/>
                <w:szCs w:val="24"/>
                <w:highlight w:val="none"/>
              </w:rPr>
              <w:t xml:space="preserve">完成；服务期内省市</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IP规划调整的，</w:t>
            </w:r>
            <w:r>
              <w:rPr>
                <w:rFonts w:hint="eastAsia" w:ascii="仿宋_GB2312" w:hAnsi="仿宋_GB2312" w:eastAsia="仿宋_GB2312" w:cs="仿宋_GB2312"/>
                <w:color w:val="auto"/>
                <w:sz w:val="24"/>
                <w:szCs w:val="24"/>
                <w:highlight w:val="none"/>
                <w:lang w:eastAsia="zh-CN"/>
              </w:rPr>
              <w:t xml:space="preserve">无偿配合采购人</w:t>
            </w:r>
            <w:r>
              <w:rPr>
                <w:rFonts w:hint="eastAsia" w:ascii="仿宋_GB2312" w:hAnsi="仿宋_GB2312" w:eastAsia="仿宋_GB2312" w:cs="仿宋_GB2312"/>
                <w:color w:val="auto"/>
                <w:sz w:val="24"/>
                <w:szCs w:val="24"/>
                <w:highlight w:val="none"/>
              </w:rPr>
              <w:t xml:space="preserve">完成），确保所有设备符合要求，100%接入</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电子政务外网，与省市电子政务外网互联互通。（</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7</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 xml:space="preserve">所有</w:t>
            </w:r>
            <w:r>
              <w:rPr>
                <w:rFonts w:hint="eastAsia" w:ascii="仿宋_GB2312" w:hAnsi="仿宋_GB2312" w:eastAsia="仿宋_GB2312" w:cs="仿宋_GB2312"/>
                <w:color w:val="auto"/>
                <w:sz w:val="24"/>
                <w:szCs w:val="24"/>
                <w:highlight w:val="none"/>
              </w:rPr>
              <w:t xml:space="preserve">线缆两端应附注标签，且符合国家及行业标准规范。</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8</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根据各级网络安全通报、等保测评建议，及时配合处置各部门接入网络设备和用户终端（PC等）安全风险漏洞或事件。</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9</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szCs w:val="24"/>
                <w:highlight w:val="none"/>
              </w:rPr>
              <w:t xml:space="preserve">▲针对2025年省、市、</w:t>
            </w:r>
            <w:r>
              <w:rPr>
                <w:rFonts w:hint="eastAsia" w:ascii="仿宋_GB2312" w:hAnsi="仿宋_GB2312" w:eastAsia="仿宋_GB2312" w:cs="仿宋_GB2312"/>
                <w:color w:val="auto"/>
                <w:sz w:val="24"/>
                <w:szCs w:val="24"/>
                <w:highlight w:val="none"/>
                <w:lang w:eastAsia="zh-CN"/>
              </w:rPr>
              <w:t xml:space="preserve">市</w:t>
            </w:r>
            <w:r>
              <w:rPr>
                <w:rFonts w:hint="eastAsia" w:ascii="仿宋_GB2312" w:hAnsi="仿宋_GB2312" w:eastAsia="仿宋_GB2312" w:cs="仿宋_GB2312"/>
                <w:color w:val="auto"/>
                <w:sz w:val="24"/>
                <w:szCs w:val="24"/>
                <w:highlight w:val="none"/>
              </w:rPr>
              <w:t xml:space="preserve">新一轮电子政务外网改造计划，</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在服务期内需根据相关标准规范和政策要求制定相关详细实施方案，并报采购人审核，并最终修改完善定稿，同时积极无偿配合采购人做好方案的落实与交付，包括但不限于网络规划、IP划分、配置变、线路布放或调整、平台对接、配套网络、终端接入设备调试、线路检测等工作。（</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需对全市行政村进行扎口出口，增加防火墙等安全设备，确保网络稳定安全。</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需提供承诺函加盖</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公章，</w:t>
            </w:r>
            <w:r>
              <w:rPr>
                <w:rFonts w:hint="eastAsia" w:ascii="仿宋_GB2312" w:hAnsi="仿宋_GB2312" w:eastAsia="仿宋_GB2312" w:cs="仿宋_GB2312"/>
                <w:color w:val="auto"/>
                <w:sz w:val="24"/>
                <w:szCs w:val="24"/>
                <w:highlight w:val="none"/>
                <w:lang w:eastAsia="zh-CN"/>
              </w:rPr>
              <w:t xml:space="preserve">扫描</w:t>
            </w:r>
            <w:r>
              <w:rPr>
                <w:rFonts w:hint="eastAsia" w:ascii="仿宋_GB2312" w:hAnsi="仿宋_GB2312" w:eastAsia="仿宋_GB2312" w:cs="仿宋_GB2312"/>
                <w:color w:val="auto"/>
                <w:sz w:val="24"/>
                <w:szCs w:val="24"/>
                <w:highlight w:val="none"/>
              </w:rPr>
              <w:t xml:space="preserve">上传）</w:t>
            </w:r>
            <w:r/>
          </w:p>
        </w:tc>
      </w:tr>
      <w:tr>
        <w:trPr>
          <w:jc w:val="center"/>
        </w:trPr>
        <w:tc>
          <w:tcPr>
            <w:tcW w:w="906"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11</w:t>
            </w:r>
            <w:r/>
          </w:p>
        </w:tc>
        <w:tc>
          <w:tcPr>
            <w:shd w:val="clear" w:color="auto" w:fill="auto"/>
            <w:tcW w:w="7871" w:type="dxa"/>
            <w:vAlign w:val="top"/>
            <w:textDirection w:val="lrTb"/>
            <w:noWrap w:val="false"/>
          </w:tcPr>
          <w:p>
            <w:pPr>
              <w:keepLines w:val="0"/>
              <w:keepNext w:val="0"/>
              <w:pageBreakBefore w:val="0"/>
              <w:spacing w:line="440" w:lineRule="exact"/>
              <w:widowControl w:val="off"/>
              <w:rPr>
                <w:rFonts w:hint="eastAsia" w:ascii="仿宋_GB2312" w:hAnsi="仿宋_GB2312" w:eastAsia="仿宋_GB2312" w:cs="仿宋_GB2312"/>
                <w:color w:val="auto"/>
                <w:sz w:val="24"/>
                <w:szCs w:val="24"/>
                <w:highlight w:val="yellow"/>
              </w:rPr>
            </w:pPr>
            <w:r>
              <w:rPr>
                <w:rFonts w:hint="eastAsia" w:ascii="仿宋_GB2312" w:hAnsi="仿宋_GB2312" w:eastAsia="仿宋_GB2312" w:cs="仿宋_GB2312"/>
                <w:color w:val="auto"/>
                <w:sz w:val="24"/>
                <w:szCs w:val="24"/>
              </w:rPr>
              <w:t xml:space="preserve">电子政务外网专线</w:t>
            </w:r>
            <w:r>
              <w:rPr>
                <w:rFonts w:hint="eastAsia" w:ascii="仿宋_GB2312" w:hAnsi="仿宋_GB2312" w:eastAsia="仿宋_GB2312" w:cs="仿宋_GB2312"/>
                <w:color w:val="auto"/>
                <w:sz w:val="24"/>
                <w:szCs w:val="24"/>
                <w:lang w:val="en-US" w:eastAsia="zh-CN"/>
              </w:rPr>
              <w:t xml:space="preserve">须和其他网络隔离</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lang w:val="en-US" w:eastAsia="zh-CN"/>
              </w:rPr>
              <w:t xml:space="preserve">符合</w:t>
            </w:r>
            <w:r>
              <w:rPr>
                <w:rFonts w:hint="eastAsia" w:ascii="仿宋_GB2312" w:hAnsi="仿宋_GB2312" w:eastAsia="仿宋_GB2312" w:cs="仿宋_GB2312"/>
                <w:color w:val="auto"/>
                <w:sz w:val="24"/>
                <w:szCs w:val="24"/>
              </w:rPr>
              <w:t xml:space="preserve">《江苏省电子政务外网管理办法（试行）》</w:t>
            </w:r>
            <w:r>
              <w:rPr>
                <w:rFonts w:hint="eastAsia" w:ascii="仿宋_GB2312" w:hAnsi="仿宋_GB2312" w:eastAsia="仿宋_GB2312" w:cs="仿宋_GB2312"/>
                <w:color w:val="auto"/>
                <w:sz w:val="24"/>
                <w:szCs w:val="24"/>
                <w:lang w:val="en-US" w:eastAsia="zh-CN"/>
              </w:rPr>
              <w:t xml:space="preserve">安全要求</w:t>
            </w:r>
            <w:r>
              <w:rPr>
                <w:rFonts w:hint="eastAsia" w:ascii="仿宋_GB2312" w:hAnsi="仿宋_GB2312" w:eastAsia="仿宋_GB2312" w:cs="仿宋_GB2312"/>
                <w:color w:val="auto"/>
                <w:sz w:val="24"/>
                <w:szCs w:val="24"/>
              </w:rPr>
              <w:t xml:space="preserve">。（投标人需提供承诺函加盖投标人公章，原件扫描上传）</w:t>
            </w:r>
            <w:r/>
          </w:p>
        </w:tc>
      </w:tr>
    </w:tbl>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▲供应商需对如下内容作出承诺</w:t>
      </w:r>
      <w:r>
        <w:rPr>
          <w:rFonts w:hint="eastAsia" w:ascii="仿宋_GB2312" w:hAnsi="仿宋_GB2312" w:eastAsia="仿宋_GB2312" w:cs="仿宋_GB2312"/>
          <w:color w:val="auto"/>
          <w:sz w:val="28"/>
          <w:szCs w:val="28"/>
          <w:highlight w:val="none"/>
        </w:rPr>
        <w:t xml:space="preserve">：在项目实施过程中，遇到接入单位办公场所变动、线路带宽调整、相应点位合署办公或机构撤并等情形，</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需按照采购人要求开通或调试接入点位，确保成功接入电子政务外网。同时，</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应全力配合采购人开展各项网络安全工作，包含但不限于网络安全基础设施安装部署、网络安全运营保障等相关事宜。</w:t>
      </w:r>
      <w:r>
        <w:rPr>
          <w:rFonts w:hint="eastAsia" w:ascii="仿宋_GB2312" w:hAnsi="仿宋_GB2312" w:eastAsia="仿宋_GB2312" w:cs="仿宋_GB2312"/>
          <w:color w:val="auto"/>
          <w:sz w:val="28"/>
          <w:szCs w:val="28"/>
          <w:highlight w:val="none"/>
          <w:lang w:eastAsia="zh-CN"/>
        </w:rPr>
        <w:t xml:space="preserve">（投标文件中提供承诺</w:t>
      </w:r>
      <w:r>
        <w:rPr>
          <w:rFonts w:hint="eastAsia" w:ascii="仿宋_GB2312" w:hAnsi="仿宋_GB2312" w:eastAsia="仿宋_GB2312" w:cs="仿宋_GB2312"/>
          <w:color w:val="auto"/>
          <w:sz w:val="28"/>
          <w:szCs w:val="28"/>
          <w:highlight w:val="none"/>
          <w:lang w:val="en-US" w:eastAsia="zh-CN"/>
        </w:rPr>
        <w:t xml:space="preserve">函加盖供应商公章</w:t>
      </w:r>
      <w:r>
        <w:rPr>
          <w:rFonts w:hint="eastAsia" w:ascii="仿宋_GB2312" w:hAnsi="仿宋_GB2312" w:eastAsia="仿宋_GB2312" w:cs="仿宋_GB2312"/>
          <w:color w:val="auto"/>
          <w:sz w:val="28"/>
          <w:szCs w:val="28"/>
          <w:highlight w:val="none"/>
          <w:lang w:eastAsia="zh-CN"/>
        </w:rPr>
        <w:t xml:space="preserve">，格式自拟。）</w:t>
      </w:r>
      <w:r/>
    </w:p>
    <w:p>
      <w:pPr>
        <w:ind w:firstLine="560"/>
        <w:keepLines w:val="0"/>
        <w:keepNext w:val="0"/>
        <w:pageBreakBefore w:val="0"/>
        <w:spacing w:line="52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五、安全运维服务要求</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1.1</w:t>
      </w:r>
      <w:r>
        <w:rPr>
          <w:rFonts w:hint="eastAsia" w:ascii="仿宋_GB2312" w:hAnsi="仿宋_GB2312" w:eastAsia="仿宋_GB2312" w:cs="仿宋_GB2312"/>
          <w:b/>
          <w:bCs/>
          <w:color w:val="auto"/>
          <w:sz w:val="28"/>
          <w:szCs w:val="28"/>
          <w:highlight w:val="none"/>
        </w:rPr>
        <w:t xml:space="preserve">总体服务要求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（1）成立运维服务项目团队，并指定一名专职的项目经理协调沟通与调度。</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（2）提供日常事件管理、应急事件管理、问题管理和变更管理等相应的处理流程、机制，并应符合IT服务管理标准。</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w:t>
      </w:r>
      <w:r>
        <w:rPr>
          <w:rFonts w:hint="eastAsia" w:ascii="仿宋_GB2312" w:hAnsi="仿宋_GB2312" w:eastAsia="仿宋_GB2312" w:cs="仿宋_GB2312"/>
          <w:color w:val="auto"/>
          <w:sz w:val="28"/>
          <w:szCs w:val="28"/>
          <w:highlight w:val="none"/>
          <w:lang w:val="en-US" w:eastAsia="zh-CN" w:bidi="ar-SA"/>
        </w:rPr>
        <w:t xml:space="preserve">供应商</w:t>
      </w:r>
      <w:r>
        <w:rPr>
          <w:rFonts w:hint="eastAsia" w:ascii="仿宋_GB2312" w:hAnsi="仿宋_GB2312" w:eastAsia="仿宋_GB2312" w:cs="仿宋_GB2312"/>
          <w:color w:val="auto"/>
          <w:sz w:val="28"/>
          <w:szCs w:val="28"/>
          <w:highlight w:val="none"/>
        </w:rPr>
        <w:t xml:space="preserve">应承诺提供7×24全天候技术支持响应，设立7×24技术支持热线电话，提供7×24不间断链路监控。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（4）根据用户业务不同，提供不同的业务受理服务，投标方应提供完善的业务受理流程。</w:t>
      </w:r>
      <w:r/>
    </w:p>
    <w:p>
      <w:pPr>
        <w:pStyle w:val="1137"/>
        <w:ind w:firstLine="480"/>
        <w:keepLines w:val="0"/>
        <w:keepNext w:val="0"/>
        <w:pageBreakBefore w:val="0"/>
        <w:spacing w:after="0" w:line="52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lang w:eastAsia="zh-CN"/>
        </w:rPr>
        <w:t xml:space="preserve">）本次</w:t>
      </w:r>
      <w:r>
        <w:rPr>
          <w:rFonts w:hint="eastAsia" w:ascii="仿宋_GB2312" w:hAnsi="仿宋_GB2312" w:eastAsia="仿宋_GB2312" w:cs="仿宋_GB2312"/>
          <w:color w:val="auto"/>
          <w:sz w:val="28"/>
          <w:szCs w:val="28"/>
          <w:highlight w:val="none"/>
          <w:lang w:val="en-US" w:eastAsia="zh-CN"/>
        </w:rPr>
        <w:t xml:space="preserve">磋商</w:t>
      </w:r>
      <w:r>
        <w:rPr>
          <w:rFonts w:hint="eastAsia" w:ascii="仿宋_GB2312" w:hAnsi="仿宋_GB2312" w:eastAsia="仿宋_GB2312" w:cs="仿宋_GB2312"/>
          <w:color w:val="auto"/>
          <w:sz w:val="28"/>
          <w:szCs w:val="28"/>
          <w:highlight w:val="none"/>
          <w:lang w:eastAsia="zh-CN"/>
        </w:rPr>
        <w:t xml:space="preserve">所涉电子政务外网线路需满足省电子政务外网新建要求，除提供专线外还需提供配套</w:t>
      </w:r>
      <w:r>
        <w:rPr>
          <w:rFonts w:hint="eastAsia" w:ascii="仿宋_GB2312" w:hAnsi="仿宋_GB2312" w:eastAsia="仿宋_GB2312" w:cs="仿宋_GB2312"/>
          <w:color w:val="auto"/>
          <w:sz w:val="28"/>
          <w:szCs w:val="28"/>
          <w:highlight w:val="none"/>
          <w:lang w:val="en-US" w:eastAsia="zh-CN"/>
        </w:rPr>
        <w:t xml:space="preserve">接入</w:t>
      </w:r>
      <w:r>
        <w:rPr>
          <w:rFonts w:hint="eastAsia" w:ascii="仿宋_GB2312" w:hAnsi="仿宋_GB2312" w:eastAsia="仿宋_GB2312" w:cs="仿宋_GB2312"/>
          <w:color w:val="auto"/>
          <w:sz w:val="28"/>
          <w:szCs w:val="28"/>
          <w:highlight w:val="none"/>
          <w:lang w:eastAsia="zh-CN"/>
        </w:rPr>
        <w:t xml:space="preserve">设备（部署于用户端，非ONU设备），设备能够直接被SDN平台纳管，并完成省、市数据局关于电子政务外网相关信息上报的要求。路由设备性能和功能均须能够满足用户侧日常访问电子政务外网的需求。</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（6）中标供应商须积极配合采购人开展电子政务外网安全评估和管理等相关工作。</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（7）本项目所涉及的相关设备应满足国产技术路线及信创要求。</w:t>
      </w:r>
      <w:r/>
    </w:p>
    <w:p>
      <w:pPr>
        <w:ind w:firstLine="48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8）对于磋商要求未尽事宜，按照《关于加强全省“一张网”高质量建设管理有关工作的通知（苏数发〔2025〕42）》《江苏省新一代电子政务外网固定网络省市对接标准》《江苏省新一代电子政务外网建设指南》等相关规范要求执行。</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w:t>
      </w:r>
      <w:r>
        <w:rPr>
          <w:rFonts w:hint="eastAsia" w:ascii="仿宋_GB2312" w:hAnsi="仿宋_GB2312" w:eastAsia="仿宋_GB2312" w:cs="仿宋_GB2312"/>
          <w:b/>
          <w:bCs/>
          <w:color w:val="auto"/>
          <w:sz w:val="28"/>
          <w:szCs w:val="28"/>
          <w:highlight w:val="none"/>
        </w:rPr>
        <w:t xml:space="preserve">.</w:t>
      </w:r>
      <w:r>
        <w:rPr>
          <w:rFonts w:hint="eastAsia" w:ascii="仿宋_GB2312" w:hAnsi="仿宋_GB2312" w:eastAsia="仿宋_GB2312" w:cs="仿宋_GB2312"/>
          <w:b/>
          <w:bCs/>
          <w:color w:val="auto"/>
          <w:sz w:val="28"/>
          <w:szCs w:val="28"/>
          <w:highlight w:val="none"/>
          <w:lang w:val="en-US" w:eastAsia="zh-CN"/>
        </w:rPr>
        <w:t xml:space="preserve">2</w:t>
      </w:r>
      <w:r>
        <w:rPr>
          <w:rFonts w:hint="eastAsia" w:ascii="仿宋_GB2312" w:hAnsi="仿宋_GB2312" w:eastAsia="仿宋_GB2312" w:cs="仿宋_GB2312"/>
          <w:b/>
          <w:bCs/>
          <w:color w:val="auto"/>
          <w:sz w:val="28"/>
          <w:szCs w:val="28"/>
          <w:highlight w:val="none"/>
        </w:rPr>
        <w:t xml:space="preserve">运维管理要求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（1）满足用户接入需求，</w:t>
      </w:r>
      <w:r>
        <w:rPr>
          <w:rFonts w:hint="eastAsia" w:ascii="仿宋_GB2312" w:hAnsi="仿宋_GB2312" w:eastAsia="仿宋_GB2312" w:cs="仿宋_GB2312"/>
          <w:color w:val="auto"/>
          <w:sz w:val="28"/>
          <w:szCs w:val="28"/>
          <w:highlight w:val="none"/>
          <w:lang w:val="en-US" w:eastAsia="zh-CN"/>
        </w:rPr>
        <w:t xml:space="preserve">30</w:t>
      </w:r>
      <w:r>
        <w:rPr>
          <w:rFonts w:hint="eastAsia" w:ascii="仿宋_GB2312" w:hAnsi="仿宋_GB2312" w:eastAsia="仿宋_GB2312" w:cs="仿宋_GB2312"/>
          <w:color w:val="auto"/>
          <w:sz w:val="28"/>
          <w:szCs w:val="28"/>
          <w:highlight w:val="none"/>
        </w:rPr>
        <w:t xml:space="preserve">个工作日内完成用户光纤链路接入、链路拆改迁、链路升级工作、IP地址分配、数据规划配置和设备安装调试工作。重点工作任务和临时性任务按采购人要求时限完成。</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（2）定期完成重要用户接入设备的巡检及参数的备份工作，按采购人要求做好链路流量和运行状态的监控。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网络设备软件升级、线路割接、设备更换和检修等需要中断通信时，必须提前5天向采购人申请，内容包括中断原因、地点、设备、时间、影响用户范围以及完整的实施方案，待批准后实施。实施48小时前告知所涉及的用户。</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做好重大活动期间的网络保障工作，做好各种保障方案预案，并严格落实。对重点链路要在活动保障前3天做好链路检测工作，查找风险并防范，同时在活动保障间加强重要部位的现场值守及重点链路的监控。</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（5）配合建立接入用户满意度测评指标体系及满意度调查。</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（6）建立详细完备的用户维护资料、线路档案和运行维护档案。</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（7）按照运维服务技术要求，做好年度运维工作方案。同时，根据年度运维工作实际及业务实际需求，做好规划工作。</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（8）按需召开运维例会，</w:t>
      </w:r>
      <w:r>
        <w:rPr>
          <w:rFonts w:hint="eastAsia" w:ascii="仿宋_GB2312" w:hAnsi="仿宋_GB2312" w:eastAsia="仿宋_GB2312" w:cs="仿宋_GB2312"/>
          <w:color w:val="auto"/>
          <w:sz w:val="28"/>
          <w:szCs w:val="28"/>
          <w:highlight w:val="none"/>
          <w:lang w:eastAsia="zh-CN"/>
        </w:rPr>
        <w:t xml:space="preserve">按季度提供</w:t>
      </w:r>
      <w:r>
        <w:rPr>
          <w:rFonts w:hint="eastAsia" w:ascii="仿宋_GB2312" w:hAnsi="仿宋_GB2312" w:eastAsia="仿宋_GB2312" w:cs="仿宋_GB2312"/>
          <w:color w:val="auto"/>
          <w:sz w:val="28"/>
          <w:szCs w:val="28"/>
          <w:highlight w:val="none"/>
        </w:rPr>
        <w:t xml:space="preserve">运行维护报告。</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1.3</w:t>
      </w:r>
      <w:r>
        <w:rPr>
          <w:rFonts w:hint="eastAsia" w:ascii="仿宋_GB2312" w:hAnsi="仿宋_GB2312" w:eastAsia="仿宋_GB2312" w:cs="仿宋_GB2312"/>
          <w:b/>
          <w:bCs/>
          <w:color w:val="auto"/>
          <w:sz w:val="28"/>
          <w:szCs w:val="28"/>
          <w:highlight w:val="none"/>
        </w:rPr>
        <w:t xml:space="preserve">故障处理要求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故障响应率（指统计周期内，故障响应回复次数/故障申告次数×100%，统计周期为1年）达到100%；故障恢复率（指统计周期内，恢复的故障次数/故障总次数×100%，统计周期为1年）达到100%；故障恢复及时率（指针对节点故障，及时恢复的故障次数/故障总次数×100%，统计周期为1年）达到95%。</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（2）提供完善故障处理流程及反馈制度，及时处理和恢复故障，并进行总结分析，制定故障预防措施。出现重大故障，及时启动应急预案，事后将应急预案执行情况报告、重大故障处理报告上报采购人备案。</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（3）在所提供的汇聚设备发生持续10分钟以上的中断时，在30分钟之内通知所影响的用户，并给出初步的故障判断报告，故障应在2小时内排除。</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1.4</w:t>
      </w:r>
      <w:r>
        <w:rPr>
          <w:rFonts w:hint="eastAsia" w:ascii="仿宋_GB2312" w:hAnsi="仿宋_GB2312" w:eastAsia="仿宋_GB2312" w:cs="仿宋_GB2312"/>
          <w:b/>
          <w:bCs/>
          <w:color w:val="auto"/>
          <w:sz w:val="28"/>
          <w:szCs w:val="28"/>
          <w:highlight w:val="none"/>
        </w:rPr>
        <w:t xml:space="preserve">备品备件要求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提供接入层各类接入设备备件，备品率不低于在线运行设备的5%。</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1.5</w:t>
      </w:r>
      <w:r>
        <w:rPr>
          <w:rFonts w:hint="eastAsia" w:ascii="仿宋_GB2312" w:hAnsi="仿宋_GB2312" w:eastAsia="仿宋_GB2312" w:cs="仿宋_GB2312"/>
          <w:b/>
          <w:bCs/>
          <w:color w:val="auto"/>
          <w:sz w:val="28"/>
          <w:szCs w:val="28"/>
          <w:highlight w:val="none"/>
        </w:rPr>
        <w:t xml:space="preserve">应急工作要求</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（1）完善的应急预案体系。实行用户分级管理，确保突发事件和重要时期的链路畅通。</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（2）完善的重大故障解决方案。网络重要设备出现故障时及时更换。故障排除后，提交重大故障处置报告。</w:t>
      </w:r>
      <w:r/>
    </w:p>
    <w:p>
      <w:pPr>
        <w:ind w:firstLine="48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提交应急预案。预案应包含值班安排、人员安排、车辆安排、备品备件安排、事件处置预案、信息报送等内容。制定合理、可行的应急演练方案，并做好重要用户链路故障应急演练，检验故障处理能力及相关信息报送流程。演练结束后总结经验，编制总结报告，提交采购人。</w:t>
      </w:r>
      <w:r/>
    </w:p>
    <w:p>
      <w:pPr>
        <w:ind w:firstLine="480"/>
        <w:jc w:val="left"/>
        <w:keepLines w:val="0"/>
        <w:keepNext w:val="0"/>
        <w:pageBreakBefore w:val="0"/>
        <w:spacing w:line="520" w:lineRule="exact"/>
        <w:widowControl/>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1.6线路接入要求</w:t>
      </w:r>
      <w:r/>
    </w:p>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本项目涉及的电子政务外网线路覆盖兴化市所有行政村，均采用50M线路接入。具体接入点位、数量及带宽标准以采购人实际需求为准。</w:t>
      </w:r>
      <w:r/>
    </w:p>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b/>
          <w:bCs/>
          <w:color w:val="auto"/>
          <w:sz w:val="28"/>
          <w:szCs w:val="28"/>
          <w:highlight w:val="none"/>
          <w:lang w:val="en-US" w:eastAsia="zh-CN" w:bidi="ar-SA"/>
        </w:rPr>
        <w:t xml:space="preserve">特别说明：</w:t>
      </w:r>
      <w:r>
        <w:rPr>
          <w:rFonts w:hint="eastAsia" w:ascii="仿宋_GB2312" w:hAnsi="仿宋_GB2312" w:eastAsia="仿宋_GB2312" w:cs="仿宋_GB2312"/>
          <w:color w:val="auto"/>
          <w:sz w:val="28"/>
          <w:szCs w:val="28"/>
          <w:highlight w:val="none"/>
          <w:lang w:val="en-US" w:eastAsia="zh-CN" w:bidi="ar-SA"/>
        </w:rPr>
        <w:t xml:space="preserve">在项目服务期内，采购人有权根据网络规划、场地调整、合并办公等实际情况，对上述预估数量进行不超过±8%的调整。供应商在进行报价时，应充分考虑此项因素，将±8%范围内的数量浮动风险纳入总价考量。在此调整范围内，无论最终实际开通的线路数量较预估数量增加或减少，合同总价均不作调整。</w:t>
      </w:r>
      <w:r/>
    </w:p>
    <w:p>
      <w:pPr>
        <w:ind w:firstLine="482"/>
        <w:jc w:val="left"/>
        <w:keepLines w:val="0"/>
        <w:keepNext w:val="0"/>
        <w:pageBreakBefore w:val="0"/>
        <w:spacing w:after="181" w:line="520" w:lineRule="exact"/>
        <w:widowControl/>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1.7电子政务外网安全服务考核要求</w:t>
      </w:r>
      <w:r/>
    </w:p>
    <w:tbl>
      <w:tblPr>
        <w:tblStyle w:val="1139"/>
        <w:tblW w:w="92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290"/>
        <w:gridCol w:w="5287"/>
        <w:gridCol w:w="678"/>
        <w:gridCol w:w="1296"/>
      </w:tblGrid>
      <w:tr>
        <w:trPr>
          <w:jc w:val="center"/>
          <w:trHeight w:val="622"/>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lang w:eastAsia="zh-CN"/>
              </w:rPr>
            </w:pPr>
            <w:r>
              <w:rPr>
                <w:rFonts w:hint="eastAsia" w:ascii="仿宋_GB2312" w:hAnsi="仿宋_GB2312" w:eastAsia="仿宋_GB2312" w:cs="仿宋_GB2312"/>
                <w:b/>
                <w:bCs/>
                <w:color w:val="auto"/>
                <w:spacing w:val="-5"/>
                <w:sz w:val="24"/>
                <w:szCs w:val="24"/>
                <w:highlight w:val="none"/>
                <w:lang w:eastAsia="zh-CN"/>
              </w:rPr>
              <w:t xml:space="preserve">序号</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rPr>
            </w:pPr>
            <w:r>
              <w:rPr>
                <w:rFonts w:hint="eastAsia" w:ascii="仿宋_GB2312" w:hAnsi="仿宋_GB2312" w:eastAsia="仿宋_GB2312" w:cs="仿宋_GB2312"/>
                <w:b/>
                <w:bCs/>
                <w:color w:val="auto"/>
                <w:spacing w:val="-5"/>
                <w:sz w:val="24"/>
                <w:szCs w:val="24"/>
                <w:highlight w:val="none"/>
              </w:rPr>
              <w:t xml:space="preserve">服务项</w:t>
            </w:r>
            <w:r/>
          </w:p>
        </w:tc>
        <w:tc>
          <w:tcPr>
            <w:tcW w:w="5287"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rPr>
            </w:pPr>
            <w:r>
              <w:rPr>
                <w:rFonts w:hint="eastAsia" w:ascii="仿宋_GB2312" w:hAnsi="仿宋_GB2312" w:eastAsia="仿宋_GB2312" w:cs="仿宋_GB2312"/>
                <w:b/>
                <w:bCs/>
                <w:color w:val="auto"/>
                <w:spacing w:val="-5"/>
                <w:sz w:val="24"/>
                <w:szCs w:val="24"/>
                <w:highlight w:val="none"/>
              </w:rPr>
              <w:t xml:space="preserve">服务内容</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pacing w:val="-5"/>
                <w:sz w:val="24"/>
                <w:szCs w:val="24"/>
                <w:highlight w:val="none"/>
                <w:lang w:val="en-US" w:eastAsia="zh-CN"/>
              </w:rPr>
            </w:pPr>
            <w:r>
              <w:rPr>
                <w:rFonts w:hint="eastAsia" w:ascii="仿宋_GB2312" w:hAnsi="仿宋_GB2312" w:eastAsia="仿宋_GB2312" w:cs="仿宋_GB2312"/>
                <w:b/>
                <w:bCs/>
                <w:color w:val="auto"/>
                <w:spacing w:val="-5"/>
                <w:sz w:val="24"/>
                <w:szCs w:val="24"/>
                <w:highlight w:val="none"/>
                <w:lang w:val="en-US" w:eastAsia="zh-CN"/>
              </w:rPr>
              <w:t xml:space="preserve">分值</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pacing w:val="-5"/>
                <w:sz w:val="24"/>
                <w:szCs w:val="24"/>
                <w:highlight w:val="none"/>
              </w:rPr>
              <w:t xml:space="preserve">服务周期</w:t>
            </w:r>
            <w:r/>
          </w:p>
        </w:tc>
      </w:tr>
      <w:tr>
        <w:trPr>
          <w:jc w:val="center"/>
          <w:trHeight w:val="1776"/>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1</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漏洞扫描</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利用漏洞扫描评估工具采取远程或现场的方式对评估目标范围内对象进行漏洞扫描，并验证所发现的web</w:t>
            </w:r>
            <w:r>
              <w:rPr>
                <w:rFonts w:hint="eastAsia" w:ascii="仿宋_GB2312" w:hAnsi="仿宋_GB2312" w:eastAsia="仿宋_GB2312" w:cs="仿宋_GB2312"/>
                <w:b w:val="0"/>
                <w:bCs w:val="0"/>
                <w:color w:val="auto"/>
                <w:spacing w:val="-3"/>
                <w:sz w:val="24"/>
                <w:szCs w:val="24"/>
                <w:highlight w:val="none"/>
              </w:rPr>
              <w:t xml:space="preserve">应用漏</w:t>
            </w:r>
            <w:r>
              <w:rPr>
                <w:rFonts w:hint="eastAsia" w:ascii="仿宋_GB2312" w:hAnsi="仿宋_GB2312" w:eastAsia="仿宋_GB2312" w:cs="仿宋_GB2312"/>
                <w:b w:val="0"/>
                <w:bCs w:val="0"/>
                <w:color w:val="auto"/>
                <w:spacing w:val="-5"/>
                <w:sz w:val="24"/>
                <w:szCs w:val="24"/>
                <w:highlight w:val="none"/>
              </w:rPr>
              <w:t xml:space="preserve">洞、主机操作系统漏洞、数据库漏洞、逻辑缺陷、弱</w:t>
            </w:r>
            <w:r>
              <w:rPr>
                <w:rFonts w:hint="eastAsia" w:ascii="仿宋_GB2312" w:hAnsi="仿宋_GB2312" w:eastAsia="仿宋_GB2312" w:cs="仿宋_GB2312"/>
                <w:b w:val="0"/>
                <w:bCs w:val="0"/>
                <w:color w:val="auto"/>
                <w:spacing w:val="-38"/>
                <w:sz w:val="24"/>
                <w:szCs w:val="24"/>
                <w:highlight w:val="none"/>
              </w:rPr>
              <w:t xml:space="preserve"> </w:t>
            </w:r>
            <w:r>
              <w:rPr>
                <w:rFonts w:hint="eastAsia" w:ascii="仿宋_GB2312" w:hAnsi="仿宋_GB2312" w:eastAsia="仿宋_GB2312" w:cs="仿宋_GB2312"/>
                <w:b w:val="0"/>
                <w:bCs w:val="0"/>
                <w:color w:val="auto"/>
                <w:spacing w:val="-5"/>
                <w:sz w:val="24"/>
                <w:szCs w:val="24"/>
                <w:highlight w:val="none"/>
              </w:rPr>
              <w:t xml:space="preserve">口</w:t>
            </w:r>
            <w:r>
              <w:rPr>
                <w:rFonts w:hint="eastAsia" w:ascii="仿宋_GB2312" w:hAnsi="仿宋_GB2312" w:eastAsia="仿宋_GB2312" w:cs="仿宋_GB2312"/>
                <w:b w:val="0"/>
                <w:bCs w:val="0"/>
                <w:color w:val="auto"/>
                <w:spacing w:val="-2"/>
                <w:sz w:val="24"/>
                <w:szCs w:val="24"/>
                <w:highlight w:val="none"/>
              </w:rPr>
              <w:t xml:space="preserve">令、信息泄露及配置不当等脆弱性问题，发现潜在的脆弱点。每月5日前向电子政务中心提交当月扫描报</w:t>
            </w:r>
            <w:r>
              <w:rPr>
                <w:rFonts w:hint="eastAsia" w:ascii="仿宋_GB2312" w:hAnsi="仿宋_GB2312" w:eastAsia="仿宋_GB2312" w:cs="仿宋_GB2312"/>
                <w:b w:val="0"/>
                <w:bCs w:val="0"/>
                <w:color w:val="auto"/>
                <w:spacing w:val="-3"/>
                <w:sz w:val="24"/>
                <w:szCs w:val="24"/>
                <w:highlight w:val="none"/>
              </w:rPr>
              <w:t xml:space="preserve">告并处</w:t>
            </w:r>
            <w:r>
              <w:rPr>
                <w:rFonts w:hint="eastAsia" w:ascii="仿宋_GB2312" w:hAnsi="仿宋_GB2312" w:eastAsia="仿宋_GB2312" w:cs="仿宋_GB2312"/>
                <w:b w:val="0"/>
                <w:bCs w:val="0"/>
                <w:color w:val="auto"/>
                <w:spacing w:val="-9"/>
                <w:sz w:val="24"/>
                <w:szCs w:val="24"/>
                <w:highlight w:val="none"/>
              </w:rPr>
              <w:t xml:space="preserve">理。</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1次/月</w:t>
            </w:r>
            <w:r/>
          </w:p>
        </w:tc>
      </w:tr>
      <w:tr>
        <w:trPr>
          <w:jc w:val="center"/>
          <w:trHeight w:val="1256"/>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2</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渗透测试</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模拟黑客入侵的方式对服务目标系统进行模拟入侵测试，主要评估目标系统是否存在SQL注入、跨站脚本</w:t>
            </w:r>
            <w:r>
              <w:rPr>
                <w:rFonts w:hint="eastAsia" w:ascii="仿宋_GB2312" w:hAnsi="仿宋_GB2312" w:eastAsia="仿宋_GB2312" w:cs="仿宋_GB2312"/>
                <w:b w:val="0"/>
                <w:bCs w:val="0"/>
                <w:color w:val="auto"/>
                <w:spacing w:val="-3"/>
                <w:sz w:val="24"/>
                <w:szCs w:val="24"/>
                <w:highlight w:val="none"/>
              </w:rPr>
              <w:t xml:space="preserve">、跨站伪</w:t>
            </w:r>
            <w:r>
              <w:rPr>
                <w:rFonts w:hint="eastAsia" w:ascii="仿宋_GB2312" w:hAnsi="仿宋_GB2312" w:eastAsia="仿宋_GB2312" w:cs="仿宋_GB2312"/>
                <w:b w:val="0"/>
                <w:bCs w:val="0"/>
                <w:color w:val="auto"/>
                <w:spacing w:val="-5"/>
                <w:sz w:val="24"/>
                <w:szCs w:val="24"/>
                <w:highlight w:val="none"/>
              </w:rPr>
              <w:t xml:space="preserve">造请求、认证会话管理、弱</w:t>
            </w:r>
            <w:r>
              <w:rPr>
                <w:rFonts w:hint="eastAsia" w:ascii="仿宋_GB2312" w:hAnsi="仿宋_GB2312" w:eastAsia="仿宋_GB2312" w:cs="仿宋_GB2312"/>
                <w:b w:val="0"/>
                <w:bCs w:val="0"/>
                <w:color w:val="auto"/>
                <w:spacing w:val="-39"/>
                <w:sz w:val="24"/>
                <w:szCs w:val="24"/>
                <w:highlight w:val="none"/>
              </w:rPr>
              <w:t xml:space="preserve"> </w:t>
            </w:r>
            <w:r>
              <w:rPr>
                <w:rFonts w:hint="eastAsia" w:ascii="仿宋_GB2312" w:hAnsi="仿宋_GB2312" w:eastAsia="仿宋_GB2312" w:cs="仿宋_GB2312"/>
                <w:b w:val="0"/>
                <w:bCs w:val="0"/>
                <w:color w:val="auto"/>
                <w:spacing w:val="-5"/>
                <w:sz w:val="24"/>
                <w:szCs w:val="24"/>
                <w:highlight w:val="none"/>
              </w:rPr>
              <w:t xml:space="preserve">口令、信息加密性、文件包</w:t>
            </w:r>
            <w:r>
              <w:rPr>
                <w:rFonts w:hint="eastAsia" w:ascii="仿宋_GB2312" w:hAnsi="仿宋_GB2312" w:eastAsia="仿宋_GB2312" w:cs="仿宋_GB2312"/>
                <w:b w:val="0"/>
                <w:bCs w:val="0"/>
                <w:color w:val="auto"/>
                <w:sz w:val="24"/>
                <w:szCs w:val="24"/>
                <w:highlight w:val="none"/>
              </w:rPr>
              <w:t xml:space="preserve"> </w:t>
            </w:r>
            <w:r>
              <w:rPr>
                <w:rFonts w:hint="eastAsia" w:ascii="仿宋_GB2312" w:hAnsi="仿宋_GB2312" w:eastAsia="仿宋_GB2312" w:cs="仿宋_GB2312"/>
                <w:b w:val="0"/>
                <w:bCs w:val="0"/>
                <w:color w:val="auto"/>
                <w:spacing w:val="-4"/>
                <w:sz w:val="24"/>
                <w:szCs w:val="24"/>
                <w:highlight w:val="none"/>
              </w:rPr>
              <w:t xml:space="preserve">含、</w:t>
            </w:r>
            <w:r>
              <w:rPr>
                <w:rFonts w:hint="eastAsia" w:ascii="仿宋_GB2312" w:hAnsi="仿宋_GB2312" w:eastAsia="仿宋_GB2312" w:cs="仿宋_GB2312"/>
                <w:b w:val="0"/>
                <w:bCs w:val="0"/>
                <w:color w:val="auto"/>
                <w:spacing w:val="-56"/>
                <w:sz w:val="24"/>
                <w:szCs w:val="24"/>
                <w:highlight w:val="none"/>
              </w:rPr>
              <w:t xml:space="preserve"> </w:t>
            </w:r>
            <w:r>
              <w:rPr>
                <w:rFonts w:hint="eastAsia" w:ascii="仿宋_GB2312" w:hAnsi="仿宋_GB2312" w:eastAsia="仿宋_GB2312" w:cs="仿宋_GB2312"/>
                <w:b w:val="0"/>
                <w:bCs w:val="0"/>
                <w:color w:val="auto"/>
                <w:spacing w:val="-4"/>
                <w:sz w:val="24"/>
                <w:szCs w:val="24"/>
                <w:highlight w:val="none"/>
              </w:rPr>
              <w:t xml:space="preserve">目录浏览、不安全的跳转、溢出、上传、</w:t>
            </w:r>
            <w:r>
              <w:rPr>
                <w:rFonts w:hint="eastAsia" w:ascii="仿宋_GB2312" w:hAnsi="仿宋_GB2312" w:eastAsia="仿宋_GB2312" w:cs="仿宋_GB2312"/>
                <w:b w:val="0"/>
                <w:bCs w:val="0"/>
                <w:color w:val="auto"/>
                <w:spacing w:val="-5"/>
                <w:sz w:val="24"/>
                <w:szCs w:val="24"/>
                <w:highlight w:val="none"/>
              </w:rPr>
              <w:t xml:space="preserve">不安全的数</w:t>
            </w:r>
            <w:r>
              <w:rPr>
                <w:rFonts w:hint="eastAsia" w:ascii="仿宋_GB2312" w:hAnsi="仿宋_GB2312" w:eastAsia="仿宋_GB2312" w:cs="仿宋_GB2312"/>
                <w:b w:val="0"/>
                <w:bCs w:val="0"/>
                <w:color w:val="auto"/>
                <w:spacing w:val="-2"/>
                <w:sz w:val="24"/>
                <w:szCs w:val="24"/>
                <w:highlight w:val="none"/>
              </w:rPr>
              <w:t xml:space="preserve">据传输、未授权的访问等脆弱性问题,识别服务目</w:t>
            </w:r>
            <w:r>
              <w:rPr>
                <w:rFonts w:hint="eastAsia" w:ascii="仿宋_GB2312" w:hAnsi="仿宋_GB2312" w:eastAsia="仿宋_GB2312" w:cs="仿宋_GB2312"/>
                <w:b w:val="0"/>
                <w:bCs w:val="0"/>
                <w:color w:val="auto"/>
                <w:spacing w:val="-3"/>
                <w:sz w:val="24"/>
                <w:szCs w:val="24"/>
                <w:highlight w:val="none"/>
              </w:rPr>
              <w:t xml:space="preserve">标存在</w:t>
            </w:r>
            <w:r>
              <w:rPr>
                <w:rFonts w:hint="eastAsia" w:ascii="仿宋_GB2312" w:hAnsi="仿宋_GB2312" w:eastAsia="仿宋_GB2312" w:cs="仿宋_GB2312"/>
                <w:b w:val="0"/>
                <w:bCs w:val="0"/>
                <w:color w:val="auto"/>
                <w:spacing w:val="-2"/>
                <w:sz w:val="24"/>
                <w:szCs w:val="24"/>
                <w:highlight w:val="none"/>
              </w:rPr>
              <w:t xml:space="preserve">的安全风险。3、6、9、12月5日前向电子政务中心提</w:t>
            </w:r>
            <w:r>
              <w:rPr>
                <w:rFonts w:hint="eastAsia" w:ascii="仿宋_GB2312" w:hAnsi="仿宋_GB2312" w:eastAsia="仿宋_GB2312" w:cs="仿宋_GB2312"/>
                <w:b w:val="0"/>
                <w:bCs w:val="0"/>
                <w:color w:val="auto"/>
                <w:spacing w:val="-3"/>
                <w:sz w:val="24"/>
                <w:szCs w:val="24"/>
                <w:highlight w:val="none"/>
              </w:rPr>
              <w:t xml:space="preserve">交当</w:t>
            </w:r>
            <w:r>
              <w:rPr>
                <w:rFonts w:hint="eastAsia" w:ascii="仿宋_GB2312" w:hAnsi="仿宋_GB2312" w:eastAsia="仿宋_GB2312" w:cs="仿宋_GB2312"/>
                <w:b w:val="0"/>
                <w:bCs w:val="0"/>
                <w:color w:val="auto"/>
                <w:spacing w:val="-4"/>
                <w:sz w:val="24"/>
                <w:szCs w:val="24"/>
                <w:highlight w:val="none"/>
              </w:rPr>
              <w:t xml:space="preserve">季测试报告并处理。</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7"/>
                <w:sz w:val="24"/>
                <w:szCs w:val="24"/>
                <w:highlight w:val="none"/>
                <w:lang w:val="en-US" w:eastAsia="zh-CN"/>
              </w:rPr>
            </w:pPr>
            <w:r>
              <w:rPr>
                <w:rFonts w:hint="eastAsia" w:ascii="仿宋_GB2312" w:hAnsi="仿宋_GB2312" w:eastAsia="仿宋_GB2312" w:cs="仿宋_GB2312"/>
                <w:b w:val="0"/>
                <w:bCs w:val="0"/>
                <w:color w:val="auto"/>
                <w:spacing w:val="-7"/>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1次/季度</w:t>
            </w:r>
            <w:r/>
          </w:p>
        </w:tc>
      </w:tr>
      <w:tr>
        <w:trPr>
          <w:jc w:val="center"/>
          <w:trHeight w:val="605"/>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3</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态势感知</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对态感知平台发现的兴化范围内的</w:t>
            </w:r>
            <w:r>
              <w:rPr>
                <w:rFonts w:hint="eastAsia" w:ascii="仿宋_GB2312" w:hAnsi="仿宋_GB2312" w:eastAsia="仿宋_GB2312" w:cs="仿宋_GB2312"/>
                <w:b w:val="0"/>
                <w:bCs w:val="0"/>
                <w:color w:val="auto"/>
                <w:spacing w:val="-4"/>
                <w:sz w:val="24"/>
                <w:szCs w:val="24"/>
                <w:highlight w:val="none"/>
              </w:rPr>
              <w:t xml:space="preserve">问题，及时封控相关IP，年度提供台账资料。</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605"/>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4</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工程师培</w:t>
            </w:r>
            <w:r>
              <w:rPr>
                <w:rFonts w:hint="eastAsia" w:ascii="仿宋_GB2312" w:hAnsi="仿宋_GB2312" w:eastAsia="仿宋_GB2312" w:cs="仿宋_GB2312"/>
                <w:b w:val="0"/>
                <w:bCs w:val="0"/>
                <w:color w:val="auto"/>
                <w:spacing w:val="-3"/>
                <w:sz w:val="24"/>
                <w:szCs w:val="24"/>
                <w:highlight w:val="none"/>
              </w:rPr>
              <w:t xml:space="preserve">训</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每年对专线工程师专项培训，并提供台账资料。</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835"/>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5</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工程师基</w:t>
            </w:r>
            <w:r>
              <w:rPr>
                <w:rFonts w:hint="eastAsia" w:ascii="仿宋_GB2312" w:hAnsi="仿宋_GB2312" w:eastAsia="仿宋_GB2312" w:cs="仿宋_GB2312"/>
                <w:b w:val="0"/>
                <w:bCs w:val="0"/>
                <w:color w:val="auto"/>
                <w:spacing w:val="-9"/>
                <w:sz w:val="24"/>
                <w:szCs w:val="24"/>
                <w:highlight w:val="none"/>
              </w:rPr>
              <w:t xml:space="preserve">线核查</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专线工程师定期对管辖区域排查安全隐患，做好相关记</w:t>
            </w:r>
            <w:r>
              <w:rPr>
                <w:rFonts w:hint="eastAsia" w:ascii="仿宋_GB2312" w:hAnsi="仿宋_GB2312" w:eastAsia="仿宋_GB2312" w:cs="仿宋_GB2312"/>
                <w:b w:val="0"/>
                <w:bCs w:val="0"/>
                <w:color w:val="auto"/>
                <w:spacing w:val="-4"/>
                <w:sz w:val="24"/>
                <w:szCs w:val="24"/>
                <w:highlight w:val="none"/>
              </w:rPr>
              <w:t xml:space="preserve">录，随机抽查并提供台账资料。</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2069"/>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6</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应急响应</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采用高效的信息安全事件响应处置机制对客户网络</w:t>
            </w:r>
            <w:r>
              <w:rPr>
                <w:rFonts w:hint="eastAsia" w:ascii="仿宋_GB2312" w:hAnsi="仿宋_GB2312" w:eastAsia="仿宋_GB2312" w:cs="仿宋_GB2312"/>
                <w:b w:val="0"/>
                <w:bCs w:val="0"/>
                <w:color w:val="auto"/>
                <w:spacing w:val="-3"/>
                <w:sz w:val="24"/>
                <w:szCs w:val="24"/>
                <w:highlight w:val="none"/>
              </w:rPr>
              <w:t xml:space="preserve">或业务</w:t>
            </w:r>
            <w:r>
              <w:rPr>
                <w:rFonts w:hint="eastAsia" w:ascii="仿宋_GB2312" w:hAnsi="仿宋_GB2312" w:eastAsia="仿宋_GB2312" w:cs="仿宋_GB2312"/>
                <w:b w:val="0"/>
                <w:bCs w:val="0"/>
                <w:color w:val="auto"/>
                <w:spacing w:val="-2"/>
                <w:sz w:val="24"/>
                <w:szCs w:val="24"/>
                <w:highlight w:val="none"/>
              </w:rPr>
              <w:t xml:space="preserve">系统遭到的安全事件快速作出响应，根据安全事件等</w:t>
            </w:r>
            <w:r>
              <w:rPr>
                <w:rFonts w:hint="eastAsia" w:ascii="仿宋_GB2312" w:hAnsi="仿宋_GB2312" w:eastAsia="仿宋_GB2312" w:cs="仿宋_GB2312"/>
                <w:b w:val="0"/>
                <w:bCs w:val="0"/>
                <w:color w:val="auto"/>
                <w:spacing w:val="-3"/>
                <w:sz w:val="24"/>
                <w:szCs w:val="24"/>
                <w:highlight w:val="none"/>
              </w:rPr>
              <w:t xml:space="preserve">级，</w:t>
            </w:r>
            <w:r>
              <w:rPr>
                <w:rFonts w:hint="eastAsia" w:ascii="仿宋_GB2312" w:hAnsi="仿宋_GB2312" w:eastAsia="仿宋_GB2312" w:cs="仿宋_GB2312"/>
                <w:b w:val="0"/>
                <w:bCs w:val="0"/>
                <w:color w:val="auto"/>
                <w:spacing w:val="-2"/>
                <w:sz w:val="24"/>
                <w:szCs w:val="24"/>
                <w:highlight w:val="none"/>
              </w:rPr>
              <w:t xml:space="preserve">可在第一时间采用现场或远程的方式对安全事件进行</w:t>
            </w:r>
            <w:r>
              <w:rPr>
                <w:rFonts w:hint="eastAsia" w:ascii="仿宋_GB2312" w:hAnsi="仿宋_GB2312" w:eastAsia="仿宋_GB2312" w:cs="仿宋_GB2312"/>
                <w:b w:val="0"/>
                <w:bCs w:val="0"/>
                <w:color w:val="auto"/>
                <w:spacing w:val="-3"/>
                <w:sz w:val="24"/>
                <w:szCs w:val="24"/>
                <w:highlight w:val="none"/>
              </w:rPr>
              <w:t xml:space="preserve">应急</w:t>
            </w:r>
            <w:r>
              <w:rPr>
                <w:rFonts w:hint="eastAsia" w:ascii="仿宋_GB2312" w:hAnsi="仿宋_GB2312" w:eastAsia="仿宋_GB2312" w:cs="仿宋_GB2312"/>
                <w:b w:val="0"/>
                <w:bCs w:val="0"/>
                <w:color w:val="auto"/>
                <w:spacing w:val="-2"/>
                <w:sz w:val="24"/>
                <w:szCs w:val="24"/>
                <w:highlight w:val="none"/>
              </w:rPr>
              <w:t xml:space="preserve">处置，最大限度地降低安全事故带来的危害，抑制事</w:t>
            </w:r>
            <w:r>
              <w:rPr>
                <w:rFonts w:hint="eastAsia" w:ascii="仿宋_GB2312" w:hAnsi="仿宋_GB2312" w:eastAsia="仿宋_GB2312" w:cs="仿宋_GB2312"/>
                <w:b w:val="0"/>
                <w:bCs w:val="0"/>
                <w:color w:val="auto"/>
                <w:spacing w:val="-3"/>
                <w:sz w:val="24"/>
                <w:szCs w:val="24"/>
                <w:highlight w:val="none"/>
              </w:rPr>
              <w:t xml:space="preserve">件影</w:t>
            </w:r>
            <w:r>
              <w:rPr>
                <w:rFonts w:hint="eastAsia" w:ascii="仿宋_GB2312" w:hAnsi="仿宋_GB2312" w:eastAsia="仿宋_GB2312" w:cs="仿宋_GB2312"/>
                <w:b w:val="0"/>
                <w:bCs w:val="0"/>
                <w:color w:val="auto"/>
                <w:spacing w:val="-2"/>
                <w:sz w:val="24"/>
                <w:szCs w:val="24"/>
                <w:highlight w:val="none"/>
              </w:rPr>
              <w:t xml:space="preserve">响扩散，帮助客户将损失降至最低程度。严格落实值</w:t>
            </w:r>
            <w:r>
              <w:rPr>
                <w:rFonts w:hint="eastAsia" w:ascii="仿宋_GB2312" w:hAnsi="仿宋_GB2312" w:eastAsia="仿宋_GB2312" w:cs="仿宋_GB2312"/>
                <w:b w:val="0"/>
                <w:bCs w:val="0"/>
                <w:color w:val="auto"/>
                <w:spacing w:val="-3"/>
                <w:sz w:val="24"/>
                <w:szCs w:val="24"/>
                <w:highlight w:val="none"/>
              </w:rPr>
              <w:t xml:space="preserve">班值守制度，保持</w:t>
            </w:r>
            <w:r>
              <w:rPr>
                <w:rFonts w:hint="eastAsia" w:ascii="仿宋_GB2312" w:hAnsi="仿宋_GB2312" w:eastAsia="仿宋_GB2312" w:cs="仿宋_GB2312"/>
                <w:b w:val="0"/>
                <w:bCs w:val="0"/>
                <w:color w:val="auto"/>
                <w:spacing w:val="-39"/>
                <w:sz w:val="24"/>
                <w:szCs w:val="24"/>
                <w:highlight w:val="none"/>
              </w:rPr>
              <w:t xml:space="preserve"> </w:t>
            </w:r>
            <w:r>
              <w:rPr>
                <w:rFonts w:hint="eastAsia" w:ascii="仿宋_GB2312" w:hAnsi="仿宋_GB2312" w:eastAsia="仿宋_GB2312" w:cs="仿宋_GB2312"/>
                <w:b w:val="0"/>
                <w:bCs w:val="0"/>
                <w:color w:val="auto"/>
                <w:spacing w:val="-3"/>
                <w:sz w:val="24"/>
                <w:szCs w:val="24"/>
                <w:highlight w:val="none"/>
              </w:rPr>
              <w:t xml:space="preserve">24</w:t>
            </w:r>
            <w:r>
              <w:rPr>
                <w:rFonts w:hint="eastAsia" w:ascii="仿宋_GB2312" w:hAnsi="仿宋_GB2312" w:eastAsia="仿宋_GB2312" w:cs="仿宋_GB2312"/>
                <w:b w:val="0"/>
                <w:bCs w:val="0"/>
                <w:color w:val="auto"/>
                <w:spacing w:val="-36"/>
                <w:sz w:val="24"/>
                <w:szCs w:val="24"/>
                <w:highlight w:val="none"/>
              </w:rPr>
              <w:t xml:space="preserve"> </w:t>
            </w:r>
            <w:r>
              <w:rPr>
                <w:rFonts w:hint="eastAsia" w:ascii="仿宋_GB2312" w:hAnsi="仿宋_GB2312" w:eastAsia="仿宋_GB2312" w:cs="仿宋_GB2312"/>
                <w:b w:val="0"/>
                <w:bCs w:val="0"/>
                <w:color w:val="auto"/>
                <w:spacing w:val="-3"/>
                <w:sz w:val="24"/>
                <w:szCs w:val="24"/>
                <w:highlight w:val="none"/>
              </w:rPr>
              <w:t xml:space="preserve">小时通信畅通，确保一旦发生网</w:t>
            </w:r>
            <w:r>
              <w:rPr>
                <w:rFonts w:hint="eastAsia" w:ascii="仿宋_GB2312" w:hAnsi="仿宋_GB2312" w:eastAsia="仿宋_GB2312" w:cs="仿宋_GB2312"/>
                <w:b w:val="0"/>
                <w:bCs w:val="0"/>
                <w:color w:val="auto"/>
                <w:spacing w:val="-4"/>
                <w:sz w:val="24"/>
                <w:szCs w:val="24"/>
                <w:highlight w:val="none"/>
              </w:rPr>
              <w:t xml:space="preserve">络安全</w:t>
            </w:r>
            <w:r>
              <w:rPr>
                <w:rFonts w:hint="eastAsia" w:ascii="仿宋_GB2312" w:hAnsi="仿宋_GB2312" w:eastAsia="仿宋_GB2312" w:cs="仿宋_GB2312"/>
                <w:b w:val="0"/>
                <w:bCs w:val="0"/>
                <w:color w:val="auto"/>
                <w:spacing w:val="-3"/>
                <w:sz w:val="24"/>
                <w:szCs w:val="24"/>
                <w:highlight w:val="none"/>
              </w:rPr>
              <w:t xml:space="preserve">问题能快速响应处置，提高安全应急处置能力。</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4"/>
                <w:sz w:val="24"/>
                <w:szCs w:val="24"/>
                <w:highlight w:val="none"/>
                <w:lang w:val="en-US" w:eastAsia="zh-CN"/>
              </w:rPr>
            </w:pPr>
            <w:r>
              <w:rPr>
                <w:rFonts w:hint="eastAsia" w:ascii="仿宋_GB2312" w:hAnsi="仿宋_GB2312" w:eastAsia="仿宋_GB2312" w:cs="仿宋_GB2312"/>
                <w:b w:val="0"/>
                <w:bCs w:val="0"/>
                <w:color w:val="auto"/>
                <w:spacing w:val="-4"/>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4"/>
                <w:sz w:val="24"/>
                <w:szCs w:val="24"/>
                <w:highlight w:val="none"/>
              </w:rPr>
              <w:t xml:space="preserve">7*24小时</w:t>
            </w:r>
            <w:r/>
          </w:p>
        </w:tc>
      </w:tr>
      <w:tr>
        <w:trPr>
          <w:jc w:val="center"/>
          <w:trHeight w:val="1482"/>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7</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安全加固</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针对在安全评估、应急响应、攻防对抗过程中发现的安全风险、不合规项、漏洞扫描报告等提供具体落地的加固方案并协助客户进行加固整改服务，包括但不限于系统漏洞加固、中间件加固、数据库加固、设备策略加固、基线标</w:t>
            </w:r>
            <w:r>
              <w:rPr>
                <w:rFonts w:hint="eastAsia" w:ascii="仿宋_GB2312" w:hAnsi="仿宋_GB2312" w:eastAsia="仿宋_GB2312" w:cs="仿宋_GB2312"/>
                <w:b w:val="0"/>
                <w:bCs w:val="0"/>
                <w:color w:val="auto"/>
                <w:spacing w:val="-5"/>
                <w:sz w:val="24"/>
                <w:szCs w:val="24"/>
                <w:highlight w:val="none"/>
              </w:rPr>
              <w:t xml:space="preserve">准加固等。</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r>
        <w:trPr>
          <w:jc w:val="center"/>
          <w:trHeight w:val="898"/>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8</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安全通报</w:t>
            </w:r>
            <w:r>
              <w:rPr>
                <w:rFonts w:hint="eastAsia" w:ascii="仿宋_GB2312" w:hAnsi="仿宋_GB2312" w:eastAsia="仿宋_GB2312" w:cs="仿宋_GB2312"/>
                <w:b w:val="0"/>
                <w:bCs w:val="0"/>
                <w:color w:val="auto"/>
                <w:spacing w:val="-10"/>
                <w:sz w:val="24"/>
                <w:szCs w:val="24"/>
                <w:highlight w:val="none"/>
              </w:rPr>
              <w:t xml:space="preserve">处置</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lang w:eastAsia="zh-CN"/>
              </w:rPr>
            </w:pPr>
            <w:r>
              <w:rPr>
                <w:rFonts w:hint="eastAsia" w:ascii="仿宋_GB2312" w:hAnsi="仿宋_GB2312" w:eastAsia="仿宋_GB2312" w:cs="仿宋_GB2312"/>
                <w:b w:val="0"/>
                <w:bCs w:val="0"/>
                <w:color w:val="auto"/>
                <w:spacing w:val="-4"/>
                <w:sz w:val="24"/>
                <w:szCs w:val="24"/>
                <w:highlight w:val="none"/>
              </w:rPr>
              <w:t xml:space="preserve">第一时间响应并处置上级的安全通报，并及时做好反馈</w:t>
            </w:r>
            <w:r>
              <w:rPr>
                <w:rFonts w:hint="eastAsia" w:ascii="仿宋_GB2312" w:hAnsi="仿宋_GB2312" w:eastAsia="仿宋_GB2312" w:cs="仿宋_GB2312"/>
                <w:b w:val="0"/>
                <w:bCs w:val="0"/>
                <w:color w:val="auto"/>
                <w:spacing w:val="-4"/>
                <w:sz w:val="24"/>
                <w:szCs w:val="24"/>
                <w:highlight w:val="none"/>
                <w:lang w:eastAsia="zh-CN"/>
              </w:rPr>
              <w:t xml:space="preserve">。</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10</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r>
        <w:trPr>
          <w:jc w:val="center"/>
          <w:trHeight w:val="481"/>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position w:val="1"/>
                <w:sz w:val="24"/>
                <w:szCs w:val="24"/>
                <w:highlight w:val="none"/>
              </w:rPr>
              <w:t xml:space="preserve">9</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应急演练</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每年至少进行一次应急演练，并提交应急演练报告。</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8"/>
                <w:sz w:val="24"/>
                <w:szCs w:val="24"/>
                <w:highlight w:val="none"/>
                <w:lang w:val="en-US" w:eastAsia="zh-CN"/>
              </w:rPr>
            </w:pPr>
            <w:r>
              <w:rPr>
                <w:rFonts w:hint="eastAsia" w:ascii="仿宋_GB2312" w:hAnsi="仿宋_GB2312" w:eastAsia="仿宋_GB2312" w:cs="仿宋_GB2312"/>
                <w:b w:val="0"/>
                <w:bCs w:val="0"/>
                <w:color w:val="auto"/>
                <w:spacing w:val="-8"/>
                <w:sz w:val="24"/>
                <w:szCs w:val="24"/>
                <w:highlight w:val="none"/>
                <w:lang w:val="en-US" w:eastAsia="zh-CN"/>
              </w:rPr>
              <w:t xml:space="preserve">5</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sz w:val="24"/>
                <w:szCs w:val="24"/>
                <w:highlight w:val="none"/>
              </w:rPr>
              <w:t xml:space="preserve">1次/年</w:t>
            </w:r>
            <w:r/>
          </w:p>
        </w:tc>
      </w:tr>
      <w:tr>
        <w:trPr>
          <w:jc w:val="center"/>
          <w:trHeight w:val="1192"/>
        </w:trPr>
        <w:tc>
          <w:tcPr>
            <w:tcW w:w="66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8"/>
                <w:position w:val="1"/>
                <w:sz w:val="24"/>
                <w:szCs w:val="24"/>
                <w:highlight w:val="none"/>
              </w:rPr>
              <w:t xml:space="preserve">10</w:t>
            </w:r>
            <w:r/>
          </w:p>
        </w:tc>
        <w:tc>
          <w:tcPr>
            <w:tcW w:w="1290"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基础资料</w:t>
            </w:r>
            <w:r>
              <w:rPr>
                <w:rFonts w:hint="eastAsia" w:ascii="仿宋_GB2312" w:hAnsi="仿宋_GB2312" w:eastAsia="仿宋_GB2312" w:cs="仿宋_GB2312"/>
                <w:b w:val="0"/>
                <w:bCs w:val="0"/>
                <w:color w:val="auto"/>
                <w:spacing w:val="-9"/>
                <w:sz w:val="24"/>
                <w:szCs w:val="24"/>
                <w:highlight w:val="none"/>
              </w:rPr>
              <w:t xml:space="preserve">整理</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2"/>
                <w:sz w:val="24"/>
                <w:szCs w:val="24"/>
                <w:highlight w:val="none"/>
              </w:rPr>
              <w:t xml:space="preserve">对网络资产进行摸查，统计接入电子政务外网的设</w:t>
            </w:r>
            <w:r>
              <w:rPr>
                <w:rFonts w:hint="eastAsia" w:ascii="仿宋_GB2312" w:hAnsi="仿宋_GB2312" w:eastAsia="仿宋_GB2312" w:cs="仿宋_GB2312"/>
                <w:b w:val="0"/>
                <w:bCs w:val="0"/>
                <w:color w:val="auto"/>
                <w:spacing w:val="-3"/>
                <w:sz w:val="24"/>
                <w:szCs w:val="24"/>
                <w:highlight w:val="none"/>
              </w:rPr>
              <w:t xml:space="preserve">备，规</w:t>
            </w:r>
            <w:r>
              <w:rPr>
                <w:rFonts w:hint="eastAsia" w:ascii="仿宋_GB2312" w:hAnsi="仿宋_GB2312" w:eastAsia="仿宋_GB2312" w:cs="仿宋_GB2312"/>
                <w:b w:val="0"/>
                <w:bCs w:val="0"/>
                <w:color w:val="auto"/>
                <w:spacing w:val="-2"/>
                <w:sz w:val="24"/>
                <w:szCs w:val="24"/>
                <w:highlight w:val="none"/>
              </w:rPr>
              <w:t xml:space="preserve">范接入设备类别，制定接入规范，按要求做好信息的收集整理。做好IP地址规划整理。形成全市台账清单</w:t>
            </w:r>
            <w:r>
              <w:rPr>
                <w:rFonts w:hint="eastAsia" w:ascii="仿宋_GB2312" w:hAnsi="仿宋_GB2312" w:eastAsia="仿宋_GB2312" w:cs="仿宋_GB2312"/>
                <w:b w:val="0"/>
                <w:bCs w:val="0"/>
                <w:color w:val="auto"/>
                <w:spacing w:val="-3"/>
                <w:sz w:val="24"/>
                <w:szCs w:val="24"/>
                <w:highlight w:val="none"/>
              </w:rPr>
              <w:t xml:space="preserve">提交电子</w:t>
            </w:r>
            <w:r>
              <w:rPr>
                <w:rFonts w:hint="eastAsia" w:ascii="仿宋_GB2312" w:hAnsi="仿宋_GB2312" w:eastAsia="仿宋_GB2312" w:cs="仿宋_GB2312"/>
                <w:b w:val="0"/>
                <w:bCs w:val="0"/>
                <w:color w:val="auto"/>
                <w:spacing w:val="-5"/>
                <w:sz w:val="24"/>
                <w:szCs w:val="24"/>
                <w:highlight w:val="none"/>
              </w:rPr>
              <w:t xml:space="preserve">政务中心。</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11"/>
                <w:sz w:val="24"/>
                <w:szCs w:val="24"/>
                <w:highlight w:val="none"/>
                <w:lang w:val="en-US" w:eastAsia="zh-CN"/>
              </w:rPr>
            </w:pPr>
            <w:r>
              <w:rPr>
                <w:rFonts w:hint="eastAsia" w:ascii="仿宋_GB2312" w:hAnsi="仿宋_GB2312" w:eastAsia="仿宋_GB2312" w:cs="仿宋_GB2312"/>
                <w:b w:val="0"/>
                <w:bCs w:val="0"/>
                <w:color w:val="auto"/>
                <w:spacing w:val="-11"/>
                <w:sz w:val="24"/>
                <w:szCs w:val="24"/>
                <w:highlight w:val="none"/>
                <w:lang w:val="en-US" w:eastAsia="zh-CN"/>
              </w:rPr>
              <w:t xml:space="preserve">10</w:t>
            </w:r>
            <w:r/>
          </w:p>
        </w:tc>
        <w:tc>
          <w:tcPr>
            <w:tcW w:w="1296" w:type="dxa"/>
            <w:vAlign w:val="center"/>
            <w:textDirection w:val="lrTb"/>
            <w:noWrap w:val="false"/>
          </w:tcPr>
          <w:p>
            <w:pPr>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每年11月</w:t>
            </w:r>
            <w:r/>
          </w:p>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11"/>
                <w:sz w:val="24"/>
                <w:szCs w:val="24"/>
                <w:highlight w:val="none"/>
              </w:rPr>
              <w:t xml:space="preserve">完成</w:t>
            </w:r>
            <w:r/>
          </w:p>
        </w:tc>
      </w:tr>
      <w:tr>
        <w:trPr>
          <w:jc w:val="center"/>
          <w:trHeight w:val="789"/>
        </w:trPr>
        <w:tc>
          <w:tcPr>
            <w:tcW w:w="66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13"/>
                <w:position w:val="1"/>
                <w:sz w:val="24"/>
                <w:szCs w:val="24"/>
                <w:highlight w:val="none"/>
              </w:rPr>
              <w:t xml:space="preserve">11</w:t>
            </w:r>
            <w:r/>
          </w:p>
        </w:tc>
        <w:tc>
          <w:tcPr>
            <w:tcW w:w="1290"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7"/>
                <w:sz w:val="24"/>
                <w:szCs w:val="24"/>
                <w:highlight w:val="none"/>
              </w:rPr>
              <w:t xml:space="preserve">工作配合</w:t>
            </w:r>
            <w:r>
              <w:rPr>
                <w:rFonts w:hint="eastAsia" w:ascii="仿宋_GB2312" w:hAnsi="仿宋_GB2312" w:eastAsia="仿宋_GB2312" w:cs="仿宋_GB2312"/>
                <w:b w:val="0"/>
                <w:bCs w:val="0"/>
                <w:color w:val="auto"/>
                <w:spacing w:val="-3"/>
                <w:sz w:val="24"/>
                <w:szCs w:val="24"/>
                <w:highlight w:val="none"/>
              </w:rPr>
              <w:t xml:space="preserve">度</w:t>
            </w:r>
            <w:r/>
          </w:p>
        </w:tc>
        <w:tc>
          <w:tcPr>
            <w:tcW w:w="5287" w:type="dxa"/>
            <w:vAlign w:val="center"/>
            <w:textDirection w:val="lrTb"/>
            <w:noWrap w:val="false"/>
          </w:tcPr>
          <w:p>
            <w:pPr>
              <w:pStyle w:val="1138"/>
              <w:ind w:left="105" w:right="0" w:firstLine="0"/>
              <w:jc w:val="left"/>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3"/>
                <w:sz w:val="24"/>
                <w:szCs w:val="24"/>
                <w:highlight w:val="none"/>
              </w:rPr>
              <w:t xml:space="preserve">做好电子政务外网相关配合工作。</w:t>
            </w:r>
            <w:r/>
          </w:p>
        </w:tc>
        <w:tc>
          <w:tcPr>
            <w:tcW w:w="678"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pacing w:val="-6"/>
                <w:sz w:val="24"/>
                <w:szCs w:val="24"/>
                <w:highlight w:val="none"/>
                <w:lang w:val="en-US" w:eastAsia="zh-CN"/>
              </w:rPr>
            </w:pPr>
            <w:r>
              <w:rPr>
                <w:rFonts w:hint="eastAsia" w:ascii="仿宋_GB2312" w:hAnsi="仿宋_GB2312" w:eastAsia="仿宋_GB2312" w:cs="仿宋_GB2312"/>
                <w:b w:val="0"/>
                <w:bCs w:val="0"/>
                <w:color w:val="auto"/>
                <w:spacing w:val="-6"/>
                <w:sz w:val="24"/>
                <w:szCs w:val="24"/>
                <w:highlight w:val="none"/>
                <w:lang w:val="en-US" w:eastAsia="zh-CN"/>
              </w:rPr>
              <w:t xml:space="preserve">5</w:t>
            </w:r>
            <w:r/>
          </w:p>
        </w:tc>
        <w:tc>
          <w:tcPr>
            <w:tcW w:w="1296" w:type="dxa"/>
            <w:vAlign w:val="center"/>
            <w:textDirection w:val="lrTb"/>
            <w:noWrap w:val="false"/>
          </w:tcPr>
          <w:p>
            <w:pPr>
              <w:pStyle w:val="1138"/>
              <w:ind w:left="0" w:right="0" w:firstLine="0"/>
              <w:jc w:val="center"/>
              <w:keepLines w:val="0"/>
              <w:keepNext w:val="0"/>
              <w:pageBreakBefore w:val="0"/>
              <w:spacing w:line="400" w:lineRule="exact"/>
              <w:widowControl w:val="off"/>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pacing w:val="-6"/>
                <w:sz w:val="24"/>
                <w:szCs w:val="24"/>
                <w:highlight w:val="none"/>
              </w:rPr>
              <w:t xml:space="preserve">按实际情</w:t>
            </w:r>
            <w:r>
              <w:rPr>
                <w:rFonts w:hint="eastAsia" w:ascii="仿宋_GB2312" w:hAnsi="仿宋_GB2312" w:eastAsia="仿宋_GB2312" w:cs="仿宋_GB2312"/>
                <w:b w:val="0"/>
                <w:bCs w:val="0"/>
                <w:color w:val="auto"/>
                <w:spacing w:val="-3"/>
                <w:sz w:val="24"/>
                <w:szCs w:val="24"/>
                <w:highlight w:val="none"/>
              </w:rPr>
              <w:t xml:space="preserve">况</w:t>
            </w:r>
            <w:r/>
          </w:p>
        </w:tc>
      </w:tr>
    </w:tbl>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以上考核要求，投标需能满足。</w:t>
      </w:r>
      <w:r/>
    </w:p>
    <w:p>
      <w:pPr>
        <w:ind w:firstLine="560"/>
        <w:keepLines w:val="0"/>
        <w:keepNext w:val="0"/>
        <w:pageBreakBefore w:val="0"/>
        <w:spacing w:line="52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六、技术方案要求</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1、总体方案：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供应商应根据项目建设目标、要求、内容等制定实施及建设总体方案。方案内容应包括但不限于：</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项目建设思路：充分了解兴化市电子政务外网现状及全市行政村分布情况，对标省级电子政务外网建设规范与技术参数，融合SDN、零信任等前沿技术，统筹链路、设备、平台、人力等资源，打造高速畅通、智能高效、安全可控的电子政务网络体系。</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实施要求：依据采购人规定的时限要求，完成全市行政村电子政务外网IP地址规划与配置（含IPv4地址规划表编制及IPv6地址规划配合），确保100%接入市电子政务外网，实现国家、省、市、县、镇、村六级互联互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（3）组织架构：建立合理的运维服务组织架构，明确项目经理及各级岗位职责与分工，确保运维服务工作有序开展。</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（4）进度计划：根据</w:t>
      </w: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0个工作日内完成用户光纤链路接入、设备安装调试等要求，制定详细的分阶段实施进度计划，保障项目按时交付。</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（5）本地实施人员安排及证明：根据项目需求制定合理的人员安排方案，提供本地实施人员相关资质证明。</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2、业务服务方案：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供应商提供不中断服务方案，包括但不限于网络出口的负载均衡和冗余。方案内容应包括：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（1）负载均衡方案：制定网络出口流量负载均衡策略，实现多链路间的智能流量分配，保障网络出口带宽有效利用，确保全市行政村政务外网访问畅通。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（2）冗余备份方案：部署关键节点冗余架构，消除单点故障，确保链路故障时业务不中断，保障政务外网服务连续性。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（3）高可用保障：建立不低于99.9%的网络可用性保障机制，确保7×24小时不间断链路监控与技术支持。</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3、日常服务方案：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供应商提供日常服务方案，包括但不限于服务标准、日常监控、服务报告等。方案内容应包括：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（1）服务标准：建立符合IT服务管理标准的运维服务体系，明确各项服务质量标准与考核指标。</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（2）日常监控：制定链路流量和运行状态监控方案，实时监测网络设备、链路状态、系统性能等，确保及时发现并处理潜在问题。</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（3）服务报告：建立定期服务报告制度，按季度提供运行维护报告，包括日常运维记录、链路流量分析、故障处理汇总等，对系统运行情况进行分析并提出优化建议。</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4、线路服务保障方案：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供应商提供维护服务方案，包括定期现场巡检、重大节假日排查、详细的组网和设备技术文档、配合进行网络结构调整割接等。方案内容应包括：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定期现场巡检：制定全市行政村接入设备及线路定期巡检计划，定期完成重要用户接入设备的巡检及参数备份工作，做好设备使用情况登记、配置检查优化和备份，适时提出优化改进方案。每次巡检结束后提供巡检报告。</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（2）重大节假日排查：重大活动、大型会议、节假日等重要时期，提前3天做好链路检测工作，查找风险并防范，提供完整规范的保障方案。活动保障期间加强重要部位现场值守及重点链路监控。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（3）技术文档管理：提供详细的组网拓扑图、设备技术文档、配置文件等，建立完善详细的用户维护资料、线路档案和运行维护档案，确保技术资料完整、准确、可追溯。</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网络结构调整割接：配合采购人进行网络结构调整割接工作。需中断通信时，提前5天向采购人申请，待批准后实施，实施48小时前告知所涉及的用户，制定详细的割接方案和回退预案，确保割接过程平滑有序。</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5、应急处理方案：</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供应商提供应急处理方案，包括但不限于应急保障机制、突发事件应急预案、故障处理、故障报告等。方案内容应包括：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（1）应急保障机制：建立健全应急保障组织架构，实行用户分级管理，明确各岗位安全生产职责，严格落实值班值守制度，保持24小时通信畅通。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（2）突发事件应急预案：制定分类分级的应急预案，包括但不限于网络中断应急预案、设备故障应急预案、网络安全事件应急预案等，确保突发事件和重要时期链路畅通。</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故障处理：建立故障管理分级分类制度，明确故障处理流程、处理时限及升级机制。汇聚设备中断超过10分钟时，30分钟内通知所影响用户并给出初步故障判断报告，故障应在2小时内排除。故障响应率、故障恢复率、故障恢复及时率均须达到采购需求规定标准。</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（4）故障报告：建立完善的故障报告制度，及时报告故障发生时间、影响范围及恢复措施。重大故障发生后及时启动应急预案，事后将应急预案执行情况报告、重大故障处理报告上报采购人备案。</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6、业务过渡平滑性：</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为保障采购人业务的连续性，供应商应在充分调研客户业务架构和运行情况的基础上，就电子政务外网制定符合项目需求的组网方案，尽可能降低实施过程对现有网络运行的影响。方案内容应包括：</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（1）现状调研：对现有电子政务外网业务架构、网络拓扑、设备配置、运行情况进行全面调研和评估。</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（2）组网方案：制定符合省级新一代电子政务外网建设指南的组网方案，包括网络拓扑设计、IP地址规划（含IPv4及IPv6）、设备选型与配置等。在关键节点部署冗余备份，避免单点故障导致网络中断。</w:t>
      </w:r>
      <w:r/>
    </w:p>
    <w:p>
      <w:pPr>
        <w:ind w:firstLine="48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平滑过渡措施：制定分阶段、分步骤的业务迁移和过渡方案，确保现有政务业务系统在实施过程中不受影响或影响最小。针对接入单位办公场所变动、线路带宽调整、点位合署办公或机构撤并等情形，制定相应保障措施，确保各行政村电子政务外网业务平稳过渡。制定割接方案及回退预案，保障业务连续性。</w:t>
      </w:r>
      <w:r/>
    </w:p>
    <w:p>
      <w:pPr>
        <w:ind w:firstLine="560"/>
        <w:keepLines w:val="0"/>
        <w:keepNext w:val="0"/>
        <w:pageBreakBefore w:val="0"/>
        <w:spacing w:line="52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七、商务要求</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1.履约保证金</w:t>
      </w:r>
      <w:r/>
    </w:p>
    <w:p>
      <w:pPr>
        <w:pStyle w:val="1136"/>
        <w:ind w:left="0" w:right="0" w:firstLine="482"/>
        <w:keepLines w:val="0"/>
        <w:keepNext w:val="0"/>
        <w:pageBreakBefore w:val="0"/>
        <w:spacing w:before="0" w:beforeAutospacing="0" w:after="0" w:afterAutospacing="0" w:line="52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b/>
          <w:bCs/>
          <w:color w:val="auto"/>
          <w:sz w:val="28"/>
          <w:szCs w:val="28"/>
          <w:highlight w:val="none"/>
          <w:u w:val="single"/>
          <w:lang w:val="en-US" w:eastAsia="zh-CN" w:bidi="ar-SA"/>
        </w:rPr>
        <w:t xml:space="preserve">不收取</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2.付款方式</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本合同项下服务费按年度结算。每个服务年度期满后，采购人依据本合同约定的考核标准对供应商当年度服务质量进行考核。考核结果合格的，采购人于该服务年度期满后，向供应商支付该年度服务费。</w:t>
      </w:r>
      <w:r/>
    </w:p>
    <w:p>
      <w:pPr>
        <w:ind w:firstLine="480"/>
        <w:keepLines w:val="0"/>
        <w:keepNext w:val="0"/>
        <w:pageBreakBefore w:val="0"/>
        <w:spacing w:line="52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若供应商在服务年度内未能按照招投标文件、本合同约定及相关标准提供服务，或当年度考核得分低于 60分（满分100分），则采购人有权在该年度应付服务费中直接扣除 10% 作为违约扣款，仅支付剩余 90% 的服务费。前述扣款不影响采购人依据本合同其他约定追究供应商违约责任的权利。</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3.服务期限</w:t>
      </w:r>
      <w:r/>
    </w:p>
    <w:p>
      <w:pPr>
        <w:ind w:firstLine="482"/>
        <w:keepLines w:val="0"/>
        <w:keepNext w:val="0"/>
        <w:pageBreakBefore w:val="0"/>
        <w:spacing w:line="52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年</w:t>
      </w:r>
      <w:r>
        <w:rPr>
          <w:rFonts w:hint="eastAsia" w:ascii="仿宋_GB2312" w:hAnsi="仿宋_GB2312" w:eastAsia="仿宋_GB2312" w:cs="仿宋_GB2312"/>
          <w:color w:val="auto"/>
          <w:sz w:val="28"/>
          <w:szCs w:val="28"/>
          <w:highlight w:val="none"/>
        </w:rPr>
        <w:t xml:space="preserve">度考核得分低于60分，采购人有权单方解除合同，且双方互不承担违约责任</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52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4.项目验收要求</w:t>
      </w:r>
      <w:r/>
    </w:p>
    <w:p>
      <w:pPr>
        <w:ind w:firstLine="482"/>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投标（响应）文件、厂家服务标准说明及有关国家的服务标准规定，均作为服务确认（验收）标准。服务确认（验收）合格后，中标（成交）供应商凭用户出具的服务合格书至采购人处根据合同规定办理付款手续。</w:t>
      </w:r>
      <w:r/>
    </w:p>
    <w:p>
      <w:pPr>
        <w:ind w:firstLine="48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5采购标的所属行业</w:t>
      </w:r>
      <w:r/>
    </w:p>
    <w:p>
      <w:pPr>
        <w:ind w:firstLine="482"/>
        <w:keepLines w:val="0"/>
        <w:keepNext w:val="0"/>
        <w:pageBreakBefore w:val="0"/>
        <w:spacing w:line="520" w:lineRule="exact"/>
        <w:widowControl w:val="off"/>
        <w:rPr>
          <w:rFonts w:hint="eastAsia" w:ascii="黑体" w:hAnsi="黑体" w:eastAsia="黑体" w:cs="黑体"/>
          <w:b w:val="0"/>
          <w:bCs w:val="0"/>
          <w:color w:val="auto"/>
          <w:sz w:val="36"/>
          <w:szCs w:val="36"/>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b/>
          <w:bCs/>
          <w:color w:val="auto"/>
          <w:sz w:val="28"/>
          <w:szCs w:val="28"/>
          <w:highlight w:val="none"/>
          <w:u w:val="single"/>
        </w:rPr>
        <w:t xml:space="preserve">信息传输业</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w:t>
      </w:r>
      <w:bookmarkStart w:id="190" w:name="_Toc120614281"/>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5、本项目</w:t>
      </w:r>
      <w:r>
        <w:rPr>
          <w:rFonts w:hint="eastAsia" w:ascii="仿宋_GB2312" w:hAnsi="仿宋_GB2312" w:eastAsia="仿宋_GB2312" w:cs="仿宋_GB2312"/>
          <w:b/>
          <w:bCs/>
          <w:sz w:val="28"/>
          <w:szCs w:val="28"/>
          <w:u w:val="single"/>
          <w:lang w:eastAsia="zh-CN"/>
        </w:rPr>
        <w:t xml:space="preserve">不</w:t>
      </w:r>
      <w:r>
        <w:rPr>
          <w:rFonts w:hint="eastAsia" w:ascii="仿宋_GB2312" w:hAnsi="仿宋_GB2312" w:eastAsia="仿宋_GB2312" w:cs="仿宋_GB2312"/>
          <w:b/>
          <w:bCs/>
          <w:sz w:val="28"/>
          <w:szCs w:val="28"/>
          <w:u w:val="single"/>
        </w:rPr>
        <w:t xml:space="preserve">同意</w:t>
      </w:r>
      <w:r>
        <w:rPr>
          <w:rFonts w:hint="eastAsia" w:ascii="仿宋_GB2312" w:hAnsi="仿宋_GB2312" w:eastAsia="仿宋_GB2312" w:cs="仿宋_GB2312"/>
          <w:sz w:val="28"/>
          <w:szCs w:val="28"/>
        </w:rPr>
        <w:t xml:space="preserve">联合体参加</w:t>
      </w:r>
      <w:r>
        <w:rPr>
          <w:rFonts w:hint="eastAsia" w:ascii="仿宋_GB2312" w:hAnsi="仿宋_GB2312" w:eastAsia="仿宋_GB2312" w:cs="仿宋_GB2312"/>
          <w:sz w:val="28"/>
          <w:szCs w:val="28"/>
          <w:lang w:eastAsia="zh-CN"/>
        </w:rPr>
        <w:t xml:space="preserve">投标。</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45"/>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45"/>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5"/>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三、评审办法和评审标准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w:t>
      </w:r>
      <w:r>
        <w:rPr>
          <w:rFonts w:hint="eastAsia" w:ascii="仿宋_GB2312" w:hAnsi="仿宋_GB2312" w:eastAsia="仿宋_GB2312" w:cs="仿宋_GB2312"/>
          <w:color w:val="000000"/>
          <w:sz w:val="28"/>
          <w:szCs w:val="28"/>
          <w:lang w:val="en-US" w:eastAsia="zh-CN"/>
        </w:rPr>
        <w:t xml:space="preserve">2个分包均</w:t>
      </w:r>
      <w:r>
        <w:rPr>
          <w:rFonts w:hint="eastAsia" w:ascii="仿宋_GB2312" w:hAnsi="仿宋_GB2312" w:eastAsia="仿宋_GB2312" w:cs="仿宋_GB2312"/>
          <w:color w:val="000000"/>
          <w:sz w:val="28"/>
          <w:szCs w:val="28"/>
        </w:rPr>
        <w:t xml:space="preserve">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2个分包各</w:t>
      </w:r>
      <w:r>
        <w:rPr>
          <w:rFonts w:hint="eastAsia" w:ascii="仿宋_GB2312" w:hAnsi="仿宋_GB2312" w:eastAsia="仿宋_GB2312" w:cs="仿宋_GB2312"/>
          <w:b w:val="0"/>
          <w:bCs w:val="0"/>
          <w:color w:val="000000"/>
          <w:sz w:val="28"/>
          <w:szCs w:val="28"/>
        </w:rPr>
        <w:t xml:space="preserve">选取</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u w:val="single"/>
        </w:rPr>
      </w:pPr>
      <w:r>
        <w:rPr>
          <w:rFonts w:hint="eastAsia" w:ascii="仿宋_GB2312" w:hAnsi="仿宋_GB2312" w:eastAsia="仿宋_GB2312" w:cs="仿宋_GB2312"/>
          <w:b w:val="0"/>
          <w:bCs w:val="0"/>
          <w:color w:val="auto"/>
          <w:sz w:val="28"/>
          <w:szCs w:val="28"/>
          <w:u w:val="single"/>
          <w:lang w:val="en-US" w:eastAsia="zh-CN" w:bidi="ar-SA"/>
        </w:rPr>
        <w:t xml:space="preserve">3、</w:t>
      </w:r>
      <w:r>
        <w:rPr>
          <w:rFonts w:hint="eastAsia" w:ascii="仿宋_GB2312" w:hAnsi="仿宋_GB2312" w:eastAsia="仿宋_GB2312" w:cs="仿宋_GB2312"/>
          <w:b w:val="0"/>
          <w:bCs w:val="0"/>
          <w:color w:val="000000"/>
          <w:sz w:val="28"/>
          <w:szCs w:val="28"/>
          <w:u w:val="single"/>
        </w:rPr>
        <w:t xml:space="preserve">本项目按分包</w:t>
      </w:r>
      <w:r>
        <w:rPr>
          <w:rFonts w:hint="eastAsia" w:ascii="仿宋_GB2312" w:hAnsi="仿宋_GB2312" w:eastAsia="仿宋_GB2312" w:cs="仿宋_GB2312"/>
          <w:b w:val="0"/>
          <w:bCs w:val="0"/>
          <w:color w:val="000000"/>
          <w:sz w:val="28"/>
          <w:szCs w:val="28"/>
          <w:u w:val="single"/>
          <w:lang w:val="en-US" w:eastAsia="zh-CN"/>
        </w:rPr>
        <w:t xml:space="preserve">1至分包2的</w:t>
      </w:r>
      <w:r>
        <w:rPr>
          <w:rFonts w:hint="eastAsia" w:ascii="仿宋_GB2312" w:hAnsi="仿宋_GB2312" w:eastAsia="仿宋_GB2312" w:cs="仿宋_GB2312"/>
          <w:b w:val="0"/>
          <w:bCs w:val="0"/>
          <w:color w:val="000000"/>
          <w:sz w:val="28"/>
          <w:szCs w:val="28"/>
          <w:u w:val="single"/>
        </w:rPr>
        <w:t xml:space="preserve">顺序开评标，供应商可参与所有分包的投标，</w:t>
      </w:r>
      <w:r>
        <w:rPr>
          <w:rFonts w:hint="eastAsia" w:ascii="仿宋_GB2312" w:hAnsi="仿宋_GB2312" w:eastAsia="仿宋_GB2312" w:cs="仿宋_GB2312"/>
          <w:b w:val="0"/>
          <w:bCs w:val="0"/>
          <w:color w:val="auto"/>
          <w:sz w:val="28"/>
          <w:szCs w:val="28"/>
          <w:highlight w:val="none"/>
          <w:u w:val="single"/>
        </w:rPr>
        <w:t xml:space="preserve">可兼投不可兼中</w:t>
      </w:r>
      <w:r>
        <w:rPr>
          <w:rFonts w:hint="eastAsia" w:ascii="仿宋_GB2312" w:hAnsi="仿宋_GB2312" w:eastAsia="仿宋_GB2312" w:cs="仿宋_GB2312"/>
          <w:b w:val="0"/>
          <w:bCs w:val="0"/>
          <w:color w:val="auto"/>
          <w:sz w:val="28"/>
          <w:szCs w:val="28"/>
          <w:highlight w:val="none"/>
          <w:u w:val="single"/>
          <w:lang w:val="en-US" w:eastAsia="zh-CN"/>
        </w:rPr>
        <w:t xml:space="preserve">,即供应商在第1包被推荐为中选候选人的，在第2包不得推荐为中选候选人</w:t>
      </w:r>
      <w:r>
        <w:rPr>
          <w:rFonts w:hint="eastAsia" w:ascii="仿宋_GB2312" w:hAnsi="仿宋_GB2312" w:eastAsia="仿宋_GB2312" w:cs="仿宋_GB2312"/>
          <w:b w:val="0"/>
          <w:bCs w:val="0"/>
          <w:color w:val="auto"/>
          <w:sz w:val="28"/>
          <w:szCs w:val="28"/>
          <w:highlight w:val="none"/>
          <w:u w:val="single"/>
        </w:rPr>
        <w:t xml:space="preserve">。</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pStyle w:val="852"/>
        <w:ind w:left="0" w:firstLine="0"/>
        <w:jc w:val="center"/>
        <w:keepLines w:val="0"/>
        <w:keepNext w:val="0"/>
        <w:pageBreakBefore w:val="0"/>
        <w:spacing w:beforeAutospacing="0" w:after="181" w:afterAutospacing="0" w:line="48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rPr>
          <w:rFonts w:hint="eastAsia" w:ascii="黑体" w:hAnsi="黑体" w:eastAsia="黑体" w:cs="黑体"/>
          <w:b w:val="0"/>
          <w:bCs/>
          <w:color w:val="auto"/>
          <w:sz w:val="32"/>
          <w:szCs w:val="32"/>
          <w:highlight w:val="none"/>
          <w:lang w:eastAsia="zh-CN"/>
        </w:rPr>
        <w:t xml:space="preserve">（分包</w:t>
      </w:r>
      <w:r>
        <w:rPr>
          <w:rFonts w:hint="eastAsia" w:ascii="黑体" w:hAnsi="黑体" w:eastAsia="黑体" w:cs="黑体"/>
          <w:b w:val="0"/>
          <w:bCs/>
          <w:color w:val="auto"/>
          <w:sz w:val="32"/>
          <w:szCs w:val="32"/>
          <w:highlight w:val="none"/>
          <w:lang w:val="en-US" w:eastAsia="zh-CN"/>
        </w:rPr>
        <w:t xml:space="preserve">1、</w:t>
      </w:r>
      <w:r>
        <w:rPr>
          <w:rFonts w:hint="eastAsia" w:ascii="黑体" w:hAnsi="黑体" w:eastAsia="黑体" w:cs="黑体"/>
          <w:b w:val="0"/>
          <w:bCs/>
          <w:color w:val="auto"/>
          <w:sz w:val="32"/>
          <w:szCs w:val="32"/>
          <w:highlight w:val="none"/>
          <w:lang w:eastAsia="zh-CN"/>
        </w:rPr>
        <w:t xml:space="preserve">分包</w:t>
      </w:r>
      <w:r>
        <w:rPr>
          <w:rFonts w:hint="eastAsia" w:ascii="黑体" w:hAnsi="黑体" w:eastAsia="黑体" w:cs="黑体"/>
          <w:b w:val="0"/>
          <w:bCs/>
          <w:color w:val="auto"/>
          <w:sz w:val="32"/>
          <w:szCs w:val="32"/>
          <w:highlight w:val="none"/>
          <w:lang w:val="en-US" w:eastAsia="zh-CN"/>
        </w:rPr>
        <w:t xml:space="preserve">2</w:t>
      </w:r>
      <w:r>
        <w:rPr>
          <w:rFonts w:hint="eastAsia" w:ascii="黑体" w:hAnsi="黑体" w:eastAsia="黑体" w:cs="黑体"/>
          <w:b w:val="0"/>
          <w:bCs/>
          <w:color w:val="auto"/>
          <w:sz w:val="32"/>
          <w:szCs w:val="32"/>
          <w:highlight w:val="none"/>
          <w:lang w:eastAsia="zh-CN"/>
        </w:rPr>
        <w:t xml:space="preserve">）</w:t>
      </w:r>
      <w:r/>
    </w:p>
    <w:tbl>
      <w:tblPr>
        <w:tblStyle w:val="828"/>
        <w:tblW w:w="0" w:type="auto"/>
        <w:jc w:val="center"/>
        <w:tblLayout w:type="fixed"/>
        <w:tblCellMar>
          <w:left w:w="108" w:type="dxa"/>
          <w:top w:w="0" w:type="dxa"/>
          <w:right w:w="108" w:type="dxa"/>
          <w:bottom w:w="0" w:type="dxa"/>
        </w:tblCellMar>
        <w:tblLook w:val="04A0" w:firstRow="1" w:lastRow="0" w:firstColumn="1" w:lastColumn="0" w:noHBand="0" w:noVBand="1"/>
      </w:tblPr>
      <w:tblGrid>
        <w:gridCol w:w="1432"/>
        <w:gridCol w:w="6633"/>
        <w:gridCol w:w="893"/>
      </w:tblGrid>
      <w:tr>
        <w:trPr>
          <w:jc w:val="center"/>
          <w:trHeight w:val="68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评分项</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bidi="ar"/>
              </w:rPr>
              <w:t xml:space="preserve">分值</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价格</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bidi="ar"/>
              </w:rPr>
              <w:t xml:space="preserve">价格分采用低价优先法计算，即满足</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文件要求且</w:t>
            </w:r>
            <w:r>
              <w:rPr>
                <w:rFonts w:hint="eastAsia" w:ascii="仿宋_GB2312" w:hAnsi="仿宋_GB2312" w:eastAsia="仿宋_GB2312" w:cs="仿宋_GB2312"/>
                <w:color w:val="auto"/>
                <w:sz w:val="24"/>
                <w:szCs w:val="24"/>
                <w:highlight w:val="none"/>
                <w:lang w:eastAsia="zh-CN" w:bidi="ar"/>
              </w:rPr>
              <w:t xml:space="preserve">最后</w:t>
            </w:r>
            <w:r>
              <w:rPr>
                <w:rFonts w:hint="eastAsia" w:ascii="仿宋_GB2312" w:hAnsi="仿宋_GB2312" w:eastAsia="仿宋_GB2312" w:cs="仿宋_GB2312"/>
                <w:color w:val="auto"/>
                <w:sz w:val="24"/>
                <w:szCs w:val="24"/>
                <w:highlight w:val="none"/>
                <w:lang w:bidi="ar"/>
              </w:rPr>
              <w:t xml:space="preserve">报价最低的供应商</w:t>
            </w:r>
            <w:r>
              <w:rPr>
                <w:rFonts w:hint="eastAsia" w:ascii="仿宋_GB2312" w:hAnsi="仿宋_GB2312" w:eastAsia="仿宋_GB2312" w:cs="仿宋_GB2312"/>
                <w:color w:val="auto"/>
                <w:sz w:val="24"/>
                <w:szCs w:val="24"/>
                <w:highlight w:val="none"/>
                <w:lang w:eastAsia="zh-CN" w:bidi="ar"/>
              </w:rPr>
              <w:t xml:space="preserve">的</w:t>
            </w:r>
            <w:r>
              <w:rPr>
                <w:rFonts w:hint="eastAsia" w:ascii="仿宋_GB2312" w:hAnsi="仿宋_GB2312" w:eastAsia="仿宋_GB2312" w:cs="仿宋_GB2312"/>
                <w:color w:val="auto"/>
                <w:sz w:val="24"/>
                <w:szCs w:val="24"/>
                <w:highlight w:val="none"/>
                <w:lang w:bidi="ar"/>
              </w:rPr>
              <w:t xml:space="preserve">报价为</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基准价，其价格分为满分</w:t>
            </w:r>
            <w:r>
              <w:rPr>
                <w:rFonts w:hint="eastAsia" w:ascii="仿宋_GB2312" w:hAnsi="仿宋_GB2312" w:eastAsia="仿宋_GB2312" w:cs="仿宋_GB2312"/>
                <w:color w:val="auto"/>
                <w:sz w:val="24"/>
                <w:szCs w:val="24"/>
                <w:highlight w:val="none"/>
                <w:lang w:val="en-US" w:eastAsia="zh-CN" w:bidi="ar"/>
              </w:rPr>
              <w:t xml:space="preserve">10</w:t>
            </w:r>
            <w:r>
              <w:rPr>
                <w:rFonts w:hint="eastAsia" w:ascii="仿宋_GB2312" w:hAnsi="仿宋_GB2312" w:eastAsia="仿宋_GB2312" w:cs="仿宋_GB2312"/>
                <w:color w:val="auto"/>
                <w:sz w:val="24"/>
                <w:szCs w:val="24"/>
                <w:highlight w:val="none"/>
                <w:lang w:bidi="ar"/>
              </w:rPr>
              <w:t xml:space="preserve">分，其它供应商的价格分统一按照以下公式计算：</w:t>
            </w:r>
            <w:r/>
          </w:p>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报价得分=(</w:t>
            </w:r>
            <w:r>
              <w:rPr>
                <w:rFonts w:hint="eastAsia" w:ascii="仿宋_GB2312" w:hAnsi="仿宋_GB2312" w:eastAsia="仿宋_GB2312" w:cs="仿宋_GB2312"/>
                <w:color w:val="auto"/>
                <w:sz w:val="24"/>
                <w:szCs w:val="24"/>
                <w:highlight w:val="none"/>
                <w:lang w:eastAsia="zh-CN" w:bidi="ar"/>
              </w:rPr>
              <w:t xml:space="preserve">磋商</w:t>
            </w:r>
            <w:r>
              <w:rPr>
                <w:rFonts w:hint="eastAsia" w:ascii="仿宋_GB2312" w:hAnsi="仿宋_GB2312" w:eastAsia="仿宋_GB2312" w:cs="仿宋_GB2312"/>
                <w:color w:val="auto"/>
                <w:sz w:val="24"/>
                <w:szCs w:val="24"/>
                <w:highlight w:val="none"/>
                <w:lang w:bidi="ar"/>
              </w:rPr>
              <w:t xml:space="preserve">基准价/</w:t>
            </w:r>
            <w:r>
              <w:rPr>
                <w:rFonts w:hint="eastAsia" w:ascii="仿宋_GB2312" w:hAnsi="仿宋_GB2312" w:eastAsia="仿宋_GB2312" w:cs="仿宋_GB2312"/>
                <w:color w:val="auto"/>
                <w:sz w:val="24"/>
                <w:szCs w:val="24"/>
                <w:highlight w:val="none"/>
                <w:lang w:eastAsia="zh-CN" w:bidi="ar"/>
              </w:rPr>
              <w:t xml:space="preserve">最后磋商</w:t>
            </w:r>
            <w:r>
              <w:rPr>
                <w:rFonts w:hint="eastAsia" w:ascii="仿宋_GB2312" w:hAnsi="仿宋_GB2312" w:eastAsia="仿宋_GB2312" w:cs="仿宋_GB2312"/>
                <w:color w:val="auto"/>
                <w:sz w:val="24"/>
                <w:szCs w:val="24"/>
                <w:highlight w:val="none"/>
                <w:lang w:bidi="ar"/>
              </w:rPr>
              <w:t xml:space="preserve">报价)×</w:t>
            </w:r>
            <w:r>
              <w:rPr>
                <w:rFonts w:hint="eastAsia" w:ascii="仿宋_GB2312" w:hAnsi="仿宋_GB2312" w:eastAsia="仿宋_GB2312" w:cs="仿宋_GB2312"/>
                <w:color w:val="auto"/>
                <w:sz w:val="24"/>
                <w:szCs w:val="24"/>
                <w:highlight w:val="none"/>
                <w:lang w:val="en-US" w:eastAsia="zh-CN" w:bidi="ar"/>
              </w:rPr>
              <w:t xml:space="preserve">10</w:t>
            </w:r>
            <w:r>
              <w:rPr>
                <w:rFonts w:hint="eastAsia" w:ascii="仿宋_GB2312" w:hAnsi="仿宋_GB2312" w:eastAsia="仿宋_GB2312" w:cs="仿宋_GB2312"/>
                <w:color w:val="auto"/>
                <w:sz w:val="24"/>
                <w:szCs w:val="24"/>
                <w:highlight w:val="none"/>
                <w:lang w:bidi="ar"/>
              </w:rPr>
              <w:t xml:space="preserve">分。</w:t>
            </w:r>
            <w:r/>
          </w:p>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bidi="ar"/>
              </w:rPr>
            </w:pPr>
            <w:r>
              <w:rPr>
                <w:rFonts w:hint="eastAsia" w:ascii="仿宋_GB2312" w:hAnsi="仿宋_GB2312" w:eastAsia="仿宋_GB2312" w:cs="仿宋_GB2312"/>
                <w:color w:val="auto"/>
                <w:sz w:val="24"/>
                <w:szCs w:val="24"/>
                <w:highlight w:val="none"/>
                <w:lang w:eastAsia="zh-CN" w:bidi="ar"/>
              </w:rPr>
              <w:t xml:space="preserve">（</w:t>
            </w:r>
            <w:r>
              <w:rPr>
                <w:rFonts w:hint="eastAsia" w:ascii="仿宋_GB2312" w:hAnsi="仿宋_GB2312" w:eastAsia="仿宋_GB2312" w:cs="仿宋_GB2312"/>
                <w:color w:val="auto"/>
                <w:sz w:val="24"/>
                <w:szCs w:val="24"/>
                <w:highlight w:val="none"/>
                <w:lang w:bidi="ar"/>
              </w:rPr>
              <w:t xml:space="preserve">四舍五入保留两位小数</w:t>
            </w:r>
            <w:r>
              <w:rPr>
                <w:rFonts w:hint="eastAsia" w:ascii="仿宋_GB2312" w:hAnsi="仿宋_GB2312" w:eastAsia="仿宋_GB2312" w:cs="仿宋_GB2312"/>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10</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bidi="ar"/>
              </w:rPr>
              <w:t xml:space="preserve">所有技术指标均满足磋商文件技术参数要求的，得30分。标注▲的内容，有1项不满足的扣4分；未标注▲的内容，有1项不满足的扣2分，本项扣完为止。</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bidi="ar"/>
              </w:rPr>
              <w:t xml:space="preserve">30</w:t>
            </w:r>
            <w:r/>
          </w:p>
        </w:tc>
      </w:tr>
      <w:tr>
        <w:trPr>
          <w:jc w:val="center"/>
          <w:trHeight w:val="107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拟投入项目人员</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1.项目经理：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具有高级工程师（</w:t>
            </w:r>
            <w:r>
              <w:rPr>
                <w:rFonts w:hint="eastAsia" w:ascii="仿宋_GB2312" w:hAnsi="仿宋_GB2312" w:eastAsia="仿宋_GB2312" w:cs="仿宋_GB2312"/>
                <w:color w:val="auto"/>
                <w:sz w:val="24"/>
                <w:szCs w:val="24"/>
                <w:highlight w:val="none"/>
                <w:lang w:val="en-US" w:eastAsia="zh-CN"/>
              </w:rPr>
              <w:t xml:space="preserve">通信类</w:t>
            </w:r>
            <w:r>
              <w:rPr>
                <w:rFonts w:hint="eastAsia" w:ascii="仿宋_GB2312" w:hAnsi="仿宋_GB2312" w:eastAsia="仿宋_GB2312" w:cs="仿宋_GB2312"/>
                <w:color w:val="auto"/>
                <w:sz w:val="24"/>
                <w:szCs w:val="24"/>
                <w:highlight w:val="none"/>
              </w:rPr>
              <w:t xml:space="preserve">）、信息系统项目管理师</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每提供1个</w:t>
            </w:r>
            <w:r>
              <w:rPr>
                <w:rFonts w:hint="eastAsia" w:ascii="仿宋_GB2312" w:hAnsi="仿宋_GB2312" w:eastAsia="仿宋_GB2312" w:cs="仿宋_GB2312"/>
                <w:color w:val="auto"/>
                <w:sz w:val="24"/>
                <w:szCs w:val="24"/>
                <w:highlight w:val="none"/>
                <w:lang w:eastAsia="zh-CN"/>
              </w:rPr>
              <w:t xml:space="preserve">证书</w:t>
            </w:r>
            <w:r>
              <w:rPr>
                <w:rFonts w:hint="eastAsia" w:ascii="仿宋_GB2312" w:hAnsi="仿宋_GB2312" w:eastAsia="仿宋_GB2312" w:cs="仿宋_GB2312"/>
                <w:color w:val="auto"/>
                <w:sz w:val="24"/>
                <w:szCs w:val="24"/>
                <w:highlight w:val="none"/>
              </w:rPr>
              <w:t xml:space="preserve">得</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分，本项最高得</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分。</w:t>
            </w:r>
            <w:r/>
          </w:p>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2.团队</w:t>
            </w:r>
            <w:r>
              <w:rPr>
                <w:rFonts w:hint="eastAsia" w:ascii="仿宋_GB2312" w:hAnsi="仿宋_GB2312" w:eastAsia="仿宋_GB2312" w:cs="仿宋_GB2312"/>
                <w:b/>
                <w:bCs/>
                <w:color w:val="auto"/>
                <w:sz w:val="24"/>
                <w:szCs w:val="24"/>
                <w:highlight w:val="none"/>
                <w:lang w:val="en-US" w:eastAsia="zh-CN"/>
              </w:rPr>
              <w:t xml:space="preserve">成员</w:t>
            </w:r>
            <w:r>
              <w:rPr>
                <w:rFonts w:hint="eastAsia" w:ascii="仿宋_GB2312" w:hAnsi="仿宋_GB2312" w:eastAsia="仿宋_GB2312" w:cs="仿宋_GB2312"/>
                <w:b/>
                <w:bCs/>
                <w:color w:val="auto"/>
                <w:sz w:val="24"/>
                <w:szCs w:val="24"/>
                <w:highlight w:val="none"/>
              </w:rPr>
              <w:t xml:space="preserve">：</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具有高级工程师（通信</w:t>
            </w:r>
            <w:r>
              <w:rPr>
                <w:rFonts w:hint="eastAsia" w:ascii="仿宋_GB2312" w:hAnsi="仿宋_GB2312" w:eastAsia="仿宋_GB2312" w:cs="仿宋_GB2312"/>
                <w:color w:val="auto"/>
                <w:sz w:val="24"/>
                <w:szCs w:val="24"/>
                <w:highlight w:val="none"/>
                <w:lang w:val="en-US" w:eastAsia="zh-CN"/>
              </w:rPr>
              <w:t xml:space="preserve">类</w:t>
            </w:r>
            <w:r>
              <w:rPr>
                <w:rFonts w:hint="eastAsia" w:ascii="仿宋_GB2312" w:hAnsi="仿宋_GB2312" w:eastAsia="仿宋_GB2312" w:cs="仿宋_GB2312"/>
                <w:color w:val="auto"/>
                <w:sz w:val="24"/>
                <w:szCs w:val="24"/>
                <w:highlight w:val="none"/>
              </w:rPr>
              <w:t xml:space="preserve">）、信息系统项目管理师</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lang w:eastAsia="zh-CN"/>
              </w:rPr>
              <w:t xml:space="preserve">，每提供1个证书得2分，最高得</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lang w:eastAsia="zh-CN"/>
              </w:rPr>
              <w:t xml:space="preserve">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具有通信专业技术人员职业</w:t>
            </w:r>
            <w:r>
              <w:rPr>
                <w:rFonts w:hint="eastAsia" w:ascii="仿宋_GB2312" w:hAnsi="仿宋_GB2312" w:eastAsia="仿宋_GB2312" w:cs="仿宋_GB2312"/>
                <w:color w:val="auto"/>
                <w:sz w:val="24"/>
                <w:szCs w:val="24"/>
                <w:highlight w:val="none"/>
                <w:lang w:val="en-US" w:eastAsia="zh-CN"/>
              </w:rPr>
              <w:t xml:space="preserve">证书</w:t>
            </w:r>
            <w:r>
              <w:rPr>
                <w:rFonts w:hint="eastAsia" w:ascii="仿宋_GB2312" w:hAnsi="仿宋_GB2312" w:eastAsia="仿宋_GB2312" w:cs="仿宋_GB2312"/>
                <w:color w:val="auto"/>
                <w:sz w:val="24"/>
                <w:szCs w:val="24"/>
                <w:highlight w:val="none"/>
              </w:rPr>
              <w:t xml:space="preserve">（中级）、网络工程师（中级），</w:t>
            </w:r>
            <w:r>
              <w:rPr>
                <w:rFonts w:hint="eastAsia" w:ascii="仿宋_GB2312" w:hAnsi="仿宋_GB2312" w:eastAsia="仿宋_GB2312" w:cs="仿宋_GB2312"/>
                <w:color w:val="auto"/>
                <w:sz w:val="24"/>
                <w:szCs w:val="24"/>
                <w:highlight w:val="none"/>
                <w:lang w:eastAsia="zh-CN"/>
              </w:rPr>
              <w:t xml:space="preserve">每提供1个证书得</w:t>
            </w: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lang w:eastAsia="zh-CN"/>
              </w:rPr>
              <w:t xml:space="preserve">分，最高得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lang w:eastAsia="zh-CN"/>
              </w:rPr>
              <w:t xml:space="preserve">分；</w:t>
            </w:r>
            <w:r/>
          </w:p>
          <w:p>
            <w:pPr>
              <w:jc w:val="left"/>
              <w:keepLines w:val="0"/>
              <w:keepNext w:val="0"/>
              <w:pageBreakBefore w:val="0"/>
              <w:spacing w:line="40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注：</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1.提供上述证书扫描件及近6个月内任意一个月</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为其缴纳社保</w:t>
            </w:r>
            <w:r>
              <w:rPr>
                <w:rFonts w:hint="eastAsia" w:ascii="仿宋_GB2312" w:hAnsi="仿宋_GB2312" w:eastAsia="仿宋_GB2312" w:cs="仿宋_GB2312"/>
                <w:color w:val="auto"/>
                <w:sz w:val="24"/>
                <w:szCs w:val="24"/>
                <w:highlight w:val="none"/>
                <w:lang w:val="en-US" w:eastAsia="zh-CN"/>
              </w:rPr>
              <w:t xml:space="preserve">的</w:t>
            </w:r>
            <w:r>
              <w:rPr>
                <w:rFonts w:hint="eastAsia" w:ascii="仿宋_GB2312" w:hAnsi="仿宋_GB2312" w:eastAsia="仿宋_GB2312" w:cs="仿宋_GB2312"/>
                <w:color w:val="auto"/>
                <w:sz w:val="24"/>
                <w:szCs w:val="24"/>
                <w:highlight w:val="none"/>
              </w:rPr>
              <w:t xml:space="preserve">证明</w:t>
            </w:r>
            <w:r>
              <w:rPr>
                <w:rFonts w:hint="eastAsia" w:ascii="仿宋_GB2312" w:hAnsi="仿宋_GB2312" w:eastAsia="仿宋_GB2312" w:cs="仿宋_GB2312"/>
                <w:color w:val="auto"/>
                <w:sz w:val="24"/>
                <w:szCs w:val="24"/>
                <w:highlight w:val="none"/>
                <w:lang w:eastAsia="zh-CN"/>
              </w:rPr>
              <w:t xml:space="preserve">材料</w:t>
            </w:r>
            <w:r>
              <w:rPr>
                <w:rFonts w:hint="eastAsia" w:ascii="仿宋_GB2312" w:hAnsi="仿宋_GB2312" w:eastAsia="仿宋_GB2312" w:cs="仿宋_GB2312"/>
                <w:color w:val="auto"/>
                <w:sz w:val="24"/>
                <w:szCs w:val="24"/>
                <w:highlight w:val="none"/>
              </w:rPr>
              <w:t xml:space="preserve">扫描件</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（如供应商拟投入项目人员由供应商的上级机构统一缴纳社保，也可提供相关情况说明加盖供应商公章，以及上级机构为该人员缴纳社保的证明扫描件）</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eastAsia="zh-CN"/>
              </w:rPr>
              <w:t xml:space="preserve">项目</w:t>
            </w:r>
            <w:r>
              <w:rPr>
                <w:rFonts w:hint="eastAsia" w:ascii="仿宋_GB2312" w:hAnsi="仿宋_GB2312" w:eastAsia="仿宋_GB2312" w:cs="仿宋_GB2312"/>
                <w:color w:val="auto"/>
                <w:sz w:val="24"/>
                <w:szCs w:val="24"/>
                <w:highlight w:val="none"/>
              </w:rPr>
              <w:t xml:space="preserve">实施团队中提供不同成员的同类证书，该同类证书视为1个。</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2</w:t>
            </w:r>
            <w:r/>
          </w:p>
        </w:tc>
      </w:tr>
      <w:tr>
        <w:trPr>
          <w:jc w:val="center"/>
          <w:trHeight w:val="1095"/>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总体方案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供应商应根据项目建设目标、要求、内容等制定实施及建设总体方案。方案优于磋商文件要求的得6分，符合磋商文件要求的得3分，不符合磋商文件要求或未提供的不得分。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业务服务方案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供应商提供不中断服务方案，包括但不限于网络出口的负载均衡和冗余。</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日常服务方案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提供日常服务方案，包括但不限于服务标准、日常监控、服务报告等。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线路服务保障方案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提供维护服务方案，包括定期现场巡检、重大节假日排查、详细的组网和设备技术文档、配合进行网络结构调整割接等。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 xml:space="preserve">应急处理方案</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提供应急处理方案，包括但不限于应急保障机制、突发事件应急预案、故障处理、故障报告等。</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bidi="ar"/>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业务过渡平滑性</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为保障采购人业务的连续性，</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应在充分调研客户业务架构和运行情况的基础上，就电子政务外网制定符合项目需求的组网方案，尽可能降低实施过程对现有网络运行的影响。</w:t>
            </w:r>
            <w:r>
              <w:rPr>
                <w:rFonts w:hint="eastAsia" w:ascii="仿宋_GB2312" w:hAnsi="仿宋_GB2312" w:eastAsia="仿宋_GB2312" w:cs="仿宋_GB2312"/>
                <w:color w:val="auto"/>
                <w:sz w:val="24"/>
                <w:szCs w:val="24"/>
                <w:highlight w:val="none"/>
                <w:lang w:val="en-US" w:eastAsia="zh-CN"/>
              </w:rPr>
              <w:t xml:space="preserve">方案优于磋商文件要求的得6分，符合磋商文件要求的得3分，不符合磋商文件要求或未提供的不得分。</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bidi="ar"/>
              </w:rPr>
              <w:t xml:space="preserve">6</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6633" w:type="dxa"/>
            <w:vAlign w:val="center"/>
            <w:textDirection w:val="lrTb"/>
            <w:noWrap w:val="false"/>
          </w:tcPr>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提供自202</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年1月1日以来专线组网类合同（或协议）：</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（1）每提供一个电子政务网类合同案例，得3分，本项最高得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（2）每提供一个除电子政务网类合同案例的其他业务专线合同案例，得1分，本项最高得3分。</w:t>
            </w:r>
            <w:r/>
          </w:p>
          <w:p>
            <w:pPr>
              <w:jc w:val="left"/>
              <w:keepLines w:val="0"/>
              <w:keepNext w:val="0"/>
              <w:pageBreakBefore w:val="0"/>
              <w:spacing w:line="400" w:lineRule="exact"/>
              <w:widowControl/>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 xml:space="preserve">注：</w:t>
            </w:r>
            <w:r>
              <w:rPr>
                <w:rFonts w:hint="eastAsia" w:ascii="仿宋_GB2312" w:hAnsi="仿宋_GB2312" w:eastAsia="仿宋_GB2312" w:cs="仿宋_GB2312"/>
                <w:color w:val="auto"/>
                <w:sz w:val="24"/>
                <w:szCs w:val="24"/>
                <w:highlight w:val="none"/>
              </w:rPr>
              <w:t xml:space="preserve">须提供有效合同复印件并加盖</w:t>
            </w:r>
            <w:r>
              <w:rPr>
                <w:rFonts w:hint="eastAsia" w:ascii="仿宋_GB2312" w:hAnsi="仿宋_GB2312" w:eastAsia="仿宋_GB2312" w:cs="仿宋_GB2312"/>
                <w:color w:val="auto"/>
                <w:sz w:val="24"/>
                <w:szCs w:val="24"/>
                <w:highlight w:val="none"/>
                <w:lang w:val="en-US" w:eastAsia="zh-CN"/>
              </w:rPr>
              <w:t xml:space="preserve">供应商</w:t>
            </w:r>
            <w:r>
              <w:rPr>
                <w:rFonts w:hint="eastAsia" w:ascii="仿宋_GB2312" w:hAnsi="仿宋_GB2312" w:eastAsia="仿宋_GB2312" w:cs="仿宋_GB2312"/>
                <w:color w:val="auto"/>
                <w:sz w:val="24"/>
                <w:szCs w:val="24"/>
                <w:highlight w:val="none"/>
              </w:rPr>
              <w:t xml:space="preserve">公章。</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pageBreakBefore w:val="0"/>
              <w:spacing w:line="380" w:lineRule="exact"/>
              <w:widowControl/>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bidi="ar"/>
              </w:rPr>
              <w:t xml:space="preserve">12</w:t>
            </w:r>
            <w:r/>
          </w:p>
        </w:tc>
      </w:tr>
    </w:tbl>
    <w:p>
      <w:pPr>
        <w:pStyle w:val="852"/>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854"/>
        <w:ind w:firstLine="560"/>
        <w:keepLines w:val="0"/>
        <w:keepNext w:val="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clear="all"/>
      </w:r>
      <w:r/>
    </w:p>
    <w:p>
      <w:pPr>
        <w:rPr>
          <w:rFonts w:hint="eastAsia"/>
        </w:rPr>
      </w:pPr>
      <w:r>
        <w:rPr>
          <w:rFonts w:hint="eastAsia"/>
        </w:rPr>
      </w:r>
      <w:r/>
    </w:p>
    <w:p>
      <w:pPr>
        <w:pStyle w:val="862"/>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7"/>
      <w:r/>
      <w:bookmarkEnd w:id="188"/>
      <w:r/>
      <w:bookmarkEnd w:id="190"/>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191" w:name="_Hlt26671244"/>
      <w:r/>
      <w:bookmarkEnd w:id="191"/>
      <w:r/>
      <w:bookmarkStart w:id="192" w:name="_Hlt26955039"/>
      <w:r/>
      <w:bookmarkEnd w:id="192"/>
      <w:r/>
      <w:bookmarkStart w:id="193" w:name="_Toc26554094"/>
      <w:r/>
      <w:bookmarkStart w:id="194" w:name="_Toc120614282"/>
      <w:r/>
      <w:bookmarkStart w:id="195"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年内在经营活动中没有重大违法记录的书面声明</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六、特定资格要求的证明文件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u w:val="none"/>
          <w:lang w:eastAsia="zh-CN"/>
        </w:rPr>
      </w:pPr>
      <w:r>
        <w:rPr>
          <w:rFonts w:hint="eastAsia" w:ascii="黑体" w:hAnsi="黑体" w:eastAsia="黑体" w:cs="黑体"/>
          <w:b w:val="0"/>
          <w:bCs w:val="0"/>
          <w:i w:val="0"/>
          <w:iCs/>
          <w:sz w:val="28"/>
          <w:szCs w:val="28"/>
          <w:u w:val="none"/>
        </w:rPr>
        <w:t xml:space="preserve">九、</w:t>
      </w:r>
      <w:r>
        <w:rPr>
          <w:rFonts w:hint="eastAsia" w:ascii="黑体" w:hAnsi="黑体" w:eastAsia="黑体" w:cs="黑体"/>
          <w:b w:val="0"/>
          <w:bCs w:val="0"/>
          <w:i w:val="0"/>
          <w:iCs/>
          <w:sz w:val="28"/>
          <w:szCs w:val="28"/>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一</w:t>
      </w:r>
      <w:r>
        <w:rPr>
          <w:rFonts w:hint="eastAsia" w:ascii="黑体" w:hAnsi="黑体" w:eastAsia="黑体" w:cs="黑体"/>
          <w:b w:val="0"/>
          <w:bCs w:val="0"/>
          <w:i w:val="0"/>
          <w:iCs/>
          <w:color w:val="auto"/>
          <w:sz w:val="28"/>
          <w:szCs w:val="28"/>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二</w:t>
      </w:r>
      <w:r>
        <w:rPr>
          <w:rFonts w:hint="eastAsia" w:ascii="黑体" w:hAnsi="黑体" w:eastAsia="黑体" w:cs="黑体"/>
          <w:b w:val="0"/>
          <w:bCs w:val="0"/>
          <w:i w:val="0"/>
          <w:iCs/>
          <w:color w:val="auto"/>
          <w:sz w:val="28"/>
          <w:szCs w:val="28"/>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三</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服务</w:t>
      </w:r>
      <w:r>
        <w:rPr>
          <w:rFonts w:hint="eastAsia" w:ascii="黑体" w:hAnsi="黑体" w:eastAsia="黑体" w:cs="黑体"/>
          <w:b w:val="0"/>
          <w:bCs w:val="0"/>
          <w:i w:val="0"/>
          <w:iCs/>
          <w:color w:val="auto"/>
          <w:sz w:val="28"/>
          <w:szCs w:val="28"/>
          <w:u w:val="none"/>
        </w:rPr>
        <w:t xml:space="preserve">响应要求及偏离表</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lang w:eastAsia="zh-CN"/>
        </w:rPr>
        <w:t xml:space="preserve">十四、</w:t>
      </w:r>
      <w:r>
        <w:rPr>
          <w:rFonts w:hint="eastAsia" w:ascii="黑体" w:hAnsi="黑体" w:eastAsia="黑体" w:cs="黑体"/>
          <w:b w:val="0"/>
          <w:bCs w:val="0"/>
          <w:i w:val="0"/>
          <w:iCs/>
          <w:color w:val="auto"/>
          <w:sz w:val="28"/>
          <w:szCs w:val="28"/>
          <w:u w:val="none"/>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t xml:space="preserve">十</w:t>
      </w:r>
      <w:r>
        <w:rPr>
          <w:rFonts w:hint="eastAsia" w:ascii="黑体" w:hAnsi="黑体" w:eastAsia="黑体" w:cs="黑体"/>
          <w:b w:val="0"/>
          <w:bCs w:val="0"/>
          <w:i w:val="0"/>
          <w:iCs/>
          <w:color w:val="auto"/>
          <w:sz w:val="28"/>
          <w:szCs w:val="28"/>
          <w:u w:val="none"/>
          <w:lang w:eastAsia="zh-CN"/>
        </w:rPr>
        <w:t xml:space="preserve">五</w:t>
      </w:r>
      <w:r>
        <w:rPr>
          <w:rFonts w:hint="eastAsia" w:ascii="黑体" w:hAnsi="黑体" w:eastAsia="黑体" w:cs="黑体"/>
          <w:b w:val="0"/>
          <w:bCs w:val="0"/>
          <w:i w:val="0"/>
          <w:iCs/>
          <w:color w:val="auto"/>
          <w:sz w:val="28"/>
          <w:szCs w:val="28"/>
          <w:u w:val="none"/>
        </w:rPr>
        <w:t xml:space="preserve">、</w:t>
      </w:r>
      <w:r>
        <w:rPr>
          <w:rFonts w:hint="eastAsia" w:ascii="黑体" w:hAnsi="黑体" w:eastAsia="黑体" w:cs="黑体"/>
          <w:b w:val="0"/>
          <w:bCs w:val="0"/>
          <w:i w:val="0"/>
          <w:iCs/>
          <w:color w:val="auto"/>
          <w:sz w:val="28"/>
          <w:szCs w:val="28"/>
          <w:u w:val="none"/>
          <w:lang w:eastAsia="zh-CN"/>
        </w:rPr>
        <w:t xml:space="preserve">磋商</w:t>
      </w:r>
      <w:r>
        <w:rPr>
          <w:rFonts w:hint="eastAsia" w:ascii="黑体" w:hAnsi="黑体" w:eastAsia="黑体" w:cs="黑体"/>
          <w:b w:val="0"/>
          <w:bCs w:val="0"/>
          <w:i w:val="0"/>
          <w:iCs/>
          <w:color w:val="auto"/>
          <w:sz w:val="28"/>
          <w:szCs w:val="28"/>
          <w:u w:val="none"/>
        </w:rPr>
        <w:t xml:space="preserve">文件中要求提供的承诺、声明等材料或供应商认为需要提供的其他资料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firstLine="560"/>
        <w:keepLines w:val="0"/>
        <w:keepNext w:val="0"/>
        <w:pageBreakBefore w:val="0"/>
        <w:spacing w:line="500" w:lineRule="exact"/>
        <w:widowControl w:val="off"/>
        <w:rPr>
          <w:rFonts w:hint="eastAsia" w:ascii="仿宋_GB2312" w:hAnsi="仿宋_GB2312" w:eastAsia="仿宋_GB2312" w:cs="仿宋_GB2312"/>
          <w:i w:val="0"/>
          <w:iCs w:val="0"/>
          <w:color w:val="auto"/>
          <w:sz w:val="28"/>
          <w:szCs w:val="28"/>
          <w:u w:val="none"/>
          <w:lang w:val="en-US" w:eastAsia="zh-CN"/>
        </w:rPr>
      </w:pPr>
      <w:r>
        <w:rPr>
          <w:rFonts w:hint="eastAsia" w:ascii="仿宋_GB2312" w:hAnsi="仿宋_GB2312" w:eastAsia="仿宋_GB2312" w:cs="仿宋_GB2312"/>
          <w:i w:val="0"/>
          <w:iCs w:val="0"/>
          <w:sz w:val="28"/>
          <w:szCs w:val="28"/>
          <w:u w:val="none"/>
        </w:rPr>
        <w:t xml:space="preserve"> </w:t>
      </w:r>
      <w:r>
        <w:rPr>
          <w:rFonts w:hint="eastAsia" w:ascii="仿宋_GB2312" w:hAnsi="仿宋_GB2312" w:eastAsia="仿宋_GB2312" w:cs="仿宋_GB2312"/>
          <w:i w:val="0"/>
          <w:iCs w:val="0"/>
          <w:sz w:val="28"/>
          <w:szCs w:val="28"/>
          <w:highlight w:val="none"/>
          <w:u w:val="none"/>
        </w:rPr>
        <w:t xml:space="preserve"> </w:t>
      </w:r>
      <w:r>
        <w:rPr>
          <w:rFonts w:hint="eastAsia" w:ascii="仿宋_GB2312" w:hAnsi="仿宋_GB2312" w:eastAsia="仿宋_GB2312" w:cs="仿宋_GB2312"/>
          <w:i w:val="0"/>
          <w:iCs w:val="0"/>
          <w:color w:val="auto"/>
          <w:sz w:val="28"/>
          <w:szCs w:val="28"/>
          <w:u w:val="none"/>
          <w:lang w:val="en-US" w:eastAsia="zh-CN"/>
        </w:rPr>
        <w:t xml:space="preserve">1.具有基础电信业务经营许可的法人或其分支机构，提供许可证或资质证书扫描件。</w:t>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rPr>
          <w:rFonts w:hint="eastAsia" w:ascii="仿宋_GB2312" w:hAnsi="仿宋_GB2312" w:eastAsia="仿宋_GB2312" w:cs="仿宋_GB2312"/>
          <w:i w:val="0"/>
          <w:iCs w:val="0"/>
          <w:color w:val="auto"/>
          <w:sz w:val="28"/>
          <w:szCs w:val="28"/>
          <w:u w:val="none"/>
          <w:lang w:val="en-US" w:eastAsia="zh-CN"/>
        </w:rPr>
        <w:t xml:space="preserve">2.接受分公司投标，总公司（法人）和分公司不得同时参与本项目投标，同一法人的不同分支机构不得同时参与本项目投标。</w:t>
      </w:r>
      <w:r>
        <w:rPr>
          <w:rFonts w:hint="eastAsia" w:ascii="仿宋_GB2312" w:hAnsi="仿宋_GB2312" w:eastAsia="仿宋_GB2312" w:cs="仿宋_GB2312"/>
          <w:i w:val="0"/>
          <w:iCs w:val="0"/>
          <w:sz w:val="28"/>
          <w:szCs w:val="28"/>
          <w:u w:val="none"/>
          <w:lang w:eastAsia="zh-CN"/>
        </w:rPr>
        <w:t xml:space="preserve">（供应商需提供承诺函，格式自拟）</w:t>
      </w:r>
      <w:bookmarkEnd w:id="193"/>
      <w:r/>
      <w:bookmarkEnd w:id="194"/>
      <w:r/>
      <w:bookmarkEnd w:id="195"/>
      <w:r/>
      <w:r/>
    </w:p>
    <w:p>
      <w:pPr>
        <w:ind w:left="0" w:right="0" w:firstLine="560"/>
        <w:pageBreakBefore w:val="0"/>
        <w:spacing w:line="520" w:lineRule="exact"/>
        <w:rPr>
          <w:rFonts w:hint="eastAsia" w:ascii="仿宋_GB2312" w:hAnsi="仿宋_GB2312" w:eastAsia="仿宋_GB2312" w:cs="仿宋_GB2312"/>
          <w:bCs/>
          <w:i w:val="0"/>
          <w:iCs w:val="0"/>
          <w:sz w:val="28"/>
          <w:szCs w:val="28"/>
          <w:highlight w:val="yellow"/>
          <w:u w:val="none"/>
        </w:rPr>
      </w:pPr>
      <w:r/>
      <w:bookmarkStart w:id="196" w:name="_Toc120614284"/>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97" w:name="_Hlt26955070"/>
      <w:r/>
      <w:bookmarkEnd w:id="197"/>
      <w:r/>
      <w:bookmarkStart w:id="198" w:name="_Hlt26671380"/>
      <w:r/>
      <w:bookmarkEnd w:id="198"/>
      <w:r/>
      <w:bookmarkStart w:id="199" w:name="_格式3__银行出具的资信证明"/>
      <w:r/>
      <w:bookmarkEnd w:id="199"/>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right="0"/>
        <w:jc w:val="center"/>
        <w:keepLines/>
        <w:keepNext/>
        <w:pageBreakBefore w:val="0"/>
        <w:spacing w:line="520" w:lineRule="exact"/>
        <w:rPr>
          <w:rFonts w:hint="eastAsia" w:ascii="黑体" w:hAnsi="黑体" w:eastAsia="黑体" w:cs="黑体"/>
          <w:b w:val="0"/>
          <w:bCs/>
          <w:i w:val="0"/>
          <w:iCs/>
          <w:sz w:val="32"/>
          <w:szCs w:val="32"/>
          <w:u w:val="none"/>
        </w:rPr>
        <w:outlineLvl w:val="1"/>
      </w:pPr>
      <w:r>
        <w:rPr>
          <w:rFonts w:hint="eastAsia" w:ascii="黑体" w:hAnsi="黑体" w:eastAsia="黑体" w:cs="黑体"/>
          <w:b w:val="0"/>
          <w:bCs/>
          <w:i w:val="0"/>
          <w:iCs/>
          <w:sz w:val="32"/>
          <w:szCs w:val="32"/>
          <w:u w:val="none"/>
        </w:rPr>
        <w:t xml:space="preserve">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00" w:name="TBR"/>
      <w:r/>
      <w:bookmarkEnd w:id="200"/>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01" w:name="XMMC"/>
      <w:r/>
      <w:bookmarkEnd w:id="20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02" w:name="XMBH"/>
      <w:r/>
      <w:bookmarkEnd w:id="202"/>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03" w:name="FBH"/>
      <w:r/>
      <w:bookmarkEnd w:id="203"/>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828"/>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04" w:name="JEDX"/>
            <w:r/>
            <w:bookmarkEnd w:id="204"/>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05" w:name="JEXX"/>
            <w:r/>
            <w:bookmarkEnd w:id="205"/>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06" w:name="NF"/>
      <w:r/>
      <w:bookmarkEnd w:id="206"/>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07" w:name="YF"/>
      <w:r/>
      <w:bookmarkEnd w:id="207"/>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08" w:name="RI"/>
      <w:r/>
      <w:bookmarkEnd w:id="20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简体" w:hAnsi="方正小标宋简体" w:eastAsia="方正小标宋简体" w:cs="方正小标宋简体"/>
          <w:sz w:val="40"/>
          <w:szCs w:val="40"/>
          <w:highlight w:val="yellow"/>
        </w:rPr>
      </w:pPr>
      <w:r>
        <w:rPr>
          <w:rFonts w:hint="eastAsia" w:ascii="方正小标宋简体" w:hAnsi="方正小标宋简体" w:eastAsia="方正小标宋简体" w:cs="方正小标宋简体"/>
          <w:sz w:val="40"/>
          <w:szCs w:val="40"/>
          <w:highlight w:val="yellow"/>
        </w:rPr>
        <w:t xml:space="preserve">报价合理性</w:t>
      </w:r>
      <w:r>
        <w:rPr>
          <w:rFonts w:hint="eastAsia" w:ascii="方正小标宋简体" w:hAnsi="方正小标宋简体" w:eastAsia="方正小标宋简体" w:cs="方正小标宋简体"/>
          <w:sz w:val="40"/>
          <w:szCs w:val="40"/>
          <w:highlight w:val="yellow"/>
          <w:lang w:eastAsia="zh-CN"/>
        </w:rPr>
        <w:t xml:space="preserve">告知</w:t>
      </w:r>
      <w:r>
        <w:rPr>
          <w:rFonts w:hint="eastAsia" w:ascii="方正小标宋简体" w:hAnsi="方正小标宋简体" w:eastAsia="方正小标宋简体" w:cs="方正小标宋简体"/>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信息传输业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信息传输业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09" w:name="_Hlk76057113"/>
      <w:r>
        <w:rPr>
          <w:rFonts w:hint="eastAsia" w:ascii="黑体" w:hAnsi="黑体" w:eastAsia="黑体" w:cs="黑体"/>
          <w:b w:val="0"/>
          <w:bCs/>
          <w:i/>
          <w:iCs/>
          <w:sz w:val="28"/>
          <w:szCs w:val="28"/>
          <w:highlight w:val="none"/>
          <w:u w:val="single"/>
        </w:rPr>
        <w:t xml:space="preserve">分项报价表（服务）</w:t>
      </w:r>
      <w:bookmarkEnd w:id="209"/>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828"/>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831"/>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、服务要求响应及偏离表</w:t>
      </w:r>
      <w:r/>
    </w:p>
    <w:p>
      <w:pPr>
        <w:pStyle w:val="854"/>
      </w:pPr>
      <w:r/>
      <w:r/>
    </w:p>
    <w:tbl>
      <w:tblPr>
        <w:tblStyle w:val="828"/>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196"/>
      <w:r/>
      <w:r/>
    </w:p>
    <w:p>
      <w:pPr>
        <w:rPr>
          <w:rFonts w:hint="eastAsia" w:ascii="仿宋_GB2312" w:hAnsi="仿宋_GB2312" w:eastAsia="仿宋_GB2312" w:cs="仿宋_GB2312"/>
          <w:b/>
          <w:sz w:val="28"/>
          <w:szCs w:val="28"/>
        </w:rPr>
      </w:pPr>
      <w:r/>
      <w:bookmarkStart w:id="210" w:name="_Hlt26955054"/>
      <w:r/>
      <w:bookmarkEnd w:id="210"/>
      <w:r>
        <w:rPr>
          <w:rFonts w:hint="eastAsia" w:ascii="仿宋_GB2312" w:hAnsi="仿宋_GB2312" w:eastAsia="仿宋_GB2312" w:cs="仿宋_GB2312"/>
          <w:b/>
          <w:sz w:val="28"/>
          <w:szCs w:val="28"/>
        </w:rPr>
        <w:br w:type="page" w:clear="all"/>
      </w:r>
      <w:bookmarkEnd w:id="185"/>
      <w:r/>
      <w:bookmarkEnd w:id="186"/>
      <w:r/>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52"/>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58"/>
          <w:rFonts w:hint="eastAsia" w:ascii="仿宋_GB2312" w:hAnsi="仿宋_GB2312" w:eastAsia="仿宋_GB2312" w:cs="仿宋_GB2312"/>
          <w:i w:val="0"/>
          <w:color w:val="auto"/>
          <w:sz w:val="28"/>
          <w:szCs w:val="28"/>
          <w:u w:val="single"/>
          <w:shd w:val="clear" w:color="auto" w:fill="ffffff"/>
        </w:rPr>
        <w:t xml:space="preserve">（产品名称1）</w:t>
      </w:r>
      <w:r>
        <w:rPr>
          <w:rStyle w:val="858"/>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58"/>
          <w:rFonts w:hint="eastAsia" w:ascii="仿宋_GB2312" w:hAnsi="仿宋_GB2312" w:eastAsia="仿宋_GB2312" w:cs="仿宋_GB2312"/>
          <w:i w:val="0"/>
          <w:color w:val="auto"/>
          <w:sz w:val="28"/>
          <w:szCs w:val="28"/>
          <w:u w:val="single"/>
          <w:shd w:val="clear" w:color="auto" w:fill="ffffff"/>
        </w:rPr>
        <w:t xml:space="preserve">（厂名）</w:t>
      </w:r>
      <w:r>
        <w:rPr>
          <w:rStyle w:val="858"/>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5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5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58"/>
          <w:rFonts w:hint="eastAsia" w:ascii="仿宋_GB2312" w:hAnsi="仿宋_GB2312" w:eastAsia="仿宋_GB2312" w:cs="仿宋_GB2312"/>
          <w:strike/>
          <w:color w:val="ff0000"/>
          <w:sz w:val="28"/>
          <w:szCs w:val="28"/>
          <w:highlight w:val="none"/>
          <w:u w:val="single"/>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58"/>
          <w:rFonts w:hint="eastAsia" w:ascii="仿宋_GB2312" w:hAnsi="仿宋_GB2312" w:eastAsia="仿宋_GB2312" w:cs="仿宋_GB2312"/>
          <w:strike/>
          <w:color w:val="ff0000"/>
          <w:sz w:val="28"/>
          <w:szCs w:val="28"/>
          <w:highlight w:val="none"/>
          <w:u w:val="singl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5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58"/>
          <w:rFonts w:hint="eastAsia" w:ascii="仿宋_GB2312" w:hAnsi="仿宋_GB2312" w:eastAsia="仿宋_GB2312" w:cs="仿宋_GB2312"/>
          <w:strike/>
          <w:color w:val="ff0000"/>
          <w:sz w:val="28"/>
          <w:szCs w:val="28"/>
          <w:highlight w:val="none"/>
          <w:u w:val="singl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58"/>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58"/>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58"/>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5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58"/>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5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52"/>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52"/>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52"/>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52"/>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方正小标宋简体">
    <w:panose1 w:val="020B0503020202020204"/>
  </w:font>
  <w:font w:name="楷体">
    <w:panose1 w:val="02010609060101010101"/>
  </w:font>
  <w:font w:name="Symbol">
    <w:panose1 w:val="05050102010706020507"/>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7"/>
      <w:isLgl w:val="false"/>
      <w:suff w:val="nothing"/>
      <w:lvlText w:val=""/>
      <w:lvlJc w:val="left"/>
      <w:pPr>
        <w:ind w:left="0" w:firstLine="0"/>
      </w:pPr>
      <w:rPr>
        <w:rFonts w:hint="eastAsia"/>
      </w:rPr>
    </w:lvl>
    <w:lvl w:ilvl="6">
      <w:start w:val="1"/>
      <w:numFmt w:val="decimal"/>
      <w:pStyle w:val="1018"/>
      <w:isLgl w:val="false"/>
      <w:suff w:val="nothing"/>
      <w:lvlText w:val=""/>
      <w:lvlJc w:val="left"/>
      <w:pPr>
        <w:ind w:left="0" w:firstLine="0"/>
      </w:pPr>
      <w:rPr>
        <w:rFonts w:hint="eastAsia"/>
      </w:rPr>
    </w:lvl>
    <w:lvl w:ilvl="7">
      <w:start w:val="1"/>
      <w:numFmt w:val="decimal"/>
      <w:pStyle w:val="1019"/>
      <w:isLgl w:val="false"/>
      <w:suff w:val="nothing"/>
      <w:lvlText w:val=""/>
      <w:lvlJc w:val="left"/>
      <w:pPr>
        <w:ind w:left="0" w:firstLine="0"/>
      </w:pPr>
      <w:rPr>
        <w:rFonts w:hint="eastAsia"/>
      </w:rPr>
    </w:lvl>
    <w:lvl w:ilvl="8">
      <w:start w:val="1"/>
      <w:numFmt w:val="decimal"/>
      <w:pStyle w:val="1020"/>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1130"/>
    <w:uiPriority w:val="0"/>
    <w:qFormat/>
    <w:pPr>
      <w:jc w:val="both"/>
      <w:widowControl w:val="off"/>
    </w:pPr>
    <w:rPr>
      <w:rFonts w:hint="default" w:ascii="Calibri" w:hAnsi="Calibri" w:eastAsia="宋体" w:cs="Times New Roman"/>
      <w:sz w:val="21"/>
      <w:szCs w:val="22"/>
      <w:lang w:val="en-US" w:eastAsia="zh-CN" w:bidi="ar-SA"/>
    </w:rPr>
  </w:style>
  <w:style w:type="paragraph" w:styleId="818">
    <w:name w:val="Heading 1"/>
    <w:basedOn w:val="817"/>
    <w:next w:val="817"/>
    <w:link w:val="1126"/>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64"/>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29"/>
    <w:link w:val="865"/>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6"/>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68"/>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70"/>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71"/>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Normal Indent"/>
    <w:basedOn w:val="817"/>
    <w:uiPriority w:val="0"/>
    <w:unhideWhenUsed/>
    <w:qFormat/>
    <w:pPr>
      <w:ind w:firstLine="420"/>
    </w:pPr>
    <w:rPr>
      <w:rFonts w:ascii="Times New Roman" w:hAnsi="Times New Roman" w:eastAsia="宋体"/>
      <w:sz w:val="20"/>
      <w:szCs w:val="21"/>
    </w:rPr>
  </w:style>
  <w:style w:type="paragraph" w:styleId="830">
    <w:name w:val="toc 7"/>
    <w:basedOn w:val="817"/>
    <w:next w:val="817"/>
    <w:uiPriority w:val="0"/>
    <w:semiHidden/>
    <w:qFormat/>
    <w:pPr>
      <w:ind w:left="1260"/>
      <w:jc w:val="left"/>
    </w:pPr>
    <w:rPr>
      <w:rFonts w:ascii="Times New Roman" w:hAnsi="Times New Roman"/>
      <w:szCs w:val="21"/>
    </w:rPr>
  </w:style>
  <w:style w:type="paragraph" w:styleId="831">
    <w:name w:val="table of authorities"/>
    <w:basedOn w:val="817"/>
    <w:next w:val="817"/>
    <w:uiPriority w:val="99"/>
    <w:qFormat/>
    <w:pPr>
      <w:ind w:left="420"/>
    </w:p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Document Map"/>
    <w:basedOn w:val="817"/>
    <w:uiPriority w:val="99"/>
    <w:unhideWhenUsed/>
    <w:qFormat/>
    <w:pPr>
      <w:jc w:val="left"/>
      <w:spacing w:line="360" w:lineRule="auto"/>
      <w:widowControl/>
    </w:pPr>
    <w:rPr>
      <w:rFonts w:ascii="宋体" w:hAnsi="Calibri" w:eastAsia="宋体" w:cs="Times New Roman"/>
      <w:sz w:val="18"/>
      <w:szCs w:val="18"/>
      <w14:ligatures w14:val="none"/>
    </w:rPr>
  </w:style>
  <w:style w:type="paragraph" w:styleId="834">
    <w:name w:val="Body Text"/>
    <w:basedOn w:val="817"/>
    <w:next w:val="817"/>
    <w:uiPriority w:val="0"/>
    <w:unhideWhenUsed/>
    <w:qFormat/>
    <w:rPr>
      <w:rFonts w:ascii="楷体_GB2312" w:hAnsi="Arial" w:eastAsia="楷体_GB2312" w:cs="Times New Roman"/>
      <w:sz w:val="28"/>
      <w:szCs w:val="28"/>
    </w:rPr>
  </w:style>
  <w:style w:type="paragraph" w:styleId="835">
    <w:name w:val="Body Text Indent"/>
    <w:basedOn w:val="817"/>
    <w:uiPriority w:val="99"/>
    <w:qFormat/>
    <w:pPr>
      <w:ind w:firstLine="600"/>
    </w:pPr>
    <w:rPr>
      <w:rFonts w:eastAsia="仿宋_GB2312"/>
      <w:sz w:val="28"/>
    </w:rPr>
  </w:style>
  <w:style w:type="paragraph" w:styleId="836">
    <w:name w:val="toc 5"/>
    <w:basedOn w:val="817"/>
    <w:next w:val="817"/>
    <w:uiPriority w:val="0"/>
    <w:semiHidden/>
    <w:qFormat/>
    <w:pPr>
      <w:ind w:left="840"/>
      <w:jc w:val="left"/>
    </w:pPr>
    <w:rPr>
      <w:rFonts w:ascii="Times New Roman" w:hAnsi="Times New Roman"/>
      <w:szCs w:val="21"/>
    </w:rPr>
  </w:style>
  <w:style w:type="paragraph" w:styleId="837">
    <w:name w:val="toc 3"/>
    <w:basedOn w:val="817"/>
    <w:next w:val="817"/>
    <w:uiPriority w:val="0"/>
    <w:semiHidden/>
    <w:qFormat/>
    <w:pPr>
      <w:ind w:left="420"/>
      <w:jc w:val="left"/>
    </w:pPr>
    <w:rPr>
      <w:rFonts w:ascii="Times New Roman" w:hAnsi="Times New Roman"/>
      <w:i/>
      <w:iCs/>
      <w:szCs w:val="24"/>
    </w:rPr>
  </w:style>
  <w:style w:type="paragraph" w:styleId="838">
    <w:name w:val="Plain Text"/>
    <w:basedOn w:val="817"/>
    <w:uiPriority w:val="0"/>
    <w:qFormat/>
    <w:rPr>
      <w:rFonts w:ascii="宋体" w:hAnsi="Courier New"/>
      <w:szCs w:val="22"/>
    </w:rPr>
  </w:style>
  <w:style w:type="paragraph" w:styleId="839">
    <w:name w:val="toc 8"/>
    <w:basedOn w:val="817"/>
    <w:next w:val="817"/>
    <w:uiPriority w:val="0"/>
    <w:semiHidden/>
    <w:qFormat/>
    <w:pPr>
      <w:ind w:left="1470"/>
      <w:jc w:val="left"/>
    </w:pPr>
    <w:rPr>
      <w:rFonts w:ascii="Times New Roman" w:hAnsi="Times New Roman"/>
      <w:szCs w:val="21"/>
    </w:rPr>
  </w:style>
  <w:style w:type="paragraph" w:styleId="840">
    <w:name w:val="endnote text"/>
    <w:basedOn w:val="817"/>
    <w:link w:val="1009"/>
    <w:uiPriority w:val="99"/>
    <w:semiHidden/>
    <w:unhideWhenUsed/>
    <w:qFormat/>
    <w:pPr>
      <w:spacing w:after="0" w:line="240" w:lineRule="auto"/>
    </w:pPr>
    <w:rPr>
      <w:sz w:val="20"/>
    </w:rPr>
  </w:style>
  <w:style w:type="paragraph" w:styleId="841">
    <w:name w:val="Footer"/>
    <w:basedOn w:val="817"/>
    <w:link w:val="882"/>
    <w:uiPriority w:val="99"/>
    <w:unhideWhenUsed/>
    <w:qFormat/>
    <w:pPr>
      <w:spacing w:after="0" w:line="240" w:lineRule="auto"/>
      <w:tabs>
        <w:tab w:val="center" w:pos="7143" w:leader="none"/>
        <w:tab w:val="right" w:pos="14287" w:leader="none"/>
      </w:tabs>
    </w:pPr>
  </w:style>
  <w:style w:type="paragraph" w:styleId="842">
    <w:name w:val="Header"/>
    <w:basedOn w:val="817"/>
    <w:link w:val="880"/>
    <w:uiPriority w:val="99"/>
    <w:unhideWhenUsed/>
    <w:qFormat/>
    <w:pPr>
      <w:spacing w:after="0" w:line="240" w:lineRule="auto"/>
      <w:tabs>
        <w:tab w:val="center" w:pos="7143" w:leader="none"/>
        <w:tab w:val="right" w:pos="14287" w:leader="none"/>
      </w:tabs>
    </w:pPr>
  </w:style>
  <w:style w:type="paragraph" w:styleId="843">
    <w:name w:val="toc 1"/>
    <w:basedOn w:val="817"/>
    <w:next w:val="817"/>
    <w:uiPriority w:val="0"/>
    <w:semiHidden/>
    <w:qFormat/>
    <w:pPr>
      <w:jc w:val="left"/>
      <w:spacing w:before="120" w:after="120" w:line="400" w:lineRule="exact"/>
      <w:tabs>
        <w:tab w:val="right" w:pos="8720" w:leader="dot"/>
      </w:tabs>
    </w:pPr>
    <w:rPr>
      <w:rFonts w:ascii="宋体" w:hAnsi="宋体"/>
      <w:caps/>
      <w:sz w:val="24"/>
      <w:szCs w:val="24"/>
    </w:rPr>
  </w:style>
  <w:style w:type="paragraph" w:styleId="844">
    <w:name w:val="toc 4"/>
    <w:basedOn w:val="817"/>
    <w:next w:val="817"/>
    <w:uiPriority w:val="0"/>
    <w:semiHidden/>
    <w:qFormat/>
    <w:pPr>
      <w:ind w:left="630"/>
      <w:jc w:val="left"/>
    </w:pPr>
    <w:rPr>
      <w:rFonts w:ascii="Times New Roman" w:hAnsi="Times New Roman"/>
      <w:szCs w:val="21"/>
    </w:rPr>
  </w:style>
  <w:style w:type="paragraph" w:styleId="845">
    <w:name w:val="Subtitle"/>
    <w:basedOn w:val="817"/>
    <w:next w:val="817"/>
    <w:link w:val="875"/>
    <w:uiPriority w:val="11"/>
    <w:qFormat/>
    <w:pPr>
      <w:spacing w:before="200" w:after="200"/>
    </w:pPr>
    <w:rPr>
      <w:sz w:val="24"/>
      <w:szCs w:val="24"/>
    </w:rPr>
  </w:style>
  <w:style w:type="paragraph" w:styleId="846">
    <w:name w:val="footnote text"/>
    <w:basedOn w:val="817"/>
    <w:link w:val="1008"/>
    <w:uiPriority w:val="99"/>
    <w:semiHidden/>
    <w:unhideWhenUsed/>
    <w:qFormat/>
    <w:pPr>
      <w:spacing w:after="40" w:line="240" w:lineRule="auto"/>
    </w:pPr>
    <w:rPr>
      <w:sz w:val="18"/>
    </w:rPr>
  </w:style>
  <w:style w:type="paragraph" w:styleId="847">
    <w:name w:val="toc 6"/>
    <w:basedOn w:val="817"/>
    <w:next w:val="817"/>
    <w:uiPriority w:val="0"/>
    <w:semiHidden/>
    <w:qFormat/>
    <w:pPr>
      <w:ind w:left="1050"/>
      <w:jc w:val="left"/>
    </w:pPr>
    <w:rPr>
      <w:rFonts w:ascii="Times New Roman" w:hAnsi="Times New Roman"/>
      <w:szCs w:val="21"/>
    </w:rPr>
  </w:style>
  <w:style w:type="paragraph" w:styleId="848">
    <w:name w:val="table of figures"/>
    <w:basedOn w:val="817"/>
    <w:next w:val="817"/>
    <w:uiPriority w:val="99"/>
    <w:unhideWhenUsed/>
    <w:qFormat/>
    <w:pPr>
      <w:spacing w:after="0" w:afterAutospacing="0"/>
    </w:pPr>
  </w:style>
  <w:style w:type="paragraph" w:styleId="849">
    <w:name w:val="toc 2"/>
    <w:basedOn w:val="817"/>
    <w:next w:val="817"/>
    <w:uiPriority w:val="0"/>
    <w:semiHidden/>
    <w:qFormat/>
    <w:pPr>
      <w:ind w:left="210"/>
      <w:jc w:val="left"/>
    </w:pPr>
    <w:rPr>
      <w:rFonts w:ascii="Times New Roman" w:hAnsi="Times New Roman"/>
      <w:smallCaps/>
      <w:szCs w:val="24"/>
    </w:rPr>
  </w:style>
  <w:style w:type="paragraph" w:styleId="850">
    <w:name w:val="toc 9"/>
    <w:basedOn w:val="817"/>
    <w:next w:val="817"/>
    <w:uiPriority w:val="0"/>
    <w:semiHidden/>
    <w:qFormat/>
    <w:pPr>
      <w:ind w:left="1680"/>
      <w:jc w:val="left"/>
    </w:pPr>
    <w:rPr>
      <w:rFonts w:ascii="Times New Roman" w:hAnsi="Times New Roman"/>
      <w:szCs w:val="21"/>
    </w:rPr>
  </w:style>
  <w:style w:type="paragraph" w:styleId="851">
    <w:name w:val="HTML Preformatted"/>
    <w:basedOn w:val="817"/>
    <w:uiPriority w:val="99"/>
    <w:unhideWhenUsed/>
    <w:qFormat/>
    <w:rPr>
      <w:rFonts w:ascii="Courier New" w:hAnsi="Courier New" w:cs="Courier New"/>
      <w:sz w:val="20"/>
      <w:szCs w:val="20"/>
    </w:rPr>
  </w:style>
  <w:style w:type="paragraph" w:styleId="852">
    <w:name w:val="Normal (Web)"/>
    <w:basedOn w:val="817"/>
    <w:uiPriority w:val="99"/>
    <w:qFormat/>
    <w:pPr>
      <w:ind w:firstLine="420"/>
    </w:pPr>
    <w:rPr>
      <w:rFonts w:ascii="Calibri" w:hAnsi="Calibri"/>
      <w:szCs w:val="22"/>
    </w:rPr>
  </w:style>
  <w:style w:type="paragraph" w:styleId="853">
    <w:name w:val="Title"/>
    <w:basedOn w:val="817"/>
    <w:next w:val="817"/>
    <w:link w:val="874"/>
    <w:uiPriority w:val="10"/>
    <w:qFormat/>
    <w:pPr>
      <w:contextualSpacing/>
      <w:spacing w:before="300" w:after="200"/>
    </w:pPr>
    <w:rPr>
      <w:sz w:val="48"/>
      <w:szCs w:val="48"/>
    </w:rPr>
  </w:style>
  <w:style w:type="paragraph" w:styleId="854">
    <w:name w:val="Body Text First Indent"/>
    <w:basedOn w:val="834"/>
    <w:uiPriority w:val="0"/>
    <w:qFormat/>
    <w:pPr>
      <w:ind w:firstLine="200"/>
      <w:jc w:val="left"/>
      <w:spacing w:line="360" w:lineRule="auto"/>
    </w:pPr>
    <w:rPr>
      <w:bCs/>
      <w:sz w:val="24"/>
    </w:rPr>
  </w:style>
  <w:style w:type="table" w:styleId="8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endnote reference"/>
    <w:uiPriority w:val="99"/>
    <w:semiHidden/>
    <w:unhideWhenUsed/>
    <w:qFormat/>
    <w:rPr>
      <w:vertAlign w:val="superscript"/>
    </w:rPr>
  </w:style>
  <w:style w:type="character" w:styleId="857">
    <w:name w:val="page number"/>
    <w:basedOn w:val="827"/>
    <w:uiPriority w:val="99"/>
    <w:qFormat/>
    <w:rPr>
      <w:rFonts w:cs="Times New Roman"/>
    </w:rPr>
  </w:style>
  <w:style w:type="character" w:styleId="858">
    <w:name w:val="Emphasis"/>
    <w:basedOn w:val="827"/>
    <w:uiPriority w:val="0"/>
    <w:qFormat/>
    <w:rPr>
      <w:i/>
    </w:rPr>
  </w:style>
  <w:style w:type="character" w:styleId="859">
    <w:name w:val="Hyperlink"/>
    <w:basedOn w:val="827"/>
    <w:uiPriority w:val="99"/>
    <w:unhideWhenUsed/>
    <w:qFormat/>
    <w:rPr>
      <w:color w:val="0000ff" w:themeColor="hyperlink"/>
      <w:u w:val="single"/>
      <w14:textFill>
        <w14:solidFill>
          <w14:schemeClr w14:val="hlink"/>
        </w14:solidFill>
      </w14:textFill>
    </w:rPr>
  </w:style>
  <w:style w:type="character" w:styleId="860">
    <w:name w:val="footnote reference"/>
    <w:uiPriority w:val="99"/>
    <w:unhideWhenUsed/>
    <w:qFormat/>
    <w:rPr>
      <w:vertAlign w:val="superscript"/>
    </w:rPr>
  </w:style>
  <w:style w:type="paragraph" w:styleId="861" w:customStyle="1">
    <w:name w:val="索引 41"/>
    <w:basedOn w:val="817"/>
    <w:next w:val="817"/>
    <w:uiPriority w:val="0"/>
    <w:semiHidden/>
    <w:qFormat/>
    <w:pPr>
      <w:ind w:left="1260"/>
    </w:pPr>
    <w:rPr>
      <w:rFonts w:ascii="Calibri" w:hAnsi="Calibri" w:eastAsia="Calibri" w:cs="宋体"/>
      <w:sz w:val="20"/>
      <w:lang w:val="zh-CN"/>
    </w:rPr>
  </w:style>
  <w:style w:type="paragraph" w:styleId="86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63" w:customStyle="1">
    <w:name w:val="Heading 1 Char"/>
    <w:link w:val="818"/>
    <w:uiPriority w:val="9"/>
    <w:qFormat/>
    <w:rPr>
      <w:rFonts w:ascii="Arial" w:hAnsi="Arial" w:eastAsia="Arial" w:cs="Arial"/>
      <w:sz w:val="40"/>
      <w:szCs w:val="40"/>
    </w:rPr>
  </w:style>
  <w:style w:type="character" w:styleId="864" w:customStyle="1">
    <w:name w:val="Heading 2 Char"/>
    <w:link w:val="819"/>
    <w:uiPriority w:val="9"/>
    <w:qFormat/>
    <w:rPr>
      <w:rFonts w:ascii="Arial" w:hAnsi="Arial" w:eastAsia="Arial" w:cs="Arial"/>
      <w:sz w:val="34"/>
    </w:rPr>
  </w:style>
  <w:style w:type="character" w:styleId="865" w:customStyle="1">
    <w:name w:val="Heading 3 Char"/>
    <w:link w:val="820"/>
    <w:uiPriority w:val="9"/>
    <w:qFormat/>
    <w:rPr>
      <w:rFonts w:ascii="Arial" w:hAnsi="Arial" w:eastAsia="Arial" w:cs="Arial"/>
      <w:sz w:val="30"/>
      <w:szCs w:val="30"/>
    </w:rPr>
  </w:style>
  <w:style w:type="character" w:styleId="866" w:customStyle="1">
    <w:name w:val="Heading 4 Char"/>
    <w:link w:val="821"/>
    <w:uiPriority w:val="9"/>
    <w:qFormat/>
    <w:rPr>
      <w:rFonts w:ascii="Arial" w:hAnsi="Arial" w:eastAsia="Arial" w:cs="Arial"/>
      <w:b/>
      <w:bCs/>
      <w:sz w:val="26"/>
      <w:szCs w:val="26"/>
    </w:rPr>
  </w:style>
  <w:style w:type="character" w:styleId="867" w:customStyle="1">
    <w:name w:val="Heading 5 Char"/>
    <w:link w:val="822"/>
    <w:uiPriority w:val="9"/>
    <w:qFormat/>
    <w:rPr>
      <w:rFonts w:ascii="Arial" w:hAnsi="Arial" w:eastAsia="Arial" w:cs="Arial"/>
      <w:b/>
      <w:bCs/>
      <w:sz w:val="24"/>
      <w:szCs w:val="24"/>
    </w:rPr>
  </w:style>
  <w:style w:type="character" w:styleId="868" w:customStyle="1">
    <w:name w:val="Heading 6 Char"/>
    <w:link w:val="823"/>
    <w:uiPriority w:val="9"/>
    <w:qFormat/>
    <w:rPr>
      <w:rFonts w:ascii="Arial" w:hAnsi="Arial" w:eastAsia="Arial" w:cs="Arial"/>
      <w:b/>
      <w:bCs/>
      <w:sz w:val="22"/>
      <w:szCs w:val="22"/>
    </w:rPr>
  </w:style>
  <w:style w:type="character" w:styleId="869" w:customStyle="1">
    <w:name w:val="Heading 7 Char"/>
    <w:link w:val="824"/>
    <w:uiPriority w:val="9"/>
    <w:qFormat/>
    <w:rPr>
      <w:rFonts w:ascii="Arial" w:hAnsi="Arial" w:eastAsia="Arial" w:cs="Arial"/>
      <w:b/>
      <w:bCs/>
      <w:i/>
      <w:iCs/>
      <w:sz w:val="22"/>
      <w:szCs w:val="22"/>
    </w:rPr>
  </w:style>
  <w:style w:type="character" w:styleId="870" w:customStyle="1">
    <w:name w:val="Heading 8 Char"/>
    <w:link w:val="825"/>
    <w:uiPriority w:val="9"/>
    <w:qFormat/>
    <w:rPr>
      <w:rFonts w:ascii="Arial" w:hAnsi="Arial" w:eastAsia="Arial" w:cs="Arial"/>
      <w:i/>
      <w:iCs/>
      <w:sz w:val="22"/>
      <w:szCs w:val="22"/>
    </w:rPr>
  </w:style>
  <w:style w:type="character" w:styleId="871" w:customStyle="1">
    <w:name w:val="Heading 9 Char"/>
    <w:link w:val="826"/>
    <w:uiPriority w:val="9"/>
    <w:qFormat/>
    <w:rPr>
      <w:rFonts w:ascii="Arial" w:hAnsi="Arial" w:eastAsia="Arial" w:cs="Arial"/>
      <w:i/>
      <w:iCs/>
      <w:sz w:val="21"/>
      <w:szCs w:val="21"/>
    </w:rPr>
  </w:style>
  <w:style w:type="paragraph" w:styleId="872">
    <w:name w:val="List Paragraph"/>
    <w:basedOn w:val="817"/>
    <w:uiPriority w:val="34"/>
    <w:qFormat/>
    <w:pPr>
      <w:contextualSpacing/>
      <w:ind w:left="720"/>
    </w:pPr>
  </w:style>
  <w:style w:type="paragraph" w:styleId="873">
    <w:name w:val="No Spacing"/>
    <w:uiPriority w:val="1"/>
    <w:qFormat/>
    <w:pPr>
      <w:spacing w:before="0" w:after="0" w:line="240" w:lineRule="auto"/>
    </w:pPr>
    <w:rPr>
      <w:rFonts w:hint="default" w:ascii="Calibri" w:hAnsi="Calibri" w:eastAsia="宋体" w:cs="Times New Roman"/>
    </w:rPr>
  </w:style>
  <w:style w:type="character" w:styleId="874" w:customStyle="1">
    <w:name w:val="Title Char"/>
    <w:link w:val="853"/>
    <w:uiPriority w:val="10"/>
    <w:qFormat/>
    <w:rPr>
      <w:sz w:val="48"/>
      <w:szCs w:val="48"/>
    </w:rPr>
  </w:style>
  <w:style w:type="character" w:styleId="875" w:customStyle="1">
    <w:name w:val="Subtitle Char"/>
    <w:link w:val="845"/>
    <w:uiPriority w:val="11"/>
    <w:qFormat/>
    <w:rPr>
      <w:sz w:val="24"/>
      <w:szCs w:val="24"/>
    </w:rPr>
  </w:style>
  <w:style w:type="paragraph" w:styleId="876">
    <w:name w:val="Quote"/>
    <w:basedOn w:val="817"/>
    <w:next w:val="817"/>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817"/>
    <w:next w:val="817"/>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Header Char"/>
    <w:link w:val="842"/>
    <w:uiPriority w:val="99"/>
    <w:qFormat/>
  </w:style>
  <w:style w:type="character" w:styleId="881" w:customStyle="1">
    <w:name w:val="Footer Char"/>
    <w:link w:val="841"/>
    <w:uiPriority w:val="99"/>
    <w:qFormat/>
  </w:style>
  <w:style w:type="character" w:styleId="882" w:customStyle="1">
    <w:name w:val="Caption Char"/>
    <w:link w:val="841"/>
    <w:uiPriority w:val="99"/>
    <w:qFormat/>
  </w:style>
  <w:style w:type="table" w:styleId="8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link w:val="846"/>
    <w:uiPriority w:val="99"/>
    <w:qFormat/>
    <w:rPr>
      <w:sz w:val="18"/>
    </w:rPr>
  </w:style>
  <w:style w:type="character" w:styleId="1009" w:customStyle="1">
    <w:name w:val="Endnote Text Char"/>
    <w:link w:val="840"/>
    <w:uiPriority w:val="99"/>
    <w:qFormat/>
    <w:rPr>
      <w:sz w:val="20"/>
    </w:rPr>
  </w:style>
  <w:style w:type="paragraph" w:styleId="1010" w:customStyle="1">
    <w:name w:val="TOC Heading"/>
    <w:uiPriority w:val="39"/>
    <w:unhideWhenUsed/>
    <w:qFormat/>
    <w:rPr>
      <w:rFonts w:hint="default" w:ascii="Calibri" w:hAnsi="Calibri" w:eastAsia="宋体" w:cs="Times New Roman"/>
    </w:rPr>
  </w:style>
  <w:style w:type="paragraph" w:styleId="1011" w:customStyle="1">
    <w:name w:val="标题 11"/>
    <w:basedOn w:val="817"/>
    <w:next w:val="817"/>
    <w:link w:val="1027"/>
    <w:uiPriority w:val="0"/>
    <w:qFormat/>
    <w:pPr>
      <w:jc w:val="center"/>
      <w:keepNext/>
      <w:outlineLvl w:val="0"/>
    </w:pPr>
    <w:rPr>
      <w:rFonts w:ascii="楷体_GB2312" w:hAnsi="Times New Roman" w:eastAsia="楷体_GB2312"/>
      <w:sz w:val="28"/>
      <w:szCs w:val="28"/>
    </w:rPr>
  </w:style>
  <w:style w:type="paragraph" w:styleId="1012" w:customStyle="1">
    <w:name w:val="标题 21"/>
    <w:basedOn w:val="817"/>
    <w:next w:val="817"/>
    <w:link w:val="10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3" w:customStyle="1">
    <w:name w:val="正文缩进1"/>
    <w:basedOn w:val="817"/>
    <w:link w:val="1029"/>
    <w:uiPriority w:val="0"/>
    <w:qFormat/>
    <w:pPr>
      <w:ind w:firstLine="420"/>
    </w:pPr>
    <w:rPr>
      <w:szCs w:val="21"/>
    </w:rPr>
  </w:style>
  <w:style w:type="paragraph" w:styleId="1014" w:customStyle="1">
    <w:name w:val="标题 31"/>
    <w:basedOn w:val="817"/>
    <w:next w:val="1013"/>
    <w:link w:val="1030"/>
    <w:uiPriority w:val="0"/>
    <w:qFormat/>
    <w:pPr>
      <w:keepLines/>
      <w:keepNext/>
      <w:spacing w:before="260" w:after="260" w:line="416" w:lineRule="auto"/>
      <w:outlineLvl w:val="2"/>
    </w:pPr>
    <w:rPr>
      <w:rFonts w:ascii="Times New Roman" w:hAnsi="Times New Roman"/>
      <w:b/>
      <w:bCs/>
      <w:sz w:val="32"/>
      <w:szCs w:val="32"/>
    </w:rPr>
  </w:style>
  <w:style w:type="paragraph" w:styleId="1015" w:customStyle="1">
    <w:name w:val="标题 41"/>
    <w:basedOn w:val="817"/>
    <w:next w:val="1013"/>
    <w:link w:val="1031"/>
    <w:uiPriority w:val="0"/>
    <w:qFormat/>
    <w:pPr>
      <w:keepLines/>
      <w:keepNext/>
      <w:spacing w:before="280" w:after="290" w:line="376" w:lineRule="auto"/>
      <w:outlineLvl w:val="3"/>
    </w:pPr>
    <w:rPr>
      <w:rFonts w:ascii="Arial" w:hAnsi="Arial" w:eastAsia="黑体" w:cs="Arial"/>
      <w:b/>
      <w:bCs/>
      <w:sz w:val="28"/>
      <w:szCs w:val="28"/>
    </w:rPr>
  </w:style>
  <w:style w:type="paragraph" w:styleId="1016" w:customStyle="1">
    <w:name w:val="标题 51"/>
    <w:basedOn w:val="817"/>
    <w:next w:val="1013"/>
    <w:link w:val="1032"/>
    <w:uiPriority w:val="0"/>
    <w:qFormat/>
    <w:pPr>
      <w:keepNext/>
      <w:outlineLvl w:val="4"/>
    </w:pPr>
    <w:rPr>
      <w:rFonts w:ascii="宋体" w:hAnsi="Times New Roman"/>
      <w:color w:val="000000"/>
      <w:sz w:val="28"/>
      <w:szCs w:val="28"/>
    </w:rPr>
  </w:style>
  <w:style w:type="paragraph" w:styleId="1017" w:customStyle="1">
    <w:name w:val="标题 61"/>
    <w:basedOn w:val="817"/>
    <w:next w:val="817"/>
    <w:link w:val="10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8" w:customStyle="1">
    <w:name w:val="标题 71"/>
    <w:basedOn w:val="817"/>
    <w:next w:val="817"/>
    <w:link w:val="103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19" w:customStyle="1">
    <w:name w:val="标题 81"/>
    <w:basedOn w:val="817"/>
    <w:next w:val="817"/>
    <w:link w:val="10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0" w:customStyle="1">
    <w:name w:val="标题 91"/>
    <w:basedOn w:val="817"/>
    <w:next w:val="817"/>
    <w:link w:val="1036"/>
    <w:uiPriority w:val="0"/>
    <w:qFormat/>
    <w:pPr>
      <w:numPr>
        <w:ilvl w:val="8"/>
        <w:numId w:val="1"/>
      </w:numPr>
      <w:keepLines/>
      <w:keepNext/>
      <w:spacing w:before="240" w:after="64" w:line="320" w:lineRule="auto"/>
      <w:outlineLvl w:val="8"/>
    </w:pPr>
    <w:rPr>
      <w:rFonts w:ascii="Arial" w:hAnsi="Arial" w:eastAsia="黑体"/>
      <w:szCs w:val="21"/>
    </w:rPr>
  </w:style>
  <w:style w:type="character" w:styleId="1021" w:customStyle="1">
    <w:name w:val="默认段落字体1"/>
    <w:link w:val="817"/>
    <w:uiPriority w:val="1"/>
    <w:unhideWhenUsed/>
    <w:qFormat/>
  </w:style>
  <w:style w:type="table" w:styleId="1022" w:customStyle="1">
    <w:name w:val="普通表格1"/>
    <w:uiPriority w:val="99"/>
    <w:unhideWhenUsed/>
    <w:qFormat/>
    <w:tblPr/>
  </w:style>
  <w:style w:type="paragraph" w:styleId="1023" w:customStyle="1">
    <w:name w:val="正文文本首行缩进"/>
    <w:basedOn w:val="1024"/>
    <w:link w:val="1026"/>
    <w:uiPriority w:val="0"/>
    <w:qFormat/>
    <w:pPr>
      <w:ind w:firstLine="200"/>
      <w:spacing w:line="360" w:lineRule="auto"/>
    </w:pPr>
    <w:rPr>
      <w:rFonts w:ascii="仿宋_GB2312" w:hAnsi="Times New Roman" w:eastAsia="仿宋_GB2312"/>
      <w:sz w:val="30"/>
      <w:szCs w:val="30"/>
    </w:rPr>
  </w:style>
  <w:style w:type="paragraph" w:styleId="1024" w:customStyle="1">
    <w:name w:val="正文文本1"/>
    <w:basedOn w:val="817"/>
    <w:link w:val="1025"/>
    <w:uiPriority w:val="0"/>
    <w:qFormat/>
    <w:rPr>
      <w:rFonts w:ascii="楷体_GB2312" w:hAnsi="Arial" w:eastAsia="楷体_GB2312"/>
      <w:sz w:val="28"/>
      <w:szCs w:val="28"/>
    </w:rPr>
  </w:style>
  <w:style w:type="character" w:styleId="1025" w:customStyle="1">
    <w:name w:val="正文文本 字符"/>
    <w:link w:val="1024"/>
    <w:uiPriority w:val="0"/>
    <w:qFormat/>
    <w:rPr>
      <w:rFonts w:ascii="楷体_GB2312" w:hAnsi="Arial" w:eastAsia="楷体_GB2312" w:cs="Times New Roman"/>
      <w:sz w:val="28"/>
      <w:szCs w:val="28"/>
    </w:rPr>
  </w:style>
  <w:style w:type="character" w:styleId="1026" w:customStyle="1">
    <w:name w:val="正文文本首行缩进 字符"/>
    <w:link w:val="1023"/>
    <w:uiPriority w:val="0"/>
    <w:qFormat/>
    <w:rPr>
      <w:rFonts w:ascii="仿宋_GB2312" w:hAnsi="Times New Roman" w:eastAsia="仿宋_GB2312" w:cs="Times New Roman"/>
      <w:sz w:val="30"/>
      <w:szCs w:val="30"/>
    </w:rPr>
  </w:style>
  <w:style w:type="character" w:styleId="1027" w:customStyle="1">
    <w:name w:val="标题 1 字符"/>
    <w:link w:val="1011"/>
    <w:uiPriority w:val="0"/>
    <w:qFormat/>
    <w:rPr>
      <w:rFonts w:ascii="楷体_GB2312" w:hAnsi="Times New Roman" w:eastAsia="楷体_GB2312" w:cs="Times New Roman"/>
      <w:sz w:val="28"/>
      <w:szCs w:val="28"/>
    </w:rPr>
  </w:style>
  <w:style w:type="character" w:styleId="1028" w:customStyle="1">
    <w:name w:val="标题 2 字符"/>
    <w:link w:val="1012"/>
    <w:uiPriority w:val="0"/>
    <w:qFormat/>
    <w:rPr>
      <w:rFonts w:ascii="Arial" w:hAnsi="Arial" w:eastAsia="幼圆" w:cs="Arial"/>
      <w:b/>
      <w:bCs/>
      <w:sz w:val="44"/>
      <w:szCs w:val="44"/>
    </w:rPr>
  </w:style>
  <w:style w:type="character" w:styleId="1029" w:customStyle="1">
    <w:name w:val="正文缩进 字符"/>
    <w:link w:val="1013"/>
    <w:uiPriority w:val="0"/>
    <w:qFormat/>
    <w:rPr>
      <w:rFonts w:ascii="Calibri" w:hAnsi="Calibri" w:eastAsia="宋体" w:cs="Times New Roman"/>
      <w:szCs w:val="21"/>
    </w:rPr>
  </w:style>
  <w:style w:type="character" w:styleId="1030" w:customStyle="1">
    <w:name w:val="标题 3 字符"/>
    <w:link w:val="1014"/>
    <w:uiPriority w:val="0"/>
    <w:qFormat/>
    <w:rPr>
      <w:rFonts w:ascii="Times New Roman" w:hAnsi="Times New Roman" w:eastAsia="宋体" w:cs="Times New Roman"/>
      <w:b/>
      <w:bCs/>
      <w:sz w:val="32"/>
      <w:szCs w:val="32"/>
    </w:rPr>
  </w:style>
  <w:style w:type="character" w:styleId="1031" w:customStyle="1">
    <w:name w:val="标题 4 字符"/>
    <w:link w:val="1015"/>
    <w:uiPriority w:val="0"/>
    <w:qFormat/>
    <w:rPr>
      <w:rFonts w:ascii="Arial" w:hAnsi="Arial" w:eastAsia="黑体" w:cs="Arial"/>
      <w:b/>
      <w:bCs/>
      <w:sz w:val="28"/>
      <w:szCs w:val="28"/>
    </w:rPr>
  </w:style>
  <w:style w:type="character" w:styleId="1032" w:customStyle="1">
    <w:name w:val="标题 5 字符"/>
    <w:link w:val="1016"/>
    <w:uiPriority w:val="0"/>
    <w:qFormat/>
    <w:rPr>
      <w:rFonts w:ascii="宋体" w:hAnsi="Times New Roman" w:eastAsia="宋体" w:cs="Times New Roman"/>
      <w:color w:val="000000"/>
      <w:sz w:val="28"/>
      <w:szCs w:val="28"/>
    </w:rPr>
  </w:style>
  <w:style w:type="character" w:styleId="1033" w:customStyle="1">
    <w:name w:val="标题 6 字符"/>
    <w:link w:val="1017"/>
    <w:uiPriority w:val="0"/>
    <w:qFormat/>
    <w:rPr>
      <w:rFonts w:ascii="Arial" w:hAnsi="Arial" w:eastAsia="黑体" w:cs="Times New Roman"/>
      <w:b/>
      <w:bCs/>
      <w:sz w:val="24"/>
      <w:szCs w:val="24"/>
    </w:rPr>
  </w:style>
  <w:style w:type="character" w:styleId="1034" w:customStyle="1">
    <w:name w:val="标题 7 字符"/>
    <w:link w:val="1018"/>
    <w:uiPriority w:val="0"/>
    <w:qFormat/>
    <w:rPr>
      <w:rFonts w:ascii="Times New Roman" w:hAnsi="Times New Roman" w:eastAsia="宋体" w:cs="Times New Roman"/>
      <w:b/>
      <w:bCs/>
      <w:sz w:val="24"/>
      <w:szCs w:val="24"/>
    </w:rPr>
  </w:style>
  <w:style w:type="character" w:styleId="1035" w:customStyle="1">
    <w:name w:val="标题 8 字符"/>
    <w:link w:val="1019"/>
    <w:uiPriority w:val="0"/>
    <w:qFormat/>
    <w:rPr>
      <w:rFonts w:ascii="Arial" w:hAnsi="Arial" w:eastAsia="黑体" w:cs="Times New Roman"/>
      <w:sz w:val="24"/>
      <w:szCs w:val="24"/>
    </w:rPr>
  </w:style>
  <w:style w:type="character" w:styleId="1036" w:customStyle="1">
    <w:name w:val="标题 9 字符"/>
    <w:link w:val="1020"/>
    <w:uiPriority w:val="0"/>
    <w:qFormat/>
    <w:rPr>
      <w:rFonts w:ascii="Arial" w:hAnsi="Arial" w:eastAsia="黑体" w:cs="Times New Roman"/>
      <w:szCs w:val="21"/>
    </w:rPr>
  </w:style>
  <w:style w:type="paragraph" w:styleId="1037" w:customStyle="1">
    <w:name w:val="列表 31"/>
    <w:basedOn w:val="817"/>
    <w:uiPriority w:val="0"/>
    <w:qFormat/>
    <w:pPr>
      <w:ind w:left="100" w:hanging="200"/>
    </w:pPr>
    <w:rPr>
      <w:rFonts w:ascii="Times New Roman" w:hAnsi="Times New Roman"/>
      <w:szCs w:val="21"/>
    </w:rPr>
  </w:style>
  <w:style w:type="paragraph" w:styleId="1038" w:customStyle="1">
    <w:name w:val="文档结构图1"/>
    <w:basedOn w:val="817"/>
    <w:link w:val="1039"/>
    <w:uiPriority w:val="0"/>
    <w:semiHidden/>
    <w:qFormat/>
    <w:pPr>
      <w:shd w:val="clear" w:color="auto" w:fill="000080"/>
    </w:pPr>
    <w:rPr>
      <w:rFonts w:ascii="Times New Roman" w:hAnsi="Times New Roman"/>
      <w:szCs w:val="21"/>
    </w:rPr>
  </w:style>
  <w:style w:type="character" w:styleId="1039" w:customStyle="1">
    <w:name w:val="文档结构图 字符"/>
    <w:link w:val="1038"/>
    <w:uiPriority w:val="0"/>
    <w:semiHidden/>
    <w:qFormat/>
    <w:rPr>
      <w:rFonts w:ascii="Times New Roman" w:hAnsi="Times New Roman" w:eastAsia="宋体" w:cs="Times New Roman"/>
      <w:szCs w:val="21"/>
      <w:shd w:val="clear" w:color="auto" w:fill="000080"/>
    </w:rPr>
  </w:style>
  <w:style w:type="paragraph" w:styleId="1040" w:customStyle="1">
    <w:name w:val="批注文字1"/>
    <w:basedOn w:val="817"/>
    <w:link w:val="1041"/>
    <w:uiPriority w:val="0"/>
    <w:unhideWhenUsed/>
    <w:qFormat/>
    <w:pPr>
      <w:jc w:val="left"/>
    </w:pPr>
  </w:style>
  <w:style w:type="character" w:styleId="1041" w:customStyle="1">
    <w:name w:val="批注文字 字符"/>
    <w:link w:val="1040"/>
    <w:uiPriority w:val="0"/>
    <w:qFormat/>
    <w:rPr>
      <w:rFonts w:ascii="Calibri" w:hAnsi="Calibri" w:eastAsia="宋体" w:cs="Times New Roman"/>
    </w:rPr>
  </w:style>
  <w:style w:type="paragraph" w:styleId="1042" w:customStyle="1">
    <w:name w:val="正文文本 31"/>
    <w:basedOn w:val="817"/>
    <w:link w:val="1043"/>
    <w:uiPriority w:val="0"/>
    <w:qFormat/>
    <w:rPr>
      <w:rFonts w:ascii="仿宋_GB2312" w:hAnsi="Arial" w:eastAsia="仿宋_GB2312"/>
      <w:sz w:val="32"/>
      <w:szCs w:val="32"/>
    </w:rPr>
  </w:style>
  <w:style w:type="character" w:styleId="1043" w:customStyle="1">
    <w:name w:val="正文文本 3 字符"/>
    <w:link w:val="1042"/>
    <w:uiPriority w:val="0"/>
    <w:qFormat/>
    <w:rPr>
      <w:rFonts w:ascii="仿宋_GB2312" w:hAnsi="Arial" w:eastAsia="仿宋_GB2312" w:cs="Times New Roman"/>
      <w:sz w:val="32"/>
      <w:szCs w:val="32"/>
    </w:rPr>
  </w:style>
  <w:style w:type="paragraph" w:styleId="1044" w:customStyle="1">
    <w:name w:val="正文文本缩进1"/>
    <w:basedOn w:val="1045"/>
    <w:next w:val="817"/>
    <w:link w:val="1046"/>
    <w:uiPriority w:val="0"/>
    <w:unhideWhenUsed/>
    <w:qFormat/>
    <w:pPr>
      <w:ind w:left="420"/>
      <w:spacing w:after="120"/>
    </w:pPr>
  </w:style>
  <w:style w:type="paragraph" w:styleId="1045"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46" w:customStyle="1">
    <w:name w:val="正文文本缩进 字符"/>
    <w:link w:val="1044"/>
    <w:uiPriority w:val="0"/>
    <w:qFormat/>
    <w:rPr>
      <w:rFonts w:ascii="Calibri" w:hAnsi="Calibri" w:eastAsia="宋体" w:cs="Times New Roman"/>
    </w:rPr>
  </w:style>
  <w:style w:type="paragraph" w:styleId="1047" w:customStyle="1">
    <w:name w:val="列表 21"/>
    <w:basedOn w:val="817"/>
    <w:uiPriority w:val="0"/>
    <w:qFormat/>
    <w:pPr>
      <w:ind w:left="100" w:hanging="200"/>
    </w:pPr>
    <w:rPr>
      <w:rFonts w:ascii="Times New Roman" w:hAnsi="Times New Roman"/>
      <w:szCs w:val="21"/>
    </w:rPr>
  </w:style>
  <w:style w:type="paragraph" w:styleId="1048" w:customStyle="1">
    <w:name w:val="纯文本1"/>
    <w:basedOn w:val="817"/>
    <w:link w:val="1049"/>
    <w:uiPriority w:val="0"/>
    <w:qFormat/>
    <w:rPr>
      <w:rFonts w:ascii="宋体" w:hAnsi="Courier New" w:cs="Courier New"/>
      <w:szCs w:val="21"/>
    </w:rPr>
  </w:style>
  <w:style w:type="character" w:styleId="1049" w:customStyle="1">
    <w:name w:val="纯文本 字符"/>
    <w:link w:val="1048"/>
    <w:uiPriority w:val="0"/>
    <w:qFormat/>
    <w:rPr>
      <w:rFonts w:ascii="宋体" w:hAnsi="Courier New" w:eastAsia="宋体" w:cs="Courier New"/>
      <w:szCs w:val="21"/>
    </w:rPr>
  </w:style>
  <w:style w:type="paragraph" w:styleId="1050" w:customStyle="1">
    <w:name w:val="日期1"/>
    <w:basedOn w:val="817"/>
    <w:next w:val="817"/>
    <w:link w:val="1051"/>
    <w:uiPriority w:val="0"/>
    <w:qFormat/>
    <w:rPr>
      <w:rFonts w:ascii="Times New Roman" w:hAnsi="Times New Roman"/>
      <w:sz w:val="24"/>
      <w:szCs w:val="24"/>
    </w:rPr>
  </w:style>
  <w:style w:type="character" w:styleId="1051" w:customStyle="1">
    <w:name w:val="日期 字符"/>
    <w:link w:val="1050"/>
    <w:uiPriority w:val="0"/>
    <w:qFormat/>
    <w:rPr>
      <w:rFonts w:ascii="Times New Roman" w:hAnsi="Times New Roman" w:eastAsia="宋体" w:cs="Times New Roman"/>
      <w:sz w:val="24"/>
      <w:szCs w:val="24"/>
    </w:rPr>
  </w:style>
  <w:style w:type="paragraph" w:styleId="1052" w:customStyle="1">
    <w:name w:val="正文文本缩进 21"/>
    <w:basedOn w:val="817"/>
    <w:link w:val="1053"/>
    <w:uiPriority w:val="0"/>
    <w:qFormat/>
    <w:pPr>
      <w:ind w:left="630" w:firstLine="645"/>
    </w:pPr>
    <w:rPr>
      <w:rFonts w:ascii="Arial" w:hAnsi="Arial" w:eastAsia="仿宋_GB2312" w:cs="Arial"/>
      <w:sz w:val="32"/>
      <w:szCs w:val="32"/>
    </w:rPr>
  </w:style>
  <w:style w:type="character" w:styleId="1053" w:customStyle="1">
    <w:name w:val="正文文本缩进 2 字符"/>
    <w:link w:val="1052"/>
    <w:uiPriority w:val="0"/>
    <w:qFormat/>
    <w:rPr>
      <w:rFonts w:ascii="Arial" w:hAnsi="Arial" w:eastAsia="仿宋_GB2312" w:cs="Arial"/>
      <w:sz w:val="32"/>
      <w:szCs w:val="32"/>
    </w:rPr>
  </w:style>
  <w:style w:type="paragraph" w:styleId="1054" w:customStyle="1">
    <w:name w:val="批注框文本1"/>
    <w:basedOn w:val="817"/>
    <w:link w:val="1055"/>
    <w:uiPriority w:val="0"/>
    <w:semiHidden/>
    <w:qFormat/>
    <w:rPr>
      <w:rFonts w:ascii="Times New Roman" w:hAnsi="Times New Roman"/>
      <w:sz w:val="18"/>
      <w:szCs w:val="18"/>
    </w:rPr>
  </w:style>
  <w:style w:type="character" w:styleId="1055" w:customStyle="1">
    <w:name w:val="批注框文本 字符"/>
    <w:link w:val="1054"/>
    <w:uiPriority w:val="0"/>
    <w:semiHidden/>
    <w:qFormat/>
    <w:rPr>
      <w:rFonts w:ascii="Times New Roman" w:hAnsi="Times New Roman" w:eastAsia="宋体" w:cs="Times New Roman"/>
      <w:sz w:val="18"/>
      <w:szCs w:val="18"/>
    </w:rPr>
  </w:style>
  <w:style w:type="paragraph" w:styleId="1056" w:customStyle="1">
    <w:name w:val="页脚1"/>
    <w:basedOn w:val="817"/>
    <w:link w:val="1057"/>
    <w:uiPriority w:val="0"/>
    <w:qFormat/>
    <w:pPr>
      <w:jc w:val="left"/>
      <w:tabs>
        <w:tab w:val="center" w:pos="4153" w:leader="none"/>
        <w:tab w:val="right" w:pos="8306" w:leader="none"/>
      </w:tabs>
    </w:pPr>
    <w:rPr>
      <w:rFonts w:ascii="Times New Roman" w:hAnsi="Times New Roman"/>
      <w:sz w:val="18"/>
      <w:szCs w:val="18"/>
    </w:rPr>
  </w:style>
  <w:style w:type="character" w:styleId="1057" w:customStyle="1">
    <w:name w:val="页脚 字符"/>
    <w:link w:val="1056"/>
    <w:uiPriority w:val="0"/>
    <w:qFormat/>
    <w:rPr>
      <w:rFonts w:ascii="Times New Roman" w:hAnsi="Times New Roman" w:eastAsia="宋体" w:cs="Times New Roman"/>
      <w:sz w:val="18"/>
      <w:szCs w:val="18"/>
    </w:rPr>
  </w:style>
  <w:style w:type="paragraph" w:styleId="1058" w:customStyle="1">
    <w:name w:val="页眉1"/>
    <w:basedOn w:val="817"/>
    <w:link w:val="105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59" w:customStyle="1">
    <w:name w:val="页眉 字符"/>
    <w:link w:val="1058"/>
    <w:uiPriority w:val="0"/>
    <w:qFormat/>
    <w:rPr>
      <w:rFonts w:ascii="Times New Roman" w:hAnsi="Times New Roman" w:eastAsia="宋体" w:cs="Times New Roman"/>
      <w:sz w:val="18"/>
      <w:szCs w:val="18"/>
    </w:rPr>
  </w:style>
  <w:style w:type="paragraph" w:styleId="1060" w:customStyle="1">
    <w:name w:val="列表1"/>
    <w:basedOn w:val="817"/>
    <w:uiPriority w:val="0"/>
    <w:qFormat/>
    <w:pPr>
      <w:ind w:left="200" w:hanging="200"/>
    </w:pPr>
    <w:rPr>
      <w:rFonts w:ascii="Times New Roman" w:hAnsi="Times New Roman"/>
      <w:szCs w:val="21"/>
    </w:rPr>
  </w:style>
  <w:style w:type="paragraph" w:styleId="1061" w:customStyle="1">
    <w:name w:val="正文文本缩进 31"/>
    <w:basedOn w:val="817"/>
    <w:link w:val="1062"/>
    <w:uiPriority w:val="0"/>
    <w:qFormat/>
    <w:pPr>
      <w:ind w:left="645" w:firstLine="645"/>
    </w:pPr>
    <w:rPr>
      <w:rFonts w:ascii="Arial" w:hAnsi="Arial" w:eastAsia="仿宋_GB2312" w:cs="Arial"/>
      <w:color w:val="ffff00"/>
      <w:sz w:val="32"/>
      <w:szCs w:val="32"/>
    </w:rPr>
  </w:style>
  <w:style w:type="character" w:styleId="1062" w:customStyle="1">
    <w:name w:val="正文文本缩进 3 字符"/>
    <w:link w:val="1061"/>
    <w:uiPriority w:val="0"/>
    <w:qFormat/>
    <w:rPr>
      <w:rFonts w:ascii="Arial" w:hAnsi="Arial" w:eastAsia="仿宋_GB2312" w:cs="Arial"/>
      <w:color w:val="ffff00"/>
      <w:sz w:val="32"/>
      <w:szCs w:val="32"/>
    </w:rPr>
  </w:style>
  <w:style w:type="paragraph" w:styleId="1063" w:customStyle="1">
    <w:name w:val="图表目录1"/>
    <w:basedOn w:val="817"/>
    <w:next w:val="817"/>
    <w:uiPriority w:val="0"/>
    <w:semiHidden/>
    <w:qFormat/>
    <w:pPr>
      <w:ind w:left="840" w:hanging="420"/>
    </w:pPr>
    <w:rPr>
      <w:rFonts w:ascii="Times New Roman" w:hAnsi="Times New Roman"/>
      <w:szCs w:val="21"/>
    </w:rPr>
  </w:style>
  <w:style w:type="paragraph" w:styleId="1064" w:customStyle="1">
    <w:name w:val="正文文本 21"/>
    <w:basedOn w:val="817"/>
    <w:link w:val="1065"/>
    <w:uiPriority w:val="0"/>
    <w:qFormat/>
    <w:pPr>
      <w:jc w:val="center"/>
      <w:widowControl/>
    </w:pPr>
    <w:rPr>
      <w:rFonts w:ascii="楷体_GB2312" w:hAnsi="Times New Roman" w:eastAsia="楷体_GB2312"/>
      <w:sz w:val="28"/>
      <w:szCs w:val="28"/>
    </w:rPr>
  </w:style>
  <w:style w:type="character" w:styleId="1065" w:customStyle="1">
    <w:name w:val="正文文本 2 字符"/>
    <w:link w:val="1064"/>
    <w:uiPriority w:val="0"/>
    <w:qFormat/>
    <w:rPr>
      <w:rFonts w:ascii="楷体_GB2312" w:hAnsi="Times New Roman" w:eastAsia="楷体_GB2312" w:cs="Times New Roman"/>
      <w:sz w:val="28"/>
      <w:szCs w:val="28"/>
    </w:rPr>
  </w:style>
  <w:style w:type="paragraph" w:styleId="1066" w:customStyle="1">
    <w:name w:val="普通(网站)1"/>
    <w:basedOn w:val="817"/>
    <w:uiPriority w:val="99"/>
    <w:qFormat/>
    <w:pPr>
      <w:jc w:val="left"/>
      <w:spacing w:before="100" w:beforeAutospacing="1" w:after="100" w:afterAutospacing="1"/>
      <w:widowControl/>
    </w:pPr>
    <w:rPr>
      <w:rFonts w:ascii="宋体" w:hAnsi="宋体" w:cs="宋体"/>
      <w:sz w:val="24"/>
      <w:szCs w:val="24"/>
    </w:rPr>
  </w:style>
  <w:style w:type="paragraph" w:styleId="1067" w:customStyle="1">
    <w:name w:val="索引 11"/>
    <w:basedOn w:val="817"/>
    <w:next w:val="817"/>
    <w:uiPriority w:val="0"/>
    <w:semiHidden/>
    <w:qFormat/>
    <w:pPr>
      <w:spacing w:line="240" w:lineRule="atLeast"/>
    </w:pPr>
    <w:rPr>
      <w:rFonts w:ascii="Times New Roman" w:hAnsi="Times New Roman"/>
      <w:b/>
      <w:bCs/>
      <w:szCs w:val="21"/>
    </w:rPr>
  </w:style>
  <w:style w:type="paragraph" w:styleId="1068" w:customStyle="1">
    <w:name w:val="批注主题1"/>
    <w:basedOn w:val="1040"/>
    <w:next w:val="1040"/>
    <w:link w:val="1069"/>
    <w:uiPriority w:val="0"/>
    <w:semiHidden/>
    <w:qFormat/>
    <w:rPr>
      <w:rFonts w:ascii="Times New Roman" w:hAnsi="Times New Roman"/>
      <w:b/>
      <w:bCs/>
      <w:szCs w:val="21"/>
    </w:rPr>
  </w:style>
  <w:style w:type="character" w:styleId="1069" w:customStyle="1">
    <w:name w:val="批注主题 字符"/>
    <w:link w:val="1068"/>
    <w:uiPriority w:val="0"/>
    <w:semiHidden/>
    <w:qFormat/>
    <w:rPr>
      <w:rFonts w:ascii="Times New Roman" w:hAnsi="Times New Roman" w:eastAsia="宋体" w:cs="Times New Roman"/>
      <w:b/>
      <w:bCs/>
      <w:szCs w:val="21"/>
    </w:rPr>
  </w:style>
  <w:style w:type="paragraph" w:styleId="1070" w:customStyle="1">
    <w:name w:val="正文文本首行缩进 2"/>
    <w:basedOn w:val="1044"/>
    <w:link w:val="1071"/>
    <w:uiPriority w:val="0"/>
    <w:qFormat/>
    <w:pPr>
      <w:ind w:left="0" w:firstLine="420"/>
      <w:spacing w:after="0" w:line="360" w:lineRule="auto"/>
    </w:pPr>
    <w:rPr>
      <w:rFonts w:ascii="宋体" w:hAnsi="宋体"/>
      <w:szCs w:val="20"/>
    </w:rPr>
  </w:style>
  <w:style w:type="character" w:styleId="1071" w:customStyle="1">
    <w:name w:val="正文文本首行缩进 2 字符"/>
    <w:link w:val="1070"/>
    <w:uiPriority w:val="0"/>
    <w:qFormat/>
    <w:rPr>
      <w:rFonts w:ascii="宋体" w:hAnsi="宋体" w:eastAsia="宋体" w:cs="Times New Roman"/>
      <w:szCs w:val="20"/>
    </w:rPr>
  </w:style>
  <w:style w:type="table" w:styleId="1072" w:customStyle="1">
    <w:name w:val="网格型1"/>
    <w:basedOn w:val="1022"/>
    <w:uiPriority w:val="0"/>
    <w:qFormat/>
    <w:pPr>
      <w:jc w:val="both"/>
      <w:widowControl w:val="off"/>
    </w:pPr>
    <w:rPr>
      <w:rFonts w:ascii="Times New Roman" w:hAnsi="Times New Roman" w:eastAsia="宋体" w:cs="Times New Roman"/>
      <w:sz w:val="20"/>
      <w:szCs w:val="20"/>
    </w:rPr>
    <w:tblPr/>
  </w:style>
  <w:style w:type="character" w:styleId="1073" w:customStyle="1">
    <w:name w:val="要点1"/>
    <w:link w:val="817"/>
    <w:uiPriority w:val="0"/>
    <w:qFormat/>
    <w:rPr>
      <w:b/>
      <w:bCs/>
    </w:rPr>
  </w:style>
  <w:style w:type="character" w:styleId="1074" w:customStyle="1">
    <w:name w:val="页码1"/>
    <w:link w:val="817"/>
    <w:uiPriority w:val="0"/>
    <w:qFormat/>
  </w:style>
  <w:style w:type="character" w:styleId="1075" w:customStyle="1">
    <w:name w:val="访问过的超链接"/>
    <w:link w:val="817"/>
    <w:uiPriority w:val="0"/>
    <w:qFormat/>
    <w:rPr>
      <w:color w:val="800080"/>
      <w:u w:val="single"/>
    </w:rPr>
  </w:style>
  <w:style w:type="character" w:styleId="1076" w:customStyle="1">
    <w:name w:val="超链接1"/>
    <w:link w:val="817"/>
    <w:uiPriority w:val="0"/>
    <w:qFormat/>
    <w:rPr>
      <w:color w:val="0000ff"/>
      <w:u w:val="single"/>
    </w:rPr>
  </w:style>
  <w:style w:type="character" w:styleId="1077" w:customStyle="1">
    <w:name w:val="批注引用1"/>
    <w:link w:val="817"/>
    <w:uiPriority w:val="0"/>
    <w:semiHidden/>
    <w:qFormat/>
    <w:rPr>
      <w:sz w:val="21"/>
      <w:szCs w:val="21"/>
    </w:rPr>
  </w:style>
  <w:style w:type="character" w:styleId="1078" w:customStyle="1">
    <w:name w:val="font5 Char"/>
    <w:link w:val="817"/>
    <w:uiPriority w:val="0"/>
    <w:qFormat/>
    <w:rPr>
      <w:rFonts w:ascii="宋体" w:hAnsi="宋体" w:eastAsia="宋体"/>
      <w:sz w:val="28"/>
      <w:szCs w:val="28"/>
      <w:lang w:val="en-US" w:eastAsia="zh-CN" w:bidi="ar-SA"/>
    </w:rPr>
  </w:style>
  <w:style w:type="character" w:styleId="1079" w:customStyle="1">
    <w:name w:val="二级目录 Char"/>
    <w:link w:val="1080"/>
    <w:uiPriority w:val="0"/>
    <w:qFormat/>
    <w:rPr>
      <w:b/>
      <w:sz w:val="30"/>
      <w:szCs w:val="28"/>
    </w:rPr>
  </w:style>
  <w:style w:type="paragraph" w:styleId="1080" w:customStyle="1">
    <w:name w:val="二级目录"/>
    <w:next w:val="817"/>
    <w:link w:val="107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81" w:customStyle="1">
    <w:name w:val="列出段落 Char"/>
    <w:link w:val="1082"/>
    <w:uiPriority w:val="0"/>
    <w:qFormat/>
    <w:rPr>
      <w:rFonts w:ascii="Calibri" w:hAnsi="Calibri"/>
      <w:sz w:val="24"/>
      <w:szCs w:val="24"/>
      <w:lang w:eastAsia="en-US" w:bidi="en-US"/>
    </w:rPr>
  </w:style>
  <w:style w:type="paragraph" w:styleId="1082" w:customStyle="1">
    <w:name w:val="列出段落1"/>
    <w:basedOn w:val="817"/>
    <w:link w:val="1081"/>
    <w:uiPriority w:val="0"/>
    <w:qFormat/>
    <w:pPr>
      <w:contextualSpacing/>
      <w:ind w:left="720"/>
      <w:jc w:val="left"/>
      <w:widowControl/>
    </w:pPr>
    <w:rPr>
      <w:rFonts w:eastAsia="宋体" w:cs="Times New Roman"/>
      <w:sz w:val="24"/>
      <w:szCs w:val="24"/>
      <w:lang w:eastAsia="en-US" w:bidi="en-US"/>
    </w:rPr>
  </w:style>
  <w:style w:type="paragraph" w:styleId="1083" w:customStyle="1">
    <w:name w:val="Body Text(ch)"/>
    <w:basedOn w:val="817"/>
    <w:next w:val="1024"/>
    <w:uiPriority w:val="0"/>
    <w:qFormat/>
    <w:pPr>
      <w:spacing w:after="120"/>
    </w:pPr>
    <w:rPr>
      <w:rFonts w:ascii="宋体" w:hAnsi="Arial"/>
      <w:bCs/>
      <w:iCs/>
      <w:szCs w:val="24"/>
    </w:rPr>
  </w:style>
  <w:style w:type="paragraph" w:styleId="1084" w:customStyle="1">
    <w:name w:val="xl27"/>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customStyle="1">
    <w:name w:val="xl26"/>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6" w:customStyle="1">
    <w:name w:val="Char"/>
    <w:basedOn w:val="817"/>
    <w:uiPriority w:val="0"/>
    <w:qFormat/>
    <w:pPr>
      <w:ind w:firstLine="200"/>
      <w:tabs>
        <w:tab w:val="left" w:pos="360" w:leader="none"/>
      </w:tabs>
    </w:pPr>
    <w:rPr>
      <w:rFonts w:ascii="Times New Roman" w:hAnsi="Times New Roman"/>
      <w:sz w:val="28"/>
      <w:szCs w:val="30"/>
    </w:rPr>
  </w:style>
  <w:style w:type="paragraph" w:styleId="1087" w:customStyle="1">
    <w:name w:val=" Char"/>
    <w:basedOn w:val="1038"/>
    <w:uiPriority w:val="0"/>
    <w:qFormat/>
    <w:rPr>
      <w:rFonts w:ascii="Tahoma" w:hAnsi="Tahoma"/>
      <w:sz w:val="24"/>
      <w:szCs w:val="24"/>
    </w:rPr>
  </w:style>
  <w:style w:type="paragraph" w:styleId="1088"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089" w:customStyle="1">
    <w:name w:val="table_lines"/>
    <w:basedOn w:val="817"/>
    <w:uiPriority w:val="0"/>
    <w:qFormat/>
    <w:pPr>
      <w:jc w:val="left"/>
      <w:widowControl/>
    </w:pPr>
    <w:rPr>
      <w:rFonts w:ascii="Times New Roman" w:hAnsi="Times New Roman"/>
      <w:sz w:val="20"/>
      <w:szCs w:val="20"/>
      <w:lang w:val="de-DE" w:eastAsia="de-DE"/>
    </w:rPr>
  </w:style>
  <w:style w:type="paragraph" w:styleId="10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1" w:customStyle="1">
    <w:name w:val="font7"/>
    <w:basedOn w:val="817"/>
    <w:uiPriority w:val="0"/>
    <w:qFormat/>
    <w:pPr>
      <w:jc w:val="left"/>
      <w:spacing w:before="100" w:beforeAutospacing="1" w:after="100" w:afterAutospacing="1"/>
      <w:widowControl/>
    </w:pPr>
    <w:rPr>
      <w:rFonts w:hint="eastAsia" w:ascii="宋体" w:hAnsi="宋体"/>
      <w:sz w:val="18"/>
      <w:szCs w:val="18"/>
    </w:rPr>
  </w:style>
  <w:style w:type="paragraph" w:styleId="1092" w:customStyle="1">
    <w:name w:val=" Char Char Char Char"/>
    <w:basedOn w:val="1038"/>
    <w:uiPriority w:val="0"/>
    <w:qFormat/>
    <w:pPr>
      <w:spacing w:line="360" w:lineRule="auto"/>
    </w:pPr>
    <w:rPr>
      <w:rFonts w:ascii="Tahoma" w:hAnsi="Tahoma"/>
      <w:sz w:val="24"/>
      <w:szCs w:val="24"/>
    </w:rPr>
  </w:style>
  <w:style w:type="paragraph" w:styleId="1093" w:customStyle="1">
    <w:name w:val="列表段落"/>
    <w:basedOn w:val="817"/>
    <w:uiPriority w:val="0"/>
    <w:qFormat/>
    <w:pPr>
      <w:contextualSpacing/>
      <w:ind w:left="720"/>
      <w:jc w:val="left"/>
      <w:widowControl/>
    </w:pPr>
    <w:rPr>
      <w:sz w:val="24"/>
      <w:szCs w:val="24"/>
      <w:lang w:eastAsia="en-US" w:bidi="en-US"/>
    </w:rPr>
  </w:style>
  <w:style w:type="paragraph" w:styleId="1094" w:customStyle="1">
    <w:name w:val="4"/>
    <w:basedOn w:val="817"/>
    <w:next w:val="1061"/>
    <w:uiPriority w:val="0"/>
    <w:qFormat/>
    <w:pPr>
      <w:ind w:firstLine="420"/>
      <w:spacing w:line="360" w:lineRule="auto"/>
    </w:pPr>
    <w:rPr>
      <w:rFonts w:ascii="Times New Roman" w:hAnsi="Times New Roman"/>
      <w:color w:val="ff0000"/>
      <w:sz w:val="24"/>
      <w:szCs w:val="24"/>
    </w:rPr>
  </w:style>
  <w:style w:type="paragraph" w:styleId="1095" w:customStyle="1">
    <w:name w:val="普通 (Web)"/>
    <w:basedOn w:val="817"/>
    <w:uiPriority w:val="0"/>
    <w:qFormat/>
    <w:pPr>
      <w:jc w:val="left"/>
      <w:spacing w:before="100" w:beforeAutospacing="1" w:after="100" w:afterAutospacing="1"/>
      <w:widowControl/>
    </w:pPr>
    <w:rPr>
      <w:rFonts w:ascii="宋体" w:hAnsi="宋体"/>
      <w:sz w:val="24"/>
      <w:szCs w:val="24"/>
    </w:rPr>
  </w:style>
  <w:style w:type="paragraph" w:styleId="1096" w:customStyle="1">
    <w:name w:val=" Char Char Char Char Char Char Char Char Char Char"/>
    <w:basedOn w:val="817"/>
    <w:uiPriority w:val="0"/>
    <w:qFormat/>
    <w:pPr>
      <w:spacing w:line="360" w:lineRule="auto"/>
    </w:pPr>
    <w:rPr>
      <w:rFonts w:ascii="Times New Roman" w:hAnsi="Times New Roman"/>
      <w:sz w:val="24"/>
      <w:szCs w:val="20"/>
    </w:rPr>
  </w:style>
  <w:style w:type="paragraph" w:styleId="1097" w:customStyle="1">
    <w:name w:val="样式1"/>
    <w:basedOn w:val="817"/>
    <w:uiPriority w:val="0"/>
    <w:qFormat/>
    <w:pPr>
      <w:numPr>
        <w:ilvl w:val="0"/>
        <w:numId w:val="3"/>
      </w:numPr>
    </w:pPr>
    <w:rPr>
      <w:rFonts w:ascii="宋体" w:hAnsi="宋体"/>
      <w:szCs w:val="21"/>
    </w:rPr>
  </w:style>
  <w:style w:type="paragraph" w:styleId="1098" w:customStyle="1">
    <w:name w:val="font6"/>
    <w:basedOn w:val="817"/>
    <w:uiPriority w:val="0"/>
    <w:qFormat/>
    <w:pPr>
      <w:jc w:val="left"/>
      <w:spacing w:before="100" w:beforeAutospacing="1" w:after="100" w:afterAutospacing="1"/>
      <w:widowControl/>
    </w:pPr>
    <w:rPr>
      <w:rFonts w:hint="eastAsia" w:ascii="宋体" w:hAnsi="宋体"/>
      <w:sz w:val="28"/>
      <w:szCs w:val="28"/>
      <w:u w:val="single"/>
    </w:rPr>
  </w:style>
  <w:style w:type="paragraph" w:styleId="1099" w:customStyle="1">
    <w:name w:val="xl25"/>
    <w:basedOn w:val="8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0"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01" w:customStyle="1">
    <w:name w:val="标题3"/>
    <w:basedOn w:val="817"/>
    <w:next w:val="817"/>
    <w:uiPriority w:val="0"/>
    <w:qFormat/>
    <w:pPr>
      <w:ind w:firstLine="624"/>
      <w:spacing w:line="590" w:lineRule="atLeast"/>
    </w:pPr>
    <w:rPr>
      <w:rFonts w:ascii="方正黑体_GBK" w:hAnsi="Times New Roman" w:eastAsia="方正黑体_GBK"/>
      <w:sz w:val="32"/>
      <w:szCs w:val="32"/>
    </w:rPr>
  </w:style>
  <w:style w:type="paragraph" w:styleId="1102" w:customStyle="1">
    <w:name w:val="xl24"/>
    <w:basedOn w:val="8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9"/>
    <w:basedOn w:val="81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4" w:customStyle="1">
    <w:name w:val="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05" w:customStyle="1">
    <w:name w:val="xl28"/>
    <w:basedOn w:val="8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6" w:customStyle="1">
    <w:name w:val=" 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107"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108" w:customStyle="1">
    <w:name w:val="Char Char Char Char"/>
    <w:basedOn w:val="1038"/>
    <w:uiPriority w:val="0"/>
    <w:qFormat/>
    <w:pPr>
      <w:spacing w:line="360" w:lineRule="auto"/>
    </w:pPr>
    <w:rPr>
      <w:rFonts w:ascii="Tahoma" w:hAnsi="Tahoma"/>
      <w:sz w:val="24"/>
      <w:szCs w:val="24"/>
    </w:rPr>
  </w:style>
  <w:style w:type="paragraph" w:styleId="1109" w:customStyle="1">
    <w:name w:val="table_1stline"/>
    <w:basedOn w:val="817"/>
    <w:uiPriority w:val="0"/>
    <w:qFormat/>
    <w:pPr>
      <w:jc w:val="left"/>
      <w:spacing w:before="120"/>
      <w:widowControl/>
    </w:pPr>
    <w:rPr>
      <w:rFonts w:ascii="Times New Roman" w:hAnsi="Times New Roman"/>
      <w:bCs/>
      <w:sz w:val="20"/>
      <w:szCs w:val="20"/>
      <w:lang w:val="de-DE" w:eastAsia="de-DE"/>
    </w:rPr>
  </w:style>
  <w:style w:type="paragraph" w:styleId="1110" w:customStyle="1">
    <w:name w:val="font5"/>
    <w:basedOn w:val="817"/>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标题1"/>
    <w:basedOn w:val="817"/>
    <w:next w:val="81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4" w:customStyle="1">
    <w:name w:val="列表段落1"/>
    <w:basedOn w:val="817"/>
    <w:uiPriority w:val="34"/>
    <w:qFormat/>
    <w:pPr>
      <w:ind w:firstLine="420"/>
    </w:pPr>
    <w:rPr>
      <w:rFonts w:ascii="Times New Roman" w:hAnsi="Times New Roman"/>
    </w:rPr>
  </w:style>
  <w:style w:type="paragraph" w:styleId="1115" w:customStyle="1">
    <w:name w:val="_Style 116"/>
    <w:basedOn w:val="817"/>
    <w:next w:val="1093"/>
    <w:uiPriority w:val="0"/>
    <w:qFormat/>
    <w:pPr>
      <w:contextualSpacing/>
      <w:ind w:left="720"/>
      <w:jc w:val="left"/>
      <w:widowControl/>
    </w:pPr>
    <w:rPr>
      <w:sz w:val="24"/>
      <w:szCs w:val="24"/>
      <w:lang w:eastAsia="en-US" w:bidi="en-US"/>
    </w:rPr>
  </w:style>
  <w:style w:type="paragraph" w:styleId="1116" w:customStyle="1">
    <w:name w:val="正文空两格"/>
    <w:basedOn w:val="817"/>
    <w:uiPriority w:val="0"/>
    <w:qFormat/>
    <w:pPr>
      <w:ind w:firstLine="200"/>
    </w:pPr>
    <w:rPr>
      <w:rFonts w:ascii="Times New Roman" w:hAnsi="Times New Roman"/>
      <w:szCs w:val="21"/>
    </w:rPr>
  </w:style>
  <w:style w:type="character" w:styleId="1117" w:customStyle="1">
    <w:name w:val="纯文本 Char"/>
    <w:link w:val="817"/>
    <w:uiPriority w:val="0"/>
    <w:qFormat/>
    <w:rPr>
      <w:rFonts w:ascii="宋体" w:hAnsi="Courier New" w:eastAsia="宋体" w:cs="Courier New"/>
      <w:szCs w:val="21"/>
    </w:rPr>
  </w:style>
  <w:style w:type="paragraph" w:styleId="1118" w:customStyle="1">
    <w:name w:val="black1"/>
    <w:basedOn w:val="817"/>
    <w:uiPriority w:val="99"/>
    <w:qFormat/>
    <w:pPr>
      <w:jc w:val="left"/>
      <w:spacing w:before="100" w:beforeAutospacing="1" w:after="100" w:afterAutospacing="1"/>
      <w:widowControl/>
    </w:pPr>
    <w:rPr>
      <w:rFonts w:ascii="宋体" w:hAnsi="宋体"/>
      <w:sz w:val="24"/>
    </w:rPr>
  </w:style>
  <w:style w:type="character" w:styleId="1119" w:customStyle="1">
    <w:name w:val="l-btn-left"/>
    <w:basedOn w:val="827"/>
    <w:uiPriority w:val="0"/>
    <w:qFormat/>
  </w:style>
  <w:style w:type="character" w:styleId="1120" w:customStyle="1">
    <w:name w:val="current"/>
    <w:basedOn w:val="827"/>
    <w:uiPriority w:val="0"/>
    <w:qFormat/>
    <w:rPr>
      <w:b/>
      <w:bCs/>
      <w:color w:val="05a7d8"/>
      <w:sz w:val="18"/>
      <w:szCs w:val="18"/>
    </w:rPr>
  </w:style>
  <w:style w:type="character" w:styleId="1121" w:customStyle="1">
    <w:name w:val="l-btn-text36"/>
    <w:basedOn w:val="827"/>
    <w:uiPriority w:val="0"/>
    <w:qFormat/>
  </w:style>
  <w:style w:type="paragraph" w:styleId="1122" w:customStyle="1">
    <w:name w:val="段"/>
    <w:basedOn w:val="817"/>
    <w:next w:val="817"/>
    <w:uiPriority w:val="0"/>
    <w:qFormat/>
    <w:pPr>
      <w:ind w:firstLine="200"/>
      <w:spacing w:line="360" w:lineRule="auto"/>
      <w:widowControl/>
    </w:pPr>
    <w:rPr>
      <w:rFonts w:ascii="宋体" w:hAnsi="宋体" w:cs="宋体"/>
      <w:sz w:val="24"/>
    </w:rPr>
  </w:style>
  <w:style w:type="paragraph" w:styleId="1123" w:customStyle="1">
    <w:name w:val="无间隔1"/>
    <w:basedOn w:val="817"/>
    <w:uiPriority w:val="0"/>
    <w:qFormat/>
    <w:pPr>
      <w:ind w:firstLine="200"/>
      <w:jc w:val="left"/>
      <w:spacing w:line="360" w:lineRule="auto"/>
      <w:widowControl/>
    </w:pPr>
    <w:rPr>
      <w:rFonts w:ascii="宋体" w:hAnsi="宋体"/>
      <w:sz w:val="24"/>
    </w:rPr>
  </w:style>
  <w:style w:type="character" w:styleId="1124" w:customStyle="1">
    <w:name w:val="font11"/>
    <w:basedOn w:val="827"/>
    <w:uiPriority w:val="0"/>
    <w:qFormat/>
    <w:rPr>
      <w:rFonts w:hint="eastAsia" w:ascii="微软雅黑" w:hAnsi="微软雅黑" w:eastAsia="微软雅黑" w:cs="微软雅黑"/>
      <w:color w:val="000000"/>
      <w:sz w:val="20"/>
      <w:szCs w:val="20"/>
      <w:u w:val="none"/>
    </w:rPr>
  </w:style>
  <w:style w:type="character" w:styleId="1125" w:customStyle="1">
    <w:name w:val="font51"/>
    <w:basedOn w:val="827"/>
    <w:uiPriority w:val="0"/>
    <w:qFormat/>
    <w:rPr>
      <w:rFonts w:hint="eastAsia" w:ascii="宋体" w:hAnsi="宋体" w:eastAsia="宋体" w:cs="宋体"/>
      <w:color w:val="000000"/>
      <w:sz w:val="24"/>
      <w:u w:val="none"/>
    </w:rPr>
  </w:style>
  <w:style w:type="character" w:styleId="1126" w:customStyle="1">
    <w:name w:val="标题 1 Char"/>
    <w:basedOn w:val="827"/>
    <w:link w:val="818"/>
    <w:uiPriority w:val="0"/>
    <w:qFormat/>
    <w:rPr>
      <w:rFonts w:ascii="宋体"/>
      <w:b/>
      <w:bCs/>
      <w:sz w:val="32"/>
      <w:szCs w:val="32"/>
    </w:rPr>
  </w:style>
  <w:style w:type="paragraph" w:styleId="1127" w:customStyle="1">
    <w:name w:val="Table Paragraph"/>
    <w:basedOn w:val="817"/>
    <w:uiPriority w:val="1"/>
    <w:qFormat/>
    <w:rPr>
      <w:rFonts w:ascii="宋体" w:hAnsi="宋体" w:eastAsia="宋体" w:cs="宋体"/>
      <w:szCs w:val="22"/>
      <w:lang w:val="zh-CN" w:bidi="zh-CN"/>
    </w:rPr>
  </w:style>
  <w:style w:type="character" w:styleId="1128" w:customStyle="1">
    <w:name w:val="Heading 1 Char1"/>
    <w:uiPriority w:val="99"/>
    <w:qFormat/>
    <w:rPr>
      <w:rFonts w:ascii="Century Schoolbook" w:hAnsi="Century Schoolbook"/>
      <w:sz w:val="20"/>
    </w:rPr>
  </w:style>
  <w:style w:type="paragraph" w:styleId="1129" w:customStyle="1">
    <w:name w:val="正文2"/>
    <w:basedOn w:val="817"/>
    <w:uiPriority w:val="0"/>
    <w:qFormat/>
    <w:pPr>
      <w:widowControl/>
    </w:pPr>
    <w:rPr>
      <w:rFonts w:ascii="Calibri" w:hAnsi="Calibri" w:cs="Calibri"/>
      <w:szCs w:val="21"/>
    </w:rPr>
  </w:style>
  <w:style w:type="character" w:styleId="1130" w:customStyle="1">
    <w:name w:val="超链接11"/>
    <w:link w:val="817"/>
    <w:uiPriority w:val="0"/>
    <w:qFormat/>
    <w:rPr>
      <w:rFonts w:ascii="Calibri" w:hAnsi="Calibri" w:eastAsia="宋体" w:cs="Times New Roman"/>
      <w:sz w:val="21"/>
      <w:szCs w:val="22"/>
      <w:lang w:val="en-US" w:eastAsia="zh-CN" w:bidi="ar-SA"/>
    </w:rPr>
  </w:style>
  <w:style w:type="character" w:styleId="1131" w:customStyle="1">
    <w:name w:val="titlebody"/>
    <w:uiPriority w:val="0"/>
    <w:qFormat/>
    <w:rPr>
      <w:rFonts w:ascii="宋体" w:hAnsi="宋体" w:eastAsia="宋体" w:cs="宋体"/>
      <w:b/>
      <w:bCs/>
      <w:color w:val="000000"/>
      <w:sz w:val="24"/>
      <w:szCs w:val="24"/>
    </w:rPr>
  </w:style>
  <w:style w:type="paragraph" w:styleId="1132" w:customStyle="1">
    <w:name w:val="批注文字12"/>
    <w:basedOn w:val="817"/>
    <w:uiPriority w:val="99"/>
    <w:unhideWhenUsed/>
    <w:qFormat/>
    <w:pPr>
      <w:jc w:val="left"/>
    </w:pPr>
  </w:style>
  <w:style w:type="paragraph" w:styleId="1133" w:customStyle="1">
    <w:name w:val="Plain Text2"/>
    <w:basedOn w:val="817"/>
    <w:uiPriority w:val="99"/>
    <w:qFormat/>
    <w:rPr>
      <w:rFonts w:ascii="宋体" w:hAnsi="Courier New" w:eastAsia="楷体_GB2312"/>
      <w:sz w:val="28"/>
      <w:szCs w:val="20"/>
    </w:rPr>
  </w:style>
  <w:style w:type="paragraph" w:styleId="1134" w:customStyle="1">
    <w:name w:val="脚注文本1"/>
    <w:basedOn w:val="1045"/>
    <w:next w:val="1135"/>
    <w:uiPriority w:val="0"/>
    <w:qFormat/>
    <w:pPr>
      <w:jc w:val="left"/>
    </w:pPr>
    <w:rPr>
      <w:rFonts w:ascii="宋体" w:hAnsi="宋体" w:eastAsia="Times New Roman"/>
      <w:sz w:val="18"/>
      <w:szCs w:val="18"/>
    </w:rPr>
  </w:style>
  <w:style w:type="paragraph" w:styleId="1135" w:customStyle="1">
    <w:name w:val="索引 51"/>
    <w:basedOn w:val="1045"/>
    <w:next w:val="1045"/>
    <w:uiPriority w:val="0"/>
    <w:qFormat/>
    <w:pPr>
      <w:ind w:left="798"/>
      <w:jc w:val="left"/>
    </w:pPr>
    <w:rPr>
      <w:rFonts w:ascii="Calibri" w:hAnsi="Calibri"/>
    </w:rPr>
  </w:style>
  <w:style w:type="paragraph" w:styleId="1136" w:customStyle="1">
    <w:name w:val="普通(网站)11"/>
    <w:basedOn w:val="817"/>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37" w:customStyle="1">
    <w:name w:val="正文首行缩进 2111"/>
    <w:next w:val="817"/>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38" w:customStyle="1">
    <w:name w:val="Table Text"/>
    <w:basedOn w:val="817"/>
    <w:uiPriority w:val="0"/>
    <w:semiHidden/>
    <w:qFormat/>
    <w:rPr>
      <w:rFonts w:ascii="仿宋" w:hAnsi="仿宋" w:eastAsia="仿宋" w:cs="仿宋"/>
      <w:sz w:val="22"/>
      <w:szCs w:val="22"/>
      <w:lang w:val="en-US" w:eastAsia="en-US" w:bidi="ar-SA"/>
    </w:rPr>
  </w:style>
  <w:style w:type="table" w:styleId="1139"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10</cp:revision>
  <dcterms:created xsi:type="dcterms:W3CDTF">2023-09-14T01:51:00Z</dcterms:created>
  <dcterms:modified xsi:type="dcterms:W3CDTF">2026-08-27T07:16:14Z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7C7280E72000429C81410CAF46268788_13</vt:lpwstr>
  </property>
  <property fmtid="{D5CDD505-2E9C-101B-9397-08002B2CF9AE}" pid="4" name="KSOTemplateDocerSaveRecord">
    <vt:lpwstr>eyJoZGlkIjoiM2VkM2Y2NWMzNzdmZjQ1MTEwZmRkMDM0YmVkYjZiZTEiLCJ1c2VySWQiOiIxMTQ1Mjk0NDgzIn0=</vt:lpwstr>
  </property>
</Properties>
</file>