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eastAsiaTheme="minorEastAsia"/>
          <w:bCs/>
          <w:color w:val="auto"/>
          <w:sz w:val="30"/>
          <w:highlight w:val="none"/>
        </w:rPr>
      </w:pPr>
      <w:r/>
      <w:bookmarkStart w:id="176" w:name="_GoBack"/>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JSZC-320200-WXZB-G2026-0005</w:t>
      </w:r>
      <w:r/>
    </w:p>
    <w:p>
      <w:pPr>
        <w:ind w:firstLine="1500"/>
        <w:spacing w:line="360" w:lineRule="auto"/>
        <w:rPr>
          <w:rFonts w:ascii="Arial" w:hAnsi="Arial" w:eastAsia="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rPr>
        <w:t xml:space="preserve">无锡法院集中编目服务采购项目</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无锡市中级人民法院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采购代理机构：无锡众邦技术咨询有限公司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八</w:t>
      </w:r>
      <w:r>
        <w:rPr>
          <w:rFonts w:hint="eastAsia" w:ascii="宋体" w:hAnsi="宋体" w:eastAsia="宋体" w:cs="宋体"/>
          <w:bCs/>
          <w:color w:val="auto"/>
          <w:sz w:val="44"/>
          <w:szCs w:val="44"/>
          <w:highlight w:val="none"/>
        </w:rPr>
        <w:t xml:space="preserve">月</w:t>
      </w:r>
      <w:r/>
    </w:p>
    <w:p>
      <w:pPr>
        <w:spacing w:line="360" w:lineRule="auto"/>
        <w:rPr>
          <w:rStyle w:val="887"/>
          <w:rFonts w:ascii="Arial" w:hAnsi="Arial"/>
          <w:bCs/>
          <w:color w:val="auto"/>
          <w:sz w:val="48"/>
          <w:highlight w:val="none"/>
        </w:rPr>
      </w:pPr>
      <w:r>
        <w:rPr>
          <w:rFonts w:ascii="Arial" w:hAnsi="Arial"/>
          <w:bCs/>
          <w:color w:val="auto"/>
          <w:sz w:val="48"/>
          <w:highlight w:val="none"/>
        </w:rPr>
      </w:r>
      <w:r/>
    </w:p>
    <w:p>
      <w:pPr>
        <w:jc w:val="center"/>
        <w:spacing w:line="360" w:lineRule="auto"/>
        <w:rPr>
          <w:rStyle w:val="887"/>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87"/>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887"/>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87"/>
          <w:rFonts w:ascii="Arial" w:hAnsi="Arial"/>
          <w:bCs/>
          <w:color w:val="auto"/>
          <w:sz w:val="48"/>
          <w:highlight w:val="none"/>
          <w:u w:val="none"/>
        </w:rPr>
      </w:pPr>
      <w:r>
        <w:rPr>
          <w:rFonts w:ascii="Arial" w:hAnsi="Arial"/>
          <w:bCs/>
          <w:color w:val="auto"/>
          <w:sz w:val="48"/>
          <w:highlight w:val="none"/>
          <w:u w:val="none"/>
        </w:rPr>
      </w:r>
      <w:r/>
    </w:p>
    <w:p>
      <w:pPr>
        <w:pStyle w:val="119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24"/>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无锡众邦技术咨询有限公司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无锡市中级人民法院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rPr>
        <w:t xml:space="preserve">无锡法院集中编目服务采购项目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rPr>
        <w:t xml:space="preserve">无锡法院集中编目服务采购项目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eastAsia="宋体"/>
          <w:b/>
          <w:bCs/>
          <w:color w:val="auto"/>
          <w:sz w:val="24"/>
          <w:szCs w:val="24"/>
          <w:highlight w:val="none"/>
        </w:rPr>
        <w:t xml:space="preserve">2026年</w:t>
      </w:r>
      <w:r>
        <w:rPr>
          <w:rFonts w:hint="eastAsia" w:ascii="宋体" w:hAnsi="宋体" w:eastAsia="宋体"/>
          <w:b/>
          <w:bCs/>
          <w:color w:val="auto"/>
          <w:sz w:val="24"/>
          <w:szCs w:val="24"/>
          <w:highlight w:val="none"/>
          <w:lang w:val="en-US" w:eastAsia="zh-CN"/>
        </w:rPr>
        <w:t xml:space="preserve">8</w:t>
      </w:r>
      <w:r>
        <w:rPr>
          <w:rFonts w:hint="eastAsia" w:ascii="宋体" w:hAnsi="宋体" w:eastAsia="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31</w:t>
      </w:r>
      <w:r>
        <w:rPr>
          <w:rFonts w:hint="eastAsia" w:ascii="宋体" w:hAnsi="宋体" w:eastAsia="宋体"/>
          <w:b/>
          <w:bCs/>
          <w:color w:val="auto"/>
          <w:sz w:val="24"/>
          <w:szCs w:val="24"/>
          <w:highlight w:val="none"/>
        </w:rPr>
        <w:t xml:space="preserve">日9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1.项目名称：无锡法院集中编目服务采购项目</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2.项目编号：</w:t>
      </w:r>
      <w:r>
        <w:rPr>
          <w:rFonts w:hint="eastAsia" w:asciiTheme="minorEastAsia" w:hAnsiTheme="minorEastAsia" w:eastAsiaTheme="minorEastAsia" w:cstheme="minorEastAsia"/>
          <w:color w:val="auto"/>
          <w:sz w:val="24"/>
          <w:szCs w:val="24"/>
          <w:highlight w:val="none"/>
          <w:lang w:eastAsia="zh-CN"/>
        </w:rPr>
        <w:t xml:space="preserve">JSZC-320200-WXZB-G2026-0005</w:t>
      </w:r>
      <w:r/>
    </w:p>
    <w:p>
      <w:pPr>
        <w:ind w:firstLine="480"/>
        <w:jc w:val="left"/>
        <w:spacing w:line="360" w:lineRule="auto"/>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3.项目预算金额：555万元</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4.最高限价：</w:t>
      </w:r>
      <w:r>
        <w:rPr>
          <w:rFonts w:hint="eastAsia" w:asciiTheme="minorEastAsia" w:hAnsiTheme="minorEastAsia" w:eastAsiaTheme="minorEastAsia" w:cstheme="minorEastAsia"/>
          <w:color w:val="auto"/>
          <w:sz w:val="24"/>
          <w:szCs w:val="24"/>
          <w:highlight w:val="none"/>
        </w:rPr>
        <w:t xml:space="preserve">555万元</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需求：对无锡全市两级共8家法院合同期内立案的审判一审二审和执行等案件完成材料精细化名称标注和归目质检的工作，同时对各基层院随案扫描团队进行材料整理、分类、排序，材料扫描等操作培训，满足无锡全市两级法院无纸化办案需求。具体内容详见招标文件第四章《采购需求》</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6.服务期限：3年（自合同签订之日起算）</w:t>
      </w:r>
      <w:r/>
    </w:p>
    <w:p>
      <w:pPr>
        <w:ind w:firstLine="480"/>
        <w:jc w:val="left"/>
        <w:spacing w:line="360" w:lineRule="auto"/>
        <w:shd w:val="clear" w:color="auto" w:fill="ffffff"/>
        <w:widowControl/>
        <w:rPr>
          <w:rFonts w:ascii="Arial" w:hAnsi="Arial" w:cs="宋体"/>
          <w:color w:val="auto"/>
          <w:sz w:val="24"/>
          <w:szCs w:val="24"/>
          <w:highlight w:val="none"/>
        </w:rPr>
      </w:pPr>
      <w:r>
        <w:rPr>
          <w:rFonts w:ascii="宋体" w:hAnsi="宋体" w:eastAsia="宋体" w:cs="宋体"/>
          <w:color w:val="auto"/>
          <w:sz w:val="24"/>
          <w:szCs w:val="24"/>
          <w:highlight w:val="none"/>
        </w:rPr>
        <w:t xml:space="preserve">7.本项目标的所属行业：其他未列明行业。根据《中小企业划型标准规定》工信部联企业</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2011〕300号</w:t>
      </w:r>
      <w:r>
        <w:rPr>
          <w:rFonts w:hint="eastAsia" w:ascii="宋体" w:hAnsi="宋体" w:eastAsia="宋体" w:cs="宋体"/>
          <w:color w:val="auto"/>
          <w:sz w:val="24"/>
          <w:szCs w:val="24"/>
          <w:highlight w:val="none"/>
        </w:rPr>
        <w:t xml:space="preserve">规定，其他未列明行业：从业人员</w:t>
      </w:r>
      <w:r>
        <w:rPr>
          <w:rFonts w:ascii="宋体" w:hAnsi="宋体" w:eastAsia="宋体" w:cs="宋体"/>
          <w:color w:val="auto"/>
          <w:sz w:val="24"/>
          <w:szCs w:val="24"/>
          <w:highlight w:val="none"/>
        </w:rPr>
        <w:t xml:space="preserve">300人以下的为中小微型企业。其中，从业人员100人及以上的为中型企业；从业人员10人及以上的为小型企业；从业人员10人以下的为微型企业</w:t>
      </w:r>
      <w:bookmarkStart w:id="1" w:name="OLE_LINK2"/>
      <w:r/>
      <w:bookmarkStart w:id="2" w:name="OLE_LINK1"/>
      <w:r/>
      <w:bookmarkStart w:id="3" w:name="OLE_LINK3"/>
      <w:r>
        <w:rPr>
          <w:rFonts w:ascii="宋体" w:hAnsi="宋体" w:eastAsia="宋体" w:cs="宋体"/>
          <w:color w:val="auto"/>
          <w:sz w:val="24"/>
          <w:szCs w:val="24"/>
          <w:highlight w:val="none"/>
        </w:rPr>
        <w:t xml:space="preserve">。</w:t>
      </w:r>
      <w:bookmarkEnd w:id="1"/>
      <w:r/>
      <w:bookmarkEnd w:id="2"/>
      <w:r/>
      <w:bookmarkEnd w:id="3"/>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9.本项目无需提交履约保证金。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2.1中小企业政策：本项目专门面向中小企业；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pStyle w:val="832"/>
        <w:ind w:firstLine="480"/>
        <w:spacing w:before="0" w:beforeAutospacing="0" w:after="0" w:afterAutospacing="0" w:line="360" w:lineRule="auto"/>
        <w:rPr>
          <w:rFonts w:cs="Times New Roman"/>
          <w:color w:val="auto"/>
          <w:highlight w:val="none"/>
        </w:rPr>
      </w:pPr>
      <w:r>
        <w:rPr>
          <w:rFonts w:hint="eastAsia"/>
          <w:color w:val="auto"/>
          <w:highlight w:val="none"/>
        </w:rPr>
        <w:t xml:space="preserve">2.3本项目的特定资格要求：无</w:t>
      </w:r>
      <w:r>
        <w:rPr>
          <w:rFonts w:hint="eastAsia" w:cs="Times New Roman"/>
          <w:color w:val="auto"/>
          <w:highlight w:val="none"/>
        </w:rPr>
        <w:t xml:space="preserve">；</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eastAsia="宋体"/>
          <w:b/>
          <w:bCs/>
          <w:color w:val="auto"/>
          <w:sz w:val="24"/>
          <w:szCs w:val="24"/>
          <w:highlight w:val="none"/>
        </w:rPr>
        <w:t xml:space="preserve">2026年</w:t>
      </w:r>
      <w:r>
        <w:rPr>
          <w:rFonts w:hint="eastAsia" w:ascii="宋体" w:hAnsi="宋体" w:eastAsia="宋体"/>
          <w:b/>
          <w:bCs/>
          <w:color w:val="auto"/>
          <w:sz w:val="24"/>
          <w:szCs w:val="24"/>
          <w:highlight w:val="none"/>
          <w:lang w:val="en-US" w:eastAsia="zh-CN"/>
        </w:rPr>
        <w:t xml:space="preserve">8</w:t>
      </w:r>
      <w:r>
        <w:rPr>
          <w:rFonts w:hint="eastAsia" w:ascii="宋体" w:hAnsi="宋体" w:eastAsia="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31</w:t>
      </w:r>
      <w:r>
        <w:rPr>
          <w:rFonts w:hint="eastAsia" w:ascii="宋体" w:hAnsi="宋体" w:eastAsia="宋体"/>
          <w:b/>
          <w:bCs/>
          <w:color w:val="auto"/>
          <w:sz w:val="24"/>
          <w:szCs w:val="24"/>
          <w:highlight w:val="none"/>
        </w:rPr>
        <w:t xml:space="preserve">日9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54"/>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无锡众邦技术咨询有限公司</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Arial" w:hAnsi="Arial" w:eastAsia="宋体" w:cs="宋体"/>
          <w:color w:val="auto"/>
          <w:sz w:val="24"/>
          <w:szCs w:val="24"/>
          <w:highlight w:val="none"/>
          <w:lang w:val="en-US" w:eastAsia="zh-CN"/>
        </w:rPr>
        <w:t xml:space="preserve">刘曾辰</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szCs w:val="24"/>
          <w:highlight w:val="none"/>
        </w:rPr>
        <w:t xml:space="preserve">0510-82810100       </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地址：无锡市隐秀路866号三楼北侧302室</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邮箱：71573294@qq.com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名称：无锡市中级人民法院</w:t>
      </w:r>
      <w:r>
        <w:rPr>
          <w:rFonts w:hint="eastAsia" w:ascii="宋体" w:hAnsi="宋体" w:eastAsia="宋体" w:cs="宋体"/>
          <w:color w:val="auto"/>
          <w:sz w:val="24"/>
          <w:szCs w:val="24"/>
          <w:highlight w:val="none"/>
        </w:rPr>
        <w:tab/>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地址：无锡市中级人民法院崇宁路50号</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rPr>
        <w:t xml:space="preserve">0510-82226641</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无锡众邦技术咨询有限公司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4"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4"/>
      <w:r/>
      <w:bookmarkStart w:id="5" w:name="_Toc120614213"/>
      <w:r/>
      <w:bookmarkStart w:id="6" w:name="_Toc16938518"/>
      <w:r/>
      <w:bookmarkStart w:id="7" w:name="_Toc513029202"/>
      <w:r/>
      <w:bookmarkStart w:id="8" w:name="_Toc20823274"/>
      <w:r>
        <w:rPr>
          <w:rFonts w:hint="eastAsia" w:ascii="黑体" w:hAnsi="黑体" w:eastAsia="黑体"/>
          <w:color w:val="auto"/>
          <w:sz w:val="36"/>
          <w:szCs w:val="36"/>
          <w:highlight w:val="none"/>
        </w:rPr>
        <w:t xml:space="preserve">投标人须知</w:t>
      </w:r>
      <w:bookmarkEnd w:id="5"/>
      <w:r/>
      <w:bookmarkEnd w:id="6"/>
      <w:r/>
      <w:bookmarkEnd w:id="7"/>
      <w:r/>
      <w:bookmarkEnd w:id="8"/>
      <w:r/>
      <w:r/>
    </w:p>
    <w:p>
      <w:pPr>
        <w:pStyle w:val="954"/>
        <w:ind w:firstLine="452"/>
        <w:keepLines w:val="0"/>
        <w:keepNext w:val="0"/>
        <w:spacing w:before="0" w:after="0" w:line="360" w:lineRule="auto"/>
        <w:rPr>
          <w:color w:val="auto"/>
          <w:sz w:val="30"/>
          <w:szCs w:val="30"/>
          <w:highlight w:val="none"/>
          <w:lang w:eastAsia="zh-CN"/>
        </w:rPr>
      </w:pPr>
      <w:r/>
      <w:bookmarkStart w:id="9" w:name="_Toc120614214"/>
      <w:r/>
      <w:bookmarkStart w:id="10" w:name="_Toc16938519"/>
      <w:r/>
      <w:bookmarkStart w:id="11" w:name="_Toc513029203"/>
      <w:r/>
      <w:bookmarkStart w:id="12" w:name="_Toc20823275"/>
      <w:r>
        <w:rPr>
          <w:rFonts w:hint="eastAsia"/>
          <w:color w:val="auto"/>
          <w:sz w:val="30"/>
          <w:szCs w:val="30"/>
          <w:highlight w:val="none"/>
          <w:lang w:eastAsia="zh-CN"/>
        </w:rPr>
        <w:t xml:space="preserve">一、总则</w:t>
      </w:r>
      <w:bookmarkEnd w:id="9"/>
      <w:r/>
      <w:bookmarkEnd w:id="10"/>
      <w:r/>
      <w:bookmarkEnd w:id="11"/>
      <w:r/>
      <w:bookmarkEnd w:id="12"/>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3" w:name="_Hlt16619475"/>
      <w:r/>
      <w:bookmarkEnd w:id="13"/>
      <w:r/>
      <w:bookmarkStart w:id="14" w:name="_Toc16938520"/>
      <w:r/>
      <w:bookmarkStart w:id="15" w:name="_Toc20823276"/>
      <w:r/>
      <w:bookmarkStart w:id="16" w:name="_Toc513029204"/>
      <w:r>
        <w:rPr>
          <w:rFonts w:hint="eastAsia" w:ascii="宋体" w:hAnsi="宋体" w:eastAsia="宋体"/>
          <w:bCs w:val="0"/>
          <w:color w:val="auto"/>
          <w:highlight w:val="none"/>
          <w:lang w:eastAsia="zh-CN"/>
        </w:rPr>
        <w:t xml:space="preserve">1.招标方式</w:t>
      </w:r>
      <w:bookmarkEnd w:id="14"/>
      <w:r/>
      <w:bookmarkEnd w:id="15"/>
      <w:r/>
      <w:bookmarkEnd w:id="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7" w:name="_Toc20823277"/>
      <w:r/>
      <w:bookmarkStart w:id="18" w:name="_Toc513029205"/>
      <w:r/>
      <w:bookmarkStart w:id="19" w:name="_Toc16938521"/>
      <w:r>
        <w:rPr>
          <w:rFonts w:hint="eastAsia" w:ascii="宋体" w:hAnsi="宋体" w:eastAsia="宋体"/>
          <w:bCs w:val="0"/>
          <w:color w:val="auto"/>
          <w:highlight w:val="none"/>
          <w:lang w:eastAsia="zh-CN"/>
        </w:rPr>
        <w:t xml:space="preserve">2.</w:t>
      </w:r>
      <w:bookmarkEnd w:id="17"/>
      <w:r/>
      <w:bookmarkEnd w:id="18"/>
      <w:r/>
      <w:bookmarkEnd w:id="19"/>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20" w:name="_Toc16938522"/>
      <w:r/>
      <w:bookmarkStart w:id="21" w:name="_Toc513029206"/>
      <w:r/>
      <w:bookmarkStart w:id="22" w:name="_Toc20823278"/>
      <w:r>
        <w:rPr>
          <w:rFonts w:hint="eastAsia" w:ascii="宋体" w:hAnsi="宋体" w:eastAsia="宋体"/>
          <w:bCs w:val="0"/>
          <w:color w:val="auto"/>
          <w:highlight w:val="none"/>
          <w:lang w:eastAsia="zh-CN"/>
        </w:rPr>
        <w:t xml:space="preserve">3.适用法律</w:t>
      </w:r>
      <w:bookmarkEnd w:id="20"/>
      <w:r/>
      <w:bookmarkEnd w:id="21"/>
      <w:r/>
      <w:bookmarkEnd w:id="2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23" w:name="_Toc20823279"/>
      <w:r/>
      <w:bookmarkStart w:id="24" w:name="_Toc462564067"/>
      <w:r/>
      <w:bookmarkStart w:id="25" w:name="_Toc16938523"/>
      <w:r/>
      <w:bookmarkStart w:id="26" w:name="_Toc513029207"/>
      <w:r>
        <w:rPr>
          <w:rFonts w:hint="eastAsia" w:ascii="宋体" w:hAnsi="宋体" w:eastAsia="宋体"/>
          <w:bCs w:val="0"/>
          <w:color w:val="auto"/>
          <w:highlight w:val="none"/>
          <w:lang w:eastAsia="zh-CN"/>
        </w:rPr>
        <w:t xml:space="preserve">4.投标费用</w:t>
      </w:r>
      <w:bookmarkEnd w:id="23"/>
      <w:r/>
      <w:bookmarkEnd w:id="24"/>
      <w:r/>
      <w:bookmarkEnd w:id="25"/>
      <w:r/>
      <w:bookmarkEnd w:id="26"/>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无锡众邦技术咨询有限公司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w:t>
      </w:r>
      <w:bookmarkStart w:id="27" w:name="OLE_LINK18"/>
      <w:r/>
      <w:bookmarkStart w:id="28" w:name="OLE_LINK17"/>
      <w:r>
        <w:rPr>
          <w:rFonts w:hint="eastAsia" w:ascii="宋体" w:hAnsi="宋体"/>
          <w:color w:val="auto"/>
          <w:sz w:val="24"/>
          <w:highlight w:val="none"/>
        </w:rPr>
        <w:t xml:space="preserve">本项目预算金额中包含</w:t>
      </w:r>
      <w:r>
        <w:rPr>
          <w:rFonts w:hint="eastAsia" w:ascii="宋体" w:hAnsi="宋体" w:eastAsia="宋体"/>
          <w:color w:val="auto"/>
          <w:sz w:val="24"/>
          <w:highlight w:val="none"/>
        </w:rPr>
        <w:t xml:space="preserve">采购</w:t>
      </w:r>
      <w:r>
        <w:rPr>
          <w:rFonts w:hint="eastAsia" w:ascii="宋体" w:hAnsi="宋体"/>
          <w:color w:val="auto"/>
          <w:sz w:val="24"/>
          <w:highlight w:val="none"/>
        </w:rPr>
        <w:t xml:space="preserve">代理费，供应商应将</w:t>
      </w:r>
      <w:r>
        <w:rPr>
          <w:rFonts w:hint="eastAsia" w:ascii="宋体" w:hAnsi="宋体" w:eastAsia="宋体"/>
          <w:color w:val="auto"/>
          <w:sz w:val="24"/>
          <w:highlight w:val="none"/>
        </w:rPr>
        <w:t xml:space="preserve">采购</w:t>
      </w:r>
      <w:r>
        <w:rPr>
          <w:rFonts w:ascii="宋体" w:hAnsi="宋体"/>
          <w:color w:val="auto"/>
          <w:sz w:val="24"/>
          <w:highlight w:val="none"/>
        </w:rPr>
        <w:t xml:space="preserve">代理费充分考虑进</w:t>
      </w:r>
      <w:r>
        <w:rPr>
          <w:rFonts w:hint="eastAsia" w:ascii="宋体" w:hAnsi="宋体" w:eastAsiaTheme="minorEastAsia"/>
          <w:color w:val="auto"/>
          <w:sz w:val="24"/>
          <w:highlight w:val="none"/>
        </w:rPr>
        <w:t xml:space="preserve">入</w:t>
      </w:r>
      <w:r>
        <w:rPr>
          <w:rFonts w:ascii="宋体" w:hAnsi="宋体"/>
          <w:color w:val="auto"/>
          <w:sz w:val="24"/>
          <w:highlight w:val="none"/>
        </w:rPr>
        <w:t xml:space="preserve">项目报价，</w:t>
      </w:r>
      <w:r>
        <w:rPr>
          <w:rFonts w:hint="eastAsia" w:ascii="宋体" w:hAnsi="宋体" w:eastAsia="宋体"/>
          <w:color w:val="auto"/>
          <w:sz w:val="24"/>
          <w:highlight w:val="none"/>
        </w:rPr>
        <w:t xml:space="preserve">采购</w:t>
      </w:r>
      <w:r>
        <w:rPr>
          <w:rFonts w:ascii="宋体" w:hAnsi="宋体"/>
          <w:color w:val="auto"/>
          <w:sz w:val="24"/>
          <w:highlight w:val="none"/>
        </w:rPr>
        <w:t xml:space="preserve">代理费</w:t>
      </w:r>
      <w:r>
        <w:rPr>
          <w:rFonts w:hint="eastAsia" w:ascii="宋体" w:hAnsi="宋体" w:eastAsia="宋体"/>
          <w:color w:val="auto"/>
          <w:sz w:val="24"/>
          <w:highlight w:val="none"/>
        </w:rPr>
        <w:t xml:space="preserve">由</w:t>
      </w:r>
      <w:r>
        <w:rPr>
          <w:rFonts w:ascii="宋体" w:hAnsi="宋体"/>
          <w:color w:val="auto"/>
          <w:sz w:val="24"/>
          <w:highlight w:val="none"/>
        </w:rPr>
        <w:t xml:space="preserve">供应商领取中标通知书时</w:t>
      </w:r>
      <w:r>
        <w:rPr>
          <w:rFonts w:hint="eastAsia" w:ascii="宋体" w:hAnsi="宋体" w:eastAsia="宋体"/>
          <w:color w:val="auto"/>
          <w:sz w:val="24"/>
          <w:highlight w:val="none"/>
        </w:rPr>
        <w:t xml:space="preserve">支付</w:t>
      </w:r>
      <w:bookmarkEnd w:id="27"/>
      <w:r/>
      <w:bookmarkEnd w:id="28"/>
      <w:r>
        <w:rPr>
          <w:rFonts w:ascii="宋体" w:hAnsi="宋体"/>
          <w:color w:val="auto"/>
          <w:sz w:val="24"/>
          <w:highlight w:val="none"/>
        </w:rPr>
        <w:t xml:space="preserve">。</w:t>
      </w:r>
      <w:r>
        <w:rPr>
          <w:rFonts w:hint="eastAsia" w:ascii="宋体" w:hAnsi="宋体" w:eastAsia="宋体" w:cs="宋体"/>
          <w:bCs/>
          <w:color w:val="auto"/>
          <w:sz w:val="24"/>
          <w:highlight w:val="none"/>
        </w:rPr>
        <w:t xml:space="preserve">采购代理费以中标金额为计算基数，按照100万元内*1.5%、100万元-500万元*0.8%、500万元-1000万元*0.45%累进制计算后打八折计取。</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54"/>
        <w:ind w:firstLine="452"/>
        <w:keepLines w:val="0"/>
        <w:keepNext w:val="0"/>
        <w:spacing w:before="0" w:after="0" w:line="360" w:lineRule="auto"/>
        <w:rPr>
          <w:color w:val="auto"/>
          <w:sz w:val="30"/>
          <w:szCs w:val="30"/>
          <w:highlight w:val="none"/>
          <w:lang w:eastAsia="zh-CN"/>
        </w:rPr>
      </w:pPr>
      <w:r/>
      <w:bookmarkStart w:id="29" w:name="_Toc20823281"/>
      <w:r/>
      <w:bookmarkStart w:id="30" w:name="_Toc16938525"/>
      <w:r/>
      <w:bookmarkStart w:id="31" w:name="_Toc120614215"/>
      <w:r/>
      <w:bookmarkStart w:id="32" w:name="_Toc513029209"/>
      <w:r>
        <w:rPr>
          <w:rFonts w:hint="eastAsia"/>
          <w:color w:val="auto"/>
          <w:sz w:val="30"/>
          <w:szCs w:val="30"/>
          <w:highlight w:val="none"/>
          <w:lang w:eastAsia="zh-CN"/>
        </w:rPr>
        <w:t xml:space="preserve">二、招标文件</w:t>
      </w:r>
      <w:bookmarkEnd w:id="29"/>
      <w:r/>
      <w:bookmarkEnd w:id="30"/>
      <w:r/>
      <w:bookmarkEnd w:id="31"/>
      <w:r/>
      <w:bookmarkEnd w:id="32"/>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33" w:name="_Toc20823282"/>
      <w:r/>
      <w:bookmarkStart w:id="34" w:name="_Toc16938526"/>
      <w:r/>
      <w:bookmarkStart w:id="35" w:name="_Toc513029210"/>
      <w:r>
        <w:rPr>
          <w:rFonts w:hint="eastAsia" w:ascii="宋体" w:hAnsi="宋体" w:eastAsia="宋体"/>
          <w:bCs w:val="0"/>
          <w:color w:val="auto"/>
          <w:highlight w:val="none"/>
          <w:lang w:eastAsia="zh-CN"/>
        </w:rPr>
        <w:t xml:space="preserve">6.招标文件构成</w:t>
      </w:r>
      <w:bookmarkEnd w:id="33"/>
      <w:r/>
      <w:bookmarkEnd w:id="34"/>
      <w:r/>
      <w:bookmarkEnd w:id="3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36" w:name="_Toc16938527"/>
      <w:r/>
      <w:bookmarkStart w:id="37" w:name="_Toc462564070"/>
      <w:r/>
      <w:bookmarkStart w:id="38" w:name="_Toc513029211"/>
      <w:r/>
      <w:bookmarkStart w:id="39" w:name="_Toc20823283"/>
      <w:r>
        <w:rPr>
          <w:rFonts w:hint="eastAsia" w:ascii="宋体" w:hAnsi="宋体" w:eastAsia="宋体"/>
          <w:bCs w:val="0"/>
          <w:color w:val="auto"/>
          <w:highlight w:val="none"/>
          <w:lang w:eastAsia="zh-CN"/>
        </w:rPr>
        <w:t xml:space="preserve">7.招标文件的澄清</w:t>
      </w:r>
      <w:bookmarkEnd w:id="36"/>
      <w:r/>
      <w:bookmarkEnd w:id="37"/>
      <w:r/>
      <w:bookmarkEnd w:id="38"/>
      <w:r/>
      <w:bookmarkEnd w:id="39"/>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40" w:name="_Toc462564071"/>
      <w:r/>
      <w:bookmarkStart w:id="41" w:name="_Toc16938528"/>
      <w:r/>
      <w:bookmarkStart w:id="42" w:name="_Toc20823284"/>
      <w:r/>
      <w:bookmarkStart w:id="43" w:name="_Toc513029212"/>
      <w:r>
        <w:rPr>
          <w:rFonts w:hint="eastAsia" w:ascii="宋体" w:hAnsi="宋体" w:eastAsia="宋体"/>
          <w:bCs w:val="0"/>
          <w:color w:val="auto"/>
          <w:highlight w:val="none"/>
          <w:lang w:eastAsia="zh-CN"/>
        </w:rPr>
        <w:t xml:space="preserve">8.招标文件的修改</w:t>
      </w:r>
      <w:bookmarkEnd w:id="40"/>
      <w:r/>
      <w:bookmarkEnd w:id="41"/>
      <w:r/>
      <w:bookmarkEnd w:id="42"/>
      <w:r/>
      <w:bookmarkEnd w:id="43"/>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4"/>
        <w:ind w:firstLine="452"/>
        <w:keepLines w:val="0"/>
        <w:keepNext w:val="0"/>
        <w:spacing w:before="0" w:after="0" w:line="360" w:lineRule="auto"/>
        <w:rPr>
          <w:color w:val="auto"/>
          <w:sz w:val="30"/>
          <w:szCs w:val="30"/>
          <w:highlight w:val="none"/>
          <w:lang w:eastAsia="zh-CN"/>
        </w:rPr>
      </w:pPr>
      <w:r/>
      <w:bookmarkStart w:id="44" w:name="_Toc462564072"/>
      <w:r/>
      <w:bookmarkStart w:id="45" w:name="_Toc20823285"/>
      <w:r/>
      <w:bookmarkStart w:id="46" w:name="_Toc120614216"/>
      <w:r/>
      <w:bookmarkStart w:id="47" w:name="_Toc16938529"/>
      <w:r/>
      <w:bookmarkStart w:id="48" w:name="_Toc513029213"/>
      <w:r>
        <w:rPr>
          <w:rFonts w:hint="eastAsia"/>
          <w:color w:val="auto"/>
          <w:sz w:val="30"/>
          <w:szCs w:val="30"/>
          <w:highlight w:val="none"/>
          <w:lang w:eastAsia="zh-CN"/>
        </w:rPr>
        <w:t xml:space="preserve">三、投标文件的编制</w:t>
      </w:r>
      <w:bookmarkEnd w:id="44"/>
      <w:r/>
      <w:bookmarkEnd w:id="45"/>
      <w:r/>
      <w:bookmarkEnd w:id="46"/>
      <w:r/>
      <w:bookmarkEnd w:id="47"/>
      <w:r/>
      <w:bookmarkEnd w:id="48"/>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49" w:name="_Toc20823286"/>
      <w:r/>
      <w:bookmarkStart w:id="50" w:name="_Toc16938530"/>
      <w:r/>
      <w:bookmarkStart w:id="51" w:name="_Toc513029214"/>
      <w:r/>
      <w:bookmarkStart w:id="52" w:name="_Toc462564073"/>
      <w:r>
        <w:rPr>
          <w:rFonts w:hint="eastAsia" w:ascii="宋体" w:hAnsi="宋体" w:eastAsia="宋体"/>
          <w:bCs w:val="0"/>
          <w:color w:val="auto"/>
          <w:highlight w:val="none"/>
          <w:lang w:eastAsia="zh-CN"/>
        </w:rPr>
        <w:t xml:space="preserve">9.投标文件的语言及度量衡单位</w:t>
      </w:r>
      <w:bookmarkEnd w:id="49"/>
      <w:r/>
      <w:bookmarkEnd w:id="50"/>
      <w:r/>
      <w:bookmarkEnd w:id="51"/>
      <w:r/>
      <w:bookmarkEnd w:id="5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53" w:name="_Toc16938531"/>
      <w:r/>
      <w:bookmarkStart w:id="54" w:name="_Toc462564074"/>
      <w:r/>
      <w:bookmarkStart w:id="55" w:name="_Toc20823287"/>
      <w:r/>
      <w:bookmarkStart w:id="56" w:name="_Toc513029215"/>
      <w:r>
        <w:rPr>
          <w:rFonts w:hint="eastAsia" w:ascii="宋体" w:hAnsi="宋体" w:eastAsia="宋体"/>
          <w:bCs w:val="0"/>
          <w:color w:val="auto"/>
          <w:highlight w:val="none"/>
          <w:lang w:eastAsia="zh-CN"/>
        </w:rPr>
        <w:t xml:space="preserve">10.投标文件构成</w:t>
      </w:r>
      <w:bookmarkEnd w:id="53"/>
      <w:r/>
      <w:bookmarkEnd w:id="54"/>
      <w:r/>
      <w:bookmarkEnd w:id="55"/>
      <w:r/>
      <w:bookmarkEnd w:id="5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57" w:name="_Hlt26668975"/>
      <w:r/>
      <w:bookmarkEnd w:id="57"/>
      <w:r/>
      <w:bookmarkStart w:id="58" w:name="_Hlt26670360"/>
      <w:r/>
      <w:bookmarkEnd w:id="58"/>
      <w:r/>
      <w:bookmarkStart w:id="59" w:name="_Hlt26954838"/>
      <w:r/>
      <w:bookmarkEnd w:id="59"/>
      <w:r/>
      <w:bookmarkStart w:id="60" w:name="_Toc14577354"/>
      <w:r/>
      <w:bookmarkStart w:id="61" w:name="_Toc513029216"/>
      <w:r/>
      <w:bookmarkStart w:id="62" w:name="_Toc49090507"/>
      <w:r/>
      <w:bookmarkStart w:id="63" w:name="_Toc14577357"/>
      <w:r/>
      <w:bookmarkStart w:id="64" w:name="_Toc513029219"/>
      <w:r/>
      <w:bookmarkStart w:id="65" w:name="_Toc49090509"/>
      <w:r>
        <w:rPr>
          <w:rFonts w:hint="eastAsia" w:ascii="宋体" w:hAnsi="宋体" w:eastAsia="宋体"/>
          <w:bCs w:val="0"/>
          <w:color w:val="auto"/>
          <w:highlight w:val="none"/>
          <w:lang w:eastAsia="zh-CN"/>
        </w:rPr>
        <w:t xml:space="preserve">11.证明投标人及投标标的符合招标文件规定的文件</w:t>
      </w:r>
      <w:bookmarkEnd w:id="60"/>
      <w:r/>
      <w:bookmarkEnd w:id="61"/>
      <w:r/>
      <w:bookmarkEnd w:id="62"/>
      <w:r/>
      <w:bookmarkEnd w:id="63"/>
      <w:r/>
      <w:bookmarkEnd w:id="64"/>
      <w:r/>
      <w:bookmarkEnd w:id="65"/>
      <w:r/>
      <w:r/>
    </w:p>
    <w:p>
      <w:pPr>
        <w:ind w:firstLine="480"/>
        <w:spacing w:line="360" w:lineRule="auto"/>
        <w:rPr>
          <w:rFonts w:ascii="宋体" w:hAnsi="宋体"/>
          <w:bCs/>
          <w:color w:val="auto"/>
          <w:sz w:val="24"/>
          <w:highlight w:val="none"/>
        </w:rPr>
      </w:pPr>
      <w:r/>
      <w:bookmarkStart w:id="66" w:name="_Toc49090508"/>
      <w:r/>
      <w:bookmarkStart w:id="67"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68" w:name="_Toc49090510"/>
      <w:r/>
      <w:bookmarkStart w:id="69"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8"/>
      <w:r/>
      <w:bookmarkEnd w:id="69"/>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6"/>
      <w:r/>
      <w:bookmarkEnd w:id="67"/>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70" w:name="_Hlt26954840"/>
      <w:r/>
      <w:bookmarkEnd w:id="70"/>
      <w:r>
        <w:rPr>
          <w:rFonts w:hint="eastAsia" w:ascii="宋体" w:hAnsi="宋体"/>
          <w:color w:val="auto"/>
          <w:sz w:val="24"/>
          <w:highlight w:val="none"/>
        </w:rPr>
        <w:t xml:space="preserve">标人应按照招标文件规定格式填报</w:t>
      </w:r>
      <w:bookmarkStart w:id="71" w:name="_Hlt26670399"/>
      <w:r/>
      <w:bookmarkEnd w:id="71"/>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72" w:name="_Hlt26670482"/>
      <w:r/>
      <w:bookmarkEnd w:id="72"/>
      <w:r/>
      <w:bookmarkStart w:id="73" w:name="_Hlt26954731"/>
      <w:r/>
      <w:bookmarkEnd w:id="73"/>
      <w:r/>
      <w:bookmarkStart w:id="74" w:name="_Hlt26954848"/>
      <w:r/>
      <w:bookmarkEnd w:id="74"/>
      <w:r/>
      <w:bookmarkStart w:id="75" w:name="_Hlt26670425"/>
      <w:r/>
      <w:bookmarkEnd w:id="75"/>
      <w:r/>
      <w:bookmarkStart w:id="76" w:name="_Hlt26670403"/>
      <w:r/>
      <w:bookmarkEnd w:id="76"/>
      <w:r/>
      <w:bookmarkStart w:id="77" w:name="_Hlt26954846"/>
      <w:r/>
      <w:bookmarkEnd w:id="77"/>
      <w:r/>
      <w:bookmarkStart w:id="78" w:name="_Hlt26670486"/>
      <w:r/>
      <w:bookmarkEnd w:id="78"/>
      <w:r/>
      <w:bookmarkStart w:id="79" w:name="_Hlt26954844"/>
      <w:r/>
      <w:bookmarkEnd w:id="79"/>
      <w:r/>
      <w:bookmarkStart w:id="80" w:name="_Hlt26954842"/>
      <w:r/>
      <w:bookmarkEnd w:id="80"/>
      <w:r/>
      <w:bookmarkStart w:id="81" w:name="_Hlt26668983"/>
      <w:r/>
      <w:bookmarkEnd w:id="81"/>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82" w:name="_Hlt26954850"/>
      <w:r/>
      <w:bookmarkEnd w:id="82"/>
      <w:r/>
      <w:bookmarkStart w:id="83" w:name="_Hlt26670489"/>
      <w:r/>
      <w:bookmarkEnd w:id="83"/>
      <w:r/>
      <w:bookmarkStart w:id="84" w:name="_Hlt26954734"/>
      <w:r/>
      <w:bookmarkEnd w:id="84"/>
      <w:r/>
      <w:bookmarkStart w:id="85" w:name="_Toc14577360"/>
      <w:r/>
      <w:bookmarkStart w:id="86" w:name="_Toc49090511"/>
      <w:r>
        <w:rPr>
          <w:rFonts w:hint="eastAsia" w:ascii="宋体" w:hAnsi="宋体" w:eastAsia="宋体"/>
          <w:bCs w:val="0"/>
          <w:color w:val="auto"/>
          <w:highlight w:val="none"/>
          <w:lang w:eastAsia="zh-CN"/>
        </w:rPr>
        <w:t xml:space="preserve">15.投标有效期</w:t>
      </w:r>
      <w:bookmarkEnd w:id="85"/>
      <w:r/>
      <w:bookmarkEnd w:id="8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54"/>
        <w:ind w:firstLine="452"/>
        <w:keepLines w:val="0"/>
        <w:keepNext w:val="0"/>
        <w:spacing w:before="0" w:after="0" w:line="360" w:lineRule="auto"/>
        <w:rPr>
          <w:color w:val="auto"/>
          <w:sz w:val="30"/>
          <w:szCs w:val="30"/>
          <w:highlight w:val="none"/>
          <w:lang w:eastAsia="zh-CN"/>
        </w:rPr>
      </w:pPr>
      <w:r/>
      <w:bookmarkStart w:id="87" w:name="_Hlt26954852"/>
      <w:r/>
      <w:bookmarkEnd w:id="87"/>
      <w:r/>
      <w:bookmarkStart w:id="88" w:name="_Hlt26954739"/>
      <w:r/>
      <w:bookmarkEnd w:id="88"/>
      <w:r/>
      <w:bookmarkStart w:id="89" w:name="_Toc513029224"/>
      <w:r/>
      <w:bookmarkStart w:id="90" w:name="_Toc120614217"/>
      <w:r/>
      <w:bookmarkStart w:id="91" w:name="_Toc20823296"/>
      <w:r/>
      <w:bookmarkStart w:id="92" w:name="_Toc16938540"/>
      <w:r>
        <w:rPr>
          <w:rFonts w:hint="eastAsia"/>
          <w:color w:val="auto"/>
          <w:sz w:val="30"/>
          <w:szCs w:val="30"/>
          <w:highlight w:val="none"/>
          <w:lang w:eastAsia="zh-CN"/>
        </w:rPr>
        <w:t xml:space="preserve">四、投标文件的递交</w:t>
      </w:r>
      <w:bookmarkEnd w:id="89"/>
      <w:r/>
      <w:bookmarkEnd w:id="90"/>
      <w:r/>
      <w:bookmarkEnd w:id="91"/>
      <w:r/>
      <w:bookmarkEnd w:id="92"/>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93" w:name="_Toc16938541"/>
      <w:r/>
      <w:bookmarkStart w:id="94" w:name="_Toc20823297"/>
      <w:r/>
      <w:bookmarkStart w:id="95" w:name="_Toc462564084"/>
      <w:r/>
      <w:bookmarkStart w:id="96" w:name="_Toc513029225"/>
      <w:r>
        <w:rPr>
          <w:rFonts w:hint="eastAsia" w:ascii="宋体" w:hAnsi="宋体" w:eastAsia="宋体"/>
          <w:bCs w:val="0"/>
          <w:color w:val="auto"/>
          <w:highlight w:val="none"/>
          <w:lang w:eastAsia="zh-CN"/>
        </w:rPr>
        <w:t xml:space="preserve">17.投标文件</w:t>
      </w:r>
      <w:bookmarkEnd w:id="93"/>
      <w:r/>
      <w:bookmarkEnd w:id="94"/>
      <w:r/>
      <w:bookmarkEnd w:id="95"/>
      <w:r/>
      <w:bookmarkEnd w:id="96"/>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07"/>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7" w:name="_Toc16938542"/>
      <w:r/>
      <w:bookmarkStart w:id="98" w:name="_Toc20823298"/>
      <w:r/>
      <w:bookmarkStart w:id="99" w:name="_Toc513029226"/>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7"/>
      <w:r/>
      <w:bookmarkEnd w:id="98"/>
      <w:r/>
      <w:bookmarkEnd w:id="99"/>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00" w:name="_Toc16938543"/>
      <w:r/>
      <w:bookmarkStart w:id="101" w:name="_Toc20823299"/>
      <w:r/>
      <w:bookmarkStart w:id="102" w:name="_Toc513029227"/>
      <w:r>
        <w:rPr>
          <w:rFonts w:hint="eastAsia" w:ascii="宋体" w:hAnsi="宋体" w:eastAsia="宋体"/>
          <w:bCs w:val="0"/>
          <w:color w:val="auto"/>
          <w:highlight w:val="none"/>
          <w:lang w:eastAsia="zh-CN"/>
        </w:rPr>
        <w:t xml:space="preserve">19.投标文件</w:t>
      </w:r>
      <w:bookmarkEnd w:id="100"/>
      <w:r/>
      <w:bookmarkEnd w:id="101"/>
      <w:r/>
      <w:bookmarkEnd w:id="102"/>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03" w:name="_Toc16938544"/>
      <w:r/>
      <w:bookmarkStart w:id="104" w:name="_Toc20823300"/>
      <w:r/>
      <w:bookmarkStart w:id="105" w:name="_Toc513029228"/>
      <w:r>
        <w:rPr>
          <w:rFonts w:hint="eastAsia" w:ascii="宋体" w:hAnsi="宋体" w:eastAsia="宋体"/>
          <w:bCs w:val="0"/>
          <w:color w:val="auto"/>
          <w:highlight w:val="none"/>
          <w:lang w:eastAsia="zh-CN"/>
        </w:rPr>
        <w:t xml:space="preserve">20.投标文件的撤回和修改</w:t>
      </w:r>
      <w:bookmarkEnd w:id="103"/>
      <w:r/>
      <w:bookmarkEnd w:id="104"/>
      <w:r/>
      <w:bookmarkEnd w:id="10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eastAsia="宋体"/>
          <w:color w:val="auto"/>
          <w:sz w:val="24"/>
          <w:highlight w:val="none"/>
        </w:rPr>
        <w:t xml:space="preserve">0</w:t>
      </w:r>
      <w:r>
        <w:rPr>
          <w:rFonts w:ascii="宋体" w:hAnsi="宋体"/>
          <w:color w:val="auto"/>
          <w:sz w:val="24"/>
          <w:highlight w:val="none"/>
        </w:rPr>
        <w:t xml:space="preserve">.1.1电子投标文件的撤回</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ascii="宋体" w:hAnsi="宋体" w:eastAsia="宋体"/>
          <w:color w:val="auto"/>
          <w:sz w:val="24"/>
          <w:szCs w:val="24"/>
          <w:highlight w:val="none"/>
        </w:rPr>
        <w:t xml:space="preserve">0</w:t>
      </w:r>
      <w:r>
        <w:rPr>
          <w:rFonts w:ascii="宋体" w:hAnsi="宋体"/>
          <w:color w:val="auto"/>
          <w:sz w:val="24"/>
          <w:szCs w:val="24"/>
          <w:highlight w:val="none"/>
        </w:rPr>
        <w:t xml:space="preserve">.1.2投</w:t>
      </w:r>
      <w:r>
        <w:rPr>
          <w:rFonts w:hint="eastAsia" w:ascii="宋体" w:hAnsi="宋体"/>
          <w:color w:val="auto"/>
          <w:sz w:val="24"/>
          <w:szCs w:val="24"/>
          <w:highlight w:val="none"/>
        </w:rPr>
        <w:t xml:space="preserve">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54"/>
        <w:ind w:firstLine="452"/>
        <w:keepLines w:val="0"/>
        <w:keepNext w:val="0"/>
        <w:spacing w:before="0" w:after="0" w:line="360" w:lineRule="auto"/>
        <w:rPr>
          <w:color w:val="auto"/>
          <w:sz w:val="30"/>
          <w:szCs w:val="30"/>
          <w:highlight w:val="none"/>
          <w:lang w:eastAsia="zh-CN"/>
        </w:rPr>
      </w:pPr>
      <w:r/>
      <w:bookmarkStart w:id="106" w:name="_Toc513029229"/>
      <w:r/>
      <w:bookmarkStart w:id="107" w:name="_Toc20823301"/>
      <w:r/>
      <w:bookmarkStart w:id="108" w:name="_Toc120614218"/>
      <w:r/>
      <w:bookmarkStart w:id="109" w:name="_Toc16938545"/>
      <w:r>
        <w:rPr>
          <w:rFonts w:hint="eastAsia"/>
          <w:color w:val="auto"/>
          <w:sz w:val="30"/>
          <w:szCs w:val="30"/>
          <w:highlight w:val="none"/>
          <w:lang w:eastAsia="zh-CN"/>
        </w:rPr>
        <w:t xml:space="preserve">五、开标与评标</w:t>
      </w:r>
      <w:bookmarkEnd w:id="106"/>
      <w:r/>
      <w:bookmarkEnd w:id="107"/>
      <w:r/>
      <w:bookmarkEnd w:id="108"/>
      <w:r/>
      <w:bookmarkEnd w:id="109"/>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10" w:name="_Toc20823302"/>
      <w:r/>
      <w:bookmarkStart w:id="111" w:name="_Toc16938546"/>
      <w:r/>
      <w:bookmarkStart w:id="112" w:name="_Toc513029230"/>
      <w:r>
        <w:rPr>
          <w:rFonts w:hint="eastAsia" w:ascii="宋体" w:hAnsi="宋体" w:eastAsia="宋体"/>
          <w:bCs w:val="0"/>
          <w:color w:val="auto"/>
          <w:highlight w:val="none"/>
          <w:lang w:eastAsia="zh-CN"/>
        </w:rPr>
        <w:t xml:space="preserve">21.开标</w:t>
      </w:r>
      <w:bookmarkEnd w:id="110"/>
      <w:r/>
      <w:bookmarkEnd w:id="111"/>
      <w:r/>
      <w:bookmarkEnd w:id="112"/>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13" w:name="_Toc513029231"/>
      <w:r/>
      <w:bookmarkStart w:id="114" w:name="_Toc20823303"/>
      <w:r/>
      <w:bookmarkStart w:id="115" w:name="_Toc16938547"/>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13"/>
      <w:r/>
      <w:bookmarkEnd w:id="114"/>
      <w:r/>
      <w:bookmarkEnd w:id="115"/>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16" w:name="_Toc16938548"/>
      <w:r/>
      <w:bookmarkStart w:id="117" w:name="_Toc513029232"/>
      <w:r/>
      <w:bookmarkStart w:id="118" w:name="_Toc20823304"/>
      <w:r>
        <w:rPr>
          <w:rFonts w:hint="eastAsia" w:ascii="宋体" w:hAnsi="宋体" w:eastAsia="宋体"/>
          <w:bCs w:val="0"/>
          <w:color w:val="auto"/>
          <w:highlight w:val="none"/>
          <w:lang w:eastAsia="zh-CN"/>
        </w:rPr>
        <w:t xml:space="preserve">24.投标文件的澄清</w:t>
      </w:r>
      <w:bookmarkEnd w:id="116"/>
      <w:r/>
      <w:bookmarkEnd w:id="117"/>
      <w:r/>
      <w:bookmarkEnd w:id="118"/>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19" w:name="_Toc20823305"/>
      <w:r/>
      <w:bookmarkStart w:id="120" w:name="_Toc16938549"/>
      <w:r/>
      <w:bookmarkStart w:id="121" w:name="_Toc513029233"/>
      <w:r>
        <w:rPr>
          <w:rFonts w:hint="eastAsia" w:ascii="宋体" w:hAnsi="宋体" w:eastAsia="宋体"/>
          <w:bCs w:val="0"/>
          <w:color w:val="auto"/>
          <w:highlight w:val="none"/>
          <w:lang w:eastAsia="zh-CN"/>
        </w:rPr>
        <w:t xml:space="preserve">25.对投标文件的初审</w:t>
      </w:r>
      <w:bookmarkEnd w:id="119"/>
      <w:r/>
      <w:bookmarkEnd w:id="120"/>
      <w:r/>
      <w:bookmarkEnd w:id="12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w:t>
      </w:r>
      <w:r>
        <w:rPr>
          <w:rFonts w:hint="eastAsia" w:ascii="宋体" w:hAnsi="宋体" w:eastAsia="宋体" w:cs="宋体"/>
          <w:bCs/>
          <w:color w:val="auto"/>
          <w:sz w:val="24"/>
          <w:szCs w:val="24"/>
          <w:highlight w:val="none"/>
        </w:rPr>
        <w:t xml:space="preserve">投标人</w:t>
      </w:r>
      <w:r>
        <w:rPr>
          <w:rFonts w:hint="eastAsia" w:ascii="宋体" w:hAnsi="宋体" w:cs="宋体"/>
          <w:bCs/>
          <w:color w:val="auto"/>
          <w:sz w:val="24"/>
          <w:szCs w:val="24"/>
          <w:highlight w:val="none"/>
        </w:rPr>
        <w:t xml:space="preserve">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w:t>
      </w:r>
      <w:r>
        <w:rPr>
          <w:rFonts w:hint="eastAsia" w:ascii="宋体" w:hAnsi="宋体" w:eastAsia="宋体" w:cs="宋体"/>
          <w:bCs/>
          <w:color w:val="auto"/>
          <w:sz w:val="24"/>
          <w:highlight w:val="none"/>
        </w:rPr>
        <w:t xml:space="preserve">投标人</w:t>
      </w:r>
      <w:r>
        <w:rPr>
          <w:rFonts w:hint="eastAsia" w:ascii="宋体" w:hAnsi="宋体" w:cs="宋体"/>
          <w:bCs/>
          <w:color w:val="auto"/>
          <w:sz w:val="24"/>
          <w:highlight w:val="none"/>
        </w:rPr>
        <w:t xml:space="preserve">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auto"/>
          <w:sz w:val="24"/>
          <w:highlight w:val="none"/>
        </w:rPr>
      </w:pPr>
      <w:r/>
      <w:bookmarkStart w:id="122" w:name="_Toc20823306"/>
      <w:r/>
      <w:bookmarkStart w:id="123" w:name="_Toc16938550"/>
      <w:r/>
      <w:bookmarkStart w:id="124" w:name="_Toc513029234"/>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w:t>
      </w:r>
      <w:r>
        <w:rPr>
          <w:rFonts w:hint="eastAsia" w:ascii="宋体" w:hAnsi="宋体" w:eastAsia="宋体" w:cs="宋体"/>
          <w:color w:val="auto"/>
          <w:sz w:val="24"/>
          <w:highlight w:val="none"/>
        </w:rPr>
        <w:t xml:space="preserve">值</w:t>
      </w:r>
      <w:r>
        <w:rPr>
          <w:rFonts w:ascii="宋体" w:hAnsi="宋体" w:eastAsia="宋体" w:cs="宋体"/>
          <w:color w:val="auto"/>
          <w:sz w:val="24"/>
          <w:highlight w:val="none"/>
        </w:rPr>
        <w:t xml:space="preserve">50%的，</w:t>
      </w:r>
      <w:r>
        <w:rPr>
          <w:rFonts w:hint="eastAsia" w:ascii="宋体" w:hAnsi="宋体" w:eastAsia="宋体" w:cs="宋体"/>
          <w:color w:val="auto"/>
          <w:sz w:val="24"/>
          <w:highlight w:val="none"/>
        </w:rPr>
        <w:t xml:space="preserve">即投标（响应）报价&lt;全部通过符合性审查供应商投标（响应）报价平均值</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50%；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w:t>
      </w:r>
      <w:r>
        <w:rPr>
          <w:rFonts w:hint="eastAsia" w:ascii="宋体" w:hAnsi="宋体" w:eastAsia="宋体" w:cs="宋体"/>
          <w:color w:val="auto"/>
          <w:sz w:val="24"/>
          <w:highlight w:val="none"/>
        </w:rPr>
        <w:t xml:space="preserve">）报价</w:t>
      </w:r>
      <w:r>
        <w:rPr>
          <w:rFonts w:ascii="宋体" w:hAnsi="宋体" w:eastAsia="宋体" w:cs="宋体"/>
          <w:color w:val="auto"/>
          <w:sz w:val="24"/>
          <w:highlight w:val="none"/>
        </w:rPr>
        <w:t xml:space="preserve">50%的，</w:t>
      </w:r>
      <w:r>
        <w:rPr>
          <w:rFonts w:hint="eastAsia" w:ascii="宋体" w:hAnsi="宋体" w:eastAsia="宋体" w:cs="宋体"/>
          <w:color w:val="auto"/>
          <w:sz w:val="24"/>
          <w:highlight w:val="none"/>
        </w:rPr>
        <w:t xml:space="preserve">即投标（响应）报价&lt;通过符合性审查的次低报价供应商投标（响应）报</w:t>
      </w:r>
      <w:r>
        <w:rPr>
          <w:rFonts w:hint="eastAsia" w:ascii="宋体" w:hAnsi="宋体" w:eastAsia="宋体" w:cs="宋体"/>
          <w:color w:val="auto"/>
          <w:sz w:val="24"/>
          <w:highlight w:val="none"/>
        </w:rPr>
        <w:t xml:space="preserve">价×</w:t>
      </w:r>
      <w:r>
        <w:rPr>
          <w:rFonts w:ascii="宋体" w:hAnsi="宋体" w:eastAsia="宋体" w:cs="宋体"/>
          <w:color w:val="auto"/>
          <w:sz w:val="24"/>
          <w:highlight w:val="none"/>
        </w:rPr>
        <w:t xml:space="preserve">50%；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w:t>
      </w:r>
      <w:r>
        <w:rPr>
          <w:rFonts w:ascii="宋体" w:hAnsi="宋体" w:eastAsia="宋体" w:cs="宋体"/>
          <w:color w:val="auto"/>
          <w:sz w:val="24"/>
          <w:highlight w:val="none"/>
        </w:rPr>
        <w:t xml:space="preserve">5%的，即投标（响应）报价&lt;</w:t>
      </w:r>
      <w:r>
        <w:rPr>
          <w:rFonts w:hint="eastAsia" w:ascii="宋体" w:hAnsi="宋体" w:eastAsia="宋体" w:cs="宋体"/>
          <w:color w:val="auto"/>
          <w:sz w:val="24"/>
          <w:highlight w:val="none"/>
        </w:rPr>
        <w:t xml:space="preserve">采购项目最高限价×4</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23"/>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23"/>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22"/>
      <w:r/>
      <w:bookmarkEnd w:id="123"/>
      <w:r/>
      <w:bookmarkEnd w:id="124"/>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5" w:name="_Toc20823307"/>
      <w:r/>
      <w:bookmarkStart w:id="126" w:name="_Toc16938551"/>
      <w:r/>
      <w:bookmarkStart w:id="127"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54"/>
        <w:ind w:firstLine="452"/>
        <w:keepLines w:val="0"/>
        <w:keepNext w:val="0"/>
        <w:spacing w:before="0" w:after="0" w:line="360" w:lineRule="auto"/>
        <w:rPr>
          <w:color w:val="auto"/>
          <w:sz w:val="30"/>
          <w:szCs w:val="30"/>
          <w:highlight w:val="none"/>
          <w:lang w:eastAsia="zh-CN"/>
        </w:rPr>
      </w:pPr>
      <w:r/>
      <w:bookmarkStart w:id="128" w:name="_Toc120614219"/>
      <w:r>
        <w:rPr>
          <w:rFonts w:hint="eastAsia"/>
          <w:color w:val="auto"/>
          <w:sz w:val="30"/>
          <w:szCs w:val="30"/>
          <w:highlight w:val="none"/>
          <w:lang w:eastAsia="zh-CN"/>
        </w:rPr>
        <w:t xml:space="preserve">六、</w:t>
      </w:r>
      <w:bookmarkEnd w:id="125"/>
      <w:r/>
      <w:bookmarkEnd w:id="126"/>
      <w:r/>
      <w:bookmarkEnd w:id="127"/>
      <w:r>
        <w:rPr>
          <w:rFonts w:hint="eastAsia"/>
          <w:color w:val="auto"/>
          <w:sz w:val="30"/>
          <w:szCs w:val="30"/>
          <w:highlight w:val="none"/>
          <w:lang w:eastAsia="zh-CN"/>
        </w:rPr>
        <w:t xml:space="preserve">定标</w:t>
      </w:r>
      <w:bookmarkEnd w:id="128"/>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29" w:name="_Toc513029238"/>
      <w:r/>
      <w:bookmarkStart w:id="130" w:name="_Toc20823310"/>
      <w:r/>
      <w:bookmarkStart w:id="131" w:name="_Toc16938554"/>
      <w:r>
        <w:rPr>
          <w:rFonts w:hint="eastAsia" w:ascii="宋体" w:hAnsi="宋体" w:eastAsia="宋体"/>
          <w:bCs w:val="0"/>
          <w:color w:val="auto"/>
          <w:highlight w:val="none"/>
          <w:lang w:eastAsia="zh-CN"/>
        </w:rPr>
        <w:t xml:space="preserve">27</w:t>
      </w:r>
      <w:bookmarkEnd w:id="129"/>
      <w:r>
        <w:rPr>
          <w:rFonts w:hint="eastAsia" w:ascii="宋体" w:hAnsi="宋体" w:eastAsia="宋体"/>
          <w:bCs w:val="0"/>
          <w:color w:val="auto"/>
          <w:highlight w:val="none"/>
          <w:lang w:eastAsia="zh-CN"/>
        </w:rPr>
        <w:t xml:space="preserve">.确定</w:t>
      </w:r>
      <w:bookmarkEnd w:id="130"/>
      <w:r/>
      <w:bookmarkEnd w:id="131"/>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32"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32"/>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4"/>
        <w:ind w:firstLine="452"/>
        <w:keepLines w:val="0"/>
        <w:keepNext w:val="0"/>
        <w:spacing w:before="0" w:after="0" w:line="360" w:lineRule="auto"/>
        <w:rPr>
          <w:color w:val="auto"/>
          <w:sz w:val="30"/>
          <w:szCs w:val="30"/>
          <w:highlight w:val="none"/>
          <w:lang w:eastAsia="zh-CN"/>
        </w:rPr>
      </w:pPr>
      <w:r/>
      <w:bookmarkStart w:id="133" w:name="_Toc120614220"/>
      <w:r/>
      <w:bookmarkStart w:id="134" w:name="_Toc513029236"/>
      <w:r/>
      <w:bookmarkStart w:id="135" w:name="_Toc20823308"/>
      <w:r/>
      <w:bookmarkStart w:id="136" w:name="_Toc16938552"/>
      <w:r>
        <w:rPr>
          <w:rFonts w:hint="eastAsia"/>
          <w:color w:val="auto"/>
          <w:sz w:val="30"/>
          <w:szCs w:val="30"/>
          <w:highlight w:val="none"/>
          <w:lang w:eastAsia="zh-CN"/>
        </w:rPr>
        <w:t xml:space="preserve">七、授予合同</w:t>
      </w:r>
      <w:bookmarkEnd w:id="133"/>
      <w:r/>
      <w:bookmarkEnd w:id="134"/>
      <w:r/>
      <w:bookmarkEnd w:id="135"/>
      <w:r/>
      <w:bookmarkEnd w:id="136"/>
      <w:r/>
      <w:r/>
    </w:p>
    <w:p>
      <w:pPr>
        <w:pStyle w:val="1123"/>
        <w:ind w:firstLine="422"/>
        <w:keepLines w:val="0"/>
        <w:keepNext w:val="0"/>
        <w:spacing w:before="0" w:after="0" w:line="360" w:lineRule="auto"/>
        <w:rPr>
          <w:rFonts w:ascii="宋体" w:hAnsi="宋体" w:eastAsia="宋体"/>
          <w:bCs w:val="0"/>
          <w:color w:val="auto"/>
          <w:highlight w:val="none"/>
          <w:lang w:eastAsia="zh-CN"/>
        </w:rPr>
      </w:pPr>
      <w:r/>
      <w:bookmarkStart w:id="137" w:name="_Toc20823309"/>
      <w:r/>
      <w:bookmarkStart w:id="138" w:name="_Toc513029237"/>
      <w:r/>
      <w:bookmarkStart w:id="139"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23"/>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2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7"/>
      <w:r/>
      <w:bookmarkEnd w:id="138"/>
      <w:r/>
      <w:bookmarkEnd w:id="139"/>
      <w:r/>
      <w:r/>
    </w:p>
    <w:p>
      <w:pPr>
        <w:pStyle w:val="112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0"/>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0"/>
        <w:ind w:firstLine="0"/>
        <w:spacing w:line="360" w:lineRule="auto"/>
        <w:rPr>
          <w:rFonts w:ascii="黑体" w:eastAsia="黑体"/>
          <w:bCs/>
          <w:color w:val="auto"/>
          <w:sz w:val="36"/>
          <w:szCs w:val="36"/>
          <w:highlight w:val="none"/>
          <w:lang w:eastAsia="zh-CN"/>
        </w:rPr>
      </w:pPr>
      <w:r/>
      <w:bookmarkStart w:id="140" w:name="_Toc479757207"/>
      <w:r/>
      <w:bookmarkStart w:id="141" w:name="_Toc513029242"/>
      <w:r/>
      <w:bookmarkStart w:id="142" w:name="_Toc120614221"/>
      <w:r/>
      <w:bookmarkStart w:id="143" w:name="_Toc16938558"/>
      <w:r/>
      <w:bookmarkStart w:id="144" w:name="_Toc20823314"/>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40"/>
      <w:r/>
      <w:bookmarkEnd w:id="141"/>
      <w:r/>
      <w:bookmarkEnd w:id="142"/>
      <w:r/>
      <w:bookmarkEnd w:id="143"/>
      <w:r/>
      <w:bookmarkEnd w:id="144"/>
      <w:r/>
      <w:r/>
    </w:p>
    <w:p>
      <w:pPr>
        <w:pStyle w:val="1120"/>
        <w:numPr>
          <w:ilvl w:val="0"/>
          <w:numId w:val="7"/>
        </w:numPr>
        <w:ind w:firstLine="0"/>
        <w:jc w:val="center"/>
        <w:spacing w:line="360" w:lineRule="auto"/>
        <w:rPr>
          <w:rFonts w:ascii="黑体" w:eastAsia="黑体"/>
          <w:bCs/>
          <w:color w:val="auto"/>
          <w:sz w:val="36"/>
          <w:szCs w:val="36"/>
          <w:highlight w:val="none"/>
          <w:lang w:eastAsia="zh-CN"/>
        </w:rPr>
      </w:pPr>
      <w:r/>
      <w:bookmarkStart w:id="145" w:name="_Toc16938559"/>
      <w:r/>
      <w:bookmarkStart w:id="146" w:name="_Toc513029243"/>
      <w:r/>
      <w:bookmarkStart w:id="147" w:name="_Toc20823315"/>
      <w:r>
        <w:rPr>
          <w:rFonts w:hint="eastAsia" w:ascii="黑体" w:eastAsia="黑体"/>
          <w:bCs/>
          <w:color w:val="auto"/>
          <w:sz w:val="36"/>
          <w:szCs w:val="36"/>
          <w:highlight w:val="none"/>
          <w:lang w:eastAsia="zh-CN"/>
        </w:rPr>
        <w:t xml:space="preserve"> 合同文本</w:t>
      </w:r>
      <w:bookmarkEnd w:id="145"/>
      <w:r/>
      <w:bookmarkEnd w:id="146"/>
      <w:r/>
      <w:bookmarkEnd w:id="147"/>
      <w:r/>
      <w:r/>
    </w:p>
    <w:p>
      <w:pPr>
        <w:jc w:val="center"/>
        <w:keepLines/>
        <w:keepNext/>
        <w:tabs>
          <w:tab w:val="left" w:pos="0" w:leader="none"/>
        </w:tabs>
        <w:rPr>
          <w:rFonts w:ascii="宋体" w:hAnsi="宋体" w:eastAsia="宋体" w:cs="宋体"/>
          <w:b/>
          <w:color w:val="auto"/>
          <w:sz w:val="36"/>
          <w:szCs w:val="36"/>
          <w:highlight w:val="none"/>
        </w:rPr>
        <w:outlineLvl w:val="0"/>
      </w:pPr>
      <w:r/>
      <w:bookmarkStart w:id="148" w:name="_Hlt16619350"/>
      <w:r/>
      <w:bookmarkStart w:id="149" w:name="_Toc120614244"/>
      <w:r/>
      <w:bookmarkStart w:id="150" w:name="_Toc16938590"/>
      <w:r/>
      <w:bookmarkStart w:id="151" w:name="_Toc20823346"/>
      <w:r/>
      <w:r/>
    </w:p>
    <w:p>
      <w:pPr>
        <w:ind w:firstLine="560"/>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地址：</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地址：</w:t>
      </w:r>
      <w:r/>
    </w:p>
    <w:p>
      <w:pPr>
        <w:ind w:firstLine="482"/>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bookmarkEnd w:id="148"/>
      <w:r/>
      <w:r/>
    </w:p>
    <w:p>
      <w:pPr>
        <w:ind w:firstLine="480"/>
        <w:spacing w:line="360" w:lineRule="auto"/>
        <w:tabs>
          <w:tab w:val="left" w:pos="840" w:leader="none"/>
          <w:tab w:val="left" w:pos="1155"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一、合同内容：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1、乙方负责完成甲方的服务工作。</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2、下列文件为本合同不可分割部分：</w:t>
      </w:r>
      <w:r/>
    </w:p>
    <w:p>
      <w:pPr>
        <w:numPr>
          <w:ilvl w:val="0"/>
          <w:numId w:val="8"/>
        </w:numPr>
        <w:ind w:left="0" w:firstLine="480"/>
        <w:spacing w:line="360" w:lineRule="auto"/>
        <w:tabs>
          <w:tab w:val="clear" w:pos="124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中标通知书；</w:t>
      </w:r>
      <w:r/>
    </w:p>
    <w:p>
      <w:pPr>
        <w:numPr>
          <w:ilvl w:val="0"/>
          <w:numId w:val="8"/>
        </w:numPr>
        <w:ind w:left="0" w:firstLine="480"/>
        <w:spacing w:line="360" w:lineRule="auto"/>
        <w:tabs>
          <w:tab w:val="clear" w:pos="124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w:t>
      </w:r>
      <w:r/>
    </w:p>
    <w:p>
      <w:pPr>
        <w:numPr>
          <w:ilvl w:val="0"/>
          <w:numId w:val="8"/>
        </w:numPr>
        <w:ind w:left="0" w:firstLine="480"/>
        <w:spacing w:line="360" w:lineRule="auto"/>
        <w:tabs>
          <w:tab w:val="clear" w:pos="124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乙方在投标过程中所作的其它承诺、声明、书面澄清等；</w:t>
      </w:r>
      <w:r/>
    </w:p>
    <w:p>
      <w:pPr>
        <w:numPr>
          <w:ilvl w:val="0"/>
          <w:numId w:val="8"/>
        </w:numPr>
        <w:ind w:left="0" w:firstLine="480"/>
        <w:spacing w:line="360" w:lineRule="auto"/>
        <w:tabs>
          <w:tab w:val="clear" w:pos="124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采购文件及采购需求。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3、服务内容：（1）</w:t>
      </w:r>
      <w:bookmarkStart w:id="152" w:name="OLE_LINK4"/>
      <w:r/>
      <w:bookmarkStart w:id="153" w:name="OLE_LINK5"/>
      <w:r>
        <w:rPr>
          <w:rFonts w:hint="eastAsia" w:ascii="宋体" w:hAnsi="宋体" w:eastAsia="宋体"/>
          <w:color w:val="auto"/>
          <w:sz w:val="24"/>
          <w:szCs w:val="24"/>
          <w:highlight w:val="none"/>
          <w:lang w:val="zh-CN"/>
        </w:rPr>
        <w:t xml:space="preserve">集中编目服务</w:t>
      </w:r>
      <w:bookmarkEnd w:id="152"/>
      <w:r>
        <w:rPr>
          <w:rFonts w:hint="eastAsia" w:ascii="宋体" w:hAnsi="宋体" w:eastAsia="宋体"/>
          <w:color w:val="auto"/>
          <w:sz w:val="24"/>
          <w:szCs w:val="24"/>
          <w:highlight w:val="none"/>
          <w:lang w:val="zh-CN"/>
        </w:rPr>
        <w:t xml:space="preserve">：建设市级集约编目中心，采用</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分散扫描、集中编目、统一归档</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模式，以</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自动编目为主、人工校对为辅</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实现卷宗智能命名、精准归目，提供无锡全市两级共8家法院合同期内立案的审判一审二审和执行等案件完成材料精细化名称标注和归目质检服务，同时对各基层院随案扫描团队进行材料整理、材料分类排序、材料扫描等操作培训服务。（2）基础性配套服务：乙方随服务提供精细化编目系统和编目数据可视化平台，并承诺集中编目系统与无锡法院现用审判业务管理系统、执行流程案件管理系统和电子卷宗深度应用系统进行数据对接，实现系统互联互通和数据共享交互服务；甲方接受数据加工相关服务同时无需为集中编目系统配合最高院“一张网”改造单独付费。</w:t>
      </w:r>
      <w:bookmarkEnd w:id="153"/>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4、服务期限：三年。</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日至</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lang w:val="zh-CN"/>
        </w:rPr>
        <w:t xml:space="preserve">二、</w:t>
      </w:r>
      <w:r>
        <w:rPr>
          <w:rFonts w:hint="eastAsia" w:ascii="宋体" w:hAnsi="宋体" w:eastAsia="宋体"/>
          <w:b/>
          <w:color w:val="auto"/>
          <w:sz w:val="24"/>
          <w:szCs w:val="24"/>
          <w:highlight w:val="none"/>
        </w:rPr>
        <w:t xml:space="preserve">合同</w:t>
      </w:r>
      <w:r>
        <w:rPr>
          <w:rFonts w:hint="eastAsia" w:ascii="宋体" w:hAnsi="宋体" w:eastAsia="宋体"/>
          <w:b/>
          <w:color w:val="auto"/>
          <w:sz w:val="24"/>
          <w:szCs w:val="24"/>
          <w:highlight w:val="none"/>
          <w:lang w:val="zh-CN"/>
        </w:rPr>
        <w:t xml:space="preserve">价格与支付</w:t>
      </w:r>
      <w:r>
        <w:rPr>
          <w:rFonts w:hint="eastAsia" w:ascii="宋体" w:hAnsi="宋体" w:eastAsia="宋体"/>
          <w:b/>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1、合同总金额：</w:t>
      </w:r>
      <w:r>
        <w:rPr>
          <w:rFonts w:hint="eastAsia" w:ascii="宋体" w:hAnsi="宋体" w:eastAsia="宋体"/>
          <w:b/>
          <w:color w:val="auto"/>
          <w:sz w:val="24"/>
          <w:szCs w:val="24"/>
          <w:highlight w:val="none"/>
          <w:u w:val="single"/>
        </w:rPr>
        <w:t xml:space="preserve">         元/年</w:t>
      </w:r>
      <w:r>
        <w:rPr>
          <w:rFonts w:hint="eastAsia" w:ascii="宋体" w:hAnsi="宋体" w:eastAsia="宋体"/>
          <w:color w:val="auto"/>
          <w:sz w:val="24"/>
          <w:szCs w:val="24"/>
          <w:highlight w:val="none"/>
          <w:u w:val="single"/>
        </w:rPr>
        <w:t xml:space="preserve">，        </w:t>
      </w:r>
      <w:r>
        <w:rPr>
          <w:rFonts w:hint="eastAsia" w:ascii="宋体" w:hAnsi="宋体" w:eastAsia="宋体"/>
          <w:b/>
          <w:color w:val="auto"/>
          <w:sz w:val="24"/>
          <w:szCs w:val="24"/>
          <w:highlight w:val="none"/>
          <w:u w:val="single"/>
        </w:rPr>
        <w:t xml:space="preserve"> 元/3年，合同单价：     元/页</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zh-CN"/>
        </w:rPr>
        <w:t xml:space="preserve">本项目由甲方按上述第1条中的单价与乙方进行结算，量按实际调整，但实际支付金额不超过合同价，且每年支付总金额不超过当年的财政预算（具体金额以甲方属地财政部门当年批准的预算为准）</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zh-CN"/>
        </w:rPr>
        <w:t xml:space="preserve">合同金额应包括但不限于完成该项目所有的服务、人工、差旅、住宿、设备、通讯、利润、税金、技术支持与培训、专利、政策性文件规定及合同包含的所有风险、责任等一切费用。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付款方式：合</w:t>
      </w:r>
      <w:r>
        <w:rPr>
          <w:rFonts w:hint="eastAsia" w:ascii="宋体" w:hAnsi="宋体" w:eastAsia="宋体"/>
          <w:color w:val="auto"/>
          <w:sz w:val="24"/>
          <w:szCs w:val="24"/>
          <w:highlight w:val="none"/>
        </w:rPr>
        <w:t xml:space="preserve">同签订后，每季度由甲方组织考核，考核标准参照附件2，考核合格后乙方开具与实际编目数量*单价等额的发票，甲方向乙方支付项目款。</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4、合同涉及所有服务内容实际产生的总金额不得超过预算总价。</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5、合同价中</w:t>
      </w:r>
      <w:r>
        <w:rPr>
          <w:rFonts w:ascii="宋体" w:hAnsi="宋体" w:eastAsia="宋体"/>
          <w:color w:val="auto"/>
          <w:sz w:val="24"/>
          <w:szCs w:val="24"/>
          <w:highlight w:val="none"/>
        </w:rPr>
        <w:t xml:space="preserve">包含</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代理费，</w:t>
      </w:r>
      <w:r>
        <w:rPr>
          <w:rFonts w:hint="eastAsia" w:ascii="宋体" w:hAnsi="宋体" w:eastAsia="宋体"/>
          <w:color w:val="auto"/>
          <w:sz w:val="24"/>
          <w:szCs w:val="24"/>
          <w:highlight w:val="none"/>
        </w:rPr>
        <w:t xml:space="preserve">乙方已将采购</w:t>
      </w:r>
      <w:r>
        <w:rPr>
          <w:rFonts w:ascii="宋体" w:hAnsi="宋体" w:eastAsia="宋体"/>
          <w:color w:val="auto"/>
          <w:sz w:val="24"/>
          <w:szCs w:val="24"/>
          <w:highlight w:val="none"/>
        </w:rPr>
        <w:t xml:space="preserve">代理费充分考虑进</w:t>
      </w:r>
      <w:r>
        <w:rPr>
          <w:rFonts w:hint="eastAsia" w:ascii="宋体" w:hAnsi="宋体" w:eastAsia="宋体"/>
          <w:color w:val="auto"/>
          <w:sz w:val="24"/>
          <w:szCs w:val="24"/>
          <w:highlight w:val="none"/>
        </w:rPr>
        <w:t xml:space="preserve">入本次合同价。</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三、甲、乙双方的权利与责任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（一）甲方权利与责任：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1、为乙方提供相关资料，并指定专人作为甲方联系人予以协调工作。加强与乙方勾通，交流情况，互通信息。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2、甲方应尊重乙方工作人员的劳动成果，积极配合乙方工作人员履行好合同所规定的职责和义务。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3、批准或认可乙方的服务工作计划和工程量，为乙方工作人员提供工作上的便利条件，协助乙方开展工作。</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4、甲方对服务期、质量、人员和服务进行监督检查，对不符合技术要求的工作，有权要求责任方自费进行返工。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5、根据本合同规定按时付款；</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6、在约定的时间内就乙方书面提交并要求作出决定的一切事宜作出书面决定。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7、甲方有权否定任何在服务过程中，乙方人员作出损害甲方利益的决定和行为，并有权向乙方人员索赔或追究法律责任；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8、如乙方不能有效地履行合同职责，或严重违反国家有关法规，甲方有权终止本协议，并追究由此造成的一切损失。</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（二）乙方权利与责任：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1、乙方在从服务工作中应当做到文明工作、安全生产，合同期内若发生安全事故由乙方承担，与甲方无关。</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2、乙方应及时调整不适应工作需求的人员。如甲方认为该员工不能胜任本职工作的，必须调整。</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3、乙方应经常对员工进行岗位职责和安全教育，加强岗位责任考核，因乙方原因对甲方造成一定损失的，乙方需承担相应的赔偿责任。具体办法于合同签订后经甲乙双方协商后确定。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4、乙方负责派驻点服务人员的人事管理。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5、乙方要设立项目负责人，制定适合无锡市中级人民法院及全市基层法院服务工作特点的详细工作服务流程与方案，制定对服务人员的考核办法。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6、乙方要加强对服务人员的管理与培训，并保证服务人员的稳定性，未经甲方允许不得擅自更换服务人员。</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7、服务人员要遵守甲方的劳动考勤纪律及其它相关规章制度，接受甲方的工作安排与指导，做好本职工作。</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8、服务人员必须做好相关信息保密工作。不得对外透露在工作中接触到的参保人员及业务相关单位或个人隐私信息。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服务人员要忠于职守，坚决维护以无锡市中级人民法院及全市基层法院服务为中心的团队形象，礼貌待人，文明服务，尊重和保护纳税人的权利，依法接受监督。服务人员不得兼职、不得谋取不正当利益等等。</w:t>
      </w:r>
      <w:r/>
    </w:p>
    <w:p>
      <w:pPr>
        <w:ind w:firstLine="47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四、违约责任</w:t>
      </w:r>
      <w:r/>
    </w:p>
    <w:p>
      <w:pPr>
        <w:ind w:firstLine="47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4.1乙方不履行合同义务或者履行合同义务不符合约定的，应当承担继续履行、采取补救措施或赔偿损失等违约责任。</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4.2乙方逾期提供服务的，应在服务前与甲方协商，甲方仍需求的，乙</w:t>
      </w:r>
      <w:r>
        <w:rPr>
          <w:rFonts w:hint="eastAsia" w:ascii="宋体" w:hAnsi="宋体" w:eastAsia="宋体"/>
          <w:color w:val="auto"/>
          <w:sz w:val="24"/>
          <w:szCs w:val="24"/>
          <w:highlight w:val="none"/>
        </w:rPr>
        <w:t xml:space="preserve">方应立即响应，按每天</w:t>
      </w:r>
      <w:r>
        <w:rPr>
          <w:rFonts w:ascii="宋体" w:hAnsi="宋体" w:eastAsia="宋体"/>
          <w:color w:val="auto"/>
          <w:sz w:val="24"/>
          <w:szCs w:val="24"/>
          <w:highlight w:val="none"/>
        </w:rPr>
        <w:t xml:space="preserve">5000</w:t>
      </w:r>
      <w:r>
        <w:rPr>
          <w:rFonts w:hint="eastAsia" w:ascii="宋体" w:hAnsi="宋体" w:eastAsia="宋体"/>
          <w:color w:val="auto"/>
          <w:sz w:val="24"/>
          <w:szCs w:val="24"/>
          <w:highlight w:val="none"/>
        </w:rPr>
        <w:t xml:space="preserve">元支</w:t>
      </w:r>
      <w:r>
        <w:rPr>
          <w:rFonts w:hint="eastAsia" w:ascii="宋体" w:hAnsi="宋体" w:eastAsia="宋体"/>
          <w:color w:val="auto"/>
          <w:sz w:val="24"/>
          <w:szCs w:val="24"/>
          <w:highlight w:val="none"/>
        </w:rPr>
        <w:t xml:space="preserve">付逾期交货违约金，同时承担甲方因此遭致的损失费用。</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五、不可抗力</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 因不可抗力不能履行合同的，根据不可抗力的影响，部分或者全部免除责任。但合同一方延迟履行后发生不可抗力的，不能免除责任。</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5.2 合同一方因不可抗力不能履行合同的，应当及时通知对方，以减轻可能给对方造成的损失，并应当在合理期限内提供证明。</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六、合同的解除和转让</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 甲方和乙方协商一致，可以解除合同。</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 有下列情形之一，合同一方可以解除合同：</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6.2.1 因不可抗力致使不能实现合同目的，未受不可抗力影响的一方有权解除合同；</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6.2.2 因合同一方违约导致合同不能履行，另一方有权解除合同；</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6.2.3 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 合同的部分和全部都不得转让。</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七、合同的生效</w:t>
      </w:r>
      <w:r/>
    </w:p>
    <w:p>
      <w:pPr>
        <w:ind w:left="450" w:hanging="24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合同经供需双方代表签字并盖章，且在</w:t>
      </w:r>
      <w:r>
        <w:rPr>
          <w:rFonts w:hint="eastAsia" w:ascii="宋体" w:hAnsi="宋体" w:eastAsia="宋体"/>
          <w:color w:val="auto"/>
          <w:sz w:val="24"/>
          <w:szCs w:val="24"/>
          <w:highlight w:val="none"/>
        </w:rPr>
        <w:t xml:space="preserve">无锡众邦技术咨询有限公司</w:t>
      </w:r>
      <w:r>
        <w:rPr>
          <w:rFonts w:ascii="宋体" w:hAnsi="宋体" w:eastAsia="宋体"/>
          <w:color w:val="auto"/>
          <w:sz w:val="24"/>
          <w:szCs w:val="24"/>
          <w:highlight w:val="none"/>
        </w:rPr>
        <w:t xml:space="preserve">见证后即生效。</w:t>
      </w:r>
      <w:r/>
    </w:p>
    <w:p>
      <w:pPr>
        <w:ind w:left="420"/>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八、争议的解决</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甲乙双方因合同发生争议，另行协商，协商不成，可以向甲方所在地人民法院起诉。</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九、附则</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9.1 合同份数：</w:t>
      </w:r>
      <w:r>
        <w:rPr>
          <w:rFonts w:hint="eastAsia" w:ascii="宋体" w:hAnsi="宋体" w:eastAsia="宋体"/>
          <w:color w:val="auto"/>
          <w:sz w:val="24"/>
          <w:szCs w:val="24"/>
          <w:highlight w:val="none"/>
        </w:rPr>
        <w:t xml:space="preserve">本合同一式四份，甲乙双方各执二份。</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9.2 本合同文件使用中文书写、解释和说明。</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9.3 本合同履行过程中产生的纪要、协议以及中标通知书、投标文件和招标文件（含采购需求）为本合同的附件，与合同具有同等效力。</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9.4 未尽事宜</w:t>
      </w:r>
      <w:r/>
    </w:p>
    <w:p>
      <w:pPr>
        <w:ind w:firstLine="48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本合同未尽事宜应按照《中华人民共和国民法典》、《中华人民共和国政府采购法》之规定解释。</w:t>
      </w:r>
      <w:r/>
    </w:p>
    <w:p>
      <w:pPr>
        <w:rPr>
          <w:rFonts w:ascii="Times New Roman" w:hAnsi="Times New Roman" w:eastAsia="宋体"/>
          <w:color w:val="auto"/>
          <w:szCs w:val="24"/>
          <w:highlight w:val="none"/>
        </w:rPr>
      </w:pPr>
      <w:r>
        <w:rPr>
          <w:rFonts w:ascii="Times New Roman" w:hAnsi="Times New Roman" w:eastAsia="宋体"/>
          <w:color w:val="auto"/>
          <w:szCs w:val="24"/>
          <w:highlight w:val="none"/>
        </w:rPr>
      </w:r>
      <w:r/>
    </w:p>
    <w:p>
      <w:pPr>
        <w:spacing w:line="440" w:lineRule="exact"/>
        <w:rPr>
          <w:rFonts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甲方（采购人）：</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（盖章）</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乙方（成交方）：</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（盖章）</w:t>
      </w:r>
      <w:r/>
    </w:p>
    <w:p>
      <w:pPr>
        <w:spacing w:line="440" w:lineRule="exact"/>
        <w:rPr>
          <w:rFonts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法定（授权）代表人：</w:t>
      </w:r>
      <w:r>
        <w:rPr>
          <w:rFonts w:ascii="宋体" w:hAnsi="宋体" w:eastAsia="宋体"/>
          <w:bCs/>
          <w:color w:val="auto"/>
          <w:sz w:val="24"/>
          <w:szCs w:val="24"/>
          <w:highlight w:val="none"/>
          <w:u w:val="single"/>
        </w:rPr>
        <w:t xml:space="preserve">                  </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法定（授权）代表人：</w:t>
      </w:r>
      <w:r>
        <w:rPr>
          <w:rFonts w:ascii="宋体" w:hAnsi="宋体" w:eastAsia="宋体"/>
          <w:bCs/>
          <w:color w:val="auto"/>
          <w:sz w:val="24"/>
          <w:szCs w:val="24"/>
          <w:highlight w:val="none"/>
          <w:u w:val="single"/>
        </w:rPr>
        <w:t xml:space="preserve">                   </w:t>
      </w:r>
      <w:r/>
    </w:p>
    <w:p>
      <w:pPr>
        <w:spacing w:line="440" w:lineRule="exact"/>
        <w:rPr>
          <w:rFonts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地址：</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     地址：</w:t>
      </w:r>
      <w:r>
        <w:rPr>
          <w:rFonts w:hint="eastAsia" w:ascii="宋体" w:hAnsi="宋体" w:eastAsia="宋体"/>
          <w:bCs/>
          <w:color w:val="auto"/>
          <w:sz w:val="24"/>
          <w:szCs w:val="24"/>
          <w:highlight w:val="none"/>
          <w:u w:val="single"/>
        </w:rPr>
        <w:t xml:space="preserve">                               </w:t>
      </w:r>
      <w:r/>
    </w:p>
    <w:p>
      <w:pPr>
        <w:spacing w:line="44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年</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月</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w:t>
      </w:r>
      <w:r>
        <w:rPr>
          <w:rFonts w:ascii="宋体" w:hAnsi="宋体" w:eastAsia="宋体"/>
          <w:bCs/>
          <w:color w:val="auto"/>
          <w:sz w:val="24"/>
          <w:szCs w:val="24"/>
          <w:highlight w:val="non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年</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月</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w:t>
      </w:r>
      <w:r/>
    </w:p>
    <w:p>
      <w:pPr>
        <w:ind w:firstLine="480"/>
        <w:spacing w:line="44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                               </w:t>
      </w:r>
      <w:r/>
    </w:p>
    <w:p>
      <w:pPr>
        <w:spacing w:line="44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乙方户名：</w:t>
      </w:r>
      <w:r>
        <w:rPr>
          <w:rFonts w:ascii="宋体" w:hAnsi="宋体" w:eastAsia="宋体"/>
          <w:bCs/>
          <w:color w:val="auto"/>
          <w:sz w:val="24"/>
          <w:szCs w:val="24"/>
          <w:highlight w:val="none"/>
          <w:u w:val="single"/>
        </w:rPr>
        <w:t xml:space="preserve">                             </w:t>
      </w:r>
      <w:r/>
    </w:p>
    <w:p>
      <w:pPr>
        <w:spacing w:line="44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乙方开户银行：</w:t>
      </w:r>
      <w:r>
        <w:rPr>
          <w:rFonts w:ascii="宋体" w:hAnsi="宋体" w:eastAsia="宋体"/>
          <w:bCs/>
          <w:color w:val="auto"/>
          <w:sz w:val="24"/>
          <w:szCs w:val="24"/>
          <w:highlight w:val="none"/>
          <w:u w:val="single"/>
        </w:rPr>
        <w:t xml:space="preserve">                         </w:t>
      </w:r>
      <w:r/>
    </w:p>
    <w:p>
      <w:pPr>
        <w:spacing w:line="44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乙方账号</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u w:val="single"/>
        </w:rPr>
        <w:t xml:space="preserve">                             </w:t>
      </w:r>
      <w:r/>
    </w:p>
    <w:p>
      <w:pPr>
        <w:ind w:firstLine="1440"/>
        <w:spacing w:line="44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left="126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hint="eastAsia" w:ascii="宋体" w:hAnsi="宋体" w:eastAsia="宋体"/>
          <w:bCs/>
          <w:color w:val="auto"/>
          <w:sz w:val="24"/>
          <w:szCs w:val="24"/>
          <w:highlight w:val="none"/>
        </w:rPr>
        <w:t xml:space="preserve">见证方：（盖章）</w:t>
      </w:r>
      <w:r/>
    </w:p>
    <w:p>
      <w:pPr>
        <w:ind w:left="1260"/>
        <w:rPr>
          <w:rFonts w:ascii="Times New Roman" w:hAnsi="Times New Roman" w:eastAsia="宋体"/>
          <w:color w:val="auto"/>
          <w:szCs w:val="20"/>
          <w:highlight w:val="none"/>
        </w:rPr>
      </w:pPr>
      <w:r>
        <w:rPr>
          <w:rFonts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 xml:space="preserve">年</w:t>
      </w:r>
      <w:r>
        <w:rPr>
          <w:rFonts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 xml:space="preserve">月</w:t>
      </w:r>
      <w:r>
        <w:rPr>
          <w:rFonts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 xml:space="preserve">日</w:t>
      </w:r>
      <w:r/>
    </w:p>
    <w:p>
      <w:pPr>
        <w:rPr>
          <w:rFonts w:ascii="仿宋_GB2312" w:hAnsi="Times New Roman" w:eastAsia="仿宋_GB2312"/>
          <w:color w:val="auto"/>
          <w:sz w:val="28"/>
          <w:szCs w:val="20"/>
          <w:highlight w:val="none"/>
        </w:rPr>
      </w:pPr>
      <w:r>
        <w:rPr>
          <w:rFonts w:ascii="仿宋_GB2312" w:hAnsi="Times New Roman" w:eastAsia="仿宋_GB2312"/>
          <w:color w:val="auto"/>
          <w:sz w:val="28"/>
          <w:szCs w:val="20"/>
          <w:highlight w:val="none"/>
        </w:rPr>
      </w:r>
      <w:r/>
    </w:p>
    <w:p>
      <w:pPr>
        <w:rPr>
          <w:rFonts w:ascii="宋体" w:hAnsi="宋体" w:eastAsia="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bCs/>
          <w:color w:val="auto"/>
          <w:sz w:val="24"/>
          <w:szCs w:val="24"/>
          <w:highlight w:val="none"/>
        </w:rPr>
        <w:t xml:space="preserve">附件1：保密协议</w:t>
      </w:r>
      <w:r/>
    </w:p>
    <w:p>
      <w:pPr>
        <w:pStyle w:val="790"/>
        <w:spacing w:line="360" w:lineRule="auto"/>
        <w:rPr>
          <w:rFonts w:ascii="宋体"/>
          <w:color w:val="auto"/>
          <w:sz w:val="32"/>
          <w:szCs w:val="32"/>
          <w:highlight w:val="none"/>
        </w:rPr>
      </w:pPr>
      <w:r>
        <w:rPr>
          <w:rFonts w:hint="eastAsia" w:ascii="宋体" w:hAnsi="宋体" w:cs="宋体"/>
          <w:color w:val="auto"/>
          <w:sz w:val="32"/>
          <w:szCs w:val="32"/>
          <w:highlight w:val="none"/>
        </w:rPr>
        <w:t xml:space="preserve">保密协议书</w:t>
      </w:r>
      <w:r/>
    </w:p>
    <w:p>
      <w:pPr>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项目：</w:t>
      </w:r>
      <w:r>
        <w:rPr>
          <w:rFonts w:asciiTheme="minorEastAsia" w:hAnsiTheme="minorEastAsia" w:eastAsiaTheme="minorEastAsia"/>
          <w:color w:val="auto"/>
          <w:sz w:val="24"/>
          <w:szCs w:val="24"/>
          <w:highlight w:val="none"/>
        </w:rPr>
        <w:t xml:space="preserve"> </w:t>
      </w:r>
      <w:r/>
    </w:p>
    <w:p>
      <w:pPr>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甲方：无锡市中级人民法院（以下简称“甲方”）</w:t>
      </w:r>
      <w:r/>
    </w:p>
    <w:p>
      <w:pPr>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乙方：                              （以下简称“乙方”）</w:t>
      </w:r>
      <w:r/>
    </w:p>
    <w:p>
      <w:pPr>
        <w:ind w:firstLine="480"/>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鉴于甲方委托乙方“无锡法院集中编目服务采购项目”项目，涉及涉密内容，特制定本协议，约束乙方承担保密责任。</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本协议以乙方为责任方，参与项目服务的乙方人员为相关责任人员。</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本协议的保密文件包括本项目涉及的所有书面资料及其复印件、由此派生的相关资料，以及存放此类资料的计算机、磁盘、光盘等介质。保密内容包括上述物件及其所承载的信息、项目应用情况、施工场所情况、甲方明示的有关涉密内容。</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乙方在项目实施过程中使用的软盘、光盘等介质，以及所有电子资料、书面资料，必须由项目实施人员妥善使用和保管，不得带出甲方指定区域。项目实施的各类计算机应当设立开机密码、固定目录存放保密内容，只供项目实施人员专用。项目施工使用的电脑不得连接互联网。在未经甲方同意许可下，乙方不得向第三方泄露和使用上述保密物件和内容。</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乙方应甄选政治可靠、思想进步、作风正派、技术合格的人员承担甲方涉密计算机系统的建设、维护工作，并保持该部人员的相对稳定。</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乙方施工人员应在甲方指定的区域、时间范围里活动，未经甲方同意，不得私自到施工区以外的场所进行与本项目无关的活动。</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在项目实施过程中，与项目有关的涉密物件不得通过抄录、摄影、录像等方式予以复制、保存，使用完毕后均须按规定交由甲方或进行销毁处理。项目完工后，乙方施工人员不得在任何时间、地点，以任何方式公开、发布、出版、传播、转让在施工过程中知悉的档案信息等涉密内容。</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如乙方违反上述约定，故意或过失造成甲方相关保密内容泄露，经查证属实的，将视情处以合同标的</w:t>
      </w:r>
      <w:r>
        <w:rPr>
          <w:rFonts w:cs="仿宋_GB2312" w:asciiTheme="minorEastAsia" w:hAnsiTheme="minorEastAsia" w:eastAsiaTheme="minorEastAsia"/>
          <w:color w:val="auto"/>
          <w:sz w:val="24"/>
          <w:szCs w:val="24"/>
          <w:highlight w:val="none"/>
        </w:rPr>
        <w:t xml:space="preserve">5%-20%</w:t>
      </w:r>
      <w:r>
        <w:rPr>
          <w:rFonts w:hint="eastAsia" w:cs="仿宋_GB2312" w:asciiTheme="minorEastAsia" w:hAnsiTheme="minorEastAsia" w:eastAsiaTheme="minorEastAsia"/>
          <w:color w:val="auto"/>
          <w:sz w:val="24"/>
          <w:szCs w:val="24"/>
          <w:highlight w:val="none"/>
        </w:rPr>
        <w:t xml:space="preserve">的罚款；情节严重的，将依法追究其法律责任。</w:t>
      </w:r>
      <w:r/>
    </w:p>
    <w:p>
      <w:pPr>
        <w:numPr>
          <w:ilvl w:val="0"/>
          <w:numId w:val="9"/>
        </w:numPr>
        <w:ind w:firstLine="198"/>
        <w:jc w:val="left"/>
        <w:spacing w:line="460" w:lineRule="exact"/>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本协议自双方代表签订之日起生效。若有未尽事宜，由双方另行协商解决。</w:t>
      </w:r>
      <w:r/>
    </w:p>
    <w:p>
      <w:pPr>
        <w:jc w:val="left"/>
        <w:rPr>
          <w:rFonts w:cs="仿宋_GB2312" w:asciiTheme="minorEastAsia" w:hAnsiTheme="minorEastAsia" w:eastAsiaTheme="minorEastAsia"/>
          <w:color w:val="auto"/>
          <w:sz w:val="24"/>
          <w:szCs w:val="24"/>
          <w:highlight w:val="none"/>
        </w:rPr>
      </w:pPr>
      <w:r>
        <w:rPr>
          <w:rFonts w:cs="仿宋_GB2312"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甲方：无锡市中级人民法院</w:t>
      </w:r>
      <w:r>
        <w:rPr>
          <w:rFonts w:cs="仿宋_GB2312"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乙</w:t>
      </w:r>
      <w:r>
        <w:rPr>
          <w:rFonts w:hint="eastAsia" w:cs="仿宋_GB2312" w:asciiTheme="minorEastAsia" w:hAnsiTheme="minorEastAsia" w:eastAsiaTheme="minorEastAsia"/>
          <w:color w:val="auto"/>
          <w:sz w:val="24"/>
          <w:szCs w:val="24"/>
          <w:highlight w:val="none"/>
        </w:rPr>
        <w:t xml:space="preserve">方：</w:t>
      </w:r>
      <w:r/>
    </w:p>
    <w:p>
      <w:pPr>
        <w:rPr>
          <w:rFonts w:asciiTheme="minorEastAsia" w:hAnsiTheme="minorEastAsia" w:eastAsiaTheme="minorEastAsia"/>
          <w:color w:val="auto"/>
          <w:sz w:val="24"/>
          <w:szCs w:val="24"/>
          <w:highlight w:val="none"/>
        </w:rPr>
      </w:pPr>
      <w:r>
        <w:rPr>
          <w:rFonts w:cs="仿宋_GB2312"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 xml:space="preserve">代表：</w:t>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 xml:space="preserve">代表：</w:t>
      </w:r>
      <w:r/>
    </w:p>
    <w:p>
      <w:pPr>
        <w:rPr>
          <w:rFonts w:ascii="仿宋_GB2312" w:eastAsia="仿宋_GB2312"/>
          <w:color w:val="auto"/>
          <w:sz w:val="30"/>
          <w:szCs w:val="30"/>
          <w:highlight w:val="none"/>
        </w:rPr>
      </w:pPr>
      <w:r>
        <w:rPr>
          <w:rFonts w:hint="eastAsia" w:cs="仿宋_GB2312" w:asciiTheme="minorEastAsia" w:hAnsiTheme="minorEastAsia" w:eastAsiaTheme="minorEastAsia"/>
          <w:color w:val="auto"/>
          <w:sz w:val="24"/>
          <w:szCs w:val="24"/>
          <w:highlight w:val="none"/>
        </w:rPr>
        <w:t xml:space="preserve">日期：</w:t>
      </w:r>
      <w:r>
        <w:rPr>
          <w:rFonts w:cs="仿宋_GB2312" w:asciiTheme="minorEastAsia" w:hAnsiTheme="minorEastAsia" w:eastAsiaTheme="minorEastAsia"/>
          <w:color w:val="auto"/>
          <w:sz w:val="24"/>
          <w:szCs w:val="24"/>
          <w:highlight w:val="none"/>
        </w:rPr>
        <w:t xml:space="preserve">20</w:t>
      </w:r>
      <w:r>
        <w:rPr>
          <w:rFonts w:hint="eastAsia" w:cs="仿宋_GB2312" w:asciiTheme="minorEastAsia" w:hAnsiTheme="minorEastAsia" w:eastAsiaTheme="minorEastAsia"/>
          <w:color w:val="auto"/>
          <w:sz w:val="24"/>
          <w:szCs w:val="24"/>
          <w:highlight w:val="none"/>
        </w:rPr>
        <w:t xml:space="preserve">2</w:t>
      </w:r>
      <w:r>
        <w:rPr>
          <w:rFonts w:cs="仿宋_GB2312" w:asciiTheme="minorEastAsia" w:hAnsiTheme="minorEastAsia" w:eastAsiaTheme="minorEastAsia"/>
          <w:color w:val="auto"/>
          <w:sz w:val="24"/>
          <w:szCs w:val="24"/>
          <w:highlight w:val="none"/>
        </w:rPr>
        <w:t xml:space="preserve">6</w:t>
      </w:r>
      <w:r>
        <w:rPr>
          <w:rFonts w:hint="eastAsia" w:cs="仿宋_GB2312" w:asciiTheme="minorEastAsia" w:hAnsiTheme="minorEastAsia" w:eastAsiaTheme="minorEastAsia"/>
          <w:color w:val="auto"/>
          <w:sz w:val="24"/>
          <w:szCs w:val="24"/>
          <w:highlight w:val="none"/>
        </w:rPr>
        <w:t xml:space="preserve">年  月  日</w:t>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 xml:space="preserve">日期：</w:t>
      </w:r>
      <w:r>
        <w:rPr>
          <w:rFonts w:cs="仿宋_GB2312" w:asciiTheme="minorEastAsia" w:hAnsiTheme="minorEastAsia" w:eastAsiaTheme="minorEastAsia"/>
          <w:color w:val="auto"/>
          <w:sz w:val="24"/>
          <w:szCs w:val="24"/>
          <w:highlight w:val="none"/>
        </w:rPr>
        <w:t xml:space="preserve">20</w:t>
      </w:r>
      <w:r>
        <w:rPr>
          <w:rFonts w:hint="eastAsia" w:cs="仿宋_GB2312" w:asciiTheme="minorEastAsia" w:hAnsiTheme="minorEastAsia" w:eastAsiaTheme="minorEastAsia"/>
          <w:color w:val="auto"/>
          <w:sz w:val="24"/>
          <w:szCs w:val="24"/>
          <w:highlight w:val="none"/>
        </w:rPr>
        <w:t xml:space="preserve">2</w:t>
      </w:r>
      <w:r>
        <w:rPr>
          <w:rFonts w:cs="仿宋_GB2312" w:asciiTheme="minorEastAsia" w:hAnsiTheme="minorEastAsia" w:eastAsiaTheme="minorEastAsia"/>
          <w:color w:val="auto"/>
          <w:sz w:val="24"/>
          <w:szCs w:val="24"/>
          <w:highlight w:val="none"/>
        </w:rPr>
        <w:t xml:space="preserve">6</w:t>
      </w:r>
      <w:r>
        <w:rPr>
          <w:rFonts w:hint="eastAsia" w:cs="仿宋_GB2312" w:asciiTheme="minorEastAsia" w:hAnsiTheme="minorEastAsia" w:eastAsiaTheme="minorEastAsia"/>
          <w:color w:val="auto"/>
          <w:sz w:val="24"/>
          <w:szCs w:val="24"/>
          <w:highlight w:val="none"/>
        </w:rPr>
        <w:t xml:space="preserve">年  月   日</w:t>
      </w:r>
      <w:r/>
    </w:p>
    <w:p>
      <w:pPr>
        <w:ind w:firstLine="42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2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2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2"/>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left="480"/>
        <w:spacing w:line="360" w:lineRule="auto"/>
        <w:rPr>
          <w:rFonts w:ascii="黑体" w:eastAsia="黑体"/>
          <w:bCs/>
          <w:color w:val="auto"/>
          <w:sz w:val="36"/>
          <w:szCs w:val="36"/>
          <w:highlight w:val="none"/>
        </w:rPr>
      </w:pPr>
      <w:r>
        <w:rPr>
          <w:rFonts w:ascii="黑体" w:eastAsia="黑体"/>
          <w:bCs/>
          <w:color w:val="auto"/>
          <w:sz w:val="36"/>
          <w:szCs w:val="36"/>
          <w:highlight w:val="none"/>
        </w:rPr>
      </w:r>
      <w:r/>
    </w:p>
    <w:p>
      <w:pPr>
        <w:pStyle w:val="802"/>
        <w:rPr>
          <w:color w:val="auto"/>
          <w:highlight w:val="none"/>
        </w:rPr>
      </w:pPr>
      <w:r>
        <w:rPr>
          <w:color w:val="auto"/>
          <w:highlight w:val="none"/>
        </w:rPr>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附件2：考核标准</w:t>
      </w:r>
      <w:r/>
    </w:p>
    <w:tbl>
      <w:tblPr>
        <w:tblStyle w:val="800"/>
        <w:tblW w:w="9371" w:type="dxa"/>
        <w:tblInd w:w="0" w:type="dxa"/>
        <w:tblLayout w:type="autofit"/>
        <w:tblCellMar>
          <w:left w:w="0" w:type="dxa"/>
          <w:top w:w="0" w:type="dxa"/>
          <w:right w:w="0" w:type="dxa"/>
          <w:bottom w:w="0" w:type="dxa"/>
        </w:tblCellMar>
        <w:tblLook w:val="04A0" w:firstRow="1" w:lastRow="0" w:firstColumn="1" w:lastColumn="0" w:noHBand="0" w:noVBand="1"/>
      </w:tblPr>
      <w:tblGrid>
        <w:gridCol w:w="1080"/>
        <w:gridCol w:w="6165"/>
        <w:gridCol w:w="1275"/>
        <w:gridCol w:w="851"/>
      </w:tblGrid>
      <w:tr>
        <w:trPr>
          <w:trHeight w:val="315"/>
        </w:trPr>
        <w:tc>
          <w:tcPr>
            <w:shd w:val="clear" w:color="auto" w:fill="auto"/>
            <w:tcBorders>
              <w:top w:val="single" w:color="000000" w:sz="8" w:space="0"/>
              <w:left w:val="single" w:color="auto" w:sz="4"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jc w:val="center"/>
              <w:rPr>
                <w:rFonts w:ascii="微软雅黑" w:hAnsi="微软雅黑" w:eastAsia="微软雅黑" w:cs="宋体"/>
                <w:b/>
                <w:bCs/>
                <w:color w:val="auto"/>
                <w:sz w:val="22"/>
                <w:highlight w:val="none"/>
              </w:rPr>
            </w:pPr>
            <w:r>
              <w:rPr>
                <w:rFonts w:hint="eastAsia" w:ascii="微软雅黑" w:hAnsi="微软雅黑" w:eastAsia="微软雅黑"/>
                <w:b/>
                <w:bCs/>
                <w:color w:val="auto"/>
                <w:sz w:val="22"/>
                <w:highlight w:val="none"/>
              </w:rPr>
              <w:t xml:space="preserve">考核指标</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jc w:val="center"/>
              <w:rPr>
                <w:rFonts w:ascii="微软雅黑" w:hAnsi="微软雅黑" w:eastAsia="微软雅黑" w:cs="宋体"/>
                <w:b/>
                <w:bCs/>
                <w:color w:val="auto"/>
                <w:sz w:val="22"/>
                <w:highlight w:val="none"/>
              </w:rPr>
            </w:pPr>
            <w:r>
              <w:rPr>
                <w:rFonts w:hint="eastAsia" w:ascii="微软雅黑" w:hAnsi="微软雅黑" w:eastAsia="微软雅黑"/>
                <w:b/>
                <w:bCs/>
                <w:color w:val="auto"/>
                <w:sz w:val="22"/>
                <w:highlight w:val="none"/>
              </w:rPr>
              <w:t xml:space="preserve">考核标准</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ascii="微软雅黑" w:hAnsi="微软雅黑" w:eastAsia="微软雅黑" w:cs="宋体"/>
                <w:b/>
                <w:bCs/>
                <w:color w:val="auto"/>
                <w:sz w:val="22"/>
                <w:highlight w:val="none"/>
              </w:rPr>
            </w:pPr>
            <w:r>
              <w:rPr>
                <w:rFonts w:hint="eastAsia" w:ascii="微软雅黑" w:hAnsi="微软雅黑" w:eastAsia="微软雅黑"/>
                <w:b/>
                <w:bCs/>
                <w:color w:val="auto"/>
                <w:sz w:val="22"/>
                <w:highlight w:val="none"/>
              </w:rPr>
              <w:t xml:space="preserve">得分</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b/>
                <w:bCs/>
                <w:color w:val="auto"/>
                <w:sz w:val="22"/>
                <w:highlight w:val="none"/>
              </w:rPr>
            </w:pPr>
            <w:r>
              <w:rPr>
                <w:rFonts w:hint="eastAsia" w:ascii="微软雅黑" w:hAnsi="微软雅黑" w:eastAsia="微软雅黑"/>
                <w:b/>
                <w:bCs/>
                <w:color w:val="auto"/>
                <w:sz w:val="22"/>
                <w:highlight w:val="none"/>
              </w:rPr>
              <w:t xml:space="preserve">扣分说明</w:t>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一、服务质量(40分)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考核周期内编目正确率≥99%得满分；每低1%扣2分，扣完为止；低于95%本项不得分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卷宗材料归目准确率100%得满分；每出现1处错误扣1分，扣完为止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案件要素信息提取准确率≥99%得满分；每低1%扣1分，扣完为止；低于95%本项不得分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抽查、纠错分析指导质检机制得满分；未执行抽查制度扣3分，抽查发现问题未当日整改扣2分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根据反馈优化编目规范，形成适配无锡法院的编目标准得满分；未开展回访扣3分，未形成优化规范扣2分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严格按照法院规范完成卷宗材料排序得满分；每出现1处排序错误扣1分，扣完为止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4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二、服务时效性(20分)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材料移送当日完成名称标注及质检得满分；每出现1单超时扣1分，扣完为止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案件材料要素信息核对24小时内完成得满分；每出现1单超时扣1分，扣完为止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法院提出的问题30分钟内响应，24小时内给出解决方案得满分；每出现1次响应超时扣2分，扣完为止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抽检发现的问题当日完成整改得满分；每出现1次整改超时扣1分，扣完为止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shd w:val="clear" w:color="auto" w:fill="auto"/>
            <w:tcBorders>
              <w:top w:val="none" w:color="000000" w:sz="4" w:space="0"/>
              <w:left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三、人员管理(15分)</w:t>
            </w:r>
            <w:r/>
          </w:p>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常驻服务人员≥10名，配置项目负责人、现场主管、技术工程师得满分；人员数量不足扣2分，关键岗位缺人扣2分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left w:val="single" w:color="000000" w:sz="8" w:space="0"/>
              <w:right w:val="single" w:color="000000" w:sz="8" w:space="0"/>
            </w:tcBorders>
            <w:tcW w:w="0" w:type="auto"/>
            <w:vAlign w:val="center"/>
            <w:vMerge w:val="continue"/>
            <w:textDirection w:val="lrTb"/>
            <w:noWrap w:val="false"/>
          </w:tcPr>
          <w:p>
            <w:pPr>
              <w:jc w:val="cente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考核周期内核心岗位人员无擅自更换得满分；擅自更换每人次扣2分，普通人员流失率≥20%扣1分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left w:val="single" w:color="000000" w:sz="8" w:space="0"/>
              <w:right w:val="single" w:color="000000" w:sz="8" w:space="0"/>
            </w:tcBorders>
            <w:tcW w:w="0" w:type="auto"/>
            <w:vAlign w:val="center"/>
            <w:vMerge w:val="continue"/>
            <w:textDirection w:val="lrTb"/>
            <w:noWrap w:val="false"/>
          </w:tcPr>
          <w:p>
            <w:pPr>
              <w:jc w:val="cente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按要求完成内部培训、法院端培训，人员熟悉业务流程及系统操作得满分；未按计划培训扣2分，人员考核不合格扣1分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shd w:val="clear" w:color="auto" w:fill="auto"/>
            <w:tcBorders>
              <w:left w:val="single" w:color="000000" w:sz="8" w:space="0"/>
              <w:right w:val="single" w:color="000000" w:sz="8" w:space="0"/>
            </w:tcBorders>
            <w:tcMar>
              <w:left w:w="15" w:type="dxa"/>
              <w:top w:w="15" w:type="dxa"/>
              <w:right w:w="15" w:type="dxa"/>
              <w:bottom w:w="0" w:type="dxa"/>
            </w:tcMar>
            <w:tcW w:w="1080" w:type="dxa"/>
            <w:vAlign w:val="center"/>
            <w:vMerge w:val="continue"/>
            <w:textDirection w:val="lrTb"/>
            <w:noWrap w:val="false"/>
          </w:tcPr>
          <w:p>
            <w:pPr>
              <w:jc w:val="cente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严格执行考勤制度，人员准时到岗得满分；每出现1人次迟到早退扣0.5分，旷工扣1分，扣完为止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建立人员考核机制，不合格人员按要求及时替换得满分；未建立考核机制扣1分，不合格人员未及时替换扣1分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四、安全保密(10分)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严格遵守国家保密法规及法院保密规定，签订保密协议得满分；未执行保密制度扣3分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无卷宗遗失、损坏，无数据泄露、违规复制得满分；出现卷宗损坏扣2分，出现数据泄露本项不得分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严格执行场所进出管理规定，无违规携带物品进出工作区得满分；每出现1次违规扣1分，扣完为止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定期开展保密培训，人员持有有效保密教育培训证书得满分；未开展培训扣1分，人员证书不全扣1分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五、系统与配套服务(10分)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编目系统与法院现有业务系统无缝对接，性能满足要求得满分；系统对接异常扣2分，性能不达标扣2分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可视化平台完整实现合同约定的统计、展示、预警功能得满分；每缺失1项核心功能扣1分，扣完为止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提供7×24小时技术支持，问题及时解决得满分；每出现1次技术支持响应不及时扣1分，扣完为止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shd w:val="clear" w:color="auto" w:fill="auto"/>
            <w:tcBorders>
              <w:top w:val="none" w:color="000000" w:sz="4" w:space="0"/>
              <w:left w:val="single" w:color="auto" w:sz="4" w:space="0"/>
              <w:bottom w:val="single" w:color="000000" w:sz="8" w:space="0"/>
              <w:right w:val="single" w:color="000000" w:sz="8" w:space="0"/>
            </w:tcBorders>
            <w:tcMar>
              <w:left w:w="15" w:type="dxa"/>
              <w:top w:w="15" w:type="dxa"/>
              <w:right w:w="15" w:type="dxa"/>
              <w:bottom w:w="0" w:type="dxa"/>
            </w:tcMar>
            <w:tcW w:w="1080" w:type="dxa"/>
            <w:vAlign w:val="center"/>
            <w:vMerge w:val="restart"/>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六、履约与服务保障(5分)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按要求完成法院人员培训，确保相关人员熟练操作得满分；未按要求完成培训扣2分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675"/>
        </w:trPr>
        <w:tc>
          <w:tcPr>
            <w:tcBorders>
              <w:top w:val="none" w:color="000000" w:sz="4" w:space="0"/>
              <w:left w:val="single" w:color="auto" w:sz="4"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建立应急处理机制，及时处置突发情况得满分；未建立应急机制扣1分，应急处置不当扣1分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45"/>
        </w:trPr>
        <w:tc>
          <w:tcPr>
            <w:tcBorders>
              <w:top w:val="none" w:color="000000" w:sz="4" w:space="0"/>
              <w:left w:val="single" w:color="auto" w:sz="4" w:space="0"/>
              <w:bottom w:val="single" w:color="000000" w:sz="8" w:space="0"/>
              <w:right w:val="single" w:color="000000" w:sz="8" w:space="0"/>
            </w:tcBorders>
            <w:tcW w:w="0" w:type="auto"/>
            <w:vAlign w:val="center"/>
            <w:vMerge w:val="continue"/>
            <w:textDirection w:val="lrTb"/>
            <w:noWrap w:val="false"/>
          </w:tcPr>
          <w:p>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65" w:type="dxa"/>
            <w:vAlign w:val="center"/>
            <w:textDirection w:val="lrTb"/>
            <w:noWrap w:val="false"/>
          </w:tcPr>
          <w:p>
            <w:pP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积极配合法院各项工作，无推诿扯皮得满分；出现1次不配合扣1分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jc w:val="center"/>
              <w:rPr>
                <w:rFonts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xml:space="preserve">　</w:t>
            </w:r>
            <w:r/>
          </w:p>
        </w:tc>
      </w:tr>
      <w:tr>
        <w:trPr>
          <w:trHeight w:val="315"/>
        </w:trPr>
        <w:tc>
          <w:tcPr>
            <w:gridSpan w:val="2"/>
            <w:shd w:val="clear" w:color="auto" w:fill="auto"/>
            <w:tcBorders>
              <w:top w:val="single" w:color="000000" w:sz="8" w:space="0"/>
              <w:left w:val="single" w:color="auto" w:sz="4" w:space="0"/>
              <w:bottom w:val="single" w:color="000000" w:sz="8" w:space="0"/>
              <w:right w:val="single" w:color="000000" w:sz="8" w:space="0"/>
            </w:tcBorders>
            <w:tcMar>
              <w:left w:w="15" w:type="dxa"/>
              <w:top w:w="15" w:type="dxa"/>
              <w:right w:w="15" w:type="dxa"/>
              <w:bottom w:w="0" w:type="dxa"/>
            </w:tcMar>
            <w:tcW w:w="7245" w:type="dxa"/>
            <w:vAlign w:val="center"/>
            <w:textDirection w:val="lrTb"/>
            <w:noWrap w:val="false"/>
          </w:tcPr>
          <w:p>
            <w:pPr>
              <w:rPr>
                <w:rFonts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备注：甲方对于日常例行检查中发现的问题，以书面形式向中标供应商提出整改要求，经双方确认后，作为考核的依据之一。如得分低于</w:t>
            </w:r>
            <w:r>
              <w:rPr>
                <w:rFonts w:hint="eastAsia" w:asciiTheme="minorEastAsia" w:hAnsiTheme="minorEastAsia" w:eastAsiaTheme="minorEastAsia"/>
                <w:color w:val="auto"/>
                <w:sz w:val="24"/>
                <w:szCs w:val="24"/>
                <w:highlight w:val="none"/>
              </w:rPr>
              <w:t xml:space="preserve">90分（不含）</w:t>
            </w:r>
            <w:r>
              <w:rPr>
                <w:rFonts w:hint="eastAsia" w:asciiTheme="minorEastAsia" w:hAnsiTheme="minorEastAsia" w:eastAsiaTheme="minorEastAsia"/>
                <w:color w:val="auto"/>
                <w:sz w:val="24"/>
                <w:szCs w:val="24"/>
                <w:highlight w:val="none"/>
              </w:rPr>
              <w:t xml:space="preserve">，视为乙方不合格，扣年度合同价款的10%，且采购人有权解除合同。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75" w:type="dxa"/>
            <w:vAlign w:val="center"/>
            <w:textDirection w:val="lrTb"/>
            <w:noWrap w:val="false"/>
          </w:tcPr>
          <w:p>
            <w:pPr>
              <w:rPr>
                <w:rFonts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　100分</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1" w:type="dxa"/>
            <w:vAlign w:val="center"/>
            <w:textDirection w:val="lrTb"/>
            <w:noWrap w:val="false"/>
          </w:tcPr>
          <w:p>
            <w:pPr>
              <w:rPr>
                <w:rFonts w:ascii="微软雅黑" w:hAnsi="微软雅黑" w:eastAsia="微软雅黑" w:cs="宋体"/>
                <w:b/>
                <w:bCs/>
                <w:color w:val="auto"/>
                <w:sz w:val="22"/>
                <w:highlight w:val="none"/>
              </w:rPr>
            </w:pPr>
            <w:r>
              <w:rPr>
                <w:rFonts w:hint="eastAsia" w:ascii="微软雅黑" w:hAnsi="微软雅黑" w:eastAsia="微软雅黑"/>
                <w:b/>
                <w:bCs/>
                <w:color w:val="auto"/>
                <w:sz w:val="22"/>
                <w:highlight w:val="none"/>
              </w:rPr>
              <w:t xml:space="preserve">　</w:t>
            </w:r>
            <w:r/>
          </w:p>
        </w:tc>
      </w:tr>
    </w:tbl>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1、出现重大保密事故、审判秘密泄露的，直接判定为不合格。</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2、出现卷宗遗失、损毁等重大事故的，直接判定为不合格。</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3、未经法院同意擅自更换核心服务人员，影响服务开展的，直接判定为不合格。</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4、违反国家法律法规，被追究法律责任的，直接判定为不合格。</w:t>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01"/>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ind w:left="480"/>
        <w:jc w:val="center"/>
        <w:spacing w:line="360" w:lineRule="auto"/>
        <w:rPr>
          <w:rFonts w:ascii="黑体" w:eastAsia="黑体"/>
          <w:bCs/>
          <w:color w:val="auto"/>
          <w:sz w:val="36"/>
          <w:szCs w:val="36"/>
          <w:highlight w:val="none"/>
        </w:rPr>
      </w:pPr>
      <w:r>
        <w:rPr>
          <w:rFonts w:hint="eastAsia" w:ascii="宋体" w:hAnsi="宋体" w:eastAsia="宋体" w:cs="宋体"/>
          <w:b/>
          <w:color w:val="auto"/>
          <w:sz w:val="44"/>
          <w:szCs w:val="44"/>
          <w:highlight w:val="none"/>
        </w:rPr>
        <w:t xml:space="preserve">第四章  采购需</w:t>
      </w:r>
      <w:bookmarkEnd w:id="149"/>
      <w:r/>
      <w:bookmarkEnd w:id="150"/>
      <w:r/>
      <w:bookmarkEnd w:id="151"/>
      <w:r>
        <w:rPr>
          <w:rFonts w:hint="eastAsia" w:ascii="宋体" w:hAnsi="宋体" w:eastAsia="宋体" w:cs="宋体"/>
          <w:b/>
          <w:color w:val="auto"/>
          <w:sz w:val="44"/>
          <w:szCs w:val="44"/>
          <w:highlight w:val="none"/>
        </w:rPr>
        <w:t xml:space="preserve">求</w:t>
      </w:r>
      <w:r/>
    </w:p>
    <w:p>
      <w:pPr>
        <w:numPr>
          <w:ilvl w:val="0"/>
          <w:numId w:val="10"/>
        </w:numPr>
        <w:ind w:firstLine="200"/>
        <w:keepLines/>
        <w:keepNext/>
        <w:spacing w:before="120" w:after="120" w:line="360" w:lineRule="auto"/>
        <w:rPr>
          <w:rFonts w:ascii="宋体" w:hAnsi="宋体" w:eastAsia="宋体" w:cs="宋体"/>
          <w:b/>
          <w:bCs/>
          <w:color w:val="auto"/>
          <w:sz w:val="24"/>
          <w:szCs w:val="24"/>
          <w:highlight w:val="none"/>
        </w:rPr>
        <w:outlineLvl w:val="0"/>
      </w:pPr>
      <w:r/>
      <w:bookmarkStart w:id="154" w:name="_Toc26554093"/>
      <w:r/>
      <w:bookmarkStart w:id="155" w:name="_Toc49090575"/>
      <w:r/>
      <w:bookmarkStart w:id="156" w:name="_Toc120614281"/>
      <w:r>
        <w:rPr>
          <w:rFonts w:hint="eastAsia" w:ascii="宋体" w:hAnsi="宋体" w:eastAsia="宋体" w:cs="宋体"/>
          <w:b/>
          <w:bCs/>
          <w:color w:val="auto"/>
          <w:sz w:val="24"/>
          <w:szCs w:val="24"/>
          <w:highlight w:val="none"/>
        </w:rPr>
        <w:t xml:space="preserve">项目名称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无锡法院集中编目服务采购项目</w:t>
      </w:r>
      <w:r/>
    </w:p>
    <w:p>
      <w:pPr>
        <w:numPr>
          <w:ilvl w:val="0"/>
          <w:numId w:val="10"/>
        </w:numPr>
        <w:ind w:firstLine="200"/>
        <w:keepLines/>
        <w:keepNext/>
        <w:spacing w:before="120" w:after="120" w:line="360" w:lineRule="auto"/>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采购清单</w:t>
      </w:r>
      <w:r/>
    </w:p>
    <w:tbl>
      <w:tblPr>
        <w:tblStyle w:val="800"/>
        <w:tblW w:w="9510" w:type="dxa"/>
        <w:jc w:val="center"/>
        <w:tblLayout w:type="fixed"/>
        <w:tblCellMar>
          <w:left w:w="108" w:type="dxa"/>
          <w:top w:w="0" w:type="dxa"/>
          <w:right w:w="108" w:type="dxa"/>
          <w:bottom w:w="0" w:type="dxa"/>
        </w:tblCellMar>
        <w:tblLook w:val="04A0" w:firstRow="1" w:lastRow="0" w:firstColumn="1" w:lastColumn="0" w:noHBand="0" w:noVBand="1"/>
      </w:tblPr>
      <w:tblGrid>
        <w:gridCol w:w="844"/>
        <w:gridCol w:w="1154"/>
        <w:gridCol w:w="1723"/>
        <w:gridCol w:w="3969"/>
        <w:gridCol w:w="1820"/>
      </w:tblGrid>
      <w:tr>
        <w:trPr>
          <w:jc w:val="center"/>
          <w:trHeight w:val="867"/>
        </w:trPr>
        <w:tc>
          <w:tcPr>
            <w:tcBorders>
              <w:top w:val="single" w:color="auto" w:sz="6" w:space="0"/>
              <w:left w:val="single" w:color="auto" w:sz="6" w:space="0"/>
              <w:bottom w:val="single" w:color="auto" w:sz="6" w:space="0"/>
              <w:right w:val="single" w:color="auto" w:sz="6" w:space="0"/>
            </w:tcBorders>
            <w:tcW w:w="844" w:type="dxa"/>
            <w:vAlign w:val="center"/>
            <w:textDirection w:val="lrTb"/>
            <w:noWrap w:val="false"/>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154" w:type="dxa"/>
            <w:vAlign w:val="center"/>
            <w:textDirection w:val="lrTb"/>
            <w:noWrap w:val="false"/>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6" w:space="0"/>
              <w:left w:val="single" w:color="auto" w:sz="6" w:space="0"/>
              <w:bottom w:val="single" w:color="auto" w:sz="6" w:space="0"/>
              <w:right w:val="single" w:color="auto" w:sz="4" w:space="0"/>
            </w:tcBorders>
            <w:tcW w:w="1723" w:type="dxa"/>
            <w:vAlign w:val="center"/>
            <w:textDirection w:val="lrTb"/>
            <w:noWrap w:val="false"/>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auto" w:sz="6" w:space="0"/>
              <w:left w:val="single" w:color="auto" w:sz="4" w:space="0"/>
              <w:bottom w:val="single" w:color="auto" w:sz="6" w:space="0"/>
              <w:right w:val="single" w:color="auto" w:sz="6" w:space="0"/>
            </w:tcBorders>
            <w:tcW w:w="3969" w:type="dxa"/>
            <w:vAlign w:val="center"/>
            <w:textDirection w:val="lrTb"/>
            <w:noWrap w:val="false"/>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tc>
        <w:tc>
          <w:tcPr>
            <w:tcBorders>
              <w:top w:val="single" w:color="auto" w:sz="6" w:space="0"/>
              <w:left w:val="single" w:color="auto" w:sz="6" w:space="0"/>
              <w:bottom w:val="single" w:color="auto" w:sz="6" w:space="0"/>
              <w:right w:val="single" w:color="auto" w:sz="6" w:space="0"/>
            </w:tcBorders>
            <w:tcW w:w="1820" w:type="dxa"/>
            <w:vAlign w:val="center"/>
            <w:textDirection w:val="lrTb"/>
            <w:noWrap w:val="false"/>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最高限价</w:t>
            </w:r>
            <w:r/>
          </w:p>
        </w:tc>
      </w:tr>
      <w:tr>
        <w:trPr>
          <w:jc w:val="center"/>
          <w:trHeight w:val="2421"/>
        </w:trPr>
        <w:tc>
          <w:tcPr>
            <w:tcBorders>
              <w:top w:val="single" w:color="auto" w:sz="6" w:space="0"/>
              <w:left w:val="single" w:color="auto" w:sz="6" w:space="0"/>
              <w:bottom w:val="single" w:color="auto" w:sz="6" w:space="0"/>
              <w:right w:val="single" w:color="auto" w:sz="6" w:space="0"/>
            </w:tcBorders>
            <w:tcW w:w="84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15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无锡法院集中编目服务</w:t>
            </w:r>
            <w:r/>
          </w:p>
        </w:tc>
        <w:tc>
          <w:tcPr>
            <w:tcBorders>
              <w:top w:val="single" w:color="auto" w:sz="6" w:space="0"/>
              <w:left w:val="single" w:color="auto" w:sz="6" w:space="0"/>
              <w:bottom w:val="single" w:color="auto" w:sz="6" w:space="0"/>
              <w:right w:val="single" w:color="auto" w:sz="4" w:space="0"/>
            </w:tcBorders>
            <w:tcW w:w="172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对无锡全市两级共8家法院提供集中编目服务</w:t>
            </w:r>
            <w:r/>
          </w:p>
        </w:tc>
        <w:tc>
          <w:tcPr>
            <w:tcBorders>
              <w:top w:val="single" w:color="auto" w:sz="6" w:space="0"/>
              <w:left w:val="single" w:color="auto" w:sz="4" w:space="0"/>
              <w:bottom w:val="single" w:color="auto" w:sz="4" w:space="0"/>
              <w:right w:val="single" w:color="auto" w:sz="6" w:space="0"/>
            </w:tcBorders>
            <w:tcW w:w="3969"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无锡全市两级共8家法院合同期内立案的审判一审二审和执行等案件完成材料精细化名称标注和归目质检的工作，同时对各基层院随案扫描团队进行材料整理、分类、排序，材料扫描等操作培训，满足无锡全市两级法院无纸化办案需求。 </w:t>
            </w:r>
            <w:r/>
          </w:p>
        </w:tc>
        <w:tc>
          <w:tcPr>
            <w:tcBorders>
              <w:top w:val="single" w:color="auto" w:sz="6" w:space="0"/>
              <w:left w:val="single" w:color="auto" w:sz="6" w:space="0"/>
              <w:bottom w:val="single" w:color="auto" w:sz="4" w:space="0"/>
              <w:right w:val="single" w:color="auto" w:sz="6" w:space="0"/>
            </w:tcBorders>
            <w:tcW w:w="182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555万元/3年</w:t>
            </w:r>
            <w:r>
              <w:rPr>
                <w:rFonts w:hint="eastAsia" w:asciiTheme="minorEastAsia" w:hAnsiTheme="minorEastAsia" w:eastAsiaTheme="minorEastAsia" w:cstheme="minorEastAsia"/>
                <w:color w:val="auto"/>
                <w:sz w:val="24"/>
                <w:szCs w:val="24"/>
                <w:highlight w:val="none"/>
              </w:rPr>
              <w:t xml:space="preserve">（单价：0.15元/页）</w:t>
            </w:r>
            <w:r/>
          </w:p>
        </w:tc>
      </w:tr>
      <w:tr>
        <w:trPr>
          <w:jc w:val="center"/>
          <w:trHeight w:val="466"/>
        </w:trPr>
        <w:tc>
          <w:tcPr>
            <w:gridSpan w:val="5"/>
            <w:tcBorders>
              <w:top w:val="single" w:color="auto" w:sz="6" w:space="0"/>
              <w:left w:val="single" w:color="auto" w:sz="6" w:space="0"/>
              <w:bottom w:val="single" w:color="auto" w:sz="6" w:space="0"/>
              <w:right w:val="single" w:color="auto" w:sz="6" w:space="0"/>
            </w:tcBorders>
            <w:tcW w:w="9510"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rPr>
                <w:rFonts w:hint="eastAsia" w:ascii="宋体" w:hAnsi="宋体" w:eastAsia="宋体" w:cs="宋体"/>
                <w:color w:val="auto"/>
                <w:sz w:val="24"/>
                <w:szCs w:val="24"/>
                <w:highlight w:val="none"/>
                <w:lang w:val="zh-CN"/>
              </w:rPr>
              <w:t xml:space="preserve">本次招标有效期三年，招标结果为无锡法院集中编目的统一单价；全市基层法院按照此价格分别与</w:t>
            </w:r>
            <w:r>
              <w:rPr>
                <w:rFonts w:hint="eastAsia" w:asciiTheme="minorEastAsia" w:hAnsiTheme="minorEastAsia" w:eastAsiaTheme="minorEastAsia" w:cstheme="minorEastAsia"/>
                <w:color w:val="auto"/>
                <w:sz w:val="24"/>
                <w:szCs w:val="24"/>
                <w:highlight w:val="none"/>
              </w:rPr>
              <w:t xml:space="preserve">中标供应商</w:t>
            </w:r>
            <w:r>
              <w:rPr>
                <w:rFonts w:hint="eastAsia" w:ascii="宋体" w:hAnsi="宋体" w:eastAsia="宋体" w:cs="宋体"/>
                <w:color w:val="auto"/>
                <w:sz w:val="24"/>
                <w:szCs w:val="24"/>
                <w:highlight w:val="none"/>
                <w:lang w:val="zh-CN"/>
              </w:rPr>
              <w:t xml:space="preserve">签订合同，由</w:t>
            </w:r>
            <w:r>
              <w:rPr>
                <w:rFonts w:hint="eastAsia" w:asciiTheme="minorEastAsia" w:hAnsiTheme="minorEastAsia" w:eastAsiaTheme="minorEastAsia" w:cstheme="minorEastAsia"/>
                <w:color w:val="auto"/>
                <w:sz w:val="24"/>
                <w:szCs w:val="24"/>
                <w:highlight w:val="none"/>
              </w:rPr>
              <w:t xml:space="preserve">各法院单独</w:t>
            </w:r>
            <w:r>
              <w:rPr>
                <w:rFonts w:hint="eastAsia" w:ascii="宋体" w:hAnsi="宋体" w:eastAsia="宋体" w:cs="宋体"/>
                <w:color w:val="auto"/>
                <w:sz w:val="24"/>
                <w:szCs w:val="24"/>
                <w:highlight w:val="none"/>
                <w:lang w:val="zh-CN"/>
              </w:rPr>
              <w:t xml:space="preserve">与</w:t>
            </w:r>
            <w:r>
              <w:rPr>
                <w:rFonts w:hint="eastAsia" w:asciiTheme="minorEastAsia" w:hAnsiTheme="minorEastAsia" w:eastAsiaTheme="minorEastAsia" w:cstheme="minorEastAsia"/>
                <w:color w:val="auto"/>
                <w:sz w:val="24"/>
                <w:szCs w:val="24"/>
                <w:highlight w:val="none"/>
              </w:rPr>
              <w:t xml:space="preserve">中标供应商进</w:t>
            </w:r>
            <w:r>
              <w:rPr>
                <w:rFonts w:hint="eastAsia" w:ascii="宋体" w:hAnsi="宋体" w:eastAsia="宋体" w:cs="宋体"/>
                <w:color w:val="auto"/>
                <w:sz w:val="24"/>
                <w:szCs w:val="24"/>
                <w:highlight w:val="none"/>
                <w:lang w:val="zh-CN"/>
              </w:rPr>
              <w:t xml:space="preserve">行结算。</w:t>
            </w:r>
            <w:r/>
          </w:p>
        </w:tc>
      </w:tr>
    </w:tbl>
    <w:p>
      <w:pPr>
        <w:pStyle w:val="801"/>
        <w:ind w:firstLine="280"/>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各法院具体清单及预算：</w:t>
      </w:r>
      <w:r/>
    </w:p>
    <w:tbl>
      <w:tblPr>
        <w:tblStyle w:val="800"/>
        <w:tblpPr w:horzAnchor="page" w:tblpX="1465" w:vertAnchor="text" w:tblpY="472" w:leftFromText="180" w:topFromText="0" w:rightFromText="180" w:bottomFromText="0"/>
        <w:tblW w:w="9523" w:type="dxa"/>
        <w:tblInd w:w="0" w:type="dxa"/>
        <w:tblLayout w:type="fixed"/>
        <w:tblCellMar>
          <w:left w:w="108" w:type="dxa"/>
          <w:top w:w="0" w:type="dxa"/>
          <w:right w:w="108" w:type="dxa"/>
          <w:bottom w:w="0" w:type="dxa"/>
        </w:tblCellMar>
        <w:tblLook w:val="04A0" w:firstRow="1" w:lastRow="0" w:firstColumn="1" w:lastColumn="0" w:noHBand="0" w:noVBand="1"/>
      </w:tblPr>
      <w:tblGrid>
        <w:gridCol w:w="840"/>
        <w:gridCol w:w="2997"/>
        <w:gridCol w:w="1875"/>
        <w:gridCol w:w="1350"/>
        <w:gridCol w:w="1380"/>
        <w:gridCol w:w="1081"/>
      </w:tblGrid>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最高单价：元/页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预估量：页/年</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预算总价</w:t>
            </w:r>
            <w:r>
              <w:rPr>
                <w:rFonts w:ascii="宋体" w:hAnsi="宋体" w:eastAsia="宋体" w:cs="宋体"/>
                <w:b/>
                <w:bCs/>
                <w:color w:val="auto"/>
                <w:sz w:val="24"/>
                <w:szCs w:val="24"/>
                <w:highlight w:val="none"/>
                <w:lang w:bidi="ar"/>
              </w:rPr>
              <w:t xml:space="preserve">/年（元）</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val="false"/>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预算总价/3年（元）</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江苏省无锡市中级人民法院单位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56666</w:t>
            </w:r>
            <w:r>
              <w:rPr>
                <w:rFonts w:hint="eastAsia" w:ascii="宋体" w:hAnsi="宋体" w:eastAsia="宋体" w:cs="宋体"/>
                <w:color w:val="auto"/>
                <w:sz w:val="24"/>
                <w:szCs w:val="24"/>
                <w:highlight w:val="none"/>
                <w:lang w:bidi="ar"/>
              </w:rPr>
              <w:t xml:space="preserve">6</w:t>
            </w:r>
            <w:r>
              <w:rPr>
                <w:rFonts w:ascii="宋体" w:hAnsi="宋体" w:eastAsia="宋体" w:cs="宋体"/>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85000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255000</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江苏省无锡市江阴市人民法院单位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166666</w:t>
            </w: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250000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750000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江苏省无锡市宜兴市人民法院单位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186666</w:t>
            </w:r>
            <w:r>
              <w:rPr>
                <w:rFonts w:hint="eastAsia" w:ascii="宋体" w:hAnsi="宋体" w:eastAsia="宋体" w:cs="宋体"/>
                <w:color w:val="auto"/>
                <w:sz w:val="24"/>
                <w:szCs w:val="24"/>
                <w:highlight w:val="none"/>
                <w:lang w:bidi="ar"/>
              </w:rPr>
              <w:t xml:space="preserve">6</w:t>
            </w:r>
            <w:r>
              <w:rPr>
                <w:rFonts w:ascii="宋体" w:hAnsi="宋体" w:eastAsia="宋体" w:cs="宋体"/>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280000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840000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江苏省无锡市梁溪区人民法院单位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206666</w:t>
            </w:r>
            <w:r>
              <w:rPr>
                <w:rFonts w:hint="eastAsia" w:ascii="宋体" w:hAnsi="宋体" w:eastAsia="宋体" w:cs="宋体"/>
                <w:color w:val="auto"/>
                <w:sz w:val="24"/>
                <w:szCs w:val="24"/>
                <w:highlight w:val="none"/>
                <w:lang w:bidi="ar"/>
              </w:rPr>
              <w:t xml:space="preserve">6</w:t>
            </w:r>
            <w:r>
              <w:rPr>
                <w:rFonts w:ascii="宋体" w:hAnsi="宋体" w:eastAsia="宋体" w:cs="宋体"/>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310000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930000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江苏省无锡市锡山区人民法院单位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106666</w:t>
            </w:r>
            <w:r>
              <w:rPr>
                <w:rFonts w:hint="eastAsia" w:ascii="宋体" w:hAnsi="宋体" w:eastAsia="宋体" w:cs="宋体"/>
                <w:color w:val="auto"/>
                <w:sz w:val="24"/>
                <w:szCs w:val="24"/>
                <w:highlight w:val="none"/>
                <w:lang w:bidi="ar"/>
              </w:rPr>
              <w:t xml:space="preserve">6</w:t>
            </w:r>
            <w:r>
              <w:rPr>
                <w:rFonts w:ascii="宋体" w:hAnsi="宋体" w:eastAsia="宋体" w:cs="宋体"/>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160000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480000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江苏省无锡市惠山区人民法院单位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206666</w:t>
            </w:r>
            <w:r>
              <w:rPr>
                <w:rFonts w:hint="eastAsia" w:ascii="宋体" w:hAnsi="宋体" w:eastAsia="宋体" w:cs="宋体"/>
                <w:color w:val="auto"/>
                <w:sz w:val="24"/>
                <w:szCs w:val="24"/>
                <w:highlight w:val="none"/>
                <w:lang w:bidi="ar"/>
              </w:rPr>
              <w:t xml:space="preserve">6</w:t>
            </w:r>
            <w:r>
              <w:rPr>
                <w:rFonts w:ascii="宋体" w:hAnsi="宋体" w:eastAsia="宋体" w:cs="宋体"/>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310000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930000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江苏省无锡市滨湖区人民法院单位</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1733333 </w:t>
            </w:r>
            <w:r/>
          </w:p>
        </w:tc>
        <w:tc>
          <w:tcPr>
            <w:shd w:val="clear" w:color="auto" w:fill="auto"/>
            <w:tcBorders>
              <w:top w:val="single" w:color="000000"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260000</w:t>
            </w:r>
            <w:r/>
          </w:p>
        </w:tc>
        <w:tc>
          <w:tcPr>
            <w:shd w:val="clear" w:color="auto" w:fill="auto"/>
            <w:tcBorders>
              <w:top w:val="single" w:color="000000"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780000</w:t>
            </w:r>
            <w:r/>
          </w:p>
        </w:tc>
      </w:tr>
      <w:tr>
        <w:trPr>
          <w:trHeight w:val="353"/>
        </w:trPr>
        <w:tc>
          <w:tcPr>
            <w:shd w:val="clear" w:color="auto" w:fill="auto"/>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2997"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江苏省无锡市新吴区人民法院单位</w:t>
            </w:r>
            <w:r/>
          </w:p>
        </w:tc>
        <w:tc>
          <w:tcPr>
            <w:shd w:val="clear" w:color="auto" w:fill="auto"/>
            <w:tcBorders>
              <w:top w:val="single" w:color="000000" w:sz="4" w:space="0"/>
              <w:left w:val="single" w:color="000000" w:sz="4" w:space="0"/>
              <w:bottom w:val="single" w:color="auto"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0.15</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1300000 </w:t>
            </w:r>
            <w:r/>
          </w:p>
        </w:tc>
        <w:tc>
          <w:tcPr>
            <w:shd w:val="clear" w:color="auto" w:fill="auto"/>
            <w:tcBorders>
              <w:top w:val="single" w:color="000000" w:sz="4" w:space="0"/>
              <w:left w:val="single" w:color="000000" w:sz="4" w:space="0"/>
              <w:bottom w:val="single" w:color="auto"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lang w:bidi="ar"/>
              </w:rPr>
              <w:t xml:space="preserve">195000</w:t>
            </w:r>
            <w:r/>
          </w:p>
        </w:tc>
        <w:tc>
          <w:tcPr>
            <w:shd w:val="clear" w:color="auto" w:fill="auto"/>
            <w:tcBorders>
              <w:top w:val="single" w:color="000000" w:sz="4" w:space="0"/>
              <w:left w:val="single" w:color="auto" w:sz="4" w:space="0"/>
              <w:bottom w:val="single" w:color="auto"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585000</w:t>
            </w:r>
            <w:r/>
          </w:p>
        </w:tc>
      </w:tr>
      <w:tr>
        <w:trPr>
          <w:trHeight w:val="493"/>
        </w:trPr>
        <w:tc>
          <w:tcPr>
            <w:shd w:val="clear" w:color="auto" w:fill="auto"/>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auto" w:sz="4" w:space="0"/>
              <w:left w:val="single" w:color="000000" w:sz="4" w:space="0"/>
              <w:bottom w:val="single" w:color="000000" w:sz="4" w:space="0"/>
              <w:right w:val="single" w:color="000000" w:sz="4" w:space="0"/>
            </w:tcBorders>
            <w:tcW w:w="2997"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合计</w:t>
            </w:r>
            <w:r/>
          </w:p>
        </w:tc>
        <w:tc>
          <w:tcPr>
            <w:shd w:val="clear" w:color="auto" w:fill="auto"/>
            <w:tcBorders>
              <w:top w:val="single" w:color="auto"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0.15</w:t>
            </w:r>
            <w:r/>
          </w:p>
        </w:tc>
        <w:tc>
          <w:tcPr>
            <w:shd w:val="clear" w:color="auto" w:fill="auto"/>
            <w:tcBorders>
              <w:top w:val="single" w:color="auto"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c>
          <w:tcPr>
            <w:shd w:val="clear" w:color="auto" w:fill="auto"/>
            <w:tcBorders>
              <w:top w:val="single" w:color="auto" w:sz="4" w:space="0"/>
              <w:left w:val="single" w:color="000000" w:sz="4" w:space="0"/>
              <w:bottom w:val="single" w:color="000000" w:sz="4" w:space="0"/>
              <w:right w:val="single" w:color="auto" w:sz="4" w:space="0"/>
            </w:tcBorders>
            <w:tcW w:w="1380"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1850000</w:t>
            </w:r>
            <w:r/>
          </w:p>
        </w:tc>
        <w:tc>
          <w:tcPr>
            <w:shd w:val="clear" w:color="auto" w:fill="auto"/>
            <w:tcBorders>
              <w:top w:val="single" w:color="auto" w:sz="4" w:space="0"/>
              <w:left w:val="single" w:color="auto" w:sz="4" w:space="0"/>
              <w:bottom w:val="single" w:color="000000" w:sz="4" w:space="0"/>
              <w:right w:val="single" w:color="000000" w:sz="4" w:space="0"/>
            </w:tcBorders>
            <w:tcW w:w="1081"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5550000</w:t>
            </w:r>
            <w:r/>
          </w:p>
        </w:tc>
      </w:tr>
    </w:tbl>
    <w:p>
      <w:pPr>
        <w:numPr>
          <w:ilvl w:val="0"/>
          <w:numId w:val="10"/>
        </w:numPr>
        <w:ind w:firstLine="200"/>
        <w:keepLines/>
        <w:keepNext/>
        <w:spacing w:before="120" w:after="120" w:line="360" w:lineRule="auto"/>
        <w:rPr>
          <w:rFonts w:ascii="宋体" w:hAnsi="宋体" w:eastAsia="宋体" w:cs="宋体"/>
          <w:b/>
          <w:bCs/>
          <w:color w:val="auto"/>
          <w:sz w:val="24"/>
          <w:szCs w:val="24"/>
          <w:highlight w:val="none"/>
        </w:rPr>
        <w:outlineLvl w:val="0"/>
      </w:pPr>
      <w:r/>
      <w:bookmarkStart w:id="157" w:name="_Toc101058585"/>
      <w:r/>
      <w:bookmarkStart w:id="158" w:name="_Toc150154880"/>
      <w:r>
        <w:rPr>
          <w:rFonts w:hint="eastAsia" w:ascii="宋体" w:hAnsi="宋体" w:eastAsia="宋体" w:cs="宋体"/>
          <w:b/>
          <w:bCs/>
          <w:color w:val="auto"/>
          <w:sz w:val="24"/>
          <w:szCs w:val="24"/>
          <w:highlight w:val="none"/>
        </w:rPr>
        <w:t xml:space="preserve">服务内容技术需求</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服务内容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（1）集中编目服务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市级集约编目中心，采用“分散扫描、集中编目、统一归档”模式，以“自动编目为主、人工校对为辅”，实现卷宗智能命名、精准归目，提供无锡全市两级共8家法院合同期内立案的审判一审二审和执行等案件完成材料精细化名称标注和归目质检服务，同时对各基层院随案扫描团队进行材料整理、材料分类排序、材料扫描等操作培训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（2）基础性配套服务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随服务提供精细化编目系统和编目数据可视化平台，并承诺集中编目系统与无锡法院现用审判业务管理系统、执行流程案件管理系统和电子卷宗深度应用系统进行数据对接，实现系统互联互通和数据共享交互服务；采购人接受数据加工相关服务同时无需为集中编目系统配合最高院“一张网”改造单独付费。</w:t>
      </w:r>
      <w:r>
        <w:rPr>
          <w:rFonts w:hint="eastAsia" w:ascii="宋体" w:hAnsi="宋体" w:eastAsia="宋体" w:cs="宋体"/>
          <w:b/>
          <w:color w:val="auto"/>
          <w:sz w:val="24"/>
          <w:szCs w:val="24"/>
          <w:highlight w:val="none"/>
        </w:rPr>
        <w:t xml:space="preserve">（供应商必须对此承诺并在</w:t>
      </w:r>
      <w:r>
        <w:rPr>
          <w:rFonts w:hint="eastAsia" w:ascii="宋体" w:hAnsi="宋体" w:eastAsia="宋体" w:cs="宋体"/>
          <w:b/>
          <w:color w:val="auto"/>
          <w:sz w:val="24"/>
          <w:szCs w:val="24"/>
          <w:highlight w:val="none"/>
        </w:rPr>
        <w:t xml:space="preserve">投标文件中</w:t>
      </w:r>
      <w:r>
        <w:rPr>
          <w:rFonts w:hint="eastAsia" w:ascii="宋体" w:hAnsi="宋体" w:eastAsia="宋体" w:cs="宋体"/>
          <w:b/>
          <w:color w:val="auto"/>
          <w:sz w:val="24"/>
          <w:szCs w:val="24"/>
          <w:highlight w:val="none"/>
        </w:rPr>
        <w:t xml:space="preserve">提供服务承诺函，否则按无效投标文件处理）</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技术需求</w:t>
      </w:r>
      <w:r/>
    </w:p>
    <w:p>
      <w:pPr>
        <w:numPr>
          <w:ilvl w:val="2"/>
          <w:numId w:val="10"/>
        </w:numPr>
        <w:ind w:firstLine="200"/>
        <w:keepLines/>
        <w:keepNext/>
        <w:spacing w:before="120" w:after="120"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集中编目服务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集中编目是连接诉前、诉中</w:t>
      </w:r>
      <w:r>
        <w:rPr>
          <w:rFonts w:hint="eastAsia" w:ascii="宋体" w:hAnsi="宋体" w:eastAsia="宋体" w:cs="宋体"/>
          <w:color w:val="auto"/>
          <w:sz w:val="24"/>
          <w:szCs w:val="24"/>
          <w:highlight w:val="none"/>
        </w:rPr>
        <w:t xml:space="preserve">材料与归档的枢纽环节，采用“工单创建—智能编目—人工校验—回传系统”的流水线作业模式：各院扫描点完成材料电子化后，系统自动生成编目工单→工单汇集至市级集约编目中心→自动分派至编目人员→自动编目→人工校对修正→质检确认→回传“一张网”电子卷宗系统。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（1）编目规范方案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根据法官阅卷习惯，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（2）材料名称编目规范手册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包含民初，名终、财保、民特、刑初，刑终、执、执恢、执保、行初、行终、等通用编目规则。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（3）精细化编目服务。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针对存在精细化编目需要及可以进行要素信息提取的材料，通过软件能力加人工提取并用方式进行要素信息抽取，根据抽取结果</w:t>
      </w:r>
      <w:r>
        <w:rPr>
          <w:rFonts w:hint="eastAsia" w:ascii="宋体" w:hAnsi="宋体" w:eastAsia="宋体" w:cs="宋体"/>
          <w:bCs/>
          <w:color w:val="auto"/>
          <w:sz w:val="24"/>
          <w:szCs w:val="24"/>
          <w:highlight w:val="none"/>
        </w:rPr>
        <w:t xml:space="preserve">拼接重组材料</w:t>
      </w:r>
      <w:r>
        <w:rPr>
          <w:rFonts w:hint="eastAsia" w:ascii="宋体" w:hAnsi="宋体" w:eastAsia="宋体" w:cs="宋体"/>
          <w:color w:val="auto"/>
          <w:sz w:val="24"/>
          <w:szCs w:val="24"/>
          <w:highlight w:val="none"/>
        </w:rPr>
        <w:t xml:space="preserve">编目名称，同时维护</w:t>
      </w:r>
      <w:r>
        <w:rPr>
          <w:rFonts w:hint="eastAsia" w:ascii="宋体" w:hAnsi="宋体" w:eastAsia="宋体" w:cs="宋体"/>
          <w:color w:val="auto"/>
          <w:sz w:val="24"/>
          <w:szCs w:val="24"/>
          <w:highlight w:val="none"/>
        </w:rPr>
        <w:t xml:space="preserve">材料的基本属性如材料名称、阅卷目录等，使用材料的命名更为精细化，归目更准确，提升法官阅卷体验以及归档效率。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（4）编目质检服务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电子卷宗原始数据进行标注编目服务，并和电子卷宗原始数据的目录信息进行对比，保证电子卷宗原始数据和标注编目的名称一致，若有差异，进行人工手动修改，并针对材料电子化环节、法官阅卷环节、一键归档环节提供优化及调整服务。在材料移送编目电子化工作完成的同日完成名称标注及质检工作。编目质检服务主要包括外部质检（包含材料电子化环节、法院阅卷环节、一键归档环节）和内部质检（包含名称标注质检、阅卷目录质检、档案卷目录质检）两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（5）编目服务流程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介绍编目服务内容，对编目业务总体流程进行设计并介绍编目服务流程。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（6）编目时效性方案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供应商提供优化编目任务分派算法提升智能分派编目任务效率，并提供编目服务管理方案。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（7）归目服务方案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集中编目服务应提供归目服务方案确保线上，线下材料归目准确率。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（8）编目服务岗位职责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设立法院集中编目中心，按照集中编目工作流程建立配套的工作岗位。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（9）要素信息提取服务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根据《电子卷宗随案生成和同步应用技术要求》，电子卷宗随案生成应能够在立案和审理过程中生成的电子文件中，提取案件基本信息，并能够对多个文件中同一信息</w:t>
      </w:r>
      <w:r>
        <w:rPr>
          <w:rFonts w:hint="eastAsia" w:ascii="宋体" w:hAnsi="宋体" w:eastAsia="宋体" w:cs="宋体"/>
          <w:color w:val="auto"/>
          <w:sz w:val="24"/>
          <w:szCs w:val="24"/>
          <w:highlight w:val="none"/>
        </w:rPr>
        <w:t xml:space="preserve">项进行校验核对，将确认结果回填到办案系统，减少人工输入和校对工作量。因目前系统的局限性，对于案件信息录入依赖人工校验、核对操作，录入过程易出错且不宜甄别立案过程中的案件风险问题，供应商须对法院诉讼案件当事人提交的起诉状、上诉状、答辩状、保全申请书、送达地址确认书、授权委托书、身份证、庭审笔录、判决书、仲裁裁决书等材料识别提取后，进行人工核对，解决识别提取造成的错误或不全的问题，并支持对案件的当事人信息、代理人等信息进行核对并更正，为裁判文书辅助生成提供准确数据支撑。材料要素信息核对时效性要求24小时内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（10）大模型标注训练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前期算法模型搭建，基于通用大模型底座，利用法院海量的卷宗档案数据构造法律知识中心，实现大语言模型技术在法律垂直领域的落地，同时持续的定制数据样本采集和要素信息标注训练，针对诉辩情况分析、案情事实归纳、裁判结果生成、庭审提纲智能生成、裁判文书智能辅助等核心业务做专项内容训练并不断优化迭代更新算法，逐步验证OCR和编目能力；提升感知能力和准确率；提高认知要素提取准确率；提高诉辩情况的分析能力；提高案情事实的归纳能力；提高事实查明、本院认为、裁判依据、裁判结果的推理能力。</w:t>
      </w:r>
      <w:r/>
    </w:p>
    <w:p>
      <w:pPr>
        <w:numPr>
          <w:ilvl w:val="2"/>
          <w:numId w:val="10"/>
        </w:numPr>
        <w:ind w:firstLine="200"/>
        <w:keepLines/>
        <w:keepNext/>
        <w:spacing w:before="120" w:after="120"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核心能力配套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（1）智能编目引擎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拉取“一张网”待编目工单，归集各基层法院编目任务；编目完成后（对同份材料自动合并封装生成整份PDF文件）自动回传卷宗系统，双向实时同步。（针对重点材料如保全申请、鉴定申请等材料在编目入卷时自动推送站内消息，提醒书记员与承办法官该重点材料已入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任务分派、办理、退回、移送全流程管理（支持根据材料来源、案件类型、业务类型自动甄别紧急程度并优先自动分派）；内置大模型编目引擎，依托OCR识别与语义分析完成自动识别、智能命名；支持可视化编目规则配置和自定义材料命名拼接规范；智能归目引擎自动归入相应层级目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20页内卷宗≤30秒，5页内简易材料≤3秒；50页以上500页以内多页文书语义聚合、自动编目完成≤6分钟；结果回传一张网：20页及以内合并pdf卷宗及挂接目录结果回传耗时≤5分钟；50页以上500页以内合并卷宗及挂接目录结果数据回传≤10分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（2）卷宗材料智能标注编目数据可视化平台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展示两级法院电子卷宗随案生成率、卷宗规范率；统计各法院扫描收办总量、页数、处理时长、时效达标率；展示编目总量、日均工单、人均产能、任务完成率；追踪材料接收、编目、归档全流程耗时，识别超时环节；按日/周/月/季度输出业务趋势，自动计算同比、环比；针对编目效率、时效达标率等关键指标自动预警。</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服务标准及服务质量需求</w:t>
      </w:r>
      <w:r/>
    </w:p>
    <w:p>
      <w:pPr>
        <w:ind w:firstLine="48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建立健全无锡中院无纸化办案服务质量和标准，主要内容包括：无纸化服务标准，服务质量保障、集中编目服务绩效考核体系以及数据监管方案。</w:t>
      </w:r>
      <w:r/>
    </w:p>
    <w:p>
      <w:pPr>
        <w:numPr>
          <w:ilvl w:val="2"/>
          <w:numId w:val="10"/>
        </w:numPr>
        <w:ind w:firstLine="200"/>
        <w:keepLines/>
        <w:keepNext/>
        <w:spacing w:before="120" w:after="120"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服务标准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（1）供应商须提供电子卷宗随案同步生成标准；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（2）供应商须提供适用于无锡法院的精细化编目规则；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（3）供应商须提供案件卷宗排序标准。</w:t>
      </w:r>
      <w:r/>
    </w:p>
    <w:p>
      <w:pPr>
        <w:numPr>
          <w:ilvl w:val="2"/>
          <w:numId w:val="10"/>
        </w:numPr>
        <w:ind w:firstLine="200"/>
        <w:keepLines/>
        <w:keepNext/>
        <w:spacing w:before="120" w:after="120"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绩效管理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供应商须提供为满足本次项目集中编目绩效考核体系方案。为充分激发员工积极性，绩效考核体系须包括客观指标和主观指标，并提供相对应的数据监管方案。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（1）供应商须提供集中编目绩效考核体系；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（2）供应商须提供绩效管理办法；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（3）供应商须提供集中编目服务数据监管、统计与上报方案。</w:t>
      </w:r>
      <w:r/>
    </w:p>
    <w:p>
      <w:pPr>
        <w:numPr>
          <w:ilvl w:val="2"/>
          <w:numId w:val="10"/>
        </w:numPr>
        <w:ind w:firstLine="200"/>
        <w:keepLines/>
        <w:keepNext/>
        <w:spacing w:before="120" w:after="120"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服务质量要求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（1）编目规范优化及调整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基于现有编目规范，不定期的对编目的结果回访业务庭，记录和听取业务庭的情况反应和改进意见，然后对编目规范进行优化和调整，最终形成一套更适合法院编目规范标准。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（2）电子材料质检服务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编目团队会根据材料电子化移送过来的材料类别和材料实际内容进行判断，当发现材料类别与实际材料内部不匹配时，会通过系统直接退回，并告知退回原因。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（3）编目质量合格率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通过不定期的编目服务业务培训，提高编目效率及编目正确率，实现编目正确率达到99%以上。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（4）编目质量检查机制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为保障编目服务质量，通过每日抽查制度，对编目团队已完成的编目任务进行抽查，当日将抽查结果发送责令整改，形成一套质检机制：每日抽查和每日纠错分析指导。</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时间进度要求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本项目要求供应商于合同签订后5个工作日内完成相关软、硬件配备、业务流程梳理及全面开展服务。</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服务人员要求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项目组成员必须包括项目经理岗、现场服务主管岗、编目标注岗、编目质检岗、任务分派岗、技术支持岗；</w:t>
      </w:r>
      <w:r/>
    </w:p>
    <w:p>
      <w:pPr>
        <w:pStyle w:val="801"/>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（1）人员素质要求：大专或以上学历，服务态度端正、作风优良，熟悉采购方服务岗位的业务流程，熟练掌握电脑等办公设备，服从采购方的规章制度；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（2）供应商须按国家规定给服务人员购买五险一金，并提供相应的各项补贴和节日福利，人员进场需提供依法缴纳保险等凭证；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（3）供应商须对现场服务人员须有完善的制度规范，对不同的服务岗位有着详细的工作流程，并对服务人员进行相关职场礼仪形象的培训；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（4）供应商的现场服务人员必须熟悉使用采购方正在使用的智能标注编目系统等；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（5）供应商须对现场人员进行管理、考评，并制定考评不合格人员的替换规则：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规范外包人员管理工作，激励外包人员达成工作目标，保持外包人员人力资源竞争力为原则，从工作业绩、工作态度和工作能力三方面进行绩效考核。不符合采购方工作岗位要求，发生重大投诉以及连续两次考核不合格的，供应商在征得采购方同意后进行人员替换，替换人员将在5个工作日内到位，尽可能减少人员空档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（6）需提供不少于10名服务人员常驻本院数据加工中心，为采购方提供智能编目服务工作。在驻场服务人员中需指派一名作为本项目</w:t>
      </w:r>
      <w:r>
        <w:rPr>
          <w:rFonts w:hint="eastAsia" w:ascii="宋体" w:hAnsi="宋体" w:eastAsia="宋体" w:cs="宋体"/>
          <w:color w:val="auto"/>
          <w:sz w:val="24"/>
          <w:szCs w:val="24"/>
          <w:highlight w:val="none"/>
        </w:rPr>
        <w:t xml:space="preserve">现场服务主管</w:t>
      </w:r>
      <w:r>
        <w:rPr>
          <w:rFonts w:hint="eastAsia" w:ascii="宋体" w:hAnsi="宋体" w:eastAsia="宋体" w:cs="宋体"/>
          <w:color w:val="auto"/>
          <w:sz w:val="24"/>
          <w:szCs w:val="24"/>
          <w:highlight w:val="none"/>
        </w:rPr>
        <w:t xml:space="preserve">，负责与采购方对接工作及日常管理。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（7）签订合同后供应商需在接到采购方通知后7个工作日内安排人员进场完毕，未在规定时间到位人员，采购方有权终止合同。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（8）供应商需应制定各环节服务标准培训内容，负责多轮次对本项目实施人员进行相关培训，确保项目实施顺利和项目实施成效。</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安全保密要求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（1）供应商应严格遵守国家相关的保密法律规定，无条件遵守《保密协议》（由采购人提供，双方另行签订）和采购方的有关规定。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（2）服务工作必须在采购方指定的场所内进行，确保场所正常秩序和安全。不得遗失、损坏卷宗，如有违法行为或违反相关规定，将依法或依据约定追究相应的责任。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过程中，供应商如需更换、增加工作人员，必须提前一周向采购方提供拟加入人员的资料，取得采购方签字同意后方可更换或者增加人手。对离开本项目实施岗位的人员，供应商需在人员离岗后一周内，在采购方保存的相关工作人员的备案表格中标注离岗日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（4）除钥匙及眼镜等外，供应商工作人员未经采购方同意，不得将手袋、提包、钱包、磁盘（含 U 盘、软盘、硬盘等）、刻录光盘、手机、MP3、MP4、报刊、纸张及其他随身物品带入工作室，也不得将工作室的物品擅自带出工作室外。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（5）未经采购方批准，供应商不得以任何形式复制离线的卷宗图像和卷宗目录数据。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（6）供应商工作人员剔除同一案卷内的重复文件必须经采购方有关人员审核同意方可实施。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（7）工作室内的废纸必须集中放置，并定期运送至采购方指定位置进行销毁。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（8）供应商工作人员不得以任何方式非法向外人泄露档案所涉及的审判秘密、工作秘密及其他不宜公开的信息，否则按国家有关规定处理，情节严重的要承担相应的刑事责任。</w:t>
      </w:r>
      <w:r/>
    </w:p>
    <w:p>
      <w:pPr>
        <w:numPr>
          <w:ilvl w:val="1"/>
          <w:numId w:val="10"/>
        </w:numPr>
        <w:ind w:firstLine="200"/>
        <w:keepLines/>
        <w:keepNext/>
        <w:spacing w:before="120" w:after="120"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其他要求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无锡中院服务成效，供应商应基于现有法院业务系统进行软件功能操作，服务期间供应商提供的相关配套服务软件需与无锡地区诉服网、材料、审判、执行、卷宗、档案等核心业务系统进行无缝对接，确保数据准确性及一致性。</w:t>
      </w:r>
      <w:bookmarkEnd w:id="157"/>
      <w:r/>
      <w:bookmarkEnd w:id="158"/>
      <w:r/>
      <w:r/>
    </w:p>
    <w:p>
      <w:pPr>
        <w:numPr>
          <w:ilvl w:val="0"/>
          <w:numId w:val="10"/>
        </w:numPr>
        <w:ind w:firstLine="200"/>
        <w:keepLines/>
        <w:keepNext/>
        <w:spacing w:before="120" w:after="120" w:line="360" w:lineRule="auto"/>
        <w:rPr>
          <w:rFonts w:ascii="宋体" w:hAnsi="宋体" w:eastAsia="宋体" w:cs="宋体"/>
          <w:b/>
          <w:bCs/>
          <w:color w:val="auto"/>
          <w:sz w:val="24"/>
          <w:szCs w:val="24"/>
          <w:highlight w:val="none"/>
        </w:rPr>
        <w:outlineLvl w:val="0"/>
      </w:pPr>
      <w:r/>
      <w:bookmarkStart w:id="159" w:name="_Toc45264038"/>
      <w:r>
        <w:rPr>
          <w:rFonts w:hint="eastAsia" w:ascii="宋体" w:hAnsi="宋体" w:eastAsia="宋体" w:cs="宋体"/>
          <w:b/>
          <w:bCs/>
          <w:color w:val="auto"/>
          <w:sz w:val="24"/>
          <w:szCs w:val="24"/>
          <w:highlight w:val="none"/>
        </w:rPr>
        <w:t xml:space="preserve">技术服务、培训等</w:t>
      </w:r>
      <w:bookmarkEnd w:id="159"/>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（1）工作时间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法定工作日和采购方统一要求加班的节假日，上午8:30-11：30，下午：13:30-17:00，如遇工作量大积压的情况，可以报备采购方后合理安排延长工作时间。供应商应严格执行考勤制度，做好考勤登记，确保员工准时上班。</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（2）技术服务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间供应商须提供运维工程师现场或远程解答采购人关于无纸化办案业务和技术问题。另外提供每天24小时的不间断技术支持服务，为采购人提供电话、传真、视频、现场等多种方式技术支持服务，全方位响应需求。</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（3）培训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制定无纸化服务相关培训内容，负责多轮次对采购人工作人员和本项目实施人员进行相关培训，培训内容包括但不限于无纸化办案理解、纸质卷宗流转机制、辅助事项管理系统、电子卷宗智能服务系统和文书平台等，确保项目实施顺利和项目实施成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（4）人员调整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供应商工作人员若有违反采购人规定或工作质量出现问题的，采购人有权提出更换人员并收回相关出入采购人场所证件。</w:t>
      </w:r>
      <w:r/>
    </w:p>
    <w:p>
      <w:pPr>
        <w:numPr>
          <w:ilvl w:val="0"/>
          <w:numId w:val="10"/>
        </w:numPr>
        <w:ind w:firstLine="200"/>
        <w:keepLines/>
        <w:keepNext/>
        <w:spacing w:before="120" w:after="120" w:line="360" w:lineRule="auto"/>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验收</w:t>
      </w:r>
      <w:r/>
    </w:p>
    <w:p>
      <w:pPr>
        <w:ind w:firstLine="480"/>
        <w:spacing w:line="360" w:lineRule="auto"/>
        <w:rPr>
          <w:rFonts w:ascii="宋体" w:hAnsi="宋体" w:eastAsia="宋体" w:cs="宋体"/>
          <w:color w:val="auto"/>
          <w:sz w:val="24"/>
          <w:szCs w:val="24"/>
          <w:highlight w:val="none"/>
        </w:rPr>
      </w:pPr>
      <w:r/>
      <w:bookmarkStart w:id="160" w:name="OLE_LINK21"/>
      <w:r/>
      <w:bookmarkStart w:id="161" w:name="OLE_LINK22"/>
      <w:r>
        <w:rPr>
          <w:rFonts w:hint="eastAsia" w:ascii="宋体" w:hAnsi="宋体" w:eastAsia="宋体" w:cs="宋体"/>
          <w:color w:val="auto"/>
          <w:sz w:val="24"/>
          <w:szCs w:val="24"/>
          <w:highlight w:val="none"/>
        </w:rPr>
        <w:t xml:space="preserve">1、平时抽检：采购方代表两人以上组成验收组负责日常抽检。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2、总验收：由采购方组织验收，总验收合格后支付尾款，验收合格率不低于95%，验收合格后，验收双方应当在验收单确认签字。验收不合格，供应商在规定时间内进行整改，否则不予结算费用。</w:t>
      </w:r>
      <w:bookmarkEnd w:id="160"/>
      <w:r/>
      <w:bookmarkEnd w:id="161"/>
      <w:r/>
      <w:r/>
    </w:p>
    <w:p>
      <w:pPr>
        <w:ind w:firstLine="480"/>
        <w:spacing w:line="360" w:lineRule="auto"/>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93"/>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93"/>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93"/>
        <w:spacing w:before="0" w:after="0"/>
        <w:rPr>
          <w:rFonts w:cs="Arial"/>
          <w:color w:val="auto"/>
          <w:highlight w:val="none"/>
        </w:rPr>
      </w:pPr>
      <w:r>
        <w:rPr>
          <w:rFonts w:hint="eastAsia" w:cs="Arial"/>
          <w:color w:val="auto"/>
          <w:highlight w:val="none"/>
        </w:rPr>
        <w:t xml:space="preserve">比较与评价采用综合评分法。</w:t>
      </w:r>
      <w:r/>
    </w:p>
    <w:p>
      <w:pPr>
        <w:pStyle w:val="1193"/>
        <w:spacing w:before="0" w:after="0"/>
        <w:rPr>
          <w:rFonts w:cs="Arial"/>
          <w:color w:val="auto"/>
          <w:highlight w:val="none"/>
          <w:shd w:val="clear" w:color="ffffff" w:fill="d9d9d9"/>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93"/>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0"/>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pStyle w:val="1193"/>
        <w:numPr>
          <w:ilvl w:val="0"/>
          <w:numId w:val="11"/>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1、价格分（20分）</w:t>
      </w:r>
      <w:r/>
    </w:p>
    <w:p>
      <w:pPr>
        <w:ind w:firstLine="482"/>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二、商务部分（20分）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1）企业业绩（1分）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投标人2023年1月1日（以合同签订时间为准）至投标截止日有类似项目的业绩，每有一个得0.5分，满分1分。</w:t>
      </w:r>
      <w:r/>
    </w:p>
    <w:p>
      <w:pPr>
        <w:ind w:firstLine="480"/>
        <w:spacing w:line="360" w:lineRule="auto"/>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注：投标时提供合同</w:t>
      </w:r>
      <w:r>
        <w:rPr>
          <w:rFonts w:hint="eastAsia" w:ascii="宋体" w:hAnsi="宋体" w:eastAsia="宋体" w:cs="宋体"/>
          <w:color w:val="auto"/>
          <w:sz w:val="24"/>
          <w:highlight w:val="none"/>
        </w:rPr>
        <w:t xml:space="preserve">扫描件上传系统并加盖公章，不提供或提供不符合要求均不得分</w:t>
      </w:r>
      <w:r>
        <w:rPr>
          <w:rFonts w:hint="eastAsia" w:ascii="宋体" w:hAnsi="宋体" w:eastAsia="宋体" w:cs="宋体"/>
          <w:color w:val="auto"/>
          <w:sz w:val="24"/>
          <w:szCs w:val="24"/>
          <w:highlight w:val="none"/>
          <w:lang w:bidi="ar"/>
        </w:rPr>
        <w:t xml:space="preserve">。</w:t>
      </w:r>
      <w:r/>
    </w:p>
    <w:p>
      <w:pPr>
        <w:numPr>
          <w:ilvl w:val="0"/>
          <w:numId w:val="12"/>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软件实力（3分）</w:t>
      </w:r>
      <w:r/>
    </w:p>
    <w:p>
      <w:pPr>
        <w:ind w:left="481"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根据提供随服务自带软件系统进行综合评审：智能标注编目类似系统、</w:t>
      </w:r>
      <w:r>
        <w:rPr>
          <w:rFonts w:ascii="宋体" w:hAnsi="宋体" w:eastAsia="宋体" w:cs="宋体"/>
          <w:color w:val="auto"/>
          <w:sz w:val="24"/>
          <w:szCs w:val="24"/>
          <w:highlight w:val="none"/>
        </w:rPr>
        <w:t xml:space="preserve">OCR识别及校验</w:t>
      </w:r>
      <w:r>
        <w:rPr>
          <w:rFonts w:hint="eastAsia" w:ascii="宋体" w:hAnsi="宋体" w:eastAsia="宋体" w:cs="宋体"/>
          <w:color w:val="auto"/>
          <w:sz w:val="24"/>
          <w:szCs w:val="24"/>
          <w:highlight w:val="none"/>
        </w:rPr>
        <w:t xml:space="preserve">类似</w:t>
      </w:r>
      <w:r>
        <w:rPr>
          <w:rFonts w:ascii="宋体" w:hAnsi="宋体" w:eastAsia="宋体" w:cs="宋体"/>
          <w:color w:val="auto"/>
          <w:sz w:val="24"/>
          <w:szCs w:val="24"/>
          <w:highlight w:val="none"/>
        </w:rPr>
        <w:t xml:space="preserve">系统软件、</w:t>
      </w:r>
      <w:r>
        <w:rPr>
          <w:rFonts w:hint="eastAsia" w:ascii="宋体" w:hAnsi="宋体" w:eastAsia="宋体" w:cs="宋体"/>
          <w:color w:val="auto"/>
          <w:sz w:val="24"/>
          <w:szCs w:val="24"/>
          <w:highlight w:val="none"/>
        </w:rPr>
        <w:t xml:space="preserve">电子卷宗集中编目与质检类似系统软件、电子档案图像质量检测类似系统软件、大模型样本采集与标注训练类似系统、卷宗材料智能标注编目数据可视化平台类似系统；每提供1个/0.5分，最高得3分。</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如为自有的，提供计算机软件著作权登记证书复印件（证书著作权人名称须与投标人名称一致）；如为购买的，提供计算机软件著作权登记证书复印件和购买合同复印件；如为授权使用许可的，提供计算机软件著作权登记证书复印件和授权许可使用合同复印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3）项目拟配人员（12分）：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为满足项目实际需要，拟投入本项目的项目经理资质要求如下（3分）：</w:t>
      </w:r>
      <w:r/>
    </w:p>
    <w:p>
      <w:pPr>
        <w:ind w:firstLine="480"/>
        <w:jc w:val="left"/>
        <w:spacing w:line="360" w:lineRule="auto"/>
        <w:rPr>
          <w:color w:val="auto"/>
          <w:highlight w:val="none"/>
        </w:rPr>
      </w:pPr>
      <w:r>
        <w:rPr>
          <w:rFonts w:hint="eastAsia" w:ascii="宋体" w:hAnsi="宋体" w:eastAsia="宋体" w:cs="宋体"/>
          <w:color w:val="auto"/>
          <w:sz w:val="24"/>
          <w:szCs w:val="24"/>
          <w:highlight w:val="none"/>
        </w:rPr>
        <w:t xml:space="preserve">（1）具有国家档案局档案干部教育中心颁发的档案岗位资格培训证书的，得1分。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（2）具有人力资源和社会保障部门颁发的档案专业中级及以上职称的，得1分；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（3）具有市级及以上保密部门颁发的安全保密管理员证书，得1分；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②</w:t>
      </w:r>
      <w:r>
        <w:rPr>
          <w:rFonts w:hint="eastAsia" w:ascii="宋体" w:hAnsi="宋体" w:eastAsia="宋体" w:cs="宋体"/>
          <w:color w:val="auto"/>
          <w:sz w:val="24"/>
          <w:szCs w:val="24"/>
          <w:highlight w:val="none"/>
        </w:rPr>
        <w:t xml:space="preserve">为满足项目实际需要，拟投入本项目的现场服务主管资质要求如下</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(1)取得法学专业研究生学历或法学专业硕士学位，得1分；取得法学专业本科学历得0.5分；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(2)具有国家档案局档案干部教育中心颁发的档案岗位资格培训证书的，得1分。</w:t>
      </w:r>
      <w:r/>
    </w:p>
    <w:p>
      <w:pPr>
        <w:ind w:firstLine="24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（3）具有人力资源和社会保障部门颁发的档案专业中级及以上职称的，得1分；</w:t>
      </w:r>
      <w:r/>
    </w:p>
    <w:p>
      <w:pPr>
        <w:ind w:firstLine="24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③</w:t>
      </w:r>
      <w:r>
        <w:rPr>
          <w:rFonts w:hint="eastAsia" w:ascii="宋体" w:hAnsi="宋体" w:eastAsia="宋体" w:cs="宋体"/>
          <w:color w:val="auto"/>
          <w:sz w:val="24"/>
          <w:szCs w:val="24"/>
          <w:highlight w:val="none"/>
        </w:rPr>
        <w:t xml:space="preserve">为满足项目</w:t>
      </w:r>
      <w:r>
        <w:rPr>
          <w:rFonts w:hint="eastAsia" w:ascii="宋体" w:hAnsi="宋体" w:eastAsia="宋体" w:cs="宋体"/>
          <w:color w:val="auto"/>
          <w:sz w:val="24"/>
          <w:szCs w:val="24"/>
          <w:highlight w:val="none"/>
        </w:rPr>
        <w:t xml:space="preserve">技术运营需要，拟投入本项目的技术支持工程师资质要求如下（3分）：</w:t>
      </w:r>
      <w:r/>
    </w:p>
    <w:p>
      <w:pPr>
        <w:ind w:firstLine="3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(1)取得计算机专业研究生学历或计算机专业硕士学位，得1分；取得计算机专业本科学历得0.5分；</w:t>
      </w:r>
      <w:r/>
    </w:p>
    <w:p>
      <w:pPr>
        <w:ind w:firstLine="3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(2)具有国家档案局档案干部教育中心颁发的档案岗位资格培训证书的，得1分；</w:t>
      </w:r>
      <w:r/>
    </w:p>
    <w:p>
      <w:pPr>
        <w:ind w:firstLine="3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(3)具有计算机或电子工程专业中级及以上资格证书的，得1分；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④为满足项目安全稳定运行需要，拟派现场服务人员同时具有“保密教育培训证书”和“档案上岗证”，人数≥10人，得3分；6≤人数＜10，得2分；3≤人数＜6，得1分；其他不得分；</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提供以上人员相关证书及证明材料</w:t>
      </w:r>
      <w:r>
        <w:rPr>
          <w:rFonts w:hint="eastAsia" w:ascii="宋体" w:hAnsi="宋体" w:eastAsia="宋体" w:cs="宋体"/>
          <w:color w:val="auto"/>
          <w:sz w:val="24"/>
          <w:highlight w:val="none"/>
        </w:rPr>
        <w:t xml:space="preserve">扫描件上传系统并加盖公章，不提供或提供不符合要求均不得分</w:t>
      </w:r>
      <w:r>
        <w:rPr>
          <w:rFonts w:hint="eastAsia" w:ascii="宋体" w:hAnsi="宋体" w:eastAsia="宋体" w:cs="宋体"/>
          <w:color w:val="auto"/>
          <w:sz w:val="24"/>
          <w:szCs w:val="24"/>
          <w:highlight w:val="none"/>
        </w:rPr>
        <w:t xml:space="preserve">；供应商需填写《</w:t>
      </w:r>
      <w:r>
        <w:rPr>
          <w:rFonts w:hint="eastAsia" w:ascii="宋体" w:hAnsi="宋体" w:eastAsia="宋体" w:cs="宋体"/>
          <w:bCs/>
          <w:color w:val="auto"/>
          <w:sz w:val="24"/>
          <w:szCs w:val="24"/>
          <w:highlight w:val="none"/>
        </w:rPr>
        <w:t xml:space="preserve">人员配置表</w:t>
      </w:r>
      <w:r>
        <w:rPr>
          <w:rFonts w:hint="eastAsia" w:ascii="宋体" w:hAnsi="宋体" w:eastAsia="宋体" w:cs="宋体"/>
          <w:color w:val="auto"/>
          <w:sz w:val="24"/>
          <w:szCs w:val="24"/>
          <w:highlight w:val="none"/>
        </w:rPr>
        <w:t xml:space="preserve">》（格式见附件）同时需提供由供应商与该人员签订的劳动合同或本企业为其依法缴纳的近一年中任意一个月（不含投标当月）的社会保障资金的相关材料（提供相关主管部门证明或银行代扣证明）。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4）管理体系证书（2分）：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具有经中国国家认证认可监督管理委员会认证机构颁发有效的数据存储安全管理体系认证证书、档案数字化服务管理体系认证证书、业务连续性管理体系认证证书、隐私信息管理体系认证证书；每个证书得0.5分，未提供不得分，本项最高得2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说明：投标文件中提供全国认证认可信息公共服务平台官网认证信息查询截图和证书复印件，</w:t>
      </w:r>
      <w:r>
        <w:rPr>
          <w:rFonts w:ascii="宋体" w:hAnsi="宋体" w:eastAsia="宋体" w:cs="宋体"/>
          <w:color w:val="auto"/>
          <w:sz w:val="24"/>
          <w:szCs w:val="24"/>
          <w:highlight w:val="none"/>
        </w:rPr>
        <w:t xml:space="preserve">不提供或提供的认证证书不符合本评分项要求的不得分</w:t>
      </w:r>
      <w:r>
        <w:rPr>
          <w:rFonts w:hint="eastAsia" w:ascii="宋体" w:hAnsi="宋体" w:eastAsia="宋体" w:cs="宋体"/>
          <w:color w:val="auto"/>
          <w:sz w:val="24"/>
          <w:szCs w:val="24"/>
          <w:highlight w:val="none"/>
        </w:rPr>
        <w:t xml:space="preserve">。</w:t>
      </w:r>
      <w:r/>
    </w:p>
    <w:p>
      <w:pPr>
        <w:numPr>
          <w:ilvl w:val="0"/>
          <w:numId w:val="13"/>
        </w:num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资质证书（2分）：</w:t>
      </w:r>
      <w:bookmarkStart w:id="162" w:name="OLE_LINK12"/>
      <w:r/>
      <w:r/>
    </w:p>
    <w:p>
      <w:pPr>
        <w:ind w:firstLine="3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投标人具有</w:t>
      </w:r>
      <w:r>
        <w:rPr>
          <w:rFonts w:hint="eastAsia" w:ascii="宋体" w:hAnsi="宋体" w:eastAsia="宋体" w:cs="宋体"/>
          <w:color w:val="auto"/>
          <w:sz w:val="24"/>
          <w:szCs w:val="24"/>
          <w:highlight w:val="none"/>
        </w:rPr>
        <w:t xml:space="preserve">市级以上档案中介机构备案证书</w:t>
      </w:r>
      <w:r>
        <w:rPr>
          <w:rFonts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分，未提供不得分。</w:t>
      </w:r>
      <w:r/>
    </w:p>
    <w:p>
      <w:pPr>
        <w:ind w:firstLine="36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）投标人取得</w:t>
      </w:r>
      <w:r>
        <w:rPr>
          <w:rFonts w:hint="eastAsia" w:ascii="宋体" w:hAnsi="宋体" w:eastAsia="宋体" w:cs="宋体"/>
          <w:color w:val="auto"/>
          <w:sz w:val="24"/>
          <w:szCs w:val="24"/>
          <w:highlight w:val="none"/>
        </w:rPr>
        <w:t xml:space="preserve">档案涉密类企业安全等级资质证书（甲级）</w:t>
      </w:r>
      <w:r>
        <w:rPr>
          <w:rFonts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分，取得</w:t>
      </w:r>
      <w:r>
        <w:rPr>
          <w:rFonts w:hint="eastAsia" w:ascii="宋体" w:hAnsi="宋体" w:eastAsia="宋体" w:cs="宋体"/>
          <w:color w:val="auto"/>
          <w:sz w:val="24"/>
          <w:szCs w:val="24"/>
          <w:highlight w:val="none"/>
        </w:rPr>
        <w:t xml:space="preserve">档案涉密类企业安全等级资质证书</w:t>
      </w:r>
      <w:r>
        <w:rPr>
          <w:rFonts w:ascii="宋体" w:hAnsi="宋体" w:eastAsia="宋体" w:cs="宋体"/>
          <w:color w:val="auto"/>
          <w:sz w:val="24"/>
          <w:szCs w:val="24"/>
          <w:highlight w:val="none"/>
        </w:rPr>
        <w:t xml:space="preserve">（乙级）的得</w:t>
      </w:r>
      <w:r>
        <w:rPr>
          <w:rFonts w:hint="eastAsia" w:ascii="宋体" w:hAnsi="宋体" w:eastAsia="宋体" w:cs="宋体"/>
          <w:color w:val="auto"/>
          <w:sz w:val="24"/>
          <w:szCs w:val="24"/>
          <w:highlight w:val="none"/>
        </w:rPr>
        <w:t xml:space="preserve">0.5分，</w:t>
      </w:r>
      <w:r>
        <w:rPr>
          <w:rFonts w:ascii="宋体" w:hAnsi="宋体" w:eastAsia="宋体" w:cs="宋体"/>
          <w:color w:val="auto"/>
          <w:sz w:val="24"/>
          <w:szCs w:val="24"/>
          <w:highlight w:val="none"/>
        </w:rPr>
        <w:t xml:space="preserve">不提供者不得分。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说明：提供相关证书复印件并加盖公章</w:t>
      </w:r>
      <w:bookmarkEnd w:id="162"/>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三、技术部分（60分）</w:t>
      </w:r>
      <w:r/>
    </w:p>
    <w:p>
      <w:pPr>
        <w:ind w:firstLine="482"/>
        <w:spacing w:line="360" w:lineRule="auto"/>
        <w:rPr>
          <w:rFonts w:ascii="宋体" w:hAnsi="宋体" w:eastAsia="宋体"/>
          <w:b/>
          <w:bCs/>
          <w:color w:val="auto"/>
          <w:sz w:val="24"/>
          <w:szCs w:val="24"/>
          <w:highlight w:val="none"/>
          <w:lang w:bidi="zh-TW"/>
        </w:rPr>
      </w:pPr>
      <w:r>
        <w:rPr>
          <w:rFonts w:hint="eastAsia" w:ascii="宋体" w:hAnsi="宋体" w:eastAsia="宋体"/>
          <w:b/>
          <w:bCs/>
          <w:color w:val="auto"/>
          <w:sz w:val="24"/>
          <w:szCs w:val="24"/>
          <w:highlight w:val="none"/>
        </w:rPr>
        <w:t xml:space="preserve">1）无纸化项目理解方案</w:t>
      </w:r>
      <w:r>
        <w:rPr>
          <w:rFonts w:hint="eastAsia" w:ascii="宋体" w:hAnsi="宋体" w:eastAsia="宋体"/>
          <w:b/>
          <w:bCs/>
          <w:color w:val="auto"/>
          <w:sz w:val="24"/>
          <w:szCs w:val="24"/>
          <w:highlight w:val="none"/>
          <w:lang w:bidi="zh-TW"/>
        </w:rPr>
        <w:t xml:space="preserve">（4分）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根据投标人提供的项目理解方案进行评审：包含但不限于：①项目概述、②项目需求分析、③无纸化办案理解和建议、④无纸化办案配套服务整体设计思路；上述方案进行综合评议。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方案详尽、精细，科学合理，操作性强，得4分；方案较为全面，较详细合理、规范科学，得2分；方案简单，操作性一般，得1分；无则不得分。</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2）精细化集中编目服务方案（20分）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编目质检服务方案进行评审：包含但不限于①编目规范方案②材料名称编目规范手册（含民初，民终、财保、民特、刑初，刑终、执、执恢、执保、行初、行终、司救执等）③精细化编目服务④编目质检服务⑤编目服务流程⑥编目时效性方案⑦归目服务方案⑧编目服务岗位职责⑨要素信息提取服务⑩大模型标注训练；上述方案进行综合评议，每项2分，共计20分，每有一项内容不完整或有缺陷的扣1分，扣完为止，未提供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注：内容不完整或有缺陷是指：非专门针对本项目或不适用本项目需求的情形、套用其他项目方案、内容前后矛盾、涉及的规范及标准错误等及其他情形。</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3）核心能力配套方案（10分）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根据投标人拟投入本项目配套服务软件从主要功能系统截图综合评审：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投标人随服务提供的智能编目引擎能力进行评分：提供①对同份材料自动合并封装生成整份PDF文件②针对重点材料如保全申请、鉴定申请等材料在编目入卷时自动推送站内消息，提醒书记员与承办法官该重点材料已入卷③支持根据材料来源、案件类型、业务类型自动甄别紧急程度并优先自动分派④支持可视化编目规则配置和自定义材料命名拼接规范，四个核心业务场景每提供一个业务场景描述和操作步骤截图得1分，只有业务场景描述或只有截图不得分，本项最高得分4分，未提供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投标人提供的卷宗材料智能标注编目数据可视化平台进行评审：提供①实时展示两级法院电子卷宗随案生成率、卷宗规范率；②统计各法院扫描收办总量、页数、处理时长、时效达标率；③展示编目总量、日均工单、人均产能、任务完成率；④追踪材料接收、编目、归档全流程耗时，识别超时环节；⑤按日/周/月/季度输出业务趋势，自动计算同比、环比；⑥针对编目效率、时效达标率等关键指标自动预警；每提供一个功能截图得1分，本项最高得分6分，未提供不得分。</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注：提供相关功能截图作为证明材料，并加盖投标人公章。</w:t>
      </w:r>
      <w:r>
        <w:rPr>
          <w:rFonts w:hint="eastAsia" w:ascii="宋体" w:hAnsi="宋体" w:eastAsia="宋体" w:cs="宋体"/>
          <w:color w:val="auto"/>
          <w:sz w:val="24"/>
          <w:szCs w:val="24"/>
          <w:highlight w:val="none"/>
        </w:rPr>
        <w:t xml:space="preserve"> </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4）服务标准和服务质量方案（6分）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投标人提供的服务标准方案进行评审：包含但不限于①电子卷宗随案同步生成标准②精细化编目标准规范（无锡地区）③案件卷宗排序标准；上述方案进行综合评议，每项1分，共计3分，每有一项缺项的扣1分，每有一项内容不完整或有缺陷的扣0.5分，扣完为止，未提供不得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投标人提供的服务绩效方案进行评审：包含但不限于①集中编目各岗位绩效考核体系②绩效考核管理办法③集中编目服务数据监管、统计与上报方案；上述方案进行综合评议，每项1分，共计3分，每有一项缺项的扣1分，每有一项内容不完整或有缺陷的扣0.5分，扣完为止，未提供不得分。</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注：内容不完整或有缺陷是指：非专门针对本项目或不适用本项目需求的情形、套用其他项目方案、内容前后矛盾、涉及的规范及标准错误等及其他情形。</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5）项目组织方案（4分）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根据投标人提供的项目组织方案进行评审：包含但不限于①项目进度计划②内部管理架构③管理规章制度；上述方案进行综合评议。</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方案详尽、精细，科学合理，操作性强，得4分；方案较为全面，较详细合理、规范科学，得2分；方案简单，操作性一般，得1分；无则不得分</w:t>
      </w:r>
      <w:r>
        <w:rPr>
          <w:rFonts w:hint="eastAsia" w:ascii="宋体" w:hAnsi="宋体" w:eastAsia="宋体"/>
          <w:color w:val="auto"/>
          <w:sz w:val="24"/>
          <w:szCs w:val="24"/>
          <w:highlight w:val="none"/>
        </w:rPr>
        <w:t xml:space="preserve">。</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6）培训方案（4分）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根据投标人提供的培训方案进行评审：包含但不限于①内部培训②法院端培训③员工培训管理制度；上述方案进行综合评议。</w:t>
      </w:r>
      <w:r/>
    </w:p>
    <w:p>
      <w:pPr>
        <w:ind w:firstLine="480"/>
        <w:spacing w:line="360" w:lineRule="auto"/>
        <w:rPr>
          <w:rFonts w:ascii="宋体" w:hAnsi="宋体" w:eastAsia="宋体"/>
          <w:b/>
          <w:bCs/>
          <w:color w:val="auto"/>
          <w:sz w:val="24"/>
          <w:szCs w:val="24"/>
          <w:highlight w:val="none"/>
          <w:lang w:bidi="zh-TW"/>
        </w:rPr>
      </w:pPr>
      <w:r>
        <w:rPr>
          <w:rFonts w:hint="eastAsia" w:ascii="宋体" w:hAnsi="宋体" w:eastAsia="宋体" w:cs="宋体"/>
          <w:color w:val="auto"/>
          <w:sz w:val="24"/>
          <w:szCs w:val="24"/>
          <w:highlight w:val="none"/>
        </w:rPr>
        <w:t xml:space="preserve">方案详尽、精细，科学合理，操作性强，得4分；方案较为全面，较详细合理、规范科学，得2分；方案简单，操作性一般，得1分；无则不得分</w:t>
      </w:r>
      <w:r>
        <w:rPr>
          <w:rFonts w:hint="eastAsia" w:ascii="宋体" w:hAnsi="宋体" w:eastAsia="宋体" w:cs="宋体"/>
          <w:color w:val="auto"/>
          <w:sz w:val="24"/>
          <w:szCs w:val="24"/>
          <w:highlight w:val="none"/>
          <w:lang w:bidi="zh-TW"/>
        </w:rPr>
        <w:t xml:space="preserve">。</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7）人力资源保障措施（4分）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根据投标人提供的人力资源保障措施方案进行评审：包含但不限于①员工入离职管理制度②薪酬制度规范③员工晋升机制④员工奖惩制度；上述方案进行综合评议。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方案详尽、精细，科学合理，操作性强，得4分；方案较为全面，较详细合理、规范科学，得2分；方案简单，操作性一般，得1分；无则不得分。</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8）应急情况处理方案（4分）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根据投标人提供的应急情况处理方案进行评审：包含但不限于①应急事项的处理流程和处理方法②日常预防机制；上述方案进行综合评议。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方案详尽、精细，科学合理，操作性强，得4分；方案较为全面，较详细合理、规范科学，得2分；方案简单，操作性一般，得1分；无则不得分。</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9）安全保密方案（4分）</w:t>
      </w:r>
      <w:r/>
    </w:p>
    <w:p>
      <w:pPr>
        <w:ind w:firstLine="480"/>
        <w:spacing w:line="360" w:lineRule="auto"/>
        <w:rPr>
          <w:rFonts w:ascii="黑体" w:eastAsia="黑体"/>
          <w:bCs/>
          <w:color w:val="auto"/>
          <w:sz w:val="36"/>
          <w:szCs w:val="36"/>
          <w:highlight w:val="none"/>
        </w:rPr>
      </w:pPr>
      <w:r>
        <w:rPr>
          <w:rFonts w:hint="eastAsia" w:ascii="宋体" w:hAnsi="宋体" w:eastAsia="宋体" w:cs="宋体"/>
          <w:color w:val="auto"/>
          <w:sz w:val="24"/>
          <w:szCs w:val="24"/>
          <w:highlight w:val="none"/>
        </w:rPr>
        <w:t xml:space="preserve">根据投标人提供的安全保密方案进行评审：包含但不限于①保密安全管理制度②保密安全管理规范③保密安全管理措施；上述方案进行综合评议，方案详尽、精细，科学合理，操作性强，得4分；方案较为全面，较详细合理、规范科学，得2分；方案简单，操作性一般，得1分；无则不得分。</w:t>
      </w: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54"/>
      <w:r/>
      <w:bookmarkEnd w:id="155"/>
      <w:r/>
      <w:bookmarkEnd w:id="156"/>
      <w:r>
        <w:rPr>
          <w:rFonts w:hint="eastAsia" w:ascii="黑体" w:eastAsia="黑体"/>
          <w:bCs/>
          <w:color w:val="auto"/>
          <w:sz w:val="36"/>
          <w:szCs w:val="36"/>
          <w:highlight w:val="none"/>
        </w:rPr>
        <w:t xml:space="preserve">投标文件内容与格式</w:t>
      </w:r>
      <w:r/>
    </w:p>
    <w:p>
      <w:pPr>
        <w:pStyle w:val="1193"/>
        <w:ind w:firstLine="602"/>
        <w:spacing w:before="0" w:after="0"/>
        <w:rPr>
          <w:rFonts w:cs="Arial"/>
          <w:b/>
          <w:color w:val="auto"/>
          <w:sz w:val="30"/>
          <w:szCs w:val="30"/>
          <w:highlight w:val="none"/>
        </w:rPr>
      </w:pPr>
      <w:r/>
      <w:bookmarkStart w:id="163" w:name="_Hlt26671244"/>
      <w:r/>
      <w:bookmarkEnd w:id="163"/>
      <w:r/>
      <w:bookmarkStart w:id="164" w:name="_Hlt26955039"/>
      <w:r/>
      <w:bookmarkEnd w:id="164"/>
      <w:r>
        <w:rPr>
          <w:rFonts w:hint="eastAsia" w:cs="Arial"/>
          <w:b/>
          <w:color w:val="auto"/>
          <w:sz w:val="30"/>
          <w:szCs w:val="30"/>
          <w:highlight w:val="none"/>
        </w:rPr>
        <w:t xml:space="preserve">第一部分投标文件内容</w:t>
      </w:r>
      <w:r/>
    </w:p>
    <w:p>
      <w:pPr>
        <w:pStyle w:val="1193"/>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0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9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93"/>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9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w:t>
            </w:r>
            <w:r/>
          </w:p>
        </w:tc>
        <w:tc>
          <w:tcPr>
            <w:tcW w:w="2449" w:type="dxa"/>
            <w:vAlign w:val="center"/>
            <w:vMerge w:val="restart"/>
            <w:textDirection w:val="lrTb"/>
            <w:noWrap w:val="false"/>
          </w:tcPr>
          <w:p>
            <w:pPr>
              <w:pStyle w:val="1193"/>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w:t>
            </w:r>
            <w:r>
              <w:rPr>
                <w:rFonts w:hint="eastAsia" w:ascii="宋体" w:hAnsi="宋体" w:eastAsia="宋体" w:cs="宋体"/>
                <w:bCs/>
                <w:color w:val="auto"/>
                <w:sz w:val="24"/>
                <w:highlight w:val="none"/>
              </w:rPr>
              <w:t xml:space="preserve">投标人</w:t>
            </w:r>
            <w:r>
              <w:rPr>
                <w:rFonts w:hint="eastAsia" w:ascii="宋体" w:hAnsi="宋体" w:cs="宋体"/>
                <w:bCs/>
                <w:color w:val="auto"/>
                <w:sz w:val="24"/>
                <w:highlight w:val="none"/>
              </w:rPr>
              <w:t xml:space="preserve">为其缴纳的由相关部门出具的近</w:t>
            </w:r>
            <w:r>
              <w:rPr>
                <w:rFonts w:hint="eastAsia" w:ascii="宋体" w:hAnsi="宋体" w:eastAsia="宋体" w:cs="宋体"/>
                <w:bCs/>
                <w:color w:val="auto"/>
                <w:sz w:val="24"/>
                <w:highlight w:val="none"/>
              </w:rPr>
              <w:t xml:space="preserve">一年</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rPr>
              <w:t xml:space="preserve">一年</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bCs/>
                <w:color w:val="auto"/>
                <w:highlight w:val="none"/>
              </w:rPr>
              <w:t xml:space="preserve">一年</w:t>
            </w:r>
            <w:r>
              <w:rPr>
                <w:rFonts w:hint="eastAsia" w:ascii="宋体" w:hAnsi="宋体" w:cs="宋体"/>
                <w:color w:val="auto"/>
                <w:highlight w:val="none"/>
              </w:rPr>
              <w:t xml:space="preserve">中任意一个月份（不含投标当月）的财务状况报告（资产负债表和利润表）或由会计师事务所出具的2024年度或2025年度的审计报告（投标人如是自然人情形的，没有经审计的财务报告的，可以提供银行出具的资信证明）</w:t>
            </w:r>
            <w:r>
              <w:rPr>
                <w:rStyle w:val="888"/>
                <w:rFonts w:hint="eastAsia" w:ascii="宋体" w:hAnsi="宋体" w:cs="宋体"/>
                <w:color w:val="auto"/>
                <w:highlight w:val="none"/>
              </w:rPr>
              <w:t xml:space="preserve">。</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bCs/>
                <w:color w:val="auto"/>
                <w:highlight w:val="none"/>
              </w:rPr>
              <w:t xml:space="preserve">一年中</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bCs/>
                <w:color w:val="auto"/>
                <w:highlight w:val="none"/>
              </w:rPr>
              <w:t xml:space="preserve">一年</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9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19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93"/>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93"/>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193"/>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93"/>
              <w:ind w:firstLine="0"/>
              <w:jc w:val="both"/>
              <w:spacing w:before="0" w:after="0"/>
              <w:rPr>
                <w:rFonts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color w:val="auto"/>
                <w:highlight w:val="none"/>
              </w:rPr>
              <w:t xml:space="preserve">无</w:t>
            </w:r>
            <w:r>
              <w:rPr>
                <w:rFonts w:hint="eastAsia" w:ascii="宋体" w:hAnsi="宋体"/>
                <w:color w:val="auto"/>
                <w:highlight w:val="none"/>
              </w:rPr>
              <w:t xml:space="preserve">；</w:t>
            </w:r>
            <w:r/>
          </w:p>
        </w:tc>
        <w:tc>
          <w:tcPr>
            <w:tcW w:w="2449" w:type="dxa"/>
            <w:vAlign w:val="center"/>
            <w:textDirection w:val="lrTb"/>
            <w:noWrap w:val="false"/>
          </w:tcPr>
          <w:p>
            <w:pPr>
              <w:pStyle w:val="1193"/>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93"/>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93"/>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4"/>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9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9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9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9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93"/>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9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93"/>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9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193"/>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9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93"/>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9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93"/>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19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19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93"/>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9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65"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65"/>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9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9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92"/>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9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92"/>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9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92"/>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9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92"/>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92"/>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92"/>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投标人为自然人情形的，可不提供本《授权委托书》。</w:t>
      </w:r>
      <w:r/>
    </w:p>
    <w:p>
      <w:pPr>
        <w:pStyle w:val="1192"/>
        <w:numPr>
          <w:ilvl w:val="0"/>
          <w:numId w:val="16"/>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92"/>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66" w:name="报价方关于资格的声明函（格式）"/>
      <w:r/>
      <w:bookmarkEnd w:id="16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无锡众邦技术咨询有限公司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b/>
          <w:color w:val="auto"/>
          <w:sz w:val="30"/>
          <w:szCs w:val="30"/>
          <w:highlight w:val="none"/>
        </w:rPr>
      </w:pPr>
      <w:r>
        <w:rPr>
          <w:rFonts w:hint="eastAsia"/>
          <w:b/>
          <w:color w:val="auto"/>
          <w:sz w:val="30"/>
          <w:szCs w:val="30"/>
          <w:highlight w:val="none"/>
        </w:rPr>
        <w:br w:type="page" w:clear="all"/>
      </w:r>
      <w:r/>
    </w:p>
    <w:p>
      <w:pPr>
        <w:spacing w:line="360" w:lineRule="auto"/>
        <w:rPr>
          <w:b/>
          <w:color w:val="auto"/>
          <w:sz w:val="28"/>
          <w:szCs w:val="28"/>
          <w:highlight w:val="none"/>
        </w:rPr>
      </w:pPr>
      <w:r>
        <w:rPr>
          <w:rFonts w:hint="eastAsia" w:eastAsia="宋体"/>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无锡众邦技术咨询有限公司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w:t>
      </w:r>
      <w:r>
        <w:rPr>
          <w:rFonts w:ascii="宋体" w:hAnsi="宋体"/>
          <w:bCs/>
          <w:color w:val="auto"/>
          <w:sz w:val="24"/>
          <w:szCs w:val="24"/>
          <w:highlight w:val="none"/>
        </w:rPr>
        <w:t xml:space="preserve">，投标</w:t>
      </w:r>
      <w:r>
        <w:rPr>
          <w:rFonts w:hint="eastAsia" w:ascii="宋体" w:hAnsi="宋体" w:eastAsia="宋体"/>
          <w:bCs/>
          <w:color w:val="auto"/>
          <w:sz w:val="24"/>
          <w:szCs w:val="24"/>
          <w:highlight w:val="none"/>
        </w:rPr>
        <w:t xml:space="preserve">报价</w:t>
      </w:r>
      <w:r>
        <w:rPr>
          <w:rFonts w:ascii="宋体" w:hAnsi="宋体"/>
          <w:bCs/>
          <w:color w:val="auto"/>
          <w:sz w:val="24"/>
          <w:szCs w:val="24"/>
          <w:highlight w:val="none"/>
        </w:rPr>
        <w:t xml:space="preserve">见《</w:t>
      </w:r>
      <w:r>
        <w:rPr>
          <w:rFonts w:hint="eastAsia" w:ascii="宋体" w:hAnsi="宋体"/>
          <w:bCs/>
          <w:color w:val="auto"/>
          <w:sz w:val="24"/>
          <w:szCs w:val="24"/>
          <w:highlight w:val="none"/>
        </w:rPr>
        <w:t xml:space="preserve">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7"/>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无锡众邦技术咨询有限公司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如果我方被确定为中标</w:t>
      </w:r>
      <w:r>
        <w:rPr>
          <w:rFonts w:hint="eastAsia" w:ascii="宋体" w:hAnsi="宋体" w:eastAsia="宋体"/>
          <w:bCs/>
          <w:color w:val="auto"/>
          <w:sz w:val="24"/>
          <w:szCs w:val="24"/>
          <w:highlight w:val="none"/>
        </w:rPr>
        <w:t xml:space="preserve">人并签订合同后，</w:t>
      </w:r>
      <w:r>
        <w:rPr>
          <w:rFonts w:ascii="宋体" w:hAnsi="宋体"/>
          <w:bCs/>
          <w:color w:val="auto"/>
          <w:sz w:val="24"/>
          <w:szCs w:val="24"/>
          <w:highlight w:val="none"/>
        </w:rPr>
        <w:t xml:space="preserve">如无不可</w:t>
      </w:r>
      <w:r>
        <w:rPr>
          <w:rFonts w:hint="eastAsia" w:ascii="宋体" w:hAnsi="宋体"/>
          <w:bCs/>
          <w:color w:val="auto"/>
          <w:sz w:val="24"/>
          <w:szCs w:val="24"/>
          <w:highlight w:val="none"/>
        </w:rPr>
        <w:t xml:space="preserve">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承诺书(一)</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bCs/>
          <w:color w:val="auto"/>
          <w:sz w:val="24"/>
          <w:szCs w:val="24"/>
          <w:highlight w:val="none"/>
        </w:rPr>
        <w:t xml:space="preserve">、联合体</w:t>
      </w:r>
      <w:r>
        <w:rPr>
          <w:rFonts w:hint="eastAsia" w:ascii="宋体" w:hAnsi="宋体" w:eastAsia="宋体" w:cs="宋体"/>
          <w:color w:val="auto"/>
          <w:sz w:val="24"/>
          <w:szCs w:val="24"/>
          <w:highlight w:val="none"/>
        </w:rPr>
        <w:t xml:space="preserve">）对本项目所提供的服务符合招标文件要求；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w:t>
      </w:r>
      <w:r>
        <w:rPr>
          <w:rFonts w:hint="eastAsia" w:ascii="宋体" w:hAnsi="宋体" w:eastAsia="宋体"/>
          <w:bCs/>
          <w:color w:val="auto"/>
          <w:sz w:val="24"/>
          <w:szCs w:val="24"/>
          <w:highlight w:val="none"/>
        </w:rPr>
        <w:t xml:space="preserve">、联合体</w:t>
      </w:r>
      <w:r>
        <w:rPr>
          <w:rFonts w:hint="eastAsia" w:ascii="宋体" w:hAnsi="宋体" w:eastAsia="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本公司（单位</w:t>
      </w:r>
      <w:r>
        <w:rPr>
          <w:rFonts w:hint="eastAsia" w:ascii="宋体" w:hAnsi="宋体" w:eastAsia="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随服务提供精细化编目系统和编目数据可视化平台，并承诺集中编目系统与无锡法院现用审判业务管理系统、执行流程案件管理系统和电子卷宗深度应用系统进行数据对接，实现系统互联互通和数据共享交互服务；采购人接受数据加工相关服务同时无需为集中编目系统配合最高院“一张网”改造单独付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65"/>
        <w:spacing w:line="360" w:lineRule="auto"/>
        <w:tabs>
          <w:tab w:val="left" w:pos="94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96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t xml:space="preserve">…………………</w:t>
      </w:r>
      <w:r/>
    </w:p>
    <w:p>
      <w:pPr>
        <w:ind w:firstLine="960"/>
        <w:spacing w:line="48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如违背上述承诺，本公司</w:t>
      </w:r>
      <w:r>
        <w:rPr>
          <w:rFonts w:hint="eastAsia" w:ascii="宋体" w:hAnsi="宋体" w:eastAsia="宋体"/>
          <w:color w:val="auto"/>
          <w:sz w:val="24"/>
          <w:szCs w:val="24"/>
          <w:highlight w:val="none"/>
        </w:rPr>
        <w:t xml:space="preserve">（单位</w:t>
      </w:r>
      <w:r>
        <w:rPr>
          <w:rFonts w:hint="eastAsia" w:ascii="宋体" w:hAnsi="宋体" w:eastAsia="宋体"/>
          <w:bCs/>
          <w:color w:val="auto"/>
          <w:sz w:val="24"/>
          <w:szCs w:val="24"/>
          <w:highlight w:val="none"/>
        </w:rPr>
        <w:t xml:space="preserve">、联合体</w:t>
      </w:r>
      <w:r>
        <w:rPr>
          <w:rFonts w:hint="eastAsia" w:ascii="宋体" w:hAnsi="宋体" w:eastAsia="宋体"/>
          <w:color w:val="auto"/>
          <w:sz w:val="24"/>
          <w:szCs w:val="24"/>
          <w:highlight w:val="none"/>
        </w:rPr>
        <w:t xml:space="preserve">）</w:t>
      </w:r>
      <w:r>
        <w:rPr>
          <w:rFonts w:hint="eastAsia" w:ascii="宋体" w:hAnsi="宋体" w:eastAsia="宋体"/>
          <w:bCs/>
          <w:color w:val="auto"/>
          <w:sz w:val="24"/>
          <w:szCs w:val="24"/>
          <w:highlight w:val="none"/>
        </w:rPr>
        <w:t xml:space="preserve">将承担一切法律责任。</w:t>
      </w:r>
      <w:r/>
    </w:p>
    <w:p>
      <w:pPr>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3720"/>
        <w:spacing w:line="480" w:lineRule="auto"/>
        <w:rPr>
          <w:rFonts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投标人名称</w:t>
      </w:r>
      <w:r>
        <w:rPr>
          <w:rFonts w:hint="eastAsia" w:ascii="宋体" w:hAnsi="宋体" w:eastAsia="宋体"/>
          <w:bCs/>
          <w:color w:val="auto"/>
          <w:sz w:val="24"/>
          <w:szCs w:val="24"/>
          <w:highlight w:val="none"/>
        </w:rPr>
        <w:t xml:space="preserve">（盖章）：</w:t>
      </w:r>
      <w:r/>
    </w:p>
    <w:p>
      <w:pPr>
        <w:ind w:firstLine="48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20"/>
        <w:spacing w:line="480" w:lineRule="auto"/>
        <w:rPr>
          <w:rFonts w:ascii="宋体" w:hAnsi="Times New Roman" w:eastAsia="宋体"/>
          <w:bCs/>
          <w:color w:val="auto"/>
          <w:sz w:val="24"/>
          <w:szCs w:val="24"/>
          <w:highlight w:val="none"/>
        </w:rPr>
      </w:pPr>
      <w:r>
        <w:rPr>
          <w:rFonts w:hint="eastAsia" w:ascii="宋体" w:hAnsi="宋体" w:eastAsia="宋体"/>
          <w:bCs/>
          <w:color w:val="auto"/>
          <w:szCs w:val="21"/>
          <w:highlight w:val="none"/>
        </w:rPr>
        <w:t xml:space="preserve">（注：以上内容由投标单位根据采购要求自行完善。）</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rPr>
          <w:rFonts w:eastAsia="宋体"/>
          <w:b/>
          <w:color w:val="auto"/>
          <w:sz w:val="28"/>
          <w:szCs w:val="28"/>
          <w:highlight w:val="none"/>
        </w:rPr>
      </w:pPr>
      <w:r>
        <w:rPr>
          <w:rFonts w:hint="eastAsia" w:eastAsia="宋体"/>
          <w:b/>
          <w:color w:val="auto"/>
          <w:sz w:val="28"/>
          <w:szCs w:val="28"/>
          <w:highlight w:val="none"/>
        </w:rPr>
        <w:br w:type="page" w:clear="all"/>
      </w:r>
      <w:r/>
    </w:p>
    <w:p>
      <w:pPr>
        <w:pStyle w:val="801"/>
        <w:rPr>
          <w:color w:val="auto"/>
          <w:highlight w:val="none"/>
        </w:rPr>
      </w:pPr>
      <w:r>
        <w:rPr>
          <w:color w:val="auto"/>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br/>
      </w:r>
      <w:r>
        <w:rPr>
          <w:rFonts w:hint="eastAsia" w:ascii="黑体" w:eastAsia="黑体"/>
          <w:bCs/>
          <w:color w:val="auto"/>
          <w:sz w:val="28"/>
          <w:szCs w:val="28"/>
          <w:highlight w:val="none"/>
        </w:rPr>
        <w:t xml:space="preserve">承诺书(二)</w:t>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rFonts w:hint="eastAsia"/>
          <w:color w:val="auto"/>
          <w:highlight w:val="none"/>
        </w:rPr>
        <w:t xml:space="preserve">我单位已知晓本项目预算金额中包含采购代理费，我单位已将采购</w:t>
      </w:r>
      <w:r>
        <w:rPr>
          <w:color w:val="auto"/>
          <w:highlight w:val="none"/>
        </w:rPr>
        <w:t xml:space="preserve">代理费充分考虑进</w:t>
      </w:r>
      <w:r>
        <w:rPr>
          <w:rFonts w:hint="eastAsia" w:eastAsiaTheme="minorEastAsia"/>
          <w:color w:val="auto"/>
          <w:highlight w:val="none"/>
        </w:rPr>
        <w:t xml:space="preserve">入</w:t>
      </w:r>
      <w:r>
        <w:rPr>
          <w:color w:val="auto"/>
          <w:highlight w:val="none"/>
        </w:rPr>
        <w:t xml:space="preserve">项目报价，如果我单位中标，</w:t>
      </w:r>
      <w:r>
        <w:rPr>
          <w:rFonts w:hint="eastAsia"/>
          <w:color w:val="auto"/>
          <w:highlight w:val="none"/>
        </w:rPr>
        <w:t xml:space="preserve">采购</w:t>
      </w:r>
      <w:r>
        <w:rPr>
          <w:color w:val="auto"/>
          <w:highlight w:val="none"/>
        </w:rPr>
        <w:t xml:space="preserve">代理费</w:t>
      </w:r>
      <w:r>
        <w:rPr>
          <w:rFonts w:hint="eastAsia"/>
          <w:color w:val="auto"/>
          <w:highlight w:val="none"/>
        </w:rPr>
        <w:t xml:space="preserve">由我</w:t>
      </w:r>
      <w:r>
        <w:rPr>
          <w:color w:val="auto"/>
          <w:highlight w:val="none"/>
        </w:rPr>
        <w:t xml:space="preserve">单位在领取中标通知书时</w:t>
      </w:r>
      <w:r>
        <w:rPr>
          <w:rFonts w:hint="eastAsia"/>
          <w:color w:val="auto"/>
          <w:highlight w:val="none"/>
        </w:rPr>
        <w:t xml:space="preserve">支付</w:t>
      </w:r>
      <w:r>
        <w:rPr>
          <w:color w:val="auto"/>
          <w:highlight w:val="none"/>
        </w:rPr>
        <w:t xml:space="preserve">。</w:t>
      </w:r>
      <w:r/>
    </w:p>
    <w:p>
      <w:pPr>
        <w:ind w:firstLine="96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96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96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960"/>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801"/>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ind w:firstLine="960"/>
        <w:jc w:val="right"/>
        <w:spacing w:line="48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如违背上述承诺，本公司</w:t>
      </w:r>
      <w:r>
        <w:rPr>
          <w:rFonts w:hint="eastAsia" w:ascii="宋体" w:hAnsi="宋体" w:eastAsia="宋体"/>
          <w:color w:val="auto"/>
          <w:sz w:val="24"/>
          <w:szCs w:val="24"/>
          <w:highlight w:val="none"/>
        </w:rPr>
        <w:t xml:space="preserve">（单位</w:t>
      </w:r>
      <w:r>
        <w:rPr>
          <w:rFonts w:hint="eastAsia" w:ascii="宋体" w:hAnsi="宋体" w:eastAsia="宋体"/>
          <w:bCs/>
          <w:color w:val="auto"/>
          <w:sz w:val="24"/>
          <w:szCs w:val="24"/>
          <w:highlight w:val="none"/>
        </w:rPr>
        <w:t xml:space="preserve">、联合体</w:t>
      </w:r>
      <w:r>
        <w:rPr>
          <w:rFonts w:hint="eastAsia" w:ascii="宋体" w:hAnsi="宋体" w:eastAsia="宋体"/>
          <w:color w:val="auto"/>
          <w:sz w:val="24"/>
          <w:szCs w:val="24"/>
          <w:highlight w:val="none"/>
        </w:rPr>
        <w:t xml:space="preserve">）</w:t>
      </w:r>
      <w:r>
        <w:rPr>
          <w:rFonts w:hint="eastAsia" w:ascii="宋体" w:hAnsi="宋体" w:eastAsia="宋体"/>
          <w:bCs/>
          <w:color w:val="auto"/>
          <w:sz w:val="24"/>
          <w:szCs w:val="24"/>
          <w:highlight w:val="none"/>
        </w:rPr>
        <w:t xml:space="preserve">将承担一切法律责任。</w:t>
      </w:r>
      <w:r/>
    </w:p>
    <w:p>
      <w:pPr>
        <w:jc w:val="right"/>
        <w:spacing w:line="48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3720"/>
        <w:jc w:val="right"/>
        <w:spacing w:line="480" w:lineRule="auto"/>
        <w:rPr>
          <w:rFonts w:ascii="宋体" w:hAnsi="宋体" w:eastAsia="宋体"/>
          <w:bCs/>
          <w:color w:val="auto"/>
          <w:sz w:val="24"/>
          <w:szCs w:val="24"/>
          <w:highlight w:val="none"/>
        </w:rPr>
      </w:pPr>
      <w:r>
        <w:rPr>
          <w:rFonts w:hint="eastAsia" w:ascii="宋体" w:hAnsi="宋体" w:eastAsia="宋体"/>
          <w:color w:val="auto"/>
          <w:sz w:val="24"/>
          <w:szCs w:val="24"/>
          <w:highlight w:val="none"/>
        </w:rPr>
        <w:t xml:space="preserve">投标人名称</w:t>
      </w:r>
      <w:r>
        <w:rPr>
          <w:rFonts w:hint="eastAsia" w:ascii="宋体" w:hAnsi="宋体" w:eastAsia="宋体"/>
          <w:bCs/>
          <w:color w:val="auto"/>
          <w:sz w:val="24"/>
          <w:szCs w:val="24"/>
          <w:highlight w:val="none"/>
        </w:rPr>
        <w:t xml:space="preserve">（盖章）：</w:t>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pStyle w:val="802"/>
        <w:rPr>
          <w:color w:val="auto"/>
          <w:highlight w:val="none"/>
        </w:rPr>
      </w:pPr>
      <w:r>
        <w:rPr>
          <w:color w:val="auto"/>
          <w:highlight w:val="none"/>
        </w:rPr>
      </w:r>
      <w:r/>
    </w:p>
    <w:p>
      <w:pPr>
        <w:spacing w:line="360" w:lineRule="auto"/>
        <w:rPr>
          <w:b/>
          <w:color w:val="auto"/>
          <w:sz w:val="28"/>
          <w:szCs w:val="28"/>
          <w:highlight w:val="none"/>
        </w:rPr>
      </w:pPr>
      <w:r>
        <w:rPr>
          <w:rFonts w:hint="eastAsia" w:eastAsia="宋体"/>
          <w:b/>
          <w:color w:val="auto"/>
          <w:sz w:val="28"/>
          <w:szCs w:val="28"/>
          <w:highlight w:val="none"/>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800"/>
        <w:tblW w:w="4997" w:type="pct"/>
        <w:jc w:val="center"/>
        <w:tblCellSpacing w:w="1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582"/>
        <w:gridCol w:w="4211"/>
        <w:gridCol w:w="4242"/>
      </w:tblGrid>
      <w:tr>
        <w:trPr>
          <w:jc w:val="center"/>
          <w:tblCellSpacing w:w="15" w:type="dxa"/>
          <w:trHeight w:val="904"/>
        </w:trPr>
        <w:tc>
          <w:tcPr>
            <w:tcBorders>
              <w:top w:val="single" w:color="auto" w:sz="6" w:space="0"/>
              <w:left w:val="single" w:color="auto" w:sz="6" w:space="0"/>
              <w:bottom w:val="single" w:color="auto" w:sz="6" w:space="0"/>
              <w:right w:val="single" w:color="auto" w:sz="6" w:space="0"/>
            </w:tcBorders>
            <w:tcW w:w="768" w:type="pct"/>
            <w:vAlign w:val="center"/>
            <w:textDirection w:val="lrTb"/>
            <w:noWrap w:val="false"/>
          </w:tcPr>
          <w:p>
            <w:pPr>
              <w:jc w:val="center"/>
              <w:spacing w:before="100" w:beforeAutospacing="1" w:after="100" w:afterAutospacing="1"/>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088" w:type="pct"/>
            <w:vAlign w:val="center"/>
            <w:textDirection w:val="lrTb"/>
            <w:noWrap w:val="false"/>
          </w:tcPr>
          <w:p>
            <w:pPr>
              <w:jc w:val="center"/>
              <w:spacing w:before="100" w:beforeAutospacing="1" w:after="100" w:afterAutospacing="1"/>
              <w:widowControl/>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2080" w:type="pct"/>
            <w:vAlign w:val="center"/>
            <w:textDirection w:val="lrTb"/>
            <w:noWrap w:val="false"/>
          </w:tcPr>
          <w:p>
            <w:pPr>
              <w:jc w:val="center"/>
              <w:spacing w:before="100" w:beforeAutospacing="1" w:after="100" w:afterAutospacing="1"/>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投标总价</w:t>
            </w:r>
            <w:r/>
          </w:p>
        </w:tc>
      </w:tr>
      <w:tr>
        <w:trPr>
          <w:jc w:val="center"/>
          <w:tblCellSpacing w:w="15" w:type="dxa"/>
          <w:trHeight w:val="921"/>
        </w:trPr>
        <w:tc>
          <w:tcPr>
            <w:tcBorders>
              <w:top w:val="single" w:color="auto" w:sz="6" w:space="0"/>
              <w:left w:val="single" w:color="auto" w:sz="6" w:space="0"/>
              <w:bottom w:val="single" w:color="auto" w:sz="6" w:space="0"/>
              <w:right w:val="single" w:color="auto" w:sz="6" w:space="0"/>
            </w:tcBorders>
            <w:tcW w:w="768" w:type="pct"/>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088" w:type="pct"/>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szCs w:val="24"/>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2080" w:type="pct"/>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blCellSpacing w:w="15" w:type="dxa"/>
          <w:trHeight w:val="921"/>
        </w:trPr>
        <w:tc>
          <w:tcPr>
            <w:tcBorders>
              <w:top w:val="single" w:color="auto" w:sz="6" w:space="0"/>
              <w:left w:val="single" w:color="auto" w:sz="6" w:space="0"/>
              <w:bottom w:val="single" w:color="auto" w:sz="6" w:space="0"/>
              <w:right w:val="single" w:color="auto" w:sz="6" w:space="0"/>
            </w:tcBorders>
            <w:tcW w:w="768" w:type="pct"/>
            <w:vAlign w:val="center"/>
            <w:textDirection w:val="lrTb"/>
            <w:noWrap w:val="false"/>
          </w:tcPr>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tc>
        <w:tc>
          <w:tcPr>
            <w:gridSpan w:val="2"/>
            <w:tcBorders>
              <w:top w:val="single" w:color="auto" w:sz="6" w:space="0"/>
              <w:left w:val="single" w:color="auto" w:sz="6" w:space="0"/>
              <w:bottom w:val="single" w:color="auto" w:sz="6" w:space="0"/>
              <w:right w:val="single" w:color="auto" w:sz="6" w:space="0"/>
            </w:tcBorders>
            <w:tcW w:w="4184" w:type="pct"/>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金额大写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spacing w:line="360" w:lineRule="auto"/>
        <w:tabs>
          <w:tab w:val="left" w:pos="525" w:leader="none"/>
          <w:tab w:val="left" w:pos="630" w:leader="none"/>
          <w:tab w:val="left" w:pos="735" w:leader="none"/>
          <w:tab w:val="left" w:pos="945" w:leader="none"/>
        </w:tabs>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67"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00"/>
        <w:tblpPr w:horzAnchor="page" w:tblpX="1465" w:vertAnchor="text" w:tblpY="472" w:leftFromText="180" w:topFromText="0" w:rightFromText="180" w:bottomFromText="0"/>
        <w:tblW w:w="9523" w:type="dxa"/>
        <w:tblInd w:w="0" w:type="dxa"/>
        <w:tblLayout w:type="fixed"/>
        <w:tblCellMar>
          <w:left w:w="108" w:type="dxa"/>
          <w:top w:w="0" w:type="dxa"/>
          <w:right w:w="108" w:type="dxa"/>
          <w:bottom w:w="0" w:type="dxa"/>
        </w:tblCellMar>
        <w:tblLook w:val="04A0" w:firstRow="1" w:lastRow="0" w:firstColumn="1" w:lastColumn="0" w:noHBand="0" w:noVBand="1"/>
      </w:tblPr>
      <w:tblGrid>
        <w:gridCol w:w="840"/>
        <w:gridCol w:w="3192"/>
        <w:gridCol w:w="1321"/>
        <w:gridCol w:w="1529"/>
        <w:gridCol w:w="1230"/>
        <w:gridCol w:w="1411"/>
      </w:tblGrid>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b/>
                <w:bCs/>
                <w:color w:val="auto"/>
                <w:sz w:val="24"/>
                <w:szCs w:val="24"/>
                <w:highlight w:val="none"/>
              </w:rPr>
            </w:pPr>
            <w:r/>
            <w:bookmarkStart w:id="168" w:name="OLE_LINK15"/>
            <w:r/>
            <w:bookmarkStart w:id="169" w:name="OLE_LINK16"/>
            <w:r>
              <w:rPr>
                <w:rFonts w:hint="eastAsia" w:ascii="宋体" w:hAnsi="宋体" w:eastAsia="宋体" w:cs="宋体"/>
                <w:b/>
                <w:bCs/>
                <w:color w:val="auto"/>
                <w:sz w:val="24"/>
                <w:szCs w:val="24"/>
                <w:highlight w:val="none"/>
                <w:lang w:bidi="ar"/>
              </w:rPr>
              <w:t xml:space="preserve">单价</w:t>
            </w:r>
            <w:bookmarkEnd w:id="168"/>
            <w:r/>
            <w:bookmarkEnd w:id="169"/>
            <w:r>
              <w:rPr>
                <w:rFonts w:hint="eastAsia" w:ascii="宋体" w:hAnsi="宋体" w:eastAsia="宋体" w:cs="宋体"/>
                <w:b/>
                <w:bCs/>
                <w:color w:val="auto"/>
                <w:sz w:val="24"/>
                <w:szCs w:val="24"/>
                <w:highlight w:val="none"/>
                <w:lang w:bidi="ar"/>
              </w:rPr>
              <w:t xml:space="preserve">（元/页） </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预估量（页/年）</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投标报价总价（元/年）</w:t>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val="false"/>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投标报价总价（元/3年）</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江苏省无锡市中级人民法院单位</w:t>
            </w:r>
            <w:r/>
          </w:p>
        </w:tc>
        <w:tc>
          <w:tcPr>
            <w:shd w:val="clear" w:color="auto" w:fill="auto"/>
            <w:tcBorders>
              <w:top w:val="single" w:color="000000" w:sz="4" w:space="0"/>
              <w:left w:val="single" w:color="000000" w:sz="4" w:space="0"/>
              <w:right w:val="single" w:color="000000" w:sz="4" w:space="0"/>
            </w:tcBorders>
            <w:tcW w:w="1321" w:type="dxa"/>
            <w:vAlign w:val="center"/>
            <w:vMerge w:val="restart"/>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566666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江苏省无锡市江阴市人民法院单位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1666666</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江苏省无锡市宜兴市人民法院单位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1866666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江苏省无锡市梁溪区人民法院单位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2066666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江苏省无锡市锡山区人民法院单位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1066666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江苏省无锡市惠山区人民法院单位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2066666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江苏省无锡市滨湖区人民法院单位</w:t>
            </w:r>
            <w:r/>
          </w:p>
        </w:tc>
        <w:tc>
          <w:tcPr>
            <w:shd w:val="clear" w:color="auto" w:fill="auto"/>
            <w:tcBorders>
              <w:left w:val="single" w:color="000000"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1733333 </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353"/>
        </w:trPr>
        <w:tc>
          <w:tcPr>
            <w:shd w:val="clear" w:color="auto" w:fill="auto"/>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319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江苏省无锡市新吴区人民法院单位</w:t>
            </w:r>
            <w:r/>
          </w:p>
        </w:tc>
        <w:tc>
          <w:tcPr>
            <w:shd w:val="clear" w:color="auto" w:fill="auto"/>
            <w:tcBorders>
              <w:left w:val="single" w:color="000000" w:sz="4" w:space="0"/>
              <w:bottom w:val="single" w:color="auto" w:sz="4" w:space="0"/>
              <w:right w:val="single" w:color="000000" w:sz="4" w:space="0"/>
            </w:tcBorders>
            <w:tcW w:w="1321" w:type="dxa"/>
            <w:vAlign w:val="center"/>
            <w:vMerge w:val="continue"/>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529"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1300000 </w:t>
            </w:r>
            <w:r/>
          </w:p>
        </w:tc>
        <w:tc>
          <w:tcPr>
            <w:shd w:val="clear" w:color="auto" w:fill="auto"/>
            <w:tcBorders>
              <w:top w:val="single" w:color="000000" w:sz="4" w:space="0"/>
              <w:left w:val="single" w:color="000000" w:sz="4" w:space="0"/>
              <w:bottom w:val="single" w:color="auto"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auto"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r>
        <w:trPr>
          <w:trHeight w:val="716"/>
        </w:trPr>
        <w:tc>
          <w:tcPr>
            <w:shd w:val="clear" w:color="auto" w:fill="auto"/>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gridSpan w:val="3"/>
            <w:shd w:val="clear" w:color="auto" w:fill="auto"/>
            <w:tcBorders>
              <w:top w:val="single" w:color="auto" w:sz="4" w:space="0"/>
              <w:left w:val="single" w:color="000000" w:sz="4" w:space="0"/>
              <w:bottom w:val="single" w:color="000000" w:sz="4" w:space="0"/>
              <w:right w:val="single" w:color="000000" w:sz="4" w:space="0"/>
            </w:tcBorders>
            <w:tcW w:w="6042"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合计</w:t>
            </w:r>
            <w:r/>
          </w:p>
        </w:tc>
        <w:tc>
          <w:tcPr>
            <w:shd w:val="clear" w:color="auto" w:fill="auto"/>
            <w:tcBorders>
              <w:top w:val="single" w:color="auto" w:sz="4" w:space="0"/>
              <w:left w:val="single" w:color="000000" w:sz="4" w:space="0"/>
              <w:bottom w:val="single" w:color="000000" w:sz="4" w:space="0"/>
              <w:right w:val="single" w:color="auto" w:sz="4" w:space="0"/>
            </w:tcBorders>
            <w:tcW w:w="1230"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c>
          <w:tcPr>
            <w:shd w:val="clear" w:color="auto" w:fill="auto"/>
            <w:tcBorders>
              <w:top w:val="single" w:color="auto" w:sz="4" w:space="0"/>
              <w:left w:val="single" w:color="auto" w:sz="4" w:space="0"/>
              <w:bottom w:val="single" w:color="000000" w:sz="4" w:space="0"/>
              <w:right w:val="single" w:color="000000" w:sz="4" w:space="0"/>
            </w:tcBorders>
            <w:tcW w:w="1411" w:type="dxa"/>
            <w:vAlign w:val="center"/>
            <w:textDirection w:val="lrTb"/>
            <w:noWrap/>
          </w:tcPr>
          <w:p>
            <w:pPr>
              <w:jc w:val="center"/>
              <w:widowControl/>
              <w:rPr>
                <w:rFonts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rFonts w:ascii="黑体" w:eastAsia="黑体"/>
          <w:bCs/>
          <w:color w:val="auto"/>
          <w:sz w:val="24"/>
          <w:szCs w:val="24"/>
          <w:highlight w:val="none"/>
        </w:rPr>
        <w:pBdr>
          <w:top w:val="none" w:color="000000" w:sz="0" w:space="0"/>
          <w:left w:val="none" w:color="000000" w:sz="0" w:space="0"/>
          <w:bottom w:val="none" w:color="000000" w:sz="0" w:space="0"/>
          <w:right w:val="none" w:color="000000" w:sz="0" w:space="0"/>
        </w:pBdr>
      </w:pPr>
      <w:r>
        <w:rPr>
          <w:rFonts w:ascii="黑体" w:eastAsia="黑体"/>
          <w:bCs/>
          <w:color w:val="auto"/>
          <w:sz w:val="24"/>
          <w:szCs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注：（1）供应商如为“中小企业”，提供供应商《中小企业声明函》，供应商如为“监狱企业”，必须提供由省级以上监狱管理局、戒毒管理局（含新疆生产建设兵团）出具的属于监狱企业的证明文件复印件，供应商如为“残疾人福利性单位”，应当按照《财政部、民政部、中国残疾人联合会关于促进残疾人就业政府采购政策的通知》（财库〔2017〕141号）的规定填写《残疾人福利性单位声明函》；如未按要求填写或相关内容表述不清的，不得享受价格扣除。供应商对所报相关数据的真实性负责，无锡众邦技术咨询有限公司有权将相关内容进行公示；</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（2）报价供应商应当根据“项目技术要求和有关说明”的内容在上表中详细填写；</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（3）表格不够可自行延长。</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（4）</w:t>
      </w:r>
      <w:bookmarkStart w:id="170" w:name="OLE_LINK19"/>
      <w:r/>
      <w:bookmarkStart w:id="171" w:name="OLE_LINK20"/>
      <w:r>
        <w:rPr>
          <w:rFonts w:hint="eastAsia" w:ascii="宋体" w:hAnsi="宋体" w:eastAsia="宋体" w:cs="宋体"/>
          <w:bCs/>
          <w:color w:val="auto"/>
          <w:highlight w:val="none"/>
        </w:rPr>
        <w:t xml:space="preserve">供应商</w:t>
      </w:r>
      <w:bookmarkEnd w:id="170"/>
      <w:r/>
      <w:bookmarkEnd w:id="171"/>
      <w:r>
        <w:rPr>
          <w:rFonts w:hint="eastAsia" w:ascii="宋体" w:hAnsi="宋体" w:eastAsia="宋体" w:cs="宋体"/>
          <w:bCs/>
          <w:color w:val="auto"/>
          <w:highlight w:val="none"/>
        </w:rPr>
        <w:t xml:space="preserve">对上述每个法院的所报单价必须一致。</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（5）供应商已知晓预算金额中包含采购代理费，我单位已将采购代理费充分考虑进入本次报价</w:t>
      </w:r>
      <w:r>
        <w:rPr>
          <w:rFonts w:hint="eastAsia" w:ascii="宋体" w:hAnsi="宋体" w:eastAsia="宋体" w:cs="宋体"/>
          <w:bCs/>
          <w:color w:val="auto"/>
          <w:highlight w:val="none"/>
        </w:rPr>
        <w:t xml:space="preserve">。</w:t>
      </w:r>
      <w:r/>
    </w:p>
    <w:p>
      <w:pPr>
        <w:pStyle w:val="801"/>
        <w:rPr>
          <w:color w:val="auto"/>
          <w:highlight w:val="none"/>
        </w:rPr>
      </w:pPr>
      <w:r>
        <w:rPr>
          <w:color w:val="auto"/>
          <w:highlight w:val="none"/>
        </w:rPr>
      </w:r>
      <w:r/>
    </w:p>
    <w:p>
      <w:pPr>
        <w:spacing w:line="360" w:lineRule="auto"/>
        <w:rPr>
          <w:b/>
          <w:bCs/>
          <w:color w:val="auto"/>
          <w:sz w:val="28"/>
          <w:szCs w:val="28"/>
          <w:highlight w:val="none"/>
        </w:rPr>
      </w:pPr>
      <w:r>
        <w:rPr>
          <w:rFonts w:hint="eastAsia"/>
          <w:b/>
          <w:color w:val="auto"/>
          <w:sz w:val="28"/>
          <w:szCs w:val="28"/>
          <w:highlight w:val="none"/>
        </w:rPr>
      </w:r>
      <w:r>
        <w:rPr>
          <w:rFonts w:hint="eastAsia"/>
          <w:b/>
          <w:color w:val="auto"/>
          <w:sz w:val="28"/>
          <w:szCs w:val="28"/>
          <w:highlight w:val="none"/>
        </w:rPr>
      </w:r>
      <w:r/>
    </w:p>
    <w:p>
      <w:pPr>
        <w:spacing w:line="360" w:lineRule="auto"/>
        <w:rPr>
          <w:rFonts w:hint="eastAsia"/>
          <w:b/>
          <w:bCs/>
          <w:color w:val="auto"/>
          <w:sz w:val="28"/>
          <w:szCs w:val="28"/>
          <w:highlight w:val="none"/>
        </w:rPr>
      </w:pP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rPr>
        <w:t xml:space="preserve">无需</w:t>
      </w:r>
      <w:r>
        <w:rPr>
          <w:rFonts w:hint="eastAsia" w:ascii="宋体" w:hAnsi="宋体"/>
          <w:bCs/>
          <w:color w:val="auto"/>
          <w:sz w:val="24"/>
          <w:szCs w:val="24"/>
          <w:highlight w:val="none"/>
        </w:rPr>
        <w:t xml:space="preserve">赘述。</w:t>
      </w:r>
      <w:bookmarkEnd w:id="167"/>
      <w:r/>
      <w:bookmarkStart w:id="172" w:name="_Hlt26609389"/>
      <w:r/>
      <w:bookmarkEnd w:id="172"/>
      <w:r/>
      <w:bookmarkStart w:id="173" w:name="_Hlt26955066"/>
      <w:r/>
      <w:bookmarkEnd w:id="173"/>
      <w:r/>
      <w:bookmarkStart w:id="174" w:name="_Hlt26671374"/>
      <w:r/>
      <w:bookmarkEnd w:id="174"/>
      <w:r/>
      <w:bookmarkStart w:id="175" w:name="_格式2__法定代表人授权书"/>
      <w:r/>
      <w:bookmarkEnd w:id="175"/>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b/>
          <w:color w:val="auto"/>
          <w:sz w:val="28"/>
          <w:szCs w:val="28"/>
          <w:highlight w:val="none"/>
        </w:rPr>
        <w:t xml:space="preserve">一</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bookmarkEnd w:id="176"/>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39"/>
      </w:rPr>
      <w:framePr w:wrap="around" w:vAnchor="text" w:hAnchor="margin" w:xAlign="center" w:y="1"/>
    </w:pPr>
    <w:r>
      <w:rPr>
        <w:rStyle w:val="839"/>
      </w:rPr>
      <w:fldChar w:fldCharType="begin"/>
    </w:r>
    <w:r>
      <w:rPr>
        <w:rStyle w:val="839"/>
      </w:rPr>
      <w:instrText xml:space="preserve">PAGE  </w:instrText>
    </w:r>
    <w:r>
      <w:rPr>
        <w:rStyle w:val="839"/>
      </w:rPr>
      <w:fldChar w:fldCharType="separate"/>
    </w:r>
    <w:r>
      <w:rPr>
        <w:rStyle w:val="839"/>
      </w:rPr>
      <w:t xml:space="preserve">1</w:t>
    </w:r>
    <w:r>
      <w:rPr>
        <w:rStyle w:val="839"/>
      </w:rPr>
      <w:fldChar w:fldCharType="end"/>
    </w:r>
    <w:r/>
  </w:p>
  <w:p>
    <w:pPr>
      <w:pStyle w:val="81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1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17</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1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17</w:t>
                    </w:r>
                    <w:r>
                      <w:rPr>
                        <w:lang w:val="zh-C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844"/>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79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7"/>
      <w:isLgl w:val="false"/>
      <w:suff w:val="nothing"/>
      <w:lvlText w:val=""/>
      <w:lvlJc w:val="left"/>
      <w:pPr>
        <w:ind w:left="0" w:firstLine="0"/>
      </w:pPr>
      <w:rPr>
        <w:rFonts w:hint="eastAsia"/>
      </w:rPr>
    </w:lvl>
    <w:lvl w:ilvl="6">
      <w:start w:val="1"/>
      <w:numFmt w:val="decimal"/>
      <w:pStyle w:val="1129"/>
      <w:isLgl w:val="false"/>
      <w:suff w:val="nothing"/>
      <w:lvlText w:val=""/>
      <w:lvlJc w:val="left"/>
      <w:pPr>
        <w:ind w:left="0" w:firstLine="0"/>
      </w:pPr>
      <w:rPr>
        <w:rFonts w:hint="eastAsia"/>
      </w:rPr>
    </w:lvl>
    <w:lvl w:ilvl="7">
      <w:start w:val="1"/>
      <w:numFmt w:val="decimal"/>
      <w:pStyle w:val="1131"/>
      <w:isLgl w:val="false"/>
      <w:suff w:val="nothing"/>
      <w:lvlText w:val=""/>
      <w:lvlJc w:val="left"/>
      <w:pPr>
        <w:ind w:left="0" w:firstLine="0"/>
      </w:pPr>
      <w:rPr>
        <w:rFonts w:hint="eastAsia"/>
      </w:rPr>
    </w:lvl>
    <w:lvl w:ilvl="8">
      <w:start w:val="1"/>
      <w:numFmt w:val="decimal"/>
      <w:pStyle w:val="1133"/>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tab"/>
      <w:lvlText w:val="%1."/>
      <w:lvlJc w:val="left"/>
      <w:pPr>
        <w:tabs>
          <w:tab w:val="left" w:pos="0" w:leader="none"/>
        </w:tabs>
      </w:pPr>
      <w:rPr>
        <w:rFonts w:hint="default"/>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space"/>
      <w:lvlText w:val="%1、"/>
      <w:lvlJc w:val="left"/>
      <w:pPr>
        <w:ind w:left="0" w:firstLine="0"/>
      </w:pPr>
      <w:rPr>
        <w:rFonts w:hint="eastAsia"/>
        <w:sz w:val="24"/>
        <w:szCs w:val="24"/>
      </w:rPr>
    </w:lvl>
    <w:lvl w:ilvl="1">
      <w:start w:val="1"/>
      <w:numFmt w:val="decimal"/>
      <w:isLgl w:val="false"/>
      <w:suff w:val="space"/>
      <w:lvlText w:val="%2"/>
      <w:lvlJc w:val="left"/>
      <w:pPr>
        <w:ind w:left="0" w:firstLine="0"/>
      </w:pPr>
      <w:rPr>
        <w:rFonts w:hint="eastAsia"/>
      </w:rPr>
    </w:lvl>
    <w:lvl w:ilvl="2">
      <w:start w:val="1"/>
      <w:numFmt w:val="decimal"/>
      <w:isLgl w:val="false"/>
      <w:suff w:val="space"/>
      <w:lvlText w:val="%2.%3"/>
      <w:lvlJc w:val="left"/>
      <w:pPr>
        <w:ind w:left="0" w:firstLine="0"/>
      </w:pPr>
      <w:rPr>
        <w:rFonts w:hint="eastAsia"/>
      </w:rPr>
    </w:lvl>
    <w:lvl w:ilvl="3">
      <w:start w:val="1"/>
      <w:numFmt w:val="decimal"/>
      <w:isLgl w:val="false"/>
      <w:suff w:val="space"/>
      <w:lvlText w:val="%2.%3.%4"/>
      <w:lvlJc w:val="left"/>
      <w:pPr>
        <w:ind w:left="0" w:firstLine="0"/>
      </w:pPr>
      <w:rPr>
        <w:rFonts w:hint="eastAsia"/>
      </w:rPr>
    </w:lvl>
    <w:lvl w:ilvl="4">
      <w:start w:val="1"/>
      <w:numFmt w:val="decimal"/>
      <w:isLgl w:val="false"/>
      <w:suff w:val="space"/>
      <w:lvlText w:val="%2.%3.%4.%5"/>
      <w:lvlJc w:val="left"/>
      <w:pPr>
        <w:ind w:left="0" w:firstLine="0"/>
      </w:pPr>
      <w:rPr>
        <w:rFonts w:hint="eastAsia"/>
      </w:rPr>
    </w:lvl>
    <w:lvl w:ilvl="5">
      <w:start w:val="1"/>
      <w:numFmt w:val="decimal"/>
      <w:isLgl w:val="false"/>
      <w:suff w:val="space"/>
      <w:lvlText w:val="%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6"/>
  </w:num>
  <w:num w:numId="2">
    <w:abstractNumId w:val="4"/>
  </w:num>
  <w:num w:numId="3">
    <w:abstractNumId w:val="12"/>
  </w:num>
  <w:num w:numId="4">
    <w:abstractNumId w:val="3"/>
  </w:num>
  <w:num w:numId="5">
    <w:abstractNumId w:val="1"/>
  </w:num>
  <w:num w:numId="6">
    <w:abstractNumId w:val="7"/>
  </w:num>
  <w:num w:numId="7">
    <w:abstractNumId w:val="15"/>
  </w:num>
  <w:num w:numId="8">
    <w:abstractNumId w:val="11"/>
  </w:num>
  <w:num w:numId="9">
    <w:abstractNumId w:val="14"/>
  </w:num>
  <w:num w:numId="10">
    <w:abstractNumId w:val="16"/>
  </w:num>
  <w:num w:numId="11">
    <w:abstractNumId w:val="10"/>
  </w:num>
  <w:num w:numId="12">
    <w:abstractNumId w:val="8"/>
  </w:num>
  <w:num w:numId="13">
    <w:abstractNumId w:val="2"/>
  </w:num>
  <w:num w:numId="14">
    <w:abstractNumId w:val="5"/>
  </w:num>
  <w:num w:numId="15">
    <w:abstractNumId w:val="0"/>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TOC Heading"/>
    <w:uiPriority w:val="39"/>
    <w:unhideWhenUsed/>
  </w:style>
  <w:style w:type="paragraph" w:styleId="789" w:default="1">
    <w:name w:val="Normal"/>
    <w:next w:val="801"/>
    <w:uiPriority w:val="0"/>
    <w:qFormat/>
    <w:pPr>
      <w:jc w:val="both"/>
      <w:widowControl w:val="off"/>
    </w:pPr>
    <w:rPr>
      <w:rFonts w:ascii="Calibri" w:hAnsi="Calibri" w:eastAsia="Arial" w:cs="Times New Roman"/>
      <w:sz w:val="21"/>
      <w:szCs w:val="22"/>
      <w:lang w:val="en-US" w:eastAsia="zh-CN" w:bidi="ar-SA"/>
    </w:rPr>
  </w:style>
  <w:style w:type="paragraph" w:styleId="790">
    <w:name w:val="Heading 1"/>
    <w:basedOn w:val="789"/>
    <w:next w:val="789"/>
    <w:link w:val="849"/>
    <w:uiPriority w:val="9"/>
    <w:qFormat/>
    <w:pPr>
      <w:jc w:val="center"/>
      <w:keepNext/>
      <w:outlineLvl w:val="0"/>
    </w:pPr>
    <w:rPr>
      <w:rFonts w:ascii="楷体_GB2312" w:hAnsi="Times New Roman" w:eastAsia="楷体_GB2312"/>
      <w:b/>
      <w:sz w:val="28"/>
      <w:szCs w:val="20"/>
    </w:rPr>
  </w:style>
  <w:style w:type="paragraph" w:styleId="791">
    <w:name w:val="Heading 2"/>
    <w:basedOn w:val="789"/>
    <w:next w:val="789"/>
    <w:link w:val="850"/>
    <w:uiPriority w:val="9"/>
    <w:qFormat/>
    <w:pPr>
      <w:jc w:val="center"/>
      <w:keepNext/>
      <w:outlineLvl w:val="1"/>
    </w:pPr>
    <w:rPr>
      <w:rFonts w:ascii="楷体_GB2312" w:hAnsi="Times New Roman" w:eastAsia="楷体_GB2312"/>
      <w:b/>
      <w:bCs/>
      <w:sz w:val="18"/>
      <w:szCs w:val="20"/>
    </w:rPr>
  </w:style>
  <w:style w:type="paragraph" w:styleId="792">
    <w:name w:val="Heading 3"/>
    <w:basedOn w:val="789"/>
    <w:next w:val="789"/>
    <w:link w:val="852"/>
    <w:uiPriority w:val="9"/>
    <w:qFormat/>
    <w:pPr>
      <w:jc w:val="left"/>
      <w:keepNext/>
      <w:outlineLvl w:val="2"/>
    </w:pPr>
    <w:rPr>
      <w:rFonts w:ascii="Arial" w:hAnsi="Arial"/>
      <w:bCs/>
      <w:sz w:val="24"/>
      <w:szCs w:val="24"/>
    </w:rPr>
  </w:style>
  <w:style w:type="paragraph" w:styleId="793">
    <w:name w:val="Heading 4"/>
    <w:basedOn w:val="789"/>
    <w:next w:val="789"/>
    <w:link w:val="853"/>
    <w:uiPriority w:val="9"/>
    <w:qFormat/>
    <w:pPr>
      <w:keepNext/>
      <w:outlineLvl w:val="3"/>
    </w:pPr>
    <w:rPr>
      <w:rFonts w:ascii="Times New Roman" w:hAnsi="Times New Roman" w:eastAsia="楷体_GB2312"/>
      <w:b/>
      <w:bCs/>
      <w:sz w:val="15"/>
      <w:szCs w:val="20"/>
    </w:rPr>
  </w:style>
  <w:style w:type="paragraph" w:styleId="794">
    <w:name w:val="Heading 5"/>
    <w:basedOn w:val="789"/>
    <w:next w:val="789"/>
    <w:link w:val="854"/>
    <w:uiPriority w:val="9"/>
    <w:qFormat/>
    <w:pPr>
      <w:numPr>
        <w:ilvl w:val="0"/>
        <w:numId w:val="1"/>
      </w:numPr>
      <w:keepNext/>
      <w:outlineLvl w:val="4"/>
    </w:pPr>
    <w:rPr>
      <w:rFonts w:ascii="楷体_GB2312" w:hAnsi="Times New Roman" w:eastAsia="楷体_GB2312"/>
      <w:bCs/>
      <w:sz w:val="28"/>
      <w:szCs w:val="20"/>
    </w:rPr>
  </w:style>
  <w:style w:type="paragraph" w:styleId="795">
    <w:name w:val="Heading 6"/>
    <w:basedOn w:val="789"/>
    <w:next w:val="789"/>
    <w:link w:val="855"/>
    <w:uiPriority w:val="9"/>
    <w:qFormat/>
    <w:pPr>
      <w:keepLines/>
      <w:keepNext/>
      <w:spacing w:before="320" w:after="200"/>
      <w:outlineLvl w:val="5"/>
    </w:pPr>
    <w:rPr>
      <w:rFonts w:ascii="Arial" w:hAnsi="Arial" w:cs="Arial"/>
      <w:b/>
      <w:bCs/>
      <w:sz w:val="22"/>
    </w:rPr>
  </w:style>
  <w:style w:type="paragraph" w:styleId="796">
    <w:name w:val="Heading 7"/>
    <w:basedOn w:val="789"/>
    <w:next w:val="789"/>
    <w:link w:val="856"/>
    <w:uiPriority w:val="9"/>
    <w:qFormat/>
    <w:pPr>
      <w:keepLines/>
      <w:keepNext/>
      <w:spacing w:before="320" w:after="200"/>
      <w:outlineLvl w:val="6"/>
    </w:pPr>
    <w:rPr>
      <w:rFonts w:ascii="Arial" w:hAnsi="Arial" w:cs="Arial"/>
      <w:b/>
      <w:bCs/>
      <w:i/>
      <w:iCs/>
      <w:sz w:val="22"/>
    </w:rPr>
  </w:style>
  <w:style w:type="paragraph" w:styleId="797">
    <w:name w:val="Heading 8"/>
    <w:basedOn w:val="789"/>
    <w:next w:val="789"/>
    <w:link w:val="857"/>
    <w:uiPriority w:val="9"/>
    <w:qFormat/>
    <w:pPr>
      <w:keepLines/>
      <w:keepNext/>
      <w:spacing w:before="320" w:after="200"/>
      <w:outlineLvl w:val="7"/>
    </w:pPr>
    <w:rPr>
      <w:rFonts w:ascii="Arial" w:hAnsi="Arial" w:cs="Arial"/>
      <w:i/>
      <w:iCs/>
      <w:sz w:val="22"/>
    </w:rPr>
  </w:style>
  <w:style w:type="paragraph" w:styleId="798">
    <w:name w:val="Heading 9"/>
    <w:basedOn w:val="789"/>
    <w:next w:val="789"/>
    <w:link w:val="858"/>
    <w:uiPriority w:val="9"/>
    <w:qFormat/>
    <w:pPr>
      <w:keepLines/>
      <w:keepNext/>
      <w:spacing w:before="320" w:after="200"/>
      <w:outlineLvl w:val="8"/>
    </w:pPr>
    <w:rPr>
      <w:rFonts w:ascii="Arial" w:hAnsi="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tblPr>
      <w:tblCellMar>
        <w:left w:w="108" w:type="dxa"/>
        <w:top w:w="0" w:type="dxa"/>
        <w:right w:w="108" w:type="dxa"/>
        <w:bottom w:w="0" w:type="dxa"/>
      </w:tblCellMar>
    </w:tblPr>
  </w:style>
  <w:style w:type="paragraph" w:styleId="801">
    <w:name w:val="Body Text"/>
    <w:basedOn w:val="789"/>
    <w:next w:val="802"/>
    <w:link w:val="862"/>
    <w:uiPriority w:val="99"/>
    <w:qFormat/>
    <w:rPr>
      <w:rFonts w:ascii="华文中宋" w:hAnsi="Times New Roman" w:eastAsia="华文中宋"/>
      <w:bCs/>
      <w:sz w:val="28"/>
      <w:szCs w:val="20"/>
    </w:rPr>
  </w:style>
  <w:style w:type="paragraph" w:styleId="802">
    <w:name w:val="List"/>
    <w:basedOn w:val="789"/>
    <w:uiPriority w:val="0"/>
    <w:qFormat/>
    <w:pPr>
      <w:ind w:firstLine="480"/>
      <w:spacing w:after="20" w:line="360" w:lineRule="auto"/>
      <w:tabs>
        <w:tab w:val="left" w:pos="420" w:leader="none"/>
      </w:tabs>
    </w:pPr>
    <w:rPr>
      <w:rFonts w:ascii="宋体" w:hAnsi="宋体" w:eastAsia="宋体" w:cs="宋体"/>
      <w:sz w:val="24"/>
      <w:szCs w:val="24"/>
    </w:rPr>
  </w:style>
  <w:style w:type="paragraph" w:styleId="803">
    <w:name w:val="toc 7"/>
    <w:basedOn w:val="789"/>
    <w:next w:val="789"/>
    <w:uiPriority w:val="39"/>
    <w:unhideWhenUsed/>
    <w:qFormat/>
    <w:pPr>
      <w:ind w:left="1701"/>
      <w:spacing w:after="57"/>
    </w:pPr>
  </w:style>
  <w:style w:type="paragraph" w:styleId="804">
    <w:name w:val="Normal Indent"/>
    <w:basedOn w:val="789"/>
    <w:uiPriority w:val="99"/>
    <w:qFormat/>
    <w:pPr>
      <w:ind w:firstLine="420"/>
    </w:pPr>
    <w:rPr>
      <w:rFonts w:ascii="Times New Roman" w:hAnsi="Times New Roman" w:eastAsia="宋体"/>
      <w:szCs w:val="20"/>
    </w:rPr>
  </w:style>
  <w:style w:type="paragraph" w:styleId="805">
    <w:name w:val="Caption"/>
    <w:basedOn w:val="789"/>
    <w:next w:val="789"/>
    <w:uiPriority w:val="35"/>
    <w:qFormat/>
    <w:pPr>
      <w:spacing w:line="276" w:lineRule="auto"/>
    </w:pPr>
    <w:rPr>
      <w:rFonts w:ascii="Times New Roman" w:hAnsi="Times New Roman" w:eastAsia="宋体"/>
      <w:b/>
      <w:bCs/>
      <w:color w:val="4f81bd"/>
      <w:sz w:val="18"/>
      <w:szCs w:val="18"/>
    </w:rPr>
  </w:style>
  <w:style w:type="paragraph" w:styleId="806">
    <w:name w:val="Document Map"/>
    <w:basedOn w:val="789"/>
    <w:link w:val="860"/>
    <w:uiPriority w:val="99"/>
    <w:semiHidden/>
    <w:qFormat/>
    <w:pPr>
      <w:shd w:val="clear" w:color="auto" w:fill="000080"/>
    </w:pPr>
    <w:rPr>
      <w:rFonts w:ascii="Times New Roman" w:hAnsi="Times New Roman" w:eastAsia="宋体"/>
      <w:sz w:val="20"/>
      <w:szCs w:val="20"/>
    </w:rPr>
  </w:style>
  <w:style w:type="paragraph" w:styleId="807">
    <w:name w:val="annotation text"/>
    <w:basedOn w:val="789"/>
    <w:link w:val="861"/>
    <w:uiPriority w:val="99"/>
    <w:unhideWhenUsed/>
    <w:qFormat/>
    <w:pPr>
      <w:jc w:val="left"/>
    </w:pPr>
  </w:style>
  <w:style w:type="paragraph" w:styleId="808">
    <w:name w:val="Body Text Indent"/>
    <w:basedOn w:val="789"/>
    <w:link w:val="863"/>
    <w:uiPriority w:val="99"/>
    <w:qFormat/>
    <w:pPr>
      <w:ind w:firstLine="576"/>
    </w:pPr>
    <w:rPr>
      <w:rFonts w:ascii="Times New Roman" w:hAnsi="Times New Roman" w:eastAsia="宋体"/>
      <w:b/>
      <w:sz w:val="30"/>
      <w:szCs w:val="20"/>
    </w:rPr>
  </w:style>
  <w:style w:type="paragraph" w:styleId="809">
    <w:name w:val="index 4"/>
    <w:basedOn w:val="789"/>
    <w:next w:val="789"/>
    <w:uiPriority w:val="99"/>
    <w:qFormat/>
    <w:pPr>
      <w:ind w:left="600"/>
    </w:pPr>
    <w:rPr>
      <w:szCs w:val="24"/>
    </w:rPr>
  </w:style>
  <w:style w:type="paragraph" w:styleId="810">
    <w:name w:val="toc 5"/>
    <w:basedOn w:val="789"/>
    <w:next w:val="789"/>
    <w:uiPriority w:val="39"/>
    <w:unhideWhenUsed/>
    <w:qFormat/>
    <w:pPr>
      <w:ind w:left="1134"/>
      <w:spacing w:after="57"/>
    </w:pPr>
  </w:style>
  <w:style w:type="paragraph" w:styleId="811">
    <w:name w:val="toc 3"/>
    <w:basedOn w:val="789"/>
    <w:next w:val="789"/>
    <w:uiPriority w:val="39"/>
    <w:unhideWhenUsed/>
    <w:qFormat/>
    <w:pPr>
      <w:ind w:left="567"/>
      <w:spacing w:after="57"/>
    </w:pPr>
  </w:style>
  <w:style w:type="paragraph" w:styleId="812">
    <w:name w:val="Plain Text"/>
    <w:basedOn w:val="789"/>
    <w:uiPriority w:val="0"/>
    <w:qFormat/>
    <w:rPr>
      <w:rFonts w:ascii="黑体"/>
      <w:szCs w:val="21"/>
    </w:rPr>
  </w:style>
  <w:style w:type="paragraph" w:styleId="813">
    <w:name w:val="toc 8"/>
    <w:basedOn w:val="789"/>
    <w:next w:val="789"/>
    <w:uiPriority w:val="39"/>
    <w:unhideWhenUsed/>
    <w:qFormat/>
    <w:pPr>
      <w:ind w:left="1984"/>
      <w:spacing w:after="57"/>
    </w:pPr>
  </w:style>
  <w:style w:type="paragraph" w:styleId="814">
    <w:name w:val="Date"/>
    <w:basedOn w:val="789"/>
    <w:next w:val="789"/>
    <w:link w:val="867"/>
    <w:uiPriority w:val="99"/>
    <w:qFormat/>
    <w:rPr>
      <w:rFonts w:ascii="Times New Roman" w:hAnsi="Times New Roman" w:eastAsia="黑体"/>
      <w:b/>
      <w:sz w:val="36"/>
      <w:szCs w:val="20"/>
    </w:rPr>
  </w:style>
  <w:style w:type="paragraph" w:styleId="815">
    <w:name w:val="Body Text Indent 2"/>
    <w:basedOn w:val="789"/>
    <w:link w:val="868"/>
    <w:uiPriority w:val="99"/>
    <w:qFormat/>
    <w:pPr>
      <w:ind w:left="900"/>
    </w:pPr>
    <w:rPr>
      <w:rFonts w:ascii="楷体_GB2312" w:hAnsi="Times New Roman" w:eastAsia="楷体_GB2312"/>
      <w:b/>
      <w:sz w:val="28"/>
      <w:szCs w:val="20"/>
    </w:rPr>
  </w:style>
  <w:style w:type="paragraph" w:styleId="816">
    <w:name w:val="endnote text"/>
    <w:basedOn w:val="789"/>
    <w:link w:val="869"/>
    <w:uiPriority w:val="99"/>
    <w:unhideWhenUsed/>
    <w:qFormat/>
    <w:rPr>
      <w:rFonts w:ascii="Times New Roman" w:hAnsi="Times New Roman" w:eastAsia="宋体"/>
      <w:sz w:val="20"/>
      <w:szCs w:val="21"/>
    </w:rPr>
  </w:style>
  <w:style w:type="paragraph" w:styleId="817">
    <w:name w:val="Balloon Text"/>
    <w:basedOn w:val="789"/>
    <w:link w:val="870"/>
    <w:uiPriority w:val="99"/>
    <w:unhideWhenUsed/>
    <w:qFormat/>
    <w:rPr>
      <w:rFonts w:ascii="Times New Roman" w:hAnsi="Times New Roman" w:eastAsia="宋体"/>
      <w:sz w:val="18"/>
      <w:szCs w:val="18"/>
    </w:rPr>
  </w:style>
  <w:style w:type="paragraph" w:styleId="818">
    <w:name w:val="Footer"/>
    <w:basedOn w:val="789"/>
    <w:next w:val="819"/>
    <w:link w:val="871"/>
    <w:uiPriority w:val="99"/>
    <w:qFormat/>
    <w:pPr>
      <w:jc w:val="left"/>
      <w:tabs>
        <w:tab w:val="center" w:pos="4153" w:leader="none"/>
        <w:tab w:val="right" w:pos="8306" w:leader="none"/>
      </w:tabs>
    </w:pPr>
    <w:rPr>
      <w:rFonts w:ascii="Times New Roman" w:hAnsi="Times New Roman" w:eastAsia="宋体"/>
      <w:sz w:val="18"/>
      <w:szCs w:val="20"/>
    </w:rPr>
  </w:style>
  <w:style w:type="paragraph" w:styleId="819" w:customStyle="1">
    <w:name w:val="TOC Heading1"/>
    <w:next w:val="789"/>
    <w:uiPriority w:val="0"/>
    <w:qFormat/>
    <w:rPr>
      <w:rFonts w:ascii="Times New Roman" w:hAnsi="Times New Roman" w:eastAsia="宋体" w:cs="Times New Roman"/>
      <w:sz w:val="32"/>
      <w:lang w:val="en-US" w:eastAsia="zh-CN" w:bidi="ar-SA"/>
    </w:rPr>
  </w:style>
  <w:style w:type="paragraph" w:styleId="820">
    <w:name w:val="envelope return"/>
    <w:basedOn w:val="789"/>
    <w:uiPriority w:val="99"/>
    <w:unhideWhenUsed/>
    <w:qFormat/>
    <w:rPr>
      <w:rFonts w:ascii="Arial" w:hAnsi="Arial"/>
    </w:rPr>
  </w:style>
  <w:style w:type="paragraph" w:styleId="821">
    <w:name w:val="Header"/>
    <w:basedOn w:val="789"/>
    <w:link w:val="87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22">
    <w:name w:val="toc 1"/>
    <w:basedOn w:val="789"/>
    <w:next w:val="789"/>
    <w:uiPriority w:val="39"/>
    <w:unhideWhenUsed/>
    <w:qFormat/>
    <w:pPr>
      <w:spacing w:after="57"/>
    </w:pPr>
  </w:style>
  <w:style w:type="paragraph" w:styleId="823">
    <w:name w:val="toc 4"/>
    <w:basedOn w:val="789"/>
    <w:next w:val="789"/>
    <w:uiPriority w:val="39"/>
    <w:unhideWhenUsed/>
    <w:qFormat/>
    <w:pPr>
      <w:ind w:left="850"/>
      <w:spacing w:after="57"/>
    </w:pPr>
  </w:style>
  <w:style w:type="paragraph" w:styleId="824">
    <w:name w:val="Subtitle"/>
    <w:basedOn w:val="789"/>
    <w:next w:val="789"/>
    <w:link w:val="875"/>
    <w:uiPriority w:val="11"/>
    <w:qFormat/>
    <w:pPr>
      <w:ind w:firstLine="471"/>
      <w:jc w:val="center"/>
      <w:spacing w:before="240" w:after="60" w:line="312" w:lineRule="atLeast"/>
      <w:outlineLvl w:val="1"/>
    </w:pPr>
    <w:rPr>
      <w:rFonts w:ascii="Arial" w:hAnsi="Arial"/>
      <w:b/>
      <w:bCs/>
      <w:sz w:val="32"/>
      <w:szCs w:val="32"/>
    </w:rPr>
  </w:style>
  <w:style w:type="paragraph" w:styleId="825">
    <w:name w:val="footnote text"/>
    <w:basedOn w:val="789"/>
    <w:link w:val="876"/>
    <w:uiPriority w:val="99"/>
    <w:unhideWhenUsed/>
    <w:qFormat/>
    <w:pPr>
      <w:spacing w:after="40"/>
    </w:pPr>
    <w:rPr>
      <w:rFonts w:ascii="Times New Roman" w:hAnsi="Times New Roman" w:eastAsia="宋体"/>
      <w:sz w:val="18"/>
      <w:szCs w:val="21"/>
    </w:rPr>
  </w:style>
  <w:style w:type="paragraph" w:styleId="826">
    <w:name w:val="toc 6"/>
    <w:basedOn w:val="789"/>
    <w:next w:val="789"/>
    <w:uiPriority w:val="39"/>
    <w:unhideWhenUsed/>
    <w:qFormat/>
    <w:pPr>
      <w:ind w:left="1417"/>
      <w:spacing w:after="57"/>
    </w:pPr>
  </w:style>
  <w:style w:type="paragraph" w:styleId="827">
    <w:name w:val="Body Text Indent 3"/>
    <w:basedOn w:val="789"/>
    <w:link w:val="878"/>
    <w:uiPriority w:val="99"/>
    <w:qFormat/>
    <w:pPr>
      <w:ind w:left="359" w:firstLine="359"/>
    </w:pPr>
    <w:rPr>
      <w:rFonts w:ascii="Times New Roman" w:hAnsi="Times New Roman" w:eastAsia="宋体"/>
      <w:sz w:val="20"/>
      <w:szCs w:val="20"/>
    </w:rPr>
  </w:style>
  <w:style w:type="paragraph" w:styleId="828">
    <w:name w:val="table of figures"/>
    <w:basedOn w:val="789"/>
    <w:next w:val="789"/>
    <w:uiPriority w:val="99"/>
    <w:unhideWhenUsed/>
    <w:qFormat/>
    <w:rPr>
      <w:rFonts w:ascii="Times New Roman" w:hAnsi="Times New Roman" w:eastAsia="宋体"/>
      <w:szCs w:val="21"/>
    </w:rPr>
  </w:style>
  <w:style w:type="paragraph" w:styleId="829">
    <w:name w:val="toc 2"/>
    <w:basedOn w:val="789"/>
    <w:next w:val="789"/>
    <w:uiPriority w:val="39"/>
    <w:unhideWhenUsed/>
    <w:qFormat/>
    <w:pPr>
      <w:ind w:left="283"/>
      <w:spacing w:after="57"/>
    </w:pPr>
  </w:style>
  <w:style w:type="paragraph" w:styleId="830">
    <w:name w:val="toc 9"/>
    <w:basedOn w:val="789"/>
    <w:next w:val="789"/>
    <w:uiPriority w:val="39"/>
    <w:unhideWhenUsed/>
    <w:qFormat/>
    <w:pPr>
      <w:ind w:left="2268"/>
      <w:spacing w:after="57"/>
    </w:pPr>
  </w:style>
  <w:style w:type="paragraph" w:styleId="831">
    <w:name w:val="Body Text 2"/>
    <w:basedOn w:val="789"/>
    <w:link w:val="881"/>
    <w:uiPriority w:val="99"/>
    <w:qFormat/>
    <w:pPr>
      <w:spacing w:after="120" w:line="480" w:lineRule="auto"/>
    </w:pPr>
    <w:rPr>
      <w:rFonts w:ascii="Times New Roman" w:hAnsi="Times New Roman" w:eastAsia="宋体"/>
      <w:sz w:val="20"/>
      <w:szCs w:val="20"/>
    </w:rPr>
  </w:style>
  <w:style w:type="paragraph" w:styleId="832">
    <w:name w:val="Normal (Web)"/>
    <w:basedOn w:val="78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3">
    <w:name w:val="Title"/>
    <w:basedOn w:val="789"/>
    <w:next w:val="789"/>
    <w:link w:val="882"/>
    <w:uiPriority w:val="10"/>
    <w:qFormat/>
    <w:pPr>
      <w:contextualSpacing/>
      <w:spacing w:before="300" w:after="200"/>
    </w:pPr>
    <w:rPr>
      <w:rFonts w:ascii="Times New Roman" w:hAnsi="Times New Roman" w:eastAsia="宋体"/>
      <w:sz w:val="48"/>
      <w:szCs w:val="48"/>
    </w:rPr>
  </w:style>
  <w:style w:type="paragraph" w:styleId="834">
    <w:name w:val="annotation subject"/>
    <w:basedOn w:val="807"/>
    <w:next w:val="807"/>
    <w:link w:val="883"/>
    <w:uiPriority w:val="99"/>
    <w:unhideWhenUsed/>
    <w:qFormat/>
    <w:rPr>
      <w:b/>
      <w:bCs/>
    </w:rPr>
  </w:style>
  <w:style w:type="paragraph" w:styleId="835">
    <w:name w:val="Body Text First Indent 2"/>
    <w:basedOn w:val="808"/>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36">
    <w:name w:val="Table Grid"/>
    <w:basedOn w:val="800"/>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basedOn w:val="799"/>
    <w:uiPriority w:val="99"/>
    <w:qFormat/>
    <w:rPr>
      <w:rFonts w:cs="Times New Roman"/>
      <w:b/>
      <w:bCs/>
    </w:rPr>
  </w:style>
  <w:style w:type="character" w:styleId="838">
    <w:name w:val="endnote reference"/>
    <w:uiPriority w:val="99"/>
    <w:unhideWhenUsed/>
    <w:qFormat/>
    <w:rPr>
      <w:vertAlign w:val="superscript"/>
    </w:rPr>
  </w:style>
  <w:style w:type="character" w:styleId="839">
    <w:name w:val="page number"/>
    <w:uiPriority w:val="99"/>
    <w:qFormat/>
    <w:rPr>
      <w:rFonts w:cs="Times New Roman"/>
    </w:rPr>
  </w:style>
  <w:style w:type="character" w:styleId="840">
    <w:name w:val="HTML Typewriter"/>
    <w:uiPriority w:val="99"/>
    <w:qFormat/>
    <w:rPr>
      <w:rFonts w:ascii="宋体" w:hAnsi="宋体" w:eastAsia="宋体" w:cs="宋体"/>
      <w:sz w:val="24"/>
      <w:szCs w:val="24"/>
    </w:rPr>
  </w:style>
  <w:style w:type="character" w:styleId="841">
    <w:name w:val="Hyperlink"/>
    <w:uiPriority w:val="99"/>
    <w:qFormat/>
    <w:rPr>
      <w:rFonts w:cs="Times New Roman"/>
      <w:color w:val="000000"/>
      <w:u w:val="none"/>
    </w:rPr>
  </w:style>
  <w:style w:type="character" w:styleId="842">
    <w:name w:val="annotation reference"/>
    <w:basedOn w:val="799"/>
    <w:uiPriority w:val="0"/>
    <w:unhideWhenUsed/>
    <w:qFormat/>
    <w:rPr>
      <w:sz w:val="21"/>
      <w:szCs w:val="21"/>
    </w:rPr>
  </w:style>
  <w:style w:type="character" w:styleId="843">
    <w:name w:val="footnote reference"/>
    <w:uiPriority w:val="99"/>
    <w:unhideWhenUsed/>
    <w:qFormat/>
    <w:rPr>
      <w:vertAlign w:val="superscript"/>
    </w:rPr>
  </w:style>
  <w:style w:type="paragraph" w:styleId="844">
    <w:name w:val="List Paragraph"/>
    <w:basedOn w:val="789"/>
    <w:uiPriority w:val="34"/>
    <w:qFormat/>
    <w:pPr>
      <w:numPr>
        <w:ilvl w:val="0"/>
        <w:numId w:val="2"/>
      </w:numPr>
      <w:spacing w:line="360" w:lineRule="auto"/>
    </w:pPr>
    <w:rPr>
      <w:rFonts w:ascii="Arial" w:hAnsi="Arial" w:eastAsia="宋体" w:cs="宋体"/>
      <w:b/>
      <w:sz w:val="24"/>
      <w:szCs w:val="20"/>
    </w:rPr>
  </w:style>
  <w:style w:type="paragraph" w:styleId="845" w:customStyle="1">
    <w:name w:val="Cn Heading3"/>
    <w:basedOn w:val="846"/>
    <w:uiPriority w:val="0"/>
    <w:qFormat/>
    <w:pPr>
      <w:ind w:firstLine="0"/>
      <w:spacing w:line="480" w:lineRule="auto"/>
      <w:outlineLvl w:val="2"/>
    </w:pPr>
    <w:rPr>
      <w:rFonts w:ascii="微软雅黑" w:hAnsi="微软雅黑" w:eastAsia="微软雅黑"/>
      <w:b/>
      <w:sz w:val="28"/>
      <w:szCs w:val="28"/>
      <w:lang w:eastAsia="ja-JP"/>
    </w:rPr>
  </w:style>
  <w:style w:type="paragraph" w:styleId="846" w:customStyle="1">
    <w:name w:val="列出段落1"/>
    <w:basedOn w:val="789"/>
    <w:link w:val="851"/>
    <w:uiPriority w:val="0"/>
    <w:qFormat/>
    <w:pPr>
      <w:ind w:firstLine="420"/>
      <w:spacing w:before="120" w:after="120" w:line="360" w:lineRule="auto"/>
    </w:pPr>
    <w:rPr>
      <w:rFonts w:eastAsia="宋体"/>
      <w:sz w:val="24"/>
    </w:rPr>
  </w:style>
  <w:style w:type="paragraph" w:styleId="847" w:customStyle="1">
    <w:name w:val="明显引用1"/>
    <w:next w:val="789"/>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848" w:customStyle="1">
    <w:name w:val="索引 41"/>
    <w:basedOn w:val="789"/>
    <w:next w:val="789"/>
    <w:uiPriority w:val="99"/>
    <w:qFormat/>
    <w:pPr>
      <w:ind w:left="600"/>
    </w:pPr>
    <w:rPr>
      <w:szCs w:val="24"/>
    </w:rPr>
  </w:style>
  <w:style w:type="character" w:styleId="849" w:customStyle="1">
    <w:name w:val="标题 1 Char1"/>
    <w:basedOn w:val="799"/>
    <w:link w:val="790"/>
    <w:uiPriority w:val="9"/>
    <w:qFormat/>
    <w:rPr>
      <w:rFonts w:ascii="楷体_GB2312" w:hAnsi="Times New Roman" w:eastAsia="楷体_GB2312" w:cs="Times New Roman"/>
      <w:b/>
      <w:sz w:val="28"/>
      <w:szCs w:val="20"/>
    </w:rPr>
  </w:style>
  <w:style w:type="character" w:styleId="850" w:customStyle="1">
    <w:name w:val="标题 2 Char1"/>
    <w:basedOn w:val="799"/>
    <w:link w:val="791"/>
    <w:uiPriority w:val="9"/>
    <w:qFormat/>
    <w:rPr>
      <w:rFonts w:ascii="楷体_GB2312" w:hAnsi="Times New Roman" w:eastAsia="楷体_GB2312" w:cs="Times New Roman"/>
      <w:b/>
      <w:bCs/>
      <w:sz w:val="18"/>
      <w:szCs w:val="20"/>
    </w:rPr>
  </w:style>
  <w:style w:type="character" w:styleId="851" w:customStyle="1">
    <w:name w:val="列出段落 Char"/>
    <w:link w:val="846"/>
    <w:uiPriority w:val="0"/>
    <w:qFormat/>
    <w:rPr>
      <w:rFonts w:ascii="Calibri" w:hAnsi="Calibri" w:eastAsia="宋体" w:cs="Times New Roman"/>
      <w:sz w:val="24"/>
      <w:szCs w:val="22"/>
    </w:rPr>
  </w:style>
  <w:style w:type="character" w:styleId="852" w:customStyle="1">
    <w:name w:val="标题 3 Char1"/>
    <w:basedOn w:val="799"/>
    <w:link w:val="792"/>
    <w:uiPriority w:val="9"/>
    <w:qFormat/>
    <w:rPr>
      <w:rFonts w:ascii="Arial" w:hAnsi="Arial"/>
      <w:b/>
      <w:bCs/>
      <w:sz w:val="24"/>
      <w:szCs w:val="24"/>
    </w:rPr>
  </w:style>
  <w:style w:type="character" w:styleId="853" w:customStyle="1">
    <w:name w:val="标题 4 Char1"/>
    <w:basedOn w:val="799"/>
    <w:link w:val="793"/>
    <w:uiPriority w:val="9"/>
    <w:qFormat/>
    <w:rPr>
      <w:rFonts w:ascii="Times New Roman" w:hAnsi="Times New Roman" w:eastAsia="楷体_GB2312" w:cs="Times New Roman"/>
      <w:b/>
      <w:bCs/>
      <w:sz w:val="15"/>
    </w:rPr>
  </w:style>
  <w:style w:type="character" w:styleId="854" w:customStyle="1">
    <w:name w:val="标题 5 Char1"/>
    <w:basedOn w:val="799"/>
    <w:link w:val="794"/>
    <w:uiPriority w:val="9"/>
    <w:qFormat/>
    <w:rPr>
      <w:rFonts w:ascii="楷体_GB2312" w:hAnsi="Times New Roman" w:eastAsia="楷体_GB2312" w:cs="Times New Roman"/>
      <w:bCs/>
      <w:sz w:val="28"/>
    </w:rPr>
  </w:style>
  <w:style w:type="character" w:styleId="855" w:customStyle="1">
    <w:name w:val="标题 6 Char1"/>
    <w:basedOn w:val="799"/>
    <w:link w:val="795"/>
    <w:uiPriority w:val="9"/>
    <w:qFormat/>
    <w:rPr>
      <w:rFonts w:ascii="Arial" w:hAnsi="Arial" w:eastAsia="Arial" w:cs="Arial"/>
      <w:b/>
      <w:bCs/>
      <w:sz w:val="22"/>
      <w:szCs w:val="22"/>
    </w:rPr>
  </w:style>
  <w:style w:type="character" w:styleId="856" w:customStyle="1">
    <w:name w:val="标题 7 Char1"/>
    <w:basedOn w:val="799"/>
    <w:link w:val="796"/>
    <w:uiPriority w:val="9"/>
    <w:qFormat/>
    <w:rPr>
      <w:rFonts w:ascii="Arial" w:hAnsi="Arial" w:eastAsia="Arial" w:cs="Arial"/>
      <w:b/>
      <w:bCs/>
      <w:i/>
      <w:iCs/>
      <w:sz w:val="22"/>
      <w:szCs w:val="22"/>
    </w:rPr>
  </w:style>
  <w:style w:type="character" w:styleId="857" w:customStyle="1">
    <w:name w:val="标题 8 Char1"/>
    <w:basedOn w:val="799"/>
    <w:link w:val="797"/>
    <w:uiPriority w:val="9"/>
    <w:qFormat/>
    <w:rPr>
      <w:rFonts w:ascii="Arial" w:hAnsi="Arial" w:eastAsia="Arial" w:cs="Arial"/>
      <w:i/>
      <w:iCs/>
      <w:sz w:val="22"/>
      <w:szCs w:val="22"/>
    </w:rPr>
  </w:style>
  <w:style w:type="character" w:styleId="858" w:customStyle="1">
    <w:name w:val="标题 9 Char1"/>
    <w:basedOn w:val="799"/>
    <w:link w:val="798"/>
    <w:uiPriority w:val="9"/>
    <w:qFormat/>
    <w:rPr>
      <w:rFonts w:ascii="Arial" w:hAnsi="Arial" w:eastAsia="Arial" w:cs="Arial"/>
      <w:i/>
      <w:iCs/>
      <w:sz w:val="21"/>
      <w:szCs w:val="21"/>
    </w:rPr>
  </w:style>
  <w:style w:type="paragraph" w:styleId="859" w:customStyle="1">
    <w:name w:val="目录 7111"/>
    <w:basedOn w:val="789"/>
    <w:next w:val="789"/>
    <w:uiPriority w:val="39"/>
    <w:unhideWhenUsed/>
    <w:qFormat/>
    <w:pPr>
      <w:ind w:left="1701"/>
      <w:spacing w:after="57"/>
    </w:pPr>
    <w:rPr>
      <w:rFonts w:ascii="Times New Roman" w:hAnsi="Times New Roman" w:eastAsia="宋体"/>
      <w:szCs w:val="21"/>
    </w:rPr>
  </w:style>
  <w:style w:type="character" w:styleId="860" w:customStyle="1">
    <w:name w:val="文档结构图 Char1"/>
    <w:basedOn w:val="799"/>
    <w:link w:val="806"/>
    <w:uiPriority w:val="99"/>
    <w:semiHidden/>
    <w:qFormat/>
    <w:rPr>
      <w:rFonts w:ascii="Times New Roman" w:hAnsi="Times New Roman" w:eastAsia="宋体" w:cs="Times New Roman"/>
      <w:sz w:val="20"/>
      <w:szCs w:val="20"/>
      <w:shd w:val="clear" w:color="auto" w:fill="000080"/>
    </w:rPr>
  </w:style>
  <w:style w:type="character" w:styleId="861" w:customStyle="1">
    <w:name w:val="批注文字 Char1"/>
    <w:basedOn w:val="799"/>
    <w:link w:val="807"/>
    <w:uiPriority w:val="99"/>
    <w:semiHidden/>
    <w:qFormat/>
  </w:style>
  <w:style w:type="character" w:styleId="862" w:customStyle="1">
    <w:name w:val="正文文本 Char1"/>
    <w:basedOn w:val="799"/>
    <w:link w:val="801"/>
    <w:uiPriority w:val="99"/>
    <w:qFormat/>
    <w:rPr>
      <w:rFonts w:ascii="华文中宋" w:hAnsi="Times New Roman" w:eastAsia="华文中宋" w:cs="Times New Roman"/>
      <w:bCs/>
      <w:sz w:val="28"/>
      <w:szCs w:val="20"/>
    </w:rPr>
  </w:style>
  <w:style w:type="character" w:styleId="863" w:customStyle="1">
    <w:name w:val="正文文本缩进 Char1"/>
    <w:basedOn w:val="799"/>
    <w:link w:val="808"/>
    <w:uiPriority w:val="99"/>
    <w:qFormat/>
    <w:rPr>
      <w:rFonts w:ascii="Times New Roman" w:hAnsi="Times New Roman" w:eastAsia="宋体" w:cs="Times New Roman"/>
      <w:b/>
      <w:sz w:val="30"/>
      <w:szCs w:val="20"/>
    </w:rPr>
  </w:style>
  <w:style w:type="paragraph" w:styleId="864" w:customStyle="1">
    <w:name w:val="目录 5111"/>
    <w:basedOn w:val="789"/>
    <w:next w:val="789"/>
    <w:uiPriority w:val="39"/>
    <w:unhideWhenUsed/>
    <w:qFormat/>
    <w:pPr>
      <w:ind w:left="1134"/>
      <w:spacing w:after="57"/>
    </w:pPr>
    <w:rPr>
      <w:rFonts w:ascii="Times New Roman" w:hAnsi="Times New Roman" w:eastAsia="宋体"/>
      <w:szCs w:val="21"/>
    </w:rPr>
  </w:style>
  <w:style w:type="paragraph" w:styleId="865" w:customStyle="1">
    <w:name w:val="目录 3111"/>
    <w:basedOn w:val="789"/>
    <w:next w:val="789"/>
    <w:uiPriority w:val="39"/>
    <w:unhideWhenUsed/>
    <w:qFormat/>
    <w:pPr>
      <w:ind w:left="567"/>
      <w:spacing w:after="57"/>
    </w:pPr>
    <w:rPr>
      <w:rFonts w:ascii="Times New Roman" w:hAnsi="Times New Roman" w:eastAsia="宋体"/>
      <w:szCs w:val="21"/>
    </w:rPr>
  </w:style>
  <w:style w:type="paragraph" w:styleId="866" w:customStyle="1">
    <w:name w:val="目录 8111"/>
    <w:basedOn w:val="789"/>
    <w:next w:val="789"/>
    <w:uiPriority w:val="39"/>
    <w:unhideWhenUsed/>
    <w:qFormat/>
    <w:pPr>
      <w:ind w:left="1984"/>
      <w:spacing w:after="57"/>
    </w:pPr>
    <w:rPr>
      <w:rFonts w:ascii="Times New Roman" w:hAnsi="Times New Roman" w:eastAsia="宋体"/>
      <w:szCs w:val="21"/>
    </w:rPr>
  </w:style>
  <w:style w:type="character" w:styleId="867" w:customStyle="1">
    <w:name w:val="日期 Char1"/>
    <w:basedOn w:val="799"/>
    <w:link w:val="814"/>
    <w:uiPriority w:val="99"/>
    <w:qFormat/>
    <w:rPr>
      <w:rFonts w:ascii="Times New Roman" w:hAnsi="Times New Roman" w:eastAsia="黑体" w:cs="Times New Roman"/>
      <w:b/>
      <w:sz w:val="36"/>
      <w:szCs w:val="20"/>
    </w:rPr>
  </w:style>
  <w:style w:type="character" w:styleId="868" w:customStyle="1">
    <w:name w:val="正文文本缩进 2 Char1"/>
    <w:basedOn w:val="799"/>
    <w:link w:val="815"/>
    <w:uiPriority w:val="99"/>
    <w:qFormat/>
    <w:rPr>
      <w:rFonts w:ascii="楷体_GB2312" w:hAnsi="Times New Roman" w:eastAsia="楷体_GB2312" w:cs="Times New Roman"/>
      <w:b/>
      <w:sz w:val="28"/>
      <w:szCs w:val="20"/>
    </w:rPr>
  </w:style>
  <w:style w:type="character" w:styleId="869" w:customStyle="1">
    <w:name w:val="尾注文本 Char"/>
    <w:basedOn w:val="799"/>
    <w:link w:val="816"/>
    <w:uiPriority w:val="99"/>
    <w:qFormat/>
    <w:rPr>
      <w:rFonts w:ascii="Times New Roman" w:hAnsi="Times New Roman" w:eastAsia="宋体" w:cs="Times New Roman"/>
      <w:szCs w:val="21"/>
    </w:rPr>
  </w:style>
  <w:style w:type="character" w:styleId="870" w:customStyle="1">
    <w:name w:val="批注框文本 Char1"/>
    <w:basedOn w:val="799"/>
    <w:link w:val="817"/>
    <w:uiPriority w:val="99"/>
    <w:semiHidden/>
    <w:qFormat/>
    <w:rPr>
      <w:rFonts w:ascii="Times New Roman" w:hAnsi="Times New Roman" w:eastAsia="宋体" w:cs="Times New Roman"/>
      <w:sz w:val="18"/>
      <w:szCs w:val="18"/>
    </w:rPr>
  </w:style>
  <w:style w:type="character" w:styleId="871" w:customStyle="1">
    <w:name w:val="页脚 Char1"/>
    <w:basedOn w:val="799"/>
    <w:link w:val="818"/>
    <w:uiPriority w:val="99"/>
    <w:qFormat/>
    <w:rPr>
      <w:rFonts w:ascii="Times New Roman" w:hAnsi="Times New Roman" w:eastAsia="宋体" w:cs="Times New Roman"/>
      <w:sz w:val="18"/>
      <w:szCs w:val="20"/>
    </w:rPr>
  </w:style>
  <w:style w:type="character" w:styleId="872" w:customStyle="1">
    <w:name w:val="页眉 Char1"/>
    <w:basedOn w:val="799"/>
    <w:link w:val="821"/>
    <w:uiPriority w:val="99"/>
    <w:qFormat/>
    <w:rPr>
      <w:rFonts w:ascii="Times New Roman" w:hAnsi="Times New Roman" w:eastAsia="宋体" w:cs="Times New Roman"/>
      <w:sz w:val="18"/>
      <w:szCs w:val="20"/>
    </w:rPr>
  </w:style>
  <w:style w:type="paragraph" w:styleId="873" w:customStyle="1">
    <w:name w:val="目录 1112"/>
    <w:basedOn w:val="789"/>
    <w:next w:val="789"/>
    <w:uiPriority w:val="39"/>
    <w:unhideWhenUsed/>
    <w:qFormat/>
    <w:pPr>
      <w:spacing w:after="57"/>
    </w:pPr>
    <w:rPr>
      <w:rFonts w:ascii="Times New Roman" w:hAnsi="Times New Roman" w:eastAsia="宋体"/>
      <w:szCs w:val="21"/>
    </w:rPr>
  </w:style>
  <w:style w:type="paragraph" w:styleId="874" w:customStyle="1">
    <w:name w:val="目录 4111"/>
    <w:basedOn w:val="789"/>
    <w:next w:val="789"/>
    <w:uiPriority w:val="39"/>
    <w:unhideWhenUsed/>
    <w:qFormat/>
    <w:pPr>
      <w:ind w:left="850"/>
      <w:spacing w:after="57"/>
    </w:pPr>
    <w:rPr>
      <w:rFonts w:ascii="Times New Roman" w:hAnsi="Times New Roman" w:eastAsia="宋体"/>
      <w:szCs w:val="21"/>
    </w:rPr>
  </w:style>
  <w:style w:type="character" w:styleId="875" w:customStyle="1">
    <w:name w:val="副标题 Char"/>
    <w:link w:val="824"/>
    <w:uiPriority w:val="11"/>
    <w:qFormat/>
    <w:rPr>
      <w:rFonts w:ascii="Arial" w:hAnsi="Arial"/>
      <w:b/>
      <w:bCs/>
      <w:sz w:val="32"/>
      <w:szCs w:val="32"/>
    </w:rPr>
  </w:style>
  <w:style w:type="character" w:styleId="876" w:customStyle="1">
    <w:name w:val="脚注文本 Char"/>
    <w:basedOn w:val="799"/>
    <w:link w:val="825"/>
    <w:uiPriority w:val="99"/>
    <w:qFormat/>
    <w:rPr>
      <w:rFonts w:ascii="Times New Roman" w:hAnsi="Times New Roman" w:eastAsia="宋体" w:cs="Times New Roman"/>
      <w:sz w:val="18"/>
      <w:szCs w:val="21"/>
    </w:rPr>
  </w:style>
  <w:style w:type="paragraph" w:styleId="877" w:customStyle="1">
    <w:name w:val="目录 6111"/>
    <w:basedOn w:val="789"/>
    <w:next w:val="789"/>
    <w:uiPriority w:val="39"/>
    <w:unhideWhenUsed/>
    <w:qFormat/>
    <w:pPr>
      <w:ind w:left="1417"/>
      <w:spacing w:after="57"/>
    </w:pPr>
    <w:rPr>
      <w:rFonts w:ascii="Times New Roman" w:hAnsi="Times New Roman" w:eastAsia="宋体"/>
      <w:szCs w:val="21"/>
    </w:rPr>
  </w:style>
  <w:style w:type="character" w:styleId="878" w:customStyle="1">
    <w:name w:val="正文文本缩进 3 Char1"/>
    <w:basedOn w:val="799"/>
    <w:link w:val="827"/>
    <w:uiPriority w:val="99"/>
    <w:qFormat/>
    <w:rPr>
      <w:rFonts w:ascii="Times New Roman" w:hAnsi="Times New Roman" w:eastAsia="宋体" w:cs="Times New Roman"/>
      <w:sz w:val="20"/>
      <w:szCs w:val="20"/>
    </w:rPr>
  </w:style>
  <w:style w:type="paragraph" w:styleId="879" w:customStyle="1">
    <w:name w:val="目录 2111"/>
    <w:basedOn w:val="789"/>
    <w:next w:val="789"/>
    <w:uiPriority w:val="39"/>
    <w:unhideWhenUsed/>
    <w:qFormat/>
    <w:pPr>
      <w:ind w:left="283"/>
      <w:spacing w:after="57"/>
    </w:pPr>
    <w:rPr>
      <w:rFonts w:ascii="Times New Roman" w:hAnsi="Times New Roman" w:eastAsia="宋体"/>
      <w:szCs w:val="21"/>
    </w:rPr>
  </w:style>
  <w:style w:type="paragraph" w:styleId="880" w:customStyle="1">
    <w:name w:val="目录 9111"/>
    <w:basedOn w:val="789"/>
    <w:next w:val="789"/>
    <w:uiPriority w:val="39"/>
    <w:unhideWhenUsed/>
    <w:qFormat/>
    <w:pPr>
      <w:ind w:left="2268"/>
      <w:spacing w:after="57"/>
    </w:pPr>
    <w:rPr>
      <w:rFonts w:ascii="Times New Roman" w:hAnsi="Times New Roman" w:eastAsia="宋体"/>
      <w:szCs w:val="21"/>
    </w:rPr>
  </w:style>
  <w:style w:type="character" w:styleId="881" w:customStyle="1">
    <w:name w:val="正文文本 2 Char1"/>
    <w:basedOn w:val="799"/>
    <w:link w:val="831"/>
    <w:uiPriority w:val="99"/>
    <w:qFormat/>
    <w:rPr>
      <w:rFonts w:ascii="Times New Roman" w:hAnsi="Times New Roman" w:eastAsia="宋体" w:cs="Times New Roman"/>
      <w:sz w:val="20"/>
      <w:szCs w:val="20"/>
    </w:rPr>
  </w:style>
  <w:style w:type="character" w:styleId="882" w:customStyle="1">
    <w:name w:val="标题 Char"/>
    <w:basedOn w:val="799"/>
    <w:link w:val="833"/>
    <w:uiPriority w:val="10"/>
    <w:qFormat/>
    <w:rPr>
      <w:rFonts w:ascii="Times New Roman" w:hAnsi="Times New Roman" w:eastAsia="宋体" w:cs="Times New Roman"/>
      <w:sz w:val="48"/>
      <w:szCs w:val="48"/>
    </w:rPr>
  </w:style>
  <w:style w:type="character" w:styleId="883" w:customStyle="1">
    <w:name w:val="批注主题 Char1"/>
    <w:basedOn w:val="861"/>
    <w:link w:val="834"/>
    <w:uiPriority w:val="99"/>
    <w:semiHidden/>
    <w:qFormat/>
    <w:rPr>
      <w:b/>
      <w:bCs/>
    </w:rPr>
  </w:style>
  <w:style w:type="paragraph" w:styleId="884" w:customStyle="1">
    <w:name w:val="正文首行缩进11"/>
    <w:basedOn w:val="801"/>
    <w:uiPriority w:val="99"/>
    <w:unhideWhenUsed/>
    <w:qFormat/>
    <w:pPr>
      <w:ind w:firstLine="420"/>
      <w:spacing w:after="120"/>
    </w:pPr>
    <w:rPr>
      <w:rFonts w:ascii="Calibri" w:hAnsi="Calibri" w:eastAsia="宋体"/>
      <w:sz w:val="21"/>
      <w:szCs w:val="22"/>
    </w:rPr>
  </w:style>
  <w:style w:type="paragraph" w:styleId="885" w:customStyle="1">
    <w:name w:val="正文首行缩进 211"/>
    <w:basedOn w:val="808"/>
    <w:next w:val="789"/>
    <w:link w:val="886"/>
    <w:uiPriority w:val="99"/>
    <w:unhideWhenUsed/>
    <w:qFormat/>
    <w:pPr>
      <w:ind w:left="420" w:firstLine="420"/>
      <w:spacing w:after="120"/>
    </w:pPr>
    <w:rPr>
      <w:rFonts w:ascii="Calibri" w:hAnsi="Calibri" w:eastAsia="Arial"/>
      <w:b w:val="0"/>
      <w:sz w:val="21"/>
      <w:szCs w:val="22"/>
    </w:rPr>
  </w:style>
  <w:style w:type="character" w:styleId="886" w:customStyle="1">
    <w:name w:val="正文首行缩进 2 Char1"/>
    <w:basedOn w:val="863"/>
    <w:link w:val="885"/>
    <w:uiPriority w:val="99"/>
    <w:semiHidden/>
    <w:qFormat/>
    <w:rPr>
      <w:rFonts w:ascii="Times New Roman" w:hAnsi="Times New Roman" w:eastAsia="宋体" w:cs="Times New Roman"/>
      <w:b w:val="0"/>
      <w:sz w:val="21"/>
      <w:szCs w:val="22"/>
    </w:rPr>
  </w:style>
  <w:style w:type="character" w:styleId="887" w:customStyle="1">
    <w:name w:val="已访问的超链接11"/>
    <w:uiPriority w:val="99"/>
    <w:unhideWhenUsed/>
    <w:qFormat/>
    <w:rPr>
      <w:color w:val="800080"/>
      <w:u w:val="single"/>
    </w:rPr>
  </w:style>
  <w:style w:type="character" w:styleId="888" w:customStyle="1">
    <w:name w:val="批注引用1"/>
    <w:uiPriority w:val="0"/>
    <w:semiHidden/>
    <w:qFormat/>
    <w:rPr>
      <w:rFonts w:ascii="Calibri" w:hAnsi="Calibri" w:eastAsia="Arial" w:cs="Times New Roman"/>
      <w:sz w:val="21"/>
      <w:szCs w:val="22"/>
    </w:rPr>
  </w:style>
  <w:style w:type="paragraph" w:styleId="889" w:customStyle="1">
    <w:name w:val="段"/>
    <w:next w:val="789"/>
    <w:uiPriority w:val="0"/>
    <w:qFormat/>
    <w:pPr>
      <w:ind w:firstLine="200"/>
      <w:jc w:val="both"/>
    </w:pPr>
    <w:rPr>
      <w:rFonts w:ascii="宋体" w:hAnsi="Times New Roman" w:eastAsia="宋体" w:cs="Times New Roman"/>
      <w:sz w:val="21"/>
      <w:lang w:val="en-US" w:eastAsia="zh-CN" w:bidi="ar-SA"/>
    </w:rPr>
  </w:style>
  <w:style w:type="paragraph" w:styleId="890" w:customStyle="1">
    <w:name w:val="TOC 标题1"/>
    <w:uiPriority w:val="39"/>
    <w:unhideWhenUsed/>
    <w:qFormat/>
    <w:rPr>
      <w:rFonts w:ascii="Calibri" w:hAnsi="Calibri" w:eastAsia="Arial" w:cs="Times New Roman"/>
      <w:lang w:val="en-US" w:eastAsia="zh-CN" w:bidi="ar-SA"/>
    </w:rPr>
  </w:style>
  <w:style w:type="paragraph" w:styleId="891" w:customStyle="1">
    <w:name w:val="font5"/>
    <w:basedOn w:val="789"/>
    <w:uiPriority w:val="0"/>
    <w:qFormat/>
    <w:pPr>
      <w:jc w:val="left"/>
      <w:spacing w:before="100" w:beforeAutospacing="1" w:after="100" w:afterAutospacing="1"/>
      <w:widowControl/>
    </w:pPr>
    <w:rPr>
      <w:rFonts w:ascii="宋体" w:hAnsi="宋体" w:eastAsia="宋体"/>
      <w:sz w:val="18"/>
      <w:szCs w:val="18"/>
    </w:rPr>
  </w:style>
  <w:style w:type="paragraph" w:styleId="892" w:customStyle="1">
    <w:name w:val="font6"/>
    <w:basedOn w:val="789"/>
    <w:uiPriority w:val="0"/>
    <w:qFormat/>
    <w:pPr>
      <w:jc w:val="left"/>
      <w:spacing w:before="100" w:beforeAutospacing="1" w:after="100" w:afterAutospacing="1"/>
      <w:widowControl/>
    </w:pPr>
    <w:rPr>
      <w:rFonts w:ascii="宋体" w:hAnsi="宋体" w:eastAsia="宋体"/>
      <w:b/>
      <w:bCs/>
      <w:sz w:val="20"/>
      <w:szCs w:val="20"/>
    </w:rPr>
  </w:style>
  <w:style w:type="paragraph" w:styleId="893" w:customStyle="1">
    <w:name w:val="font7"/>
    <w:basedOn w:val="789"/>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94" w:customStyle="1">
    <w:name w:val="font8"/>
    <w:basedOn w:val="789"/>
    <w:uiPriority w:val="99"/>
    <w:qFormat/>
    <w:pPr>
      <w:jc w:val="left"/>
      <w:spacing w:before="100" w:beforeAutospacing="1" w:after="100" w:afterAutospacing="1"/>
      <w:widowControl/>
    </w:pPr>
    <w:rPr>
      <w:rFonts w:ascii="宋体" w:hAnsi="宋体" w:eastAsia="宋体"/>
      <w:b/>
      <w:bCs/>
      <w:i/>
      <w:iCs/>
      <w:sz w:val="20"/>
      <w:szCs w:val="20"/>
    </w:rPr>
  </w:style>
  <w:style w:type="paragraph" w:styleId="895" w:customStyle="1">
    <w:name w:val="font9"/>
    <w:basedOn w:val="789"/>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96" w:customStyle="1">
    <w:name w:val="xl24"/>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7" w:customStyle="1">
    <w:name w:val="xl25"/>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8" w:customStyle="1">
    <w:name w:val="xl26"/>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9" w:customStyle="1">
    <w:name w:val="xl27"/>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0"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1" w:customStyle="1">
    <w:name w:val="xl29"/>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2" w:customStyle="1">
    <w:name w:val="xl30"/>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3" w:customStyle="1">
    <w:name w:val="xl31"/>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04" w:customStyle="1">
    <w:name w:val="xl32"/>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5" w:customStyle="1">
    <w:name w:val="xl33"/>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6" w:customStyle="1">
    <w:name w:val="xl34"/>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7" w:customStyle="1">
    <w:name w:val="xl35"/>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08" w:customStyle="1">
    <w:name w:val="xl36"/>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9" w:customStyle="1">
    <w:name w:val="xl37"/>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0" w:customStyle="1">
    <w:name w:val="xl38"/>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1" w:customStyle="1">
    <w:name w:val="xl39"/>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12" w:customStyle="1">
    <w:name w:val="xl40"/>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3" w:customStyle="1">
    <w:name w:val="xl41"/>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4" w:customStyle="1">
    <w:name w:val="xl42"/>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5" w:customStyle="1">
    <w:name w:val="xl43"/>
    <w:basedOn w:val="78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16" w:customStyle="1">
    <w:name w:val="xl44"/>
    <w:basedOn w:val="78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17" w:customStyle="1">
    <w:name w:val="xl45"/>
    <w:basedOn w:val="789"/>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18" w:customStyle="1">
    <w:name w:val="xl46"/>
    <w:basedOn w:val="789"/>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19" w:customStyle="1">
    <w:name w:val="xl47"/>
    <w:basedOn w:val="78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20" w:customStyle="1">
    <w:name w:val="xl48"/>
    <w:basedOn w:val="78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21" w:customStyle="1">
    <w:name w:val="xl49"/>
    <w:basedOn w:val="789"/>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22" w:customStyle="1">
    <w:name w:val="xl50"/>
    <w:basedOn w:val="78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3" w:customStyle="1">
    <w:name w:val="xl51"/>
    <w:basedOn w:val="78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4" w:customStyle="1">
    <w:name w:val="xl52"/>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5" w:customStyle="1">
    <w:name w:val="xl53"/>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6" w:customStyle="1">
    <w:name w:val="xl54"/>
    <w:basedOn w:val="78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27" w:customStyle="1">
    <w:name w:val="xl55"/>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28" w:customStyle="1">
    <w:name w:val="xl56"/>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9" w:customStyle="1">
    <w:name w:val="xl57"/>
    <w:basedOn w:val="78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30" w:customStyle="1">
    <w:name w:val="xl58"/>
    <w:basedOn w:val="789"/>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31" w:customStyle="1">
    <w:name w:val="xl59"/>
    <w:basedOn w:val="78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2" w:customStyle="1">
    <w:name w:val="xl60"/>
    <w:basedOn w:val="78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3" w:customStyle="1">
    <w:name w:val="xl61"/>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4" w:customStyle="1">
    <w:name w:val="xl62"/>
    <w:basedOn w:val="78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5" w:customStyle="1">
    <w:name w:val="xl63"/>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36" w:customStyle="1">
    <w:name w:val="font10"/>
    <w:basedOn w:val="789"/>
    <w:uiPriority w:val="99"/>
    <w:qFormat/>
    <w:pPr>
      <w:jc w:val="left"/>
      <w:spacing w:before="100" w:beforeAutospacing="1" w:after="100" w:afterAutospacing="1"/>
      <w:widowControl/>
    </w:pPr>
    <w:rPr>
      <w:rFonts w:ascii="楷体_GB2312" w:hAnsi="宋体" w:eastAsia="楷体_GB2312"/>
      <w:b/>
      <w:bCs/>
      <w:sz w:val="18"/>
      <w:szCs w:val="18"/>
    </w:rPr>
  </w:style>
  <w:style w:type="paragraph" w:styleId="937" w:customStyle="1">
    <w:name w:val="font11"/>
    <w:basedOn w:val="789"/>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38" w:customStyle="1">
    <w:name w:val="font12"/>
    <w:basedOn w:val="789"/>
    <w:uiPriority w:val="99"/>
    <w:qFormat/>
    <w:pPr>
      <w:jc w:val="left"/>
      <w:spacing w:before="100" w:beforeAutospacing="1" w:after="100" w:afterAutospacing="1"/>
      <w:widowControl/>
    </w:pPr>
    <w:rPr>
      <w:rFonts w:ascii="宋体" w:hAnsi="宋体" w:eastAsia="宋体"/>
      <w:sz w:val="36"/>
      <w:szCs w:val="36"/>
    </w:rPr>
  </w:style>
  <w:style w:type="paragraph" w:styleId="939" w:customStyle="1">
    <w:name w:val="font13"/>
    <w:basedOn w:val="789"/>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40" w:customStyle="1">
    <w:name w:val="font14"/>
    <w:basedOn w:val="789"/>
    <w:uiPriority w:val="99"/>
    <w:qFormat/>
    <w:pPr>
      <w:jc w:val="left"/>
      <w:spacing w:before="100" w:beforeAutospacing="1" w:after="100" w:afterAutospacing="1"/>
      <w:widowControl/>
    </w:pPr>
    <w:rPr>
      <w:rFonts w:ascii="Times New Roman" w:hAnsi="Times New Roman" w:eastAsia="宋体"/>
      <w:sz w:val="36"/>
      <w:szCs w:val="36"/>
    </w:rPr>
  </w:style>
  <w:style w:type="character" w:styleId="941" w:customStyle="1">
    <w:name w:val="case31"/>
    <w:uiPriority w:val="99"/>
    <w:qFormat/>
    <w:rPr>
      <w:rFonts w:cs="Times New Roman"/>
      <w:spacing w:val="390"/>
      <w:sz w:val="21"/>
      <w:szCs w:val="21"/>
    </w:rPr>
  </w:style>
  <w:style w:type="paragraph" w:styleId="942" w:customStyle="1">
    <w:name w:val="普通文字"/>
    <w:basedOn w:val="789"/>
    <w:next w:val="789"/>
    <w:uiPriority w:val="99"/>
    <w:qFormat/>
    <w:rPr>
      <w:rFonts w:ascii="宋体" w:hAnsi="Times New Roman" w:eastAsia="宋体"/>
      <w:sz w:val="24"/>
      <w:szCs w:val="20"/>
    </w:rPr>
  </w:style>
  <w:style w:type="paragraph" w:styleId="943" w:customStyle="1">
    <w:name w:val="默认段落字体 Para Char"/>
    <w:basedOn w:val="789"/>
    <w:uiPriority w:val="99"/>
    <w:qFormat/>
    <w:pPr>
      <w:ind w:left="552" w:hanging="420"/>
      <w:tabs>
        <w:tab w:val="left" w:pos="552" w:leader="none"/>
      </w:tabs>
    </w:pPr>
    <w:rPr>
      <w:rFonts w:ascii="Times New Roman" w:hAnsi="Times New Roman" w:eastAsia="宋体"/>
      <w:sz w:val="24"/>
      <w:szCs w:val="24"/>
    </w:rPr>
  </w:style>
  <w:style w:type="paragraph" w:styleId="944" w:customStyle="1">
    <w:name w:val="Char Char Char Char"/>
    <w:basedOn w:val="806"/>
    <w:uiPriority w:val="0"/>
    <w:qFormat/>
    <w:pPr>
      <w:spacing w:line="360" w:lineRule="auto"/>
    </w:pPr>
    <w:rPr>
      <w:rFonts w:ascii="Tahoma" w:hAnsi="Tahoma"/>
      <w:sz w:val="24"/>
      <w:szCs w:val="24"/>
    </w:rPr>
  </w:style>
  <w:style w:type="paragraph" w:styleId="945" w:customStyle="1">
    <w:name w:val="Char Char1 Char Char Char Char"/>
    <w:basedOn w:val="806"/>
    <w:uiPriority w:val="99"/>
    <w:qFormat/>
    <w:pPr>
      <w:ind w:left="357"/>
      <w:jc w:val="left"/>
      <w:spacing w:line="436" w:lineRule="exact"/>
      <w:outlineLvl w:val="3"/>
    </w:pPr>
    <w:rPr>
      <w:rFonts w:ascii="Tahoma" w:hAnsi="Tahoma"/>
      <w:b/>
      <w:sz w:val="24"/>
      <w:szCs w:val="24"/>
    </w:rPr>
  </w:style>
  <w:style w:type="paragraph" w:styleId="946" w:customStyle="1">
    <w:name w:val="修订1"/>
    <w:uiPriority w:val="99"/>
    <w:semiHidden/>
    <w:qFormat/>
    <w:rPr>
      <w:rFonts w:ascii="Times New Roman" w:hAnsi="Times New Roman" w:eastAsia="宋体" w:cs="Times New Roman"/>
      <w:sz w:val="21"/>
      <w:lang w:val="en-US" w:eastAsia="zh-CN" w:bidi="ar-SA"/>
    </w:rPr>
  </w:style>
  <w:style w:type="paragraph" w:styleId="947" w:customStyle="1">
    <w:name w:val="列表段落1"/>
    <w:basedOn w:val="789"/>
    <w:uiPriority w:val="34"/>
    <w:qFormat/>
    <w:pPr>
      <w:ind w:firstLine="420"/>
    </w:pPr>
  </w:style>
  <w:style w:type="paragraph" w:styleId="948" w:customStyle="1">
    <w:name w:val="样式 小四 段前: 5 磅 段后: 5 磅 首行缩进:  2 字符"/>
    <w:basedOn w:val="789"/>
    <w:uiPriority w:val="0"/>
    <w:qFormat/>
    <w:pPr>
      <w:spacing w:line="360" w:lineRule="auto"/>
    </w:pPr>
    <w:rPr>
      <w:rFonts w:ascii="宋体" w:hAnsi="宋体"/>
      <w:szCs w:val="21"/>
    </w:rPr>
  </w:style>
  <w:style w:type="table" w:styleId="949" w:customStyle="1">
    <w:name w:val="网格型1"/>
    <w:basedOn w:val="800"/>
    <w:uiPriority w:val="59"/>
    <w:qFormat/>
    <w:tblPr>
      <w:tblCellMar>
        <w:left w:w="108" w:type="dxa"/>
        <w:top w:w="0" w:type="dxa"/>
        <w:right w:w="108" w:type="dxa"/>
        <w:bottom w:w="0" w:type="dxa"/>
      </w:tblCellMar>
    </w:tblPr>
  </w:style>
  <w:style w:type="table" w:styleId="950" w:customStyle="1">
    <w:name w:val="网格型2"/>
    <w:basedOn w:val="800"/>
    <w:uiPriority w:val="39"/>
    <w:qFormat/>
    <w:tblPr>
      <w:tblCellMar>
        <w:left w:w="108" w:type="dxa"/>
        <w:top w:w="0" w:type="dxa"/>
        <w:right w:w="108" w:type="dxa"/>
        <w:bottom w:w="0" w:type="dxa"/>
      </w:tblCellMar>
    </w:tblPr>
  </w:style>
  <w:style w:type="table" w:styleId="951" w:customStyle="1">
    <w:name w:val="网格型3"/>
    <w:basedOn w:val="800"/>
    <w:uiPriority w:val="39"/>
    <w:qFormat/>
    <w:tblPr>
      <w:tblCellMar>
        <w:left w:w="108" w:type="dxa"/>
        <w:top w:w="0" w:type="dxa"/>
        <w:right w:w="108" w:type="dxa"/>
        <w:bottom w:w="0" w:type="dxa"/>
      </w:tblCellMar>
    </w:tblPr>
  </w:style>
  <w:style w:type="table" w:styleId="952" w:customStyle="1">
    <w:name w:val="网格型4"/>
    <w:basedOn w:val="800"/>
    <w:uiPriority w:val="39"/>
    <w:qFormat/>
    <w:tblPr>
      <w:tblCellMar>
        <w:left w:w="108" w:type="dxa"/>
        <w:top w:w="0" w:type="dxa"/>
        <w:right w:w="108" w:type="dxa"/>
        <w:bottom w:w="0" w:type="dxa"/>
      </w:tblCellMar>
    </w:tblPr>
  </w:style>
  <w:style w:type="paragraph" w:styleId="953" w:customStyle="1">
    <w:name w:val="List Paragraph1"/>
    <w:basedOn w:val="789"/>
    <w:uiPriority w:val="0"/>
    <w:qFormat/>
    <w:pPr>
      <w:ind w:firstLine="420"/>
    </w:pPr>
    <w:rPr>
      <w:szCs w:val="21"/>
    </w:rPr>
  </w:style>
  <w:style w:type="paragraph" w:styleId="954" w:customStyle="1">
    <w:name w:val="标题 31"/>
    <w:basedOn w:val="789"/>
    <w:next w:val="789"/>
    <w:link w:val="955"/>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55" w:customStyle="1">
    <w:name w:val="标题 3 Char"/>
    <w:link w:val="954"/>
    <w:uiPriority w:val="0"/>
    <w:qFormat/>
    <w:rPr>
      <w:rFonts w:ascii="Times New Roman" w:hAnsi="Times New Roman" w:eastAsia="宋体" w:cs="Times New Roman"/>
      <w:b/>
      <w:bCs/>
      <w:sz w:val="32"/>
      <w:szCs w:val="32"/>
      <w:lang w:eastAsia="en-US"/>
    </w:rPr>
  </w:style>
  <w:style w:type="character" w:styleId="956" w:customStyle="1">
    <w:name w:val="Heading 1 Char"/>
    <w:uiPriority w:val="9"/>
    <w:qFormat/>
    <w:rPr>
      <w:rFonts w:ascii="Arial" w:hAnsi="Arial" w:eastAsia="Arial" w:cs="Arial"/>
      <w:sz w:val="40"/>
      <w:szCs w:val="40"/>
    </w:rPr>
  </w:style>
  <w:style w:type="character" w:styleId="957" w:customStyle="1">
    <w:name w:val="Heading 2 Char"/>
    <w:uiPriority w:val="9"/>
    <w:qFormat/>
    <w:rPr>
      <w:rFonts w:ascii="Arial" w:hAnsi="Arial" w:eastAsia="Arial" w:cs="Arial"/>
      <w:sz w:val="34"/>
    </w:rPr>
  </w:style>
  <w:style w:type="character" w:styleId="958" w:customStyle="1">
    <w:name w:val="Heading 3 Char"/>
    <w:uiPriority w:val="9"/>
    <w:qFormat/>
    <w:rPr>
      <w:rFonts w:ascii="Arial" w:hAnsi="Arial" w:eastAsia="Arial" w:cs="Arial"/>
      <w:sz w:val="30"/>
      <w:szCs w:val="30"/>
    </w:rPr>
  </w:style>
  <w:style w:type="character" w:styleId="959" w:customStyle="1">
    <w:name w:val="Heading 4 Char"/>
    <w:uiPriority w:val="9"/>
    <w:qFormat/>
    <w:rPr>
      <w:rFonts w:ascii="Arial" w:hAnsi="Arial" w:eastAsia="Arial" w:cs="Arial"/>
      <w:b/>
      <w:bCs/>
      <w:sz w:val="26"/>
      <w:szCs w:val="26"/>
    </w:rPr>
  </w:style>
  <w:style w:type="character" w:styleId="960" w:customStyle="1">
    <w:name w:val="Heading 5 Char"/>
    <w:uiPriority w:val="9"/>
    <w:qFormat/>
    <w:rPr>
      <w:rFonts w:ascii="Arial" w:hAnsi="Arial" w:eastAsia="Arial" w:cs="Arial"/>
      <w:b/>
      <w:bCs/>
      <w:sz w:val="24"/>
      <w:szCs w:val="24"/>
    </w:rPr>
  </w:style>
  <w:style w:type="character" w:styleId="961" w:customStyle="1">
    <w:name w:val="Heading 6 Char"/>
    <w:uiPriority w:val="9"/>
    <w:qFormat/>
    <w:rPr>
      <w:rFonts w:ascii="Arial" w:hAnsi="Arial" w:eastAsia="Arial" w:cs="Arial"/>
      <w:b/>
      <w:bCs/>
      <w:sz w:val="22"/>
      <w:szCs w:val="22"/>
    </w:rPr>
  </w:style>
  <w:style w:type="character" w:styleId="962" w:customStyle="1">
    <w:name w:val="Heading 7 Char"/>
    <w:uiPriority w:val="9"/>
    <w:qFormat/>
    <w:rPr>
      <w:rFonts w:ascii="Arial" w:hAnsi="Arial" w:eastAsia="Arial" w:cs="Arial"/>
      <w:b/>
      <w:bCs/>
      <w:i/>
      <w:iCs/>
      <w:sz w:val="22"/>
      <w:szCs w:val="22"/>
    </w:rPr>
  </w:style>
  <w:style w:type="character" w:styleId="963" w:customStyle="1">
    <w:name w:val="Heading 8 Char"/>
    <w:uiPriority w:val="9"/>
    <w:qFormat/>
    <w:rPr>
      <w:rFonts w:ascii="Arial" w:hAnsi="Arial" w:eastAsia="Arial" w:cs="Arial"/>
      <w:i/>
      <w:iCs/>
      <w:sz w:val="22"/>
      <w:szCs w:val="22"/>
    </w:rPr>
  </w:style>
  <w:style w:type="character" w:styleId="964" w:customStyle="1">
    <w:name w:val="Heading 9 Char"/>
    <w:uiPriority w:val="9"/>
    <w:qFormat/>
    <w:rPr>
      <w:rFonts w:ascii="Arial" w:hAnsi="Arial" w:eastAsia="Arial" w:cs="Arial"/>
      <w:i/>
      <w:iCs/>
      <w:sz w:val="21"/>
      <w:szCs w:val="21"/>
    </w:rPr>
  </w:style>
  <w:style w:type="paragraph" w:styleId="965">
    <w:name w:val="No Spacing"/>
    <w:uiPriority w:val="1"/>
    <w:qFormat/>
    <w:rPr>
      <w:rFonts w:ascii="Calibri" w:hAnsi="Calibri" w:eastAsia="宋体" w:cs="Times New Roman"/>
      <w:lang w:val="en-US" w:eastAsia="zh-CN" w:bidi="ar-SA"/>
    </w:rPr>
  </w:style>
  <w:style w:type="character" w:styleId="966" w:customStyle="1">
    <w:name w:val="Title Char"/>
    <w:uiPriority w:val="10"/>
    <w:qFormat/>
    <w:rPr>
      <w:sz w:val="48"/>
      <w:szCs w:val="48"/>
    </w:rPr>
  </w:style>
  <w:style w:type="character" w:styleId="967" w:customStyle="1">
    <w:name w:val="Subtitle Char"/>
    <w:uiPriority w:val="11"/>
    <w:qFormat/>
    <w:rPr>
      <w:sz w:val="24"/>
      <w:szCs w:val="24"/>
    </w:rPr>
  </w:style>
  <w:style w:type="paragraph" w:styleId="968">
    <w:name w:val="Quote"/>
    <w:basedOn w:val="789"/>
    <w:next w:val="789"/>
    <w:link w:val="969"/>
    <w:uiPriority w:val="29"/>
    <w:qFormat/>
    <w:pPr>
      <w:ind w:left="720" w:right="720"/>
    </w:pPr>
    <w:rPr>
      <w:rFonts w:ascii="Times New Roman" w:hAnsi="Times New Roman" w:eastAsia="宋体"/>
      <w:i/>
      <w:szCs w:val="21"/>
    </w:rPr>
  </w:style>
  <w:style w:type="character" w:styleId="969" w:customStyle="1">
    <w:name w:val="引用 Char"/>
    <w:basedOn w:val="799"/>
    <w:link w:val="968"/>
    <w:uiPriority w:val="29"/>
    <w:qFormat/>
    <w:rPr>
      <w:rFonts w:ascii="Times New Roman" w:hAnsi="Times New Roman" w:eastAsia="宋体" w:cs="Times New Roman"/>
      <w:i/>
      <w:sz w:val="21"/>
      <w:szCs w:val="21"/>
    </w:rPr>
  </w:style>
  <w:style w:type="character" w:styleId="970" w:customStyle="1">
    <w:name w:val="Quote Char"/>
    <w:uiPriority w:val="29"/>
    <w:qFormat/>
    <w:rPr>
      <w:i/>
    </w:rPr>
  </w:style>
  <w:style w:type="paragraph" w:styleId="971">
    <w:name w:val="Intense Quote"/>
    <w:basedOn w:val="789"/>
    <w:next w:val="789"/>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72" w:customStyle="1">
    <w:name w:val="明显引用 Char"/>
    <w:basedOn w:val="799"/>
    <w:link w:val="971"/>
    <w:uiPriority w:val="30"/>
    <w:qFormat/>
    <w:rPr>
      <w:rFonts w:ascii="Times New Roman" w:hAnsi="Times New Roman" w:eastAsia="宋体" w:cs="Times New Roman"/>
      <w:i/>
      <w:sz w:val="21"/>
      <w:szCs w:val="21"/>
      <w:shd w:val="clear" w:color="auto" w:fill="f2f2f2"/>
    </w:rPr>
  </w:style>
  <w:style w:type="character" w:styleId="973" w:customStyle="1">
    <w:name w:val="Intense Quote Char"/>
    <w:uiPriority w:val="30"/>
    <w:qFormat/>
    <w:rPr>
      <w:i/>
    </w:rPr>
  </w:style>
  <w:style w:type="character" w:styleId="974" w:customStyle="1">
    <w:name w:val="Header Char"/>
    <w:uiPriority w:val="99"/>
    <w:qFormat/>
  </w:style>
  <w:style w:type="character" w:styleId="975" w:customStyle="1">
    <w:name w:val="Footer Char"/>
    <w:uiPriority w:val="99"/>
    <w:qFormat/>
  </w:style>
  <w:style w:type="character" w:styleId="976" w:customStyle="1">
    <w:name w:val="Caption Char"/>
    <w:uiPriority w:val="99"/>
    <w:qFormat/>
  </w:style>
  <w:style w:type="character" w:styleId="977" w:customStyle="1">
    <w:name w:val="Footnote Text Char"/>
    <w:uiPriority w:val="99"/>
    <w:qFormat/>
    <w:rPr>
      <w:sz w:val="18"/>
    </w:rPr>
  </w:style>
  <w:style w:type="character" w:styleId="978" w:customStyle="1">
    <w:name w:val="Endnote Text Char"/>
    <w:uiPriority w:val="99"/>
    <w:qFormat/>
    <w:rPr>
      <w:sz w:val="20"/>
    </w:rPr>
  </w:style>
  <w:style w:type="paragraph" w:styleId="979" w:customStyle="1">
    <w:name w:val="目录 71"/>
    <w:basedOn w:val="789"/>
    <w:next w:val="789"/>
    <w:uiPriority w:val="39"/>
    <w:unhideWhenUsed/>
    <w:qFormat/>
    <w:pPr>
      <w:ind w:left="1701"/>
      <w:spacing w:after="57"/>
    </w:pPr>
    <w:rPr>
      <w:rFonts w:ascii="Times New Roman" w:hAnsi="Times New Roman" w:eastAsia="宋体"/>
      <w:szCs w:val="21"/>
    </w:rPr>
  </w:style>
  <w:style w:type="paragraph" w:styleId="980" w:customStyle="1">
    <w:name w:val="目录 51"/>
    <w:basedOn w:val="789"/>
    <w:next w:val="789"/>
    <w:uiPriority w:val="39"/>
    <w:unhideWhenUsed/>
    <w:qFormat/>
    <w:pPr>
      <w:ind w:left="1134"/>
      <w:spacing w:after="57"/>
    </w:pPr>
    <w:rPr>
      <w:rFonts w:ascii="Times New Roman" w:hAnsi="Times New Roman" w:eastAsia="宋体"/>
      <w:szCs w:val="21"/>
    </w:rPr>
  </w:style>
  <w:style w:type="paragraph" w:styleId="981" w:customStyle="1">
    <w:name w:val="目录 31"/>
    <w:basedOn w:val="789"/>
    <w:next w:val="789"/>
    <w:uiPriority w:val="39"/>
    <w:unhideWhenUsed/>
    <w:qFormat/>
    <w:pPr>
      <w:ind w:left="567"/>
      <w:spacing w:after="57"/>
    </w:pPr>
    <w:rPr>
      <w:rFonts w:ascii="Times New Roman" w:hAnsi="Times New Roman" w:eastAsia="宋体"/>
      <w:szCs w:val="21"/>
    </w:rPr>
  </w:style>
  <w:style w:type="paragraph" w:styleId="982" w:customStyle="1">
    <w:name w:val="目录 81"/>
    <w:basedOn w:val="789"/>
    <w:next w:val="789"/>
    <w:uiPriority w:val="39"/>
    <w:unhideWhenUsed/>
    <w:qFormat/>
    <w:pPr>
      <w:ind w:left="1984"/>
      <w:spacing w:after="57"/>
    </w:pPr>
    <w:rPr>
      <w:rFonts w:ascii="Times New Roman" w:hAnsi="Times New Roman" w:eastAsia="宋体"/>
      <w:szCs w:val="21"/>
    </w:rPr>
  </w:style>
  <w:style w:type="character" w:styleId="983" w:customStyle="1">
    <w:name w:val="页脚 字符1"/>
    <w:uiPriority w:val="99"/>
    <w:qFormat/>
  </w:style>
  <w:style w:type="paragraph" w:styleId="984" w:customStyle="1">
    <w:name w:val="目录 11"/>
    <w:basedOn w:val="789"/>
    <w:next w:val="789"/>
    <w:uiPriority w:val="39"/>
    <w:unhideWhenUsed/>
    <w:qFormat/>
    <w:pPr>
      <w:spacing w:after="57"/>
    </w:pPr>
    <w:rPr>
      <w:rFonts w:ascii="Times New Roman" w:hAnsi="Times New Roman" w:eastAsia="宋体"/>
      <w:szCs w:val="21"/>
    </w:rPr>
  </w:style>
  <w:style w:type="paragraph" w:styleId="985" w:customStyle="1">
    <w:name w:val="目录 41"/>
    <w:basedOn w:val="789"/>
    <w:next w:val="789"/>
    <w:uiPriority w:val="39"/>
    <w:unhideWhenUsed/>
    <w:qFormat/>
    <w:pPr>
      <w:ind w:left="850"/>
      <w:spacing w:after="57"/>
    </w:pPr>
    <w:rPr>
      <w:rFonts w:ascii="Times New Roman" w:hAnsi="Times New Roman" w:eastAsia="宋体"/>
      <w:szCs w:val="21"/>
    </w:rPr>
  </w:style>
  <w:style w:type="paragraph" w:styleId="986" w:customStyle="1">
    <w:name w:val="目录 61"/>
    <w:basedOn w:val="789"/>
    <w:next w:val="789"/>
    <w:uiPriority w:val="39"/>
    <w:unhideWhenUsed/>
    <w:qFormat/>
    <w:pPr>
      <w:ind w:left="1417"/>
      <w:spacing w:after="57"/>
    </w:pPr>
    <w:rPr>
      <w:rFonts w:ascii="Times New Roman" w:hAnsi="Times New Roman" w:eastAsia="宋体"/>
      <w:szCs w:val="21"/>
    </w:rPr>
  </w:style>
  <w:style w:type="paragraph" w:styleId="987" w:customStyle="1">
    <w:name w:val="目录 21"/>
    <w:basedOn w:val="789"/>
    <w:next w:val="789"/>
    <w:uiPriority w:val="39"/>
    <w:unhideWhenUsed/>
    <w:qFormat/>
    <w:pPr>
      <w:ind w:left="283"/>
      <w:spacing w:after="57"/>
    </w:pPr>
    <w:rPr>
      <w:rFonts w:ascii="Times New Roman" w:hAnsi="Times New Roman" w:eastAsia="宋体"/>
      <w:szCs w:val="21"/>
    </w:rPr>
  </w:style>
  <w:style w:type="paragraph" w:styleId="988" w:customStyle="1">
    <w:name w:val="目录 91"/>
    <w:basedOn w:val="789"/>
    <w:next w:val="789"/>
    <w:uiPriority w:val="39"/>
    <w:unhideWhenUsed/>
    <w:qFormat/>
    <w:pPr>
      <w:ind w:left="2268"/>
      <w:spacing w:after="57"/>
    </w:pPr>
    <w:rPr>
      <w:rFonts w:ascii="Times New Roman" w:hAnsi="Times New Roman" w:eastAsia="宋体"/>
      <w:szCs w:val="21"/>
    </w:rPr>
  </w:style>
  <w:style w:type="character" w:styleId="989" w:customStyle="1">
    <w:name w:val="font5 Char"/>
    <w:uiPriority w:val="0"/>
    <w:qFormat/>
    <w:rPr>
      <w:rFonts w:ascii="宋体" w:hAnsi="宋体" w:eastAsia="宋体"/>
      <w:sz w:val="28"/>
      <w:szCs w:val="28"/>
      <w:lang w:val="en-US" w:eastAsia="zh-CN" w:bidi="ar-SA"/>
    </w:rPr>
  </w:style>
  <w:style w:type="paragraph" w:styleId="990" w:customStyle="1">
    <w:name w:val="列出段落2"/>
    <w:basedOn w:val="789"/>
    <w:uiPriority w:val="34"/>
    <w:qFormat/>
    <w:pPr>
      <w:contextualSpacing/>
      <w:ind w:left="720"/>
    </w:pPr>
    <w:rPr>
      <w:rFonts w:ascii="Times New Roman" w:hAnsi="Times New Roman" w:eastAsia="宋体"/>
      <w:szCs w:val="21"/>
    </w:rPr>
  </w:style>
  <w:style w:type="table" w:styleId="991" w:customStyle="1">
    <w:name w:val="Table Grid Light"/>
    <w:uiPriority w:val="59"/>
    <w:qFormat/>
    <w:rPr>
      <w:rFonts w:ascii="Calibri" w:hAnsi="Calibri"/>
    </w:rPr>
    <w:tblPr>
      <w:tblCellMar>
        <w:left w:w="0" w:type="dxa"/>
        <w:top w:w="0" w:type="dxa"/>
        <w:right w:w="0" w:type="dxa"/>
        <w:bottom w:w="0" w:type="dxa"/>
      </w:tblCellMar>
    </w:tblPr>
  </w:style>
  <w:style w:type="table" w:styleId="992" w:customStyle="1">
    <w:name w:val="Plain Table 1"/>
    <w:uiPriority w:val="59"/>
    <w:qFormat/>
    <w:rPr>
      <w:rFonts w:ascii="Calibri" w:hAnsi="Calibri"/>
    </w:rPr>
    <w:tblPr>
      <w:tblCellMar>
        <w:left w:w="0" w:type="dxa"/>
        <w:top w:w="0" w:type="dxa"/>
        <w:right w:w="0" w:type="dxa"/>
        <w:bottom w:w="0" w:type="dxa"/>
      </w:tblCellMar>
    </w:tblPr>
  </w:style>
  <w:style w:type="table" w:styleId="993" w:customStyle="1">
    <w:name w:val="Plain Table 2"/>
    <w:uiPriority w:val="59"/>
    <w:qFormat/>
    <w:rPr>
      <w:rFonts w:ascii="Calibri" w:hAnsi="Calibri"/>
    </w:rPr>
    <w:tblPr>
      <w:tblCellMar>
        <w:left w:w="0" w:type="dxa"/>
        <w:top w:w="0" w:type="dxa"/>
        <w:right w:w="0" w:type="dxa"/>
        <w:bottom w:w="0" w:type="dxa"/>
      </w:tblCellMar>
    </w:tblPr>
  </w:style>
  <w:style w:type="table" w:styleId="994" w:customStyle="1">
    <w:name w:val="Plain Table 3"/>
    <w:uiPriority w:val="99"/>
    <w:qFormat/>
    <w:rPr>
      <w:rFonts w:ascii="Calibri" w:hAnsi="Calibri"/>
    </w:rPr>
    <w:tblPr>
      <w:tblCellMar>
        <w:left w:w="0" w:type="dxa"/>
        <w:top w:w="0" w:type="dxa"/>
        <w:right w:w="0" w:type="dxa"/>
        <w:bottom w:w="0" w:type="dxa"/>
      </w:tblCellMar>
    </w:tblPr>
  </w:style>
  <w:style w:type="table" w:styleId="995" w:customStyle="1">
    <w:name w:val="Plain Table 4"/>
    <w:uiPriority w:val="99"/>
    <w:qFormat/>
    <w:rPr>
      <w:rFonts w:ascii="Calibri" w:hAnsi="Calibri"/>
    </w:rPr>
    <w:tblPr>
      <w:tblCellMar>
        <w:left w:w="0" w:type="dxa"/>
        <w:top w:w="0" w:type="dxa"/>
        <w:right w:w="0" w:type="dxa"/>
        <w:bottom w:w="0" w:type="dxa"/>
      </w:tblCellMar>
    </w:tblPr>
  </w:style>
  <w:style w:type="table" w:styleId="996" w:customStyle="1">
    <w:name w:val="Plain Table 5"/>
    <w:uiPriority w:val="99"/>
    <w:qFormat/>
    <w:rPr>
      <w:rFonts w:ascii="Calibri" w:hAnsi="Calibri"/>
    </w:rPr>
    <w:tblPr>
      <w:tblCellMar>
        <w:left w:w="0" w:type="dxa"/>
        <w:top w:w="0" w:type="dxa"/>
        <w:right w:w="0" w:type="dxa"/>
        <w:bottom w:w="0" w:type="dxa"/>
      </w:tblCellMar>
    </w:tblPr>
  </w:style>
  <w:style w:type="table" w:styleId="997" w:customStyle="1">
    <w:name w:val="Grid Table 1 Light"/>
    <w:uiPriority w:val="99"/>
    <w:qFormat/>
    <w:rPr>
      <w:rFonts w:ascii="Calibri" w:hAnsi="Calibri"/>
    </w:rPr>
    <w:tblPr>
      <w:tblCellMar>
        <w:left w:w="0" w:type="dxa"/>
        <w:top w:w="0" w:type="dxa"/>
        <w:right w:w="0" w:type="dxa"/>
        <w:bottom w:w="0" w:type="dxa"/>
      </w:tblCellMar>
    </w:tblPr>
  </w:style>
  <w:style w:type="table" w:styleId="998" w:customStyle="1">
    <w:name w:val="Grid Table 1 Light - Accent 1"/>
    <w:uiPriority w:val="99"/>
    <w:qFormat/>
    <w:rPr>
      <w:rFonts w:ascii="Calibri" w:hAnsi="Calibri"/>
    </w:rPr>
    <w:tblPr>
      <w:tblCellMar>
        <w:left w:w="0" w:type="dxa"/>
        <w:top w:w="0" w:type="dxa"/>
        <w:right w:w="0" w:type="dxa"/>
        <w:bottom w:w="0" w:type="dxa"/>
      </w:tblCellMar>
    </w:tblPr>
  </w:style>
  <w:style w:type="table" w:styleId="999" w:customStyle="1">
    <w:name w:val="Grid Table 1 Light - Accent 2"/>
    <w:uiPriority w:val="99"/>
    <w:qFormat/>
    <w:rPr>
      <w:rFonts w:ascii="Calibri" w:hAnsi="Calibri"/>
    </w:rPr>
    <w:tblPr>
      <w:tblCellMar>
        <w:left w:w="0" w:type="dxa"/>
        <w:top w:w="0" w:type="dxa"/>
        <w:right w:w="0" w:type="dxa"/>
        <w:bottom w:w="0" w:type="dxa"/>
      </w:tblCellMar>
    </w:tblPr>
  </w:style>
  <w:style w:type="table" w:styleId="1000" w:customStyle="1">
    <w:name w:val="Grid Table 1 Light - Accent 3"/>
    <w:uiPriority w:val="99"/>
    <w:qFormat/>
    <w:rPr>
      <w:rFonts w:ascii="Calibri" w:hAnsi="Calibri"/>
    </w:rPr>
    <w:tblPr>
      <w:tblCellMar>
        <w:left w:w="0" w:type="dxa"/>
        <w:top w:w="0" w:type="dxa"/>
        <w:right w:w="0" w:type="dxa"/>
        <w:bottom w:w="0" w:type="dxa"/>
      </w:tblCellMar>
    </w:tblPr>
  </w:style>
  <w:style w:type="table" w:styleId="1001" w:customStyle="1">
    <w:name w:val="Grid Table 1 Light - Accent 4"/>
    <w:uiPriority w:val="99"/>
    <w:qFormat/>
    <w:rPr>
      <w:rFonts w:ascii="Calibri" w:hAnsi="Calibri"/>
    </w:rPr>
    <w:tblPr>
      <w:tblCellMar>
        <w:left w:w="0" w:type="dxa"/>
        <w:top w:w="0" w:type="dxa"/>
        <w:right w:w="0" w:type="dxa"/>
        <w:bottom w:w="0" w:type="dxa"/>
      </w:tblCellMar>
    </w:tblPr>
  </w:style>
  <w:style w:type="table" w:styleId="1002" w:customStyle="1">
    <w:name w:val="Grid Table 1 Light - Accent 5"/>
    <w:uiPriority w:val="99"/>
    <w:qFormat/>
    <w:rPr>
      <w:rFonts w:ascii="Calibri" w:hAnsi="Calibri"/>
    </w:rPr>
    <w:tblPr>
      <w:tblCellMar>
        <w:left w:w="0" w:type="dxa"/>
        <w:top w:w="0" w:type="dxa"/>
        <w:right w:w="0" w:type="dxa"/>
        <w:bottom w:w="0" w:type="dxa"/>
      </w:tblCellMar>
    </w:tblPr>
  </w:style>
  <w:style w:type="table" w:styleId="1003" w:customStyle="1">
    <w:name w:val="Grid Table 1 Light - Accent 6"/>
    <w:uiPriority w:val="99"/>
    <w:qFormat/>
    <w:rPr>
      <w:rFonts w:ascii="Calibri" w:hAnsi="Calibri"/>
    </w:rPr>
    <w:tblPr>
      <w:tblCellMar>
        <w:left w:w="0" w:type="dxa"/>
        <w:top w:w="0" w:type="dxa"/>
        <w:right w:w="0" w:type="dxa"/>
        <w:bottom w:w="0" w:type="dxa"/>
      </w:tblCellMar>
    </w:tblPr>
  </w:style>
  <w:style w:type="table" w:styleId="1004" w:customStyle="1">
    <w:name w:val="Grid Table 2"/>
    <w:uiPriority w:val="99"/>
    <w:qFormat/>
    <w:rPr>
      <w:rFonts w:ascii="Calibri" w:hAnsi="Calibri"/>
    </w:rPr>
    <w:tblPr>
      <w:tblCellMar>
        <w:left w:w="0" w:type="dxa"/>
        <w:top w:w="0" w:type="dxa"/>
        <w:right w:w="0" w:type="dxa"/>
        <w:bottom w:w="0" w:type="dxa"/>
      </w:tblCellMar>
    </w:tblPr>
  </w:style>
  <w:style w:type="table" w:styleId="1005" w:customStyle="1">
    <w:name w:val="Grid Table 2 - Accent 1"/>
    <w:uiPriority w:val="99"/>
    <w:qFormat/>
    <w:rPr>
      <w:rFonts w:ascii="Calibri" w:hAnsi="Calibri"/>
    </w:rPr>
    <w:tblPr>
      <w:tblCellMar>
        <w:left w:w="0" w:type="dxa"/>
        <w:top w:w="0" w:type="dxa"/>
        <w:right w:w="0" w:type="dxa"/>
        <w:bottom w:w="0" w:type="dxa"/>
      </w:tblCellMar>
    </w:tblPr>
  </w:style>
  <w:style w:type="table" w:styleId="1006" w:customStyle="1">
    <w:name w:val="Grid Table 2 - Accent 2"/>
    <w:uiPriority w:val="99"/>
    <w:qFormat/>
    <w:rPr>
      <w:rFonts w:ascii="Calibri" w:hAnsi="Calibri"/>
    </w:rPr>
    <w:tblPr>
      <w:tblCellMar>
        <w:left w:w="0" w:type="dxa"/>
        <w:top w:w="0" w:type="dxa"/>
        <w:right w:w="0" w:type="dxa"/>
        <w:bottom w:w="0" w:type="dxa"/>
      </w:tblCellMar>
    </w:tblPr>
  </w:style>
  <w:style w:type="table" w:styleId="1007" w:customStyle="1">
    <w:name w:val="Grid Table 2 - Accent 3"/>
    <w:uiPriority w:val="99"/>
    <w:qFormat/>
    <w:rPr>
      <w:rFonts w:ascii="Calibri" w:hAnsi="Calibri"/>
    </w:rPr>
    <w:tblPr>
      <w:tblCellMar>
        <w:left w:w="0" w:type="dxa"/>
        <w:top w:w="0" w:type="dxa"/>
        <w:right w:w="0" w:type="dxa"/>
        <w:bottom w:w="0" w:type="dxa"/>
      </w:tblCellMar>
    </w:tblPr>
  </w:style>
  <w:style w:type="table" w:styleId="1008" w:customStyle="1">
    <w:name w:val="Grid Table 2 - Accent 4"/>
    <w:uiPriority w:val="99"/>
    <w:qFormat/>
    <w:rPr>
      <w:rFonts w:ascii="Calibri" w:hAnsi="Calibri"/>
    </w:rPr>
    <w:tblPr>
      <w:tblCellMar>
        <w:left w:w="0" w:type="dxa"/>
        <w:top w:w="0" w:type="dxa"/>
        <w:right w:w="0" w:type="dxa"/>
        <w:bottom w:w="0" w:type="dxa"/>
      </w:tblCellMar>
    </w:tblPr>
  </w:style>
  <w:style w:type="table" w:styleId="1009" w:customStyle="1">
    <w:name w:val="Grid Table 2 - Accent 5"/>
    <w:uiPriority w:val="99"/>
    <w:qFormat/>
    <w:rPr>
      <w:rFonts w:ascii="Calibri" w:hAnsi="Calibri"/>
    </w:rPr>
    <w:tblPr>
      <w:tblCellMar>
        <w:left w:w="0" w:type="dxa"/>
        <w:top w:w="0" w:type="dxa"/>
        <w:right w:w="0" w:type="dxa"/>
        <w:bottom w:w="0" w:type="dxa"/>
      </w:tblCellMar>
    </w:tblPr>
  </w:style>
  <w:style w:type="table" w:styleId="1010" w:customStyle="1">
    <w:name w:val="Grid Table 2 - Accent 6"/>
    <w:uiPriority w:val="99"/>
    <w:qFormat/>
    <w:rPr>
      <w:rFonts w:ascii="Calibri" w:hAnsi="Calibri"/>
    </w:rPr>
    <w:tblPr>
      <w:tblCellMar>
        <w:left w:w="0" w:type="dxa"/>
        <w:top w:w="0" w:type="dxa"/>
        <w:right w:w="0" w:type="dxa"/>
        <w:bottom w:w="0" w:type="dxa"/>
      </w:tblCellMar>
    </w:tblPr>
  </w:style>
  <w:style w:type="table" w:styleId="1011" w:customStyle="1">
    <w:name w:val="Grid Table 3"/>
    <w:uiPriority w:val="99"/>
    <w:qFormat/>
    <w:rPr>
      <w:rFonts w:ascii="Calibri" w:hAnsi="Calibri"/>
    </w:rPr>
    <w:tblPr>
      <w:tblCellMar>
        <w:left w:w="0" w:type="dxa"/>
        <w:top w:w="0" w:type="dxa"/>
        <w:right w:w="0" w:type="dxa"/>
        <w:bottom w:w="0" w:type="dxa"/>
      </w:tblCellMar>
    </w:tblPr>
  </w:style>
  <w:style w:type="table" w:styleId="1012" w:customStyle="1">
    <w:name w:val="Grid Table 3 - Accent 1"/>
    <w:uiPriority w:val="99"/>
    <w:qFormat/>
    <w:rPr>
      <w:rFonts w:ascii="Calibri" w:hAnsi="Calibri"/>
    </w:rPr>
    <w:tblPr>
      <w:tblCellMar>
        <w:left w:w="0" w:type="dxa"/>
        <w:top w:w="0" w:type="dxa"/>
        <w:right w:w="0" w:type="dxa"/>
        <w:bottom w:w="0" w:type="dxa"/>
      </w:tblCellMar>
    </w:tblPr>
  </w:style>
  <w:style w:type="table" w:styleId="1013" w:customStyle="1">
    <w:name w:val="Grid Table 3 - Accent 2"/>
    <w:uiPriority w:val="99"/>
    <w:qFormat/>
    <w:rPr>
      <w:rFonts w:ascii="Calibri" w:hAnsi="Calibri"/>
    </w:rPr>
    <w:tblPr>
      <w:tblCellMar>
        <w:left w:w="0" w:type="dxa"/>
        <w:top w:w="0" w:type="dxa"/>
        <w:right w:w="0" w:type="dxa"/>
        <w:bottom w:w="0" w:type="dxa"/>
      </w:tblCellMar>
    </w:tblPr>
  </w:style>
  <w:style w:type="table" w:styleId="1014" w:customStyle="1">
    <w:name w:val="Grid Table 3 - Accent 3"/>
    <w:uiPriority w:val="99"/>
    <w:qFormat/>
    <w:rPr>
      <w:rFonts w:ascii="Calibri" w:hAnsi="Calibri"/>
    </w:rPr>
    <w:tblPr>
      <w:tblCellMar>
        <w:left w:w="0" w:type="dxa"/>
        <w:top w:w="0" w:type="dxa"/>
        <w:right w:w="0" w:type="dxa"/>
        <w:bottom w:w="0" w:type="dxa"/>
      </w:tblCellMar>
    </w:tblPr>
  </w:style>
  <w:style w:type="table" w:styleId="1015" w:customStyle="1">
    <w:name w:val="Grid Table 3 - Accent 4"/>
    <w:uiPriority w:val="99"/>
    <w:qFormat/>
    <w:rPr>
      <w:rFonts w:ascii="Calibri" w:hAnsi="Calibri"/>
    </w:rPr>
    <w:tblPr>
      <w:tblCellMar>
        <w:left w:w="0" w:type="dxa"/>
        <w:top w:w="0" w:type="dxa"/>
        <w:right w:w="0" w:type="dxa"/>
        <w:bottom w:w="0" w:type="dxa"/>
      </w:tblCellMar>
    </w:tblPr>
  </w:style>
  <w:style w:type="table" w:styleId="1016" w:customStyle="1">
    <w:name w:val="Grid Table 3 - Accent 5"/>
    <w:uiPriority w:val="99"/>
    <w:qFormat/>
    <w:rPr>
      <w:rFonts w:ascii="Calibri" w:hAnsi="Calibri"/>
    </w:rPr>
    <w:tblPr>
      <w:tblCellMar>
        <w:left w:w="0" w:type="dxa"/>
        <w:top w:w="0" w:type="dxa"/>
        <w:right w:w="0" w:type="dxa"/>
        <w:bottom w:w="0" w:type="dxa"/>
      </w:tblCellMar>
    </w:tblPr>
  </w:style>
  <w:style w:type="table" w:styleId="1017" w:customStyle="1">
    <w:name w:val="Grid Table 3 - Accent 6"/>
    <w:uiPriority w:val="99"/>
    <w:qFormat/>
    <w:rPr>
      <w:rFonts w:ascii="Calibri" w:hAnsi="Calibri"/>
    </w:rPr>
    <w:tblPr>
      <w:tblCellMar>
        <w:left w:w="0" w:type="dxa"/>
        <w:top w:w="0" w:type="dxa"/>
        <w:right w:w="0" w:type="dxa"/>
        <w:bottom w:w="0" w:type="dxa"/>
      </w:tblCellMar>
    </w:tblPr>
  </w:style>
  <w:style w:type="table" w:styleId="1018" w:customStyle="1">
    <w:name w:val="Grid Table 4"/>
    <w:uiPriority w:val="59"/>
    <w:qFormat/>
    <w:rPr>
      <w:rFonts w:ascii="Calibri" w:hAnsi="Calibri"/>
    </w:rPr>
    <w:tblPr>
      <w:tblCellMar>
        <w:left w:w="0" w:type="dxa"/>
        <w:top w:w="0" w:type="dxa"/>
        <w:right w:w="0" w:type="dxa"/>
        <w:bottom w:w="0" w:type="dxa"/>
      </w:tblCellMar>
    </w:tblPr>
  </w:style>
  <w:style w:type="table" w:styleId="1019" w:customStyle="1">
    <w:name w:val="Grid Table 4 - Accent 1"/>
    <w:uiPriority w:val="59"/>
    <w:qFormat/>
    <w:rPr>
      <w:rFonts w:ascii="Calibri" w:hAnsi="Calibri"/>
    </w:rPr>
    <w:tblPr>
      <w:tblCellMar>
        <w:left w:w="0" w:type="dxa"/>
        <w:top w:w="0" w:type="dxa"/>
        <w:right w:w="0" w:type="dxa"/>
        <w:bottom w:w="0" w:type="dxa"/>
      </w:tblCellMar>
    </w:tblPr>
  </w:style>
  <w:style w:type="table" w:styleId="1020" w:customStyle="1">
    <w:name w:val="Grid Table 4 - Accent 2"/>
    <w:uiPriority w:val="59"/>
    <w:qFormat/>
    <w:rPr>
      <w:rFonts w:ascii="Calibri" w:hAnsi="Calibri"/>
    </w:rPr>
    <w:tblPr>
      <w:tblCellMar>
        <w:left w:w="0" w:type="dxa"/>
        <w:top w:w="0" w:type="dxa"/>
        <w:right w:w="0" w:type="dxa"/>
        <w:bottom w:w="0" w:type="dxa"/>
      </w:tblCellMar>
    </w:tblPr>
  </w:style>
  <w:style w:type="table" w:styleId="1021" w:customStyle="1">
    <w:name w:val="Grid Table 4 - Accent 3"/>
    <w:uiPriority w:val="59"/>
    <w:qFormat/>
    <w:rPr>
      <w:rFonts w:ascii="Calibri" w:hAnsi="Calibri"/>
    </w:rPr>
    <w:tblPr>
      <w:tblCellMar>
        <w:left w:w="0" w:type="dxa"/>
        <w:top w:w="0" w:type="dxa"/>
        <w:right w:w="0" w:type="dxa"/>
        <w:bottom w:w="0" w:type="dxa"/>
      </w:tblCellMar>
    </w:tblPr>
  </w:style>
  <w:style w:type="table" w:styleId="1022" w:customStyle="1">
    <w:name w:val="Grid Table 4 - Accent 4"/>
    <w:uiPriority w:val="59"/>
    <w:qFormat/>
    <w:rPr>
      <w:rFonts w:ascii="Calibri" w:hAnsi="Calibri"/>
    </w:rPr>
    <w:tblPr>
      <w:tblCellMar>
        <w:left w:w="0" w:type="dxa"/>
        <w:top w:w="0" w:type="dxa"/>
        <w:right w:w="0" w:type="dxa"/>
        <w:bottom w:w="0" w:type="dxa"/>
      </w:tblCellMar>
    </w:tblPr>
  </w:style>
  <w:style w:type="table" w:styleId="1023" w:customStyle="1">
    <w:name w:val="Grid Table 4 - Accent 5"/>
    <w:uiPriority w:val="59"/>
    <w:qFormat/>
    <w:rPr>
      <w:rFonts w:ascii="Calibri" w:hAnsi="Calibri"/>
    </w:rPr>
    <w:tblPr>
      <w:tblCellMar>
        <w:left w:w="0" w:type="dxa"/>
        <w:top w:w="0" w:type="dxa"/>
        <w:right w:w="0" w:type="dxa"/>
        <w:bottom w:w="0" w:type="dxa"/>
      </w:tblCellMar>
    </w:tblPr>
  </w:style>
  <w:style w:type="table" w:styleId="1024" w:customStyle="1">
    <w:name w:val="Grid Table 4 - Accent 6"/>
    <w:uiPriority w:val="59"/>
    <w:qFormat/>
    <w:rPr>
      <w:rFonts w:ascii="Calibri" w:hAnsi="Calibri"/>
    </w:rPr>
    <w:tblPr>
      <w:tblCellMar>
        <w:left w:w="0" w:type="dxa"/>
        <w:top w:w="0" w:type="dxa"/>
        <w:right w:w="0" w:type="dxa"/>
        <w:bottom w:w="0" w:type="dxa"/>
      </w:tblCellMar>
    </w:tblPr>
  </w:style>
  <w:style w:type="table" w:styleId="1025" w:customStyle="1">
    <w:name w:val="Grid Table 5 Dark"/>
    <w:uiPriority w:val="99"/>
    <w:qFormat/>
    <w:rPr>
      <w:rFonts w:ascii="Calibri" w:hAnsi="Calibri"/>
    </w:rPr>
    <w:tblPr>
      <w:tblCellMar>
        <w:left w:w="0" w:type="dxa"/>
        <w:top w:w="0" w:type="dxa"/>
        <w:right w:w="0" w:type="dxa"/>
        <w:bottom w:w="0" w:type="dxa"/>
      </w:tblCellMar>
    </w:tblPr>
  </w:style>
  <w:style w:type="table" w:styleId="1026" w:customStyle="1">
    <w:name w:val="Grid Table 5 Dark- Accent 1"/>
    <w:uiPriority w:val="99"/>
    <w:qFormat/>
    <w:rPr>
      <w:rFonts w:ascii="Calibri" w:hAnsi="Calibri"/>
    </w:rPr>
    <w:tblPr>
      <w:tblCellMar>
        <w:left w:w="0" w:type="dxa"/>
        <w:top w:w="0" w:type="dxa"/>
        <w:right w:w="0" w:type="dxa"/>
        <w:bottom w:w="0" w:type="dxa"/>
      </w:tblCellMar>
    </w:tblPr>
  </w:style>
  <w:style w:type="table" w:styleId="1027" w:customStyle="1">
    <w:name w:val="Grid Table 5 Dark - Accent 2"/>
    <w:uiPriority w:val="99"/>
    <w:qFormat/>
    <w:rPr>
      <w:rFonts w:ascii="Calibri" w:hAnsi="Calibri"/>
    </w:rPr>
    <w:tblPr>
      <w:tblCellMar>
        <w:left w:w="0" w:type="dxa"/>
        <w:top w:w="0" w:type="dxa"/>
        <w:right w:w="0" w:type="dxa"/>
        <w:bottom w:w="0" w:type="dxa"/>
      </w:tblCellMar>
    </w:tblPr>
  </w:style>
  <w:style w:type="table" w:styleId="1028" w:customStyle="1">
    <w:name w:val="Grid Table 5 Dark - Accent 3"/>
    <w:uiPriority w:val="99"/>
    <w:qFormat/>
    <w:rPr>
      <w:rFonts w:ascii="Calibri" w:hAnsi="Calibri"/>
    </w:rPr>
    <w:tblPr>
      <w:tblCellMar>
        <w:left w:w="0" w:type="dxa"/>
        <w:top w:w="0" w:type="dxa"/>
        <w:right w:w="0" w:type="dxa"/>
        <w:bottom w:w="0" w:type="dxa"/>
      </w:tblCellMar>
    </w:tblPr>
  </w:style>
  <w:style w:type="table" w:styleId="1029" w:customStyle="1">
    <w:name w:val="Grid Table 5 Dark- Accent 4"/>
    <w:uiPriority w:val="99"/>
    <w:qFormat/>
    <w:rPr>
      <w:rFonts w:ascii="Calibri" w:hAnsi="Calibri"/>
    </w:rPr>
    <w:tblPr>
      <w:tblCellMar>
        <w:left w:w="0" w:type="dxa"/>
        <w:top w:w="0" w:type="dxa"/>
        <w:right w:w="0" w:type="dxa"/>
        <w:bottom w:w="0" w:type="dxa"/>
      </w:tblCellMar>
    </w:tblPr>
  </w:style>
  <w:style w:type="table" w:styleId="1030" w:customStyle="1">
    <w:name w:val="Grid Table 5 Dark - Accent 5"/>
    <w:uiPriority w:val="99"/>
    <w:qFormat/>
    <w:rPr>
      <w:rFonts w:ascii="Calibri" w:hAnsi="Calibri"/>
    </w:rPr>
    <w:tblPr>
      <w:tblCellMar>
        <w:left w:w="0" w:type="dxa"/>
        <w:top w:w="0" w:type="dxa"/>
        <w:right w:w="0" w:type="dxa"/>
        <w:bottom w:w="0" w:type="dxa"/>
      </w:tblCellMar>
    </w:tblPr>
  </w:style>
  <w:style w:type="table" w:styleId="1031" w:customStyle="1">
    <w:name w:val="Grid Table 5 Dark - Accent 6"/>
    <w:uiPriority w:val="99"/>
    <w:qFormat/>
    <w:rPr>
      <w:rFonts w:ascii="Calibri" w:hAnsi="Calibri"/>
    </w:rPr>
    <w:tblPr>
      <w:tblCellMar>
        <w:left w:w="0" w:type="dxa"/>
        <w:top w:w="0" w:type="dxa"/>
        <w:right w:w="0" w:type="dxa"/>
        <w:bottom w:w="0" w:type="dxa"/>
      </w:tblCellMar>
    </w:tblPr>
  </w:style>
  <w:style w:type="table" w:styleId="1032" w:customStyle="1">
    <w:name w:val="Grid Table 6 Colorful"/>
    <w:uiPriority w:val="99"/>
    <w:qFormat/>
    <w:rPr>
      <w:rFonts w:ascii="Calibri" w:hAnsi="Calibri"/>
    </w:rPr>
    <w:tblPr>
      <w:tblCellMar>
        <w:left w:w="0" w:type="dxa"/>
        <w:top w:w="0" w:type="dxa"/>
        <w:right w:w="0" w:type="dxa"/>
        <w:bottom w:w="0" w:type="dxa"/>
      </w:tblCellMar>
    </w:tblPr>
  </w:style>
  <w:style w:type="table" w:styleId="103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3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3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3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3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3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39" w:customStyle="1">
    <w:name w:val="Grid Table 7 Colorful"/>
    <w:uiPriority w:val="99"/>
    <w:qFormat/>
    <w:rPr>
      <w:rFonts w:ascii="Calibri" w:hAnsi="Calibri"/>
    </w:rPr>
    <w:tblPr>
      <w:tblCellMar>
        <w:left w:w="0" w:type="dxa"/>
        <w:top w:w="0" w:type="dxa"/>
        <w:right w:w="0" w:type="dxa"/>
        <w:bottom w:w="0" w:type="dxa"/>
      </w:tblCellMar>
    </w:tblPr>
  </w:style>
  <w:style w:type="table" w:styleId="104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4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4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4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4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4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46" w:customStyle="1">
    <w:name w:val="List Table 1 Light"/>
    <w:uiPriority w:val="99"/>
    <w:qFormat/>
    <w:rPr>
      <w:rFonts w:ascii="Calibri" w:hAnsi="Calibri"/>
    </w:rPr>
    <w:tblPr>
      <w:tblCellMar>
        <w:left w:w="0" w:type="dxa"/>
        <w:top w:w="0" w:type="dxa"/>
        <w:right w:w="0" w:type="dxa"/>
        <w:bottom w:w="0" w:type="dxa"/>
      </w:tblCellMar>
    </w:tblPr>
  </w:style>
  <w:style w:type="table" w:styleId="1047" w:customStyle="1">
    <w:name w:val="List Table 1 Light - Accent 1"/>
    <w:uiPriority w:val="99"/>
    <w:qFormat/>
    <w:rPr>
      <w:rFonts w:ascii="Calibri" w:hAnsi="Calibri"/>
    </w:rPr>
    <w:tblPr>
      <w:tblCellMar>
        <w:left w:w="0" w:type="dxa"/>
        <w:top w:w="0" w:type="dxa"/>
        <w:right w:w="0" w:type="dxa"/>
        <w:bottom w:w="0" w:type="dxa"/>
      </w:tblCellMar>
    </w:tblPr>
  </w:style>
  <w:style w:type="table" w:styleId="1048" w:customStyle="1">
    <w:name w:val="List Table 1 Light - Accent 2"/>
    <w:uiPriority w:val="99"/>
    <w:qFormat/>
    <w:rPr>
      <w:rFonts w:ascii="Calibri" w:hAnsi="Calibri"/>
    </w:rPr>
    <w:tblPr>
      <w:tblCellMar>
        <w:left w:w="0" w:type="dxa"/>
        <w:top w:w="0" w:type="dxa"/>
        <w:right w:w="0" w:type="dxa"/>
        <w:bottom w:w="0" w:type="dxa"/>
      </w:tblCellMar>
    </w:tblPr>
  </w:style>
  <w:style w:type="table" w:styleId="1049"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0" w:customStyle="1">
    <w:name w:val="List Table 1 Light - Accent 4"/>
    <w:uiPriority w:val="99"/>
    <w:qFormat/>
    <w:rPr>
      <w:rFonts w:ascii="Calibri" w:hAnsi="Calibri"/>
    </w:rPr>
    <w:tblPr>
      <w:tblCellMar>
        <w:left w:w="0" w:type="dxa"/>
        <w:top w:w="0" w:type="dxa"/>
        <w:right w:w="0" w:type="dxa"/>
        <w:bottom w:w="0" w:type="dxa"/>
      </w:tblCellMar>
    </w:tblPr>
  </w:style>
  <w:style w:type="table" w:styleId="1051" w:customStyle="1">
    <w:name w:val="List Table 1 Light - Accent 5"/>
    <w:uiPriority w:val="99"/>
    <w:qFormat/>
    <w:rPr>
      <w:rFonts w:ascii="Calibri" w:hAnsi="Calibri"/>
    </w:rPr>
    <w:tblPr>
      <w:tblCellMar>
        <w:left w:w="0" w:type="dxa"/>
        <w:top w:w="0" w:type="dxa"/>
        <w:right w:w="0" w:type="dxa"/>
        <w:bottom w:w="0" w:type="dxa"/>
      </w:tblCellMar>
    </w:tblPr>
  </w:style>
  <w:style w:type="table" w:styleId="1052" w:customStyle="1">
    <w:name w:val="List Table 1 Light - Accent 6"/>
    <w:uiPriority w:val="99"/>
    <w:qFormat/>
    <w:rPr>
      <w:rFonts w:ascii="Calibri" w:hAnsi="Calibri"/>
    </w:rPr>
    <w:tblPr>
      <w:tblCellMar>
        <w:left w:w="0" w:type="dxa"/>
        <w:top w:w="0" w:type="dxa"/>
        <w:right w:w="0" w:type="dxa"/>
        <w:bottom w:w="0" w:type="dxa"/>
      </w:tblCellMar>
    </w:tblPr>
  </w:style>
  <w:style w:type="table" w:styleId="1053" w:customStyle="1">
    <w:name w:val="List Table 2"/>
    <w:uiPriority w:val="99"/>
    <w:qFormat/>
    <w:rPr>
      <w:rFonts w:ascii="Calibri" w:hAnsi="Calibri"/>
    </w:rPr>
    <w:tblPr>
      <w:tblCellMar>
        <w:left w:w="0" w:type="dxa"/>
        <w:top w:w="0" w:type="dxa"/>
        <w:right w:w="0" w:type="dxa"/>
        <w:bottom w:w="0" w:type="dxa"/>
      </w:tblCellMar>
    </w:tblPr>
  </w:style>
  <w:style w:type="table" w:styleId="1054" w:customStyle="1">
    <w:name w:val="List Table 2 - Accent 1"/>
    <w:uiPriority w:val="99"/>
    <w:qFormat/>
    <w:rPr>
      <w:rFonts w:ascii="Calibri" w:hAnsi="Calibri"/>
    </w:rPr>
    <w:tblPr>
      <w:tblCellMar>
        <w:left w:w="0" w:type="dxa"/>
        <w:top w:w="0" w:type="dxa"/>
        <w:right w:w="0" w:type="dxa"/>
        <w:bottom w:w="0" w:type="dxa"/>
      </w:tblCellMar>
    </w:tblPr>
  </w:style>
  <w:style w:type="table" w:styleId="1055" w:customStyle="1">
    <w:name w:val="List Table 2 - Accent 2"/>
    <w:uiPriority w:val="99"/>
    <w:qFormat/>
    <w:rPr>
      <w:rFonts w:ascii="Calibri" w:hAnsi="Calibri"/>
    </w:rPr>
    <w:tblPr>
      <w:tblCellMar>
        <w:left w:w="0" w:type="dxa"/>
        <w:top w:w="0" w:type="dxa"/>
        <w:right w:w="0" w:type="dxa"/>
        <w:bottom w:w="0" w:type="dxa"/>
      </w:tblCellMar>
    </w:tblPr>
  </w:style>
  <w:style w:type="table" w:styleId="1056" w:customStyle="1">
    <w:name w:val="List Table 2 - Accent 3"/>
    <w:uiPriority w:val="99"/>
    <w:qFormat/>
    <w:rPr>
      <w:rFonts w:ascii="Calibri" w:hAnsi="Calibri"/>
    </w:rPr>
    <w:tblPr>
      <w:tblCellMar>
        <w:left w:w="0" w:type="dxa"/>
        <w:top w:w="0" w:type="dxa"/>
        <w:right w:w="0" w:type="dxa"/>
        <w:bottom w:w="0" w:type="dxa"/>
      </w:tblCellMar>
    </w:tblPr>
  </w:style>
  <w:style w:type="table" w:styleId="1057" w:customStyle="1">
    <w:name w:val="List Table 2 - Accent 4"/>
    <w:uiPriority w:val="99"/>
    <w:qFormat/>
    <w:rPr>
      <w:rFonts w:ascii="Calibri" w:hAnsi="Calibri"/>
    </w:rPr>
    <w:tblPr>
      <w:tblCellMar>
        <w:left w:w="0" w:type="dxa"/>
        <w:top w:w="0" w:type="dxa"/>
        <w:right w:w="0" w:type="dxa"/>
        <w:bottom w:w="0" w:type="dxa"/>
      </w:tblCellMar>
    </w:tblPr>
  </w:style>
  <w:style w:type="table" w:styleId="1058" w:customStyle="1">
    <w:name w:val="List Table 2 - Accent 5"/>
    <w:uiPriority w:val="99"/>
    <w:qFormat/>
    <w:rPr>
      <w:rFonts w:ascii="Calibri" w:hAnsi="Calibri"/>
    </w:rPr>
    <w:tblPr>
      <w:tblCellMar>
        <w:left w:w="0" w:type="dxa"/>
        <w:top w:w="0" w:type="dxa"/>
        <w:right w:w="0" w:type="dxa"/>
        <w:bottom w:w="0" w:type="dxa"/>
      </w:tblCellMar>
    </w:tblPr>
  </w:style>
  <w:style w:type="table" w:styleId="1059" w:customStyle="1">
    <w:name w:val="List Table 2 - Accent 6"/>
    <w:uiPriority w:val="99"/>
    <w:qFormat/>
    <w:rPr>
      <w:rFonts w:ascii="Calibri" w:hAnsi="Calibri"/>
    </w:rPr>
    <w:tblPr>
      <w:tblCellMar>
        <w:left w:w="0" w:type="dxa"/>
        <w:top w:w="0" w:type="dxa"/>
        <w:right w:w="0" w:type="dxa"/>
        <w:bottom w:w="0" w:type="dxa"/>
      </w:tblCellMar>
    </w:tblPr>
  </w:style>
  <w:style w:type="table" w:styleId="1060" w:customStyle="1">
    <w:name w:val="List Table 3"/>
    <w:uiPriority w:val="99"/>
    <w:qFormat/>
    <w:rPr>
      <w:rFonts w:ascii="Calibri" w:hAnsi="Calibri"/>
    </w:rPr>
    <w:tblPr>
      <w:tblCellMar>
        <w:left w:w="0" w:type="dxa"/>
        <w:top w:w="0" w:type="dxa"/>
        <w:right w:w="0" w:type="dxa"/>
        <w:bottom w:w="0" w:type="dxa"/>
      </w:tblCellMar>
    </w:tblPr>
  </w:style>
  <w:style w:type="table" w:styleId="1061" w:customStyle="1">
    <w:name w:val="List Table 3 - Accent 1"/>
    <w:uiPriority w:val="99"/>
    <w:qFormat/>
    <w:rPr>
      <w:rFonts w:ascii="Calibri" w:hAnsi="Calibri"/>
    </w:rPr>
    <w:tblPr>
      <w:tblCellMar>
        <w:left w:w="0" w:type="dxa"/>
        <w:top w:w="0" w:type="dxa"/>
        <w:right w:w="0" w:type="dxa"/>
        <w:bottom w:w="0" w:type="dxa"/>
      </w:tblCellMar>
    </w:tblPr>
  </w:style>
  <w:style w:type="table" w:styleId="1062" w:customStyle="1">
    <w:name w:val="List Table 3 - Accent 2"/>
    <w:uiPriority w:val="99"/>
    <w:qFormat/>
    <w:rPr>
      <w:rFonts w:ascii="Calibri" w:hAnsi="Calibri"/>
    </w:rPr>
    <w:tblPr>
      <w:tblCellMar>
        <w:left w:w="0" w:type="dxa"/>
        <w:top w:w="0" w:type="dxa"/>
        <w:right w:w="0" w:type="dxa"/>
        <w:bottom w:w="0" w:type="dxa"/>
      </w:tblCellMar>
    </w:tblPr>
  </w:style>
  <w:style w:type="table" w:styleId="1063" w:customStyle="1">
    <w:name w:val="List Table 3 - Accent 3"/>
    <w:uiPriority w:val="99"/>
    <w:qFormat/>
    <w:rPr>
      <w:rFonts w:ascii="Calibri" w:hAnsi="Calibri"/>
    </w:rPr>
    <w:tblPr>
      <w:tblCellMar>
        <w:left w:w="0" w:type="dxa"/>
        <w:top w:w="0" w:type="dxa"/>
        <w:right w:w="0" w:type="dxa"/>
        <w:bottom w:w="0" w:type="dxa"/>
      </w:tblCellMar>
    </w:tblPr>
  </w:style>
  <w:style w:type="table" w:styleId="1064" w:customStyle="1">
    <w:name w:val="List Table 3 - Accent 4"/>
    <w:uiPriority w:val="99"/>
    <w:qFormat/>
    <w:rPr>
      <w:rFonts w:ascii="Calibri" w:hAnsi="Calibri"/>
    </w:rPr>
    <w:tblPr>
      <w:tblCellMar>
        <w:left w:w="0" w:type="dxa"/>
        <w:top w:w="0" w:type="dxa"/>
        <w:right w:w="0" w:type="dxa"/>
        <w:bottom w:w="0" w:type="dxa"/>
      </w:tblCellMar>
    </w:tblPr>
  </w:style>
  <w:style w:type="table" w:styleId="1065" w:customStyle="1">
    <w:name w:val="List Table 3 - Accent 5"/>
    <w:uiPriority w:val="99"/>
    <w:qFormat/>
    <w:rPr>
      <w:rFonts w:ascii="Calibri" w:hAnsi="Calibri"/>
    </w:rPr>
    <w:tblPr>
      <w:tblCellMar>
        <w:left w:w="0" w:type="dxa"/>
        <w:top w:w="0" w:type="dxa"/>
        <w:right w:w="0" w:type="dxa"/>
        <w:bottom w:w="0" w:type="dxa"/>
      </w:tblCellMar>
    </w:tblPr>
  </w:style>
  <w:style w:type="table" w:styleId="1066" w:customStyle="1">
    <w:name w:val="List Table 3 - Accent 6"/>
    <w:uiPriority w:val="99"/>
    <w:qFormat/>
    <w:rPr>
      <w:rFonts w:ascii="Calibri" w:hAnsi="Calibri"/>
    </w:rPr>
    <w:tblPr>
      <w:tblCellMar>
        <w:left w:w="0" w:type="dxa"/>
        <w:top w:w="0" w:type="dxa"/>
        <w:right w:w="0" w:type="dxa"/>
        <w:bottom w:w="0" w:type="dxa"/>
      </w:tblCellMar>
    </w:tblPr>
  </w:style>
  <w:style w:type="table" w:styleId="1067" w:customStyle="1">
    <w:name w:val="List Table 4"/>
    <w:uiPriority w:val="99"/>
    <w:qFormat/>
    <w:rPr>
      <w:rFonts w:ascii="Calibri" w:hAnsi="Calibri"/>
    </w:rPr>
    <w:tblPr>
      <w:tblCellMar>
        <w:left w:w="0" w:type="dxa"/>
        <w:top w:w="0" w:type="dxa"/>
        <w:right w:w="0" w:type="dxa"/>
        <w:bottom w:w="0" w:type="dxa"/>
      </w:tblCellMar>
    </w:tblPr>
  </w:style>
  <w:style w:type="table" w:styleId="1068" w:customStyle="1">
    <w:name w:val="List Table 4 - Accent 1"/>
    <w:uiPriority w:val="99"/>
    <w:qFormat/>
    <w:rPr>
      <w:rFonts w:ascii="Calibri" w:hAnsi="Calibri"/>
    </w:rPr>
    <w:tblPr>
      <w:tblCellMar>
        <w:left w:w="0" w:type="dxa"/>
        <w:top w:w="0" w:type="dxa"/>
        <w:right w:w="0" w:type="dxa"/>
        <w:bottom w:w="0" w:type="dxa"/>
      </w:tblCellMar>
    </w:tblPr>
  </w:style>
  <w:style w:type="table" w:styleId="1069" w:customStyle="1">
    <w:name w:val="List Table 4 - Accent 2"/>
    <w:uiPriority w:val="99"/>
    <w:qFormat/>
    <w:rPr>
      <w:rFonts w:ascii="Calibri" w:hAnsi="Calibri"/>
    </w:rPr>
    <w:tblPr>
      <w:tblCellMar>
        <w:left w:w="0" w:type="dxa"/>
        <w:top w:w="0" w:type="dxa"/>
        <w:right w:w="0" w:type="dxa"/>
        <w:bottom w:w="0" w:type="dxa"/>
      </w:tblCellMar>
    </w:tblPr>
  </w:style>
  <w:style w:type="table" w:styleId="1070" w:customStyle="1">
    <w:name w:val="List Table 4 - Accent 3"/>
    <w:uiPriority w:val="99"/>
    <w:qFormat/>
    <w:rPr>
      <w:rFonts w:ascii="Calibri" w:hAnsi="Calibri"/>
    </w:rPr>
    <w:tblPr>
      <w:tblCellMar>
        <w:left w:w="0" w:type="dxa"/>
        <w:top w:w="0" w:type="dxa"/>
        <w:right w:w="0" w:type="dxa"/>
        <w:bottom w:w="0" w:type="dxa"/>
      </w:tblCellMar>
    </w:tblPr>
  </w:style>
  <w:style w:type="table" w:styleId="1071" w:customStyle="1">
    <w:name w:val="List Table 4 - Accent 4"/>
    <w:uiPriority w:val="99"/>
    <w:qFormat/>
    <w:rPr>
      <w:rFonts w:ascii="Calibri" w:hAnsi="Calibri"/>
    </w:rPr>
    <w:tblPr>
      <w:tblCellMar>
        <w:left w:w="0" w:type="dxa"/>
        <w:top w:w="0" w:type="dxa"/>
        <w:right w:w="0" w:type="dxa"/>
        <w:bottom w:w="0" w:type="dxa"/>
      </w:tblCellMar>
    </w:tblPr>
  </w:style>
  <w:style w:type="table" w:styleId="1072" w:customStyle="1">
    <w:name w:val="List Table 4 - Accent 5"/>
    <w:uiPriority w:val="99"/>
    <w:qFormat/>
    <w:rPr>
      <w:rFonts w:ascii="Calibri" w:hAnsi="Calibri"/>
    </w:rPr>
    <w:tblPr>
      <w:tblCellMar>
        <w:left w:w="0" w:type="dxa"/>
        <w:top w:w="0" w:type="dxa"/>
        <w:right w:w="0" w:type="dxa"/>
        <w:bottom w:w="0" w:type="dxa"/>
      </w:tblCellMar>
    </w:tblPr>
  </w:style>
  <w:style w:type="table" w:styleId="1073" w:customStyle="1">
    <w:name w:val="List Table 4 - Accent 6"/>
    <w:uiPriority w:val="99"/>
    <w:qFormat/>
    <w:rPr>
      <w:rFonts w:ascii="Calibri" w:hAnsi="Calibri"/>
    </w:rPr>
    <w:tblPr>
      <w:tblCellMar>
        <w:left w:w="0" w:type="dxa"/>
        <w:top w:w="0" w:type="dxa"/>
        <w:right w:w="0" w:type="dxa"/>
        <w:bottom w:w="0" w:type="dxa"/>
      </w:tblCellMar>
    </w:tblPr>
  </w:style>
  <w:style w:type="table" w:styleId="1074" w:customStyle="1">
    <w:name w:val="List Table 5 Dark"/>
    <w:uiPriority w:val="99"/>
    <w:qFormat/>
    <w:rPr>
      <w:rFonts w:ascii="Calibri" w:hAnsi="Calibri"/>
    </w:rPr>
    <w:tblPr>
      <w:tblCellMar>
        <w:left w:w="0" w:type="dxa"/>
        <w:top w:w="0" w:type="dxa"/>
        <w:right w:w="0" w:type="dxa"/>
        <w:bottom w:w="0" w:type="dxa"/>
      </w:tblCellMar>
    </w:tblPr>
  </w:style>
  <w:style w:type="table" w:styleId="1075" w:customStyle="1">
    <w:name w:val="List Table 5 Dark - Accent 1"/>
    <w:uiPriority w:val="99"/>
    <w:qFormat/>
    <w:rPr>
      <w:rFonts w:ascii="Calibri" w:hAnsi="Calibri"/>
    </w:rPr>
    <w:tblPr>
      <w:tblCellMar>
        <w:left w:w="0" w:type="dxa"/>
        <w:top w:w="0" w:type="dxa"/>
        <w:right w:w="0" w:type="dxa"/>
        <w:bottom w:w="0" w:type="dxa"/>
      </w:tblCellMar>
    </w:tblPr>
  </w:style>
  <w:style w:type="table" w:styleId="1076" w:customStyle="1">
    <w:name w:val="List Table 5 Dark - Accent 2"/>
    <w:uiPriority w:val="99"/>
    <w:qFormat/>
    <w:rPr>
      <w:rFonts w:ascii="Calibri" w:hAnsi="Calibri"/>
    </w:rPr>
    <w:tblPr>
      <w:tblCellMar>
        <w:left w:w="0" w:type="dxa"/>
        <w:top w:w="0" w:type="dxa"/>
        <w:right w:w="0" w:type="dxa"/>
        <w:bottom w:w="0" w:type="dxa"/>
      </w:tblCellMar>
    </w:tblPr>
  </w:style>
  <w:style w:type="table" w:styleId="1077" w:customStyle="1">
    <w:name w:val="List Table 5 Dark - Accent 3"/>
    <w:uiPriority w:val="99"/>
    <w:qFormat/>
    <w:rPr>
      <w:rFonts w:ascii="Calibri" w:hAnsi="Calibri"/>
    </w:rPr>
    <w:tblPr>
      <w:tblCellMar>
        <w:left w:w="0" w:type="dxa"/>
        <w:top w:w="0" w:type="dxa"/>
        <w:right w:w="0" w:type="dxa"/>
        <w:bottom w:w="0" w:type="dxa"/>
      </w:tblCellMar>
    </w:tblPr>
  </w:style>
  <w:style w:type="table" w:styleId="1078" w:customStyle="1">
    <w:name w:val="List Table 5 Dark - Accent 4"/>
    <w:uiPriority w:val="99"/>
    <w:qFormat/>
    <w:rPr>
      <w:rFonts w:ascii="Calibri" w:hAnsi="Calibri"/>
    </w:rPr>
    <w:tblPr>
      <w:tblCellMar>
        <w:left w:w="0" w:type="dxa"/>
        <w:top w:w="0" w:type="dxa"/>
        <w:right w:w="0" w:type="dxa"/>
        <w:bottom w:w="0" w:type="dxa"/>
      </w:tblCellMar>
    </w:tblPr>
  </w:style>
  <w:style w:type="table" w:styleId="1079" w:customStyle="1">
    <w:name w:val="List Table 5 Dark - Accent 5"/>
    <w:uiPriority w:val="99"/>
    <w:qFormat/>
    <w:rPr>
      <w:rFonts w:ascii="Calibri" w:hAnsi="Calibri"/>
    </w:rPr>
    <w:tblPr>
      <w:tblCellMar>
        <w:left w:w="0" w:type="dxa"/>
        <w:top w:w="0" w:type="dxa"/>
        <w:right w:w="0" w:type="dxa"/>
        <w:bottom w:w="0" w:type="dxa"/>
      </w:tblCellMar>
    </w:tblPr>
  </w:style>
  <w:style w:type="table" w:styleId="1080" w:customStyle="1">
    <w:name w:val="List Table 5 Dark - Accent 6"/>
    <w:uiPriority w:val="99"/>
    <w:qFormat/>
    <w:rPr>
      <w:rFonts w:ascii="Calibri" w:hAnsi="Calibri"/>
    </w:rPr>
    <w:tblPr>
      <w:tblCellMar>
        <w:left w:w="0" w:type="dxa"/>
        <w:top w:w="0" w:type="dxa"/>
        <w:right w:w="0" w:type="dxa"/>
        <w:bottom w:w="0" w:type="dxa"/>
      </w:tblCellMar>
    </w:tblPr>
  </w:style>
  <w:style w:type="table" w:styleId="1081" w:customStyle="1">
    <w:name w:val="List Table 6 Colorful"/>
    <w:uiPriority w:val="99"/>
    <w:qFormat/>
    <w:rPr>
      <w:rFonts w:ascii="Calibri" w:hAnsi="Calibri"/>
    </w:rPr>
    <w:tblPr>
      <w:tblCellMar>
        <w:left w:w="0" w:type="dxa"/>
        <w:top w:w="0" w:type="dxa"/>
        <w:right w:w="0" w:type="dxa"/>
        <w:bottom w:w="0" w:type="dxa"/>
      </w:tblCellMar>
    </w:tblPr>
  </w:style>
  <w:style w:type="table" w:styleId="108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8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8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8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8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8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88" w:customStyle="1">
    <w:name w:val="List Table 7 Colorful"/>
    <w:uiPriority w:val="99"/>
    <w:qFormat/>
    <w:rPr>
      <w:rFonts w:ascii="Calibri" w:hAnsi="Calibri"/>
    </w:rPr>
    <w:tblPr>
      <w:tblCellMar>
        <w:left w:w="0" w:type="dxa"/>
        <w:top w:w="0" w:type="dxa"/>
        <w:right w:w="0" w:type="dxa"/>
        <w:bottom w:w="0" w:type="dxa"/>
      </w:tblCellMar>
    </w:tblPr>
  </w:style>
  <w:style w:type="table" w:styleId="108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9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9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9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9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9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9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9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9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9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9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0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0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0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0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0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0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0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0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0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09" w:customStyle="1">
    <w:name w:val="Bordered"/>
    <w:uiPriority w:val="99"/>
    <w:qFormat/>
    <w:rPr>
      <w:rFonts w:ascii="Calibri" w:hAnsi="Calibri"/>
    </w:rPr>
    <w:tblPr>
      <w:tblCellMar>
        <w:left w:w="0" w:type="dxa"/>
        <w:top w:w="0" w:type="dxa"/>
        <w:right w:w="0" w:type="dxa"/>
        <w:bottom w:w="0" w:type="dxa"/>
      </w:tblCellMar>
    </w:tblPr>
  </w:style>
  <w:style w:type="table" w:styleId="1110" w:customStyle="1">
    <w:name w:val="Bordered - Accent 1"/>
    <w:uiPriority w:val="99"/>
    <w:qFormat/>
    <w:rPr>
      <w:rFonts w:ascii="Calibri" w:hAnsi="Calibri"/>
    </w:rPr>
    <w:tblPr>
      <w:tblCellMar>
        <w:left w:w="0" w:type="dxa"/>
        <w:top w:w="0" w:type="dxa"/>
        <w:right w:w="0" w:type="dxa"/>
        <w:bottom w:w="0" w:type="dxa"/>
      </w:tblCellMar>
    </w:tblPr>
  </w:style>
  <w:style w:type="table" w:styleId="1111" w:customStyle="1">
    <w:name w:val="Bordered - Accent 2"/>
    <w:uiPriority w:val="99"/>
    <w:qFormat/>
    <w:rPr>
      <w:rFonts w:ascii="Calibri" w:hAnsi="Calibri"/>
    </w:rPr>
    <w:tblPr>
      <w:tblCellMar>
        <w:left w:w="0" w:type="dxa"/>
        <w:top w:w="0" w:type="dxa"/>
        <w:right w:w="0" w:type="dxa"/>
        <w:bottom w:w="0" w:type="dxa"/>
      </w:tblCellMar>
    </w:tblPr>
  </w:style>
  <w:style w:type="table" w:styleId="1112" w:customStyle="1">
    <w:name w:val="Bordered - Accent 3"/>
    <w:uiPriority w:val="99"/>
    <w:qFormat/>
    <w:rPr>
      <w:rFonts w:ascii="Calibri" w:hAnsi="Calibri"/>
    </w:rPr>
    <w:tblPr>
      <w:tblCellMar>
        <w:left w:w="0" w:type="dxa"/>
        <w:top w:w="0" w:type="dxa"/>
        <w:right w:w="0" w:type="dxa"/>
        <w:bottom w:w="0" w:type="dxa"/>
      </w:tblCellMar>
    </w:tblPr>
  </w:style>
  <w:style w:type="table" w:styleId="1113" w:customStyle="1">
    <w:name w:val="Bordered - Accent 4"/>
    <w:uiPriority w:val="99"/>
    <w:qFormat/>
    <w:rPr>
      <w:rFonts w:ascii="Calibri" w:hAnsi="Calibri"/>
    </w:rPr>
    <w:tblPr>
      <w:tblCellMar>
        <w:left w:w="0" w:type="dxa"/>
        <w:top w:w="0" w:type="dxa"/>
        <w:right w:w="0" w:type="dxa"/>
        <w:bottom w:w="0" w:type="dxa"/>
      </w:tblCellMar>
    </w:tblPr>
  </w:style>
  <w:style w:type="table" w:styleId="1114" w:customStyle="1">
    <w:name w:val="Bordered - Accent 5"/>
    <w:uiPriority w:val="99"/>
    <w:qFormat/>
    <w:rPr>
      <w:rFonts w:ascii="Calibri" w:hAnsi="Calibri"/>
    </w:rPr>
    <w:tblPr>
      <w:tblCellMar>
        <w:left w:w="0" w:type="dxa"/>
        <w:top w:w="0" w:type="dxa"/>
        <w:right w:w="0" w:type="dxa"/>
        <w:bottom w:w="0" w:type="dxa"/>
      </w:tblCellMar>
    </w:tblPr>
  </w:style>
  <w:style w:type="table" w:styleId="1115" w:customStyle="1">
    <w:name w:val="Bordered - Accent 6"/>
    <w:uiPriority w:val="99"/>
    <w:qFormat/>
    <w:rPr>
      <w:rFonts w:ascii="Calibri" w:hAnsi="Calibri"/>
    </w:rPr>
    <w:tblPr>
      <w:tblCellMar>
        <w:left w:w="0" w:type="dxa"/>
        <w:top w:w="0" w:type="dxa"/>
        <w:right w:w="0" w:type="dxa"/>
        <w:bottom w:w="0" w:type="dxa"/>
      </w:tblCellMar>
    </w:tblPr>
  </w:style>
  <w:style w:type="paragraph" w:styleId="1116" w:customStyle="1">
    <w:name w:val="TOC 标题11"/>
    <w:uiPriority w:val="39"/>
    <w:unhideWhenUsed/>
    <w:qFormat/>
    <w:rPr>
      <w:rFonts w:ascii="Calibri" w:hAnsi="Calibri" w:eastAsia="宋体" w:cs="Times New Roman"/>
      <w:lang w:val="en-US" w:eastAsia="zh-CN" w:bidi="ar-SA"/>
    </w:rPr>
  </w:style>
  <w:style w:type="paragraph" w:styleId="1117" w:customStyle="1">
    <w:name w:val="标题 11"/>
    <w:basedOn w:val="789"/>
    <w:next w:val="789"/>
    <w:link w:val="1118"/>
    <w:uiPriority w:val="0"/>
    <w:qFormat/>
    <w:pPr>
      <w:jc w:val="center"/>
      <w:keepNext/>
      <w:outlineLvl w:val="0"/>
    </w:pPr>
    <w:rPr>
      <w:rFonts w:ascii="楷体_GB2312" w:hAnsi="Times New Roman" w:eastAsia="楷体_GB2312"/>
      <w:sz w:val="28"/>
      <w:szCs w:val="28"/>
      <w:lang w:eastAsia="en-US"/>
    </w:rPr>
  </w:style>
  <w:style w:type="character" w:styleId="1118" w:customStyle="1">
    <w:name w:val="标题 1 Char"/>
    <w:link w:val="1117"/>
    <w:uiPriority w:val="0"/>
    <w:qFormat/>
    <w:rPr>
      <w:rFonts w:ascii="楷体_GB2312" w:hAnsi="Times New Roman" w:eastAsia="楷体_GB2312" w:cs="Times New Roman"/>
      <w:sz w:val="28"/>
      <w:szCs w:val="28"/>
      <w:lang w:eastAsia="en-US"/>
    </w:rPr>
  </w:style>
  <w:style w:type="paragraph" w:styleId="1119" w:customStyle="1">
    <w:name w:val="标题 21"/>
    <w:basedOn w:val="789"/>
    <w:next w:val="1120"/>
    <w:link w:val="112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20" w:customStyle="1">
    <w:name w:val="正文缩进1"/>
    <w:basedOn w:val="789"/>
    <w:link w:val="1122"/>
    <w:uiPriority w:val="0"/>
    <w:qFormat/>
    <w:pPr>
      <w:ind w:firstLine="420"/>
    </w:pPr>
    <w:rPr>
      <w:rFonts w:ascii="Times New Roman" w:hAnsi="Times New Roman" w:eastAsia="宋体"/>
      <w:sz w:val="20"/>
      <w:szCs w:val="21"/>
      <w:lang w:eastAsia="en-US"/>
    </w:rPr>
  </w:style>
  <w:style w:type="character" w:styleId="1121" w:customStyle="1">
    <w:name w:val="标题 2 Char"/>
    <w:link w:val="1119"/>
    <w:uiPriority w:val="0"/>
    <w:qFormat/>
    <w:rPr>
      <w:rFonts w:ascii="Arial" w:hAnsi="Arial" w:eastAsia="幼圆" w:cs="Times New Roman"/>
      <w:b/>
      <w:bCs/>
      <w:sz w:val="44"/>
      <w:szCs w:val="44"/>
      <w:lang w:eastAsia="en-US"/>
    </w:rPr>
  </w:style>
  <w:style w:type="character" w:styleId="1122" w:customStyle="1">
    <w:name w:val="正文缩进 Char"/>
    <w:link w:val="1120"/>
    <w:uiPriority w:val="0"/>
    <w:qFormat/>
    <w:rPr>
      <w:rFonts w:ascii="Times New Roman" w:hAnsi="Times New Roman" w:eastAsia="宋体" w:cs="Times New Roman"/>
      <w:szCs w:val="21"/>
      <w:lang w:eastAsia="en-US"/>
    </w:rPr>
  </w:style>
  <w:style w:type="paragraph" w:styleId="1123" w:customStyle="1">
    <w:name w:val="标题 41"/>
    <w:basedOn w:val="789"/>
    <w:next w:val="789"/>
    <w:link w:val="1124"/>
    <w:uiPriority w:val="0"/>
    <w:qFormat/>
    <w:pPr>
      <w:keepLines/>
      <w:keepNext/>
      <w:spacing w:before="280" w:after="290" w:line="376" w:lineRule="auto"/>
      <w:outlineLvl w:val="3"/>
    </w:pPr>
    <w:rPr>
      <w:rFonts w:ascii="Arial" w:hAnsi="Arial" w:eastAsia="黑体"/>
      <w:b/>
      <w:bCs/>
      <w:sz w:val="28"/>
      <w:szCs w:val="28"/>
      <w:lang w:eastAsia="en-US"/>
    </w:rPr>
  </w:style>
  <w:style w:type="character" w:styleId="1124" w:customStyle="1">
    <w:name w:val="标题 4 Char"/>
    <w:link w:val="1123"/>
    <w:uiPriority w:val="0"/>
    <w:qFormat/>
    <w:rPr>
      <w:rFonts w:ascii="Arial" w:hAnsi="Arial" w:eastAsia="黑体" w:cs="Times New Roman"/>
      <w:b/>
      <w:bCs/>
      <w:sz w:val="28"/>
      <w:szCs w:val="28"/>
      <w:lang w:eastAsia="en-US"/>
    </w:rPr>
  </w:style>
  <w:style w:type="paragraph" w:styleId="1125" w:customStyle="1">
    <w:name w:val="标题 51"/>
    <w:basedOn w:val="789"/>
    <w:next w:val="1120"/>
    <w:link w:val="1126"/>
    <w:uiPriority w:val="0"/>
    <w:qFormat/>
    <w:pPr>
      <w:keepNext/>
      <w:outlineLvl w:val="4"/>
    </w:pPr>
    <w:rPr>
      <w:rFonts w:ascii="宋体" w:hAnsi="Times New Roman" w:eastAsia="宋体"/>
      <w:color w:val="000000"/>
      <w:sz w:val="28"/>
      <w:szCs w:val="28"/>
      <w:lang w:eastAsia="en-US"/>
    </w:rPr>
  </w:style>
  <w:style w:type="character" w:styleId="1126" w:customStyle="1">
    <w:name w:val="标题 5 Char"/>
    <w:link w:val="1125"/>
    <w:uiPriority w:val="0"/>
    <w:qFormat/>
    <w:rPr>
      <w:rFonts w:ascii="宋体" w:hAnsi="Times New Roman" w:eastAsia="宋体" w:cs="Times New Roman"/>
      <w:color w:val="000000"/>
      <w:sz w:val="28"/>
      <w:szCs w:val="28"/>
      <w:lang w:eastAsia="en-US"/>
    </w:rPr>
  </w:style>
  <w:style w:type="paragraph" w:styleId="1127" w:customStyle="1">
    <w:name w:val="标题 61"/>
    <w:basedOn w:val="789"/>
    <w:next w:val="789"/>
    <w:link w:val="1128"/>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28" w:customStyle="1">
    <w:name w:val="标题 6 Char"/>
    <w:link w:val="1127"/>
    <w:uiPriority w:val="0"/>
    <w:qFormat/>
    <w:rPr>
      <w:rFonts w:ascii="Arial" w:hAnsi="Arial" w:eastAsia="黑体" w:cs="Times New Roman"/>
      <w:b/>
      <w:bCs/>
      <w:sz w:val="24"/>
      <w:szCs w:val="24"/>
      <w:lang w:eastAsia="en-US"/>
    </w:rPr>
  </w:style>
  <w:style w:type="paragraph" w:styleId="1129" w:customStyle="1">
    <w:name w:val="标题 71"/>
    <w:basedOn w:val="789"/>
    <w:next w:val="789"/>
    <w:link w:val="1130"/>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30" w:customStyle="1">
    <w:name w:val="标题 7 Char"/>
    <w:link w:val="1129"/>
    <w:uiPriority w:val="0"/>
    <w:qFormat/>
    <w:rPr>
      <w:rFonts w:ascii="Times New Roman" w:hAnsi="Times New Roman" w:eastAsia="宋体" w:cs="Times New Roman"/>
      <w:b/>
      <w:bCs/>
      <w:sz w:val="24"/>
      <w:szCs w:val="24"/>
      <w:lang w:eastAsia="en-US"/>
    </w:rPr>
  </w:style>
  <w:style w:type="paragraph" w:styleId="1131" w:customStyle="1">
    <w:name w:val="标题 81"/>
    <w:basedOn w:val="789"/>
    <w:next w:val="789"/>
    <w:link w:val="1132"/>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32" w:customStyle="1">
    <w:name w:val="标题 8 Char"/>
    <w:link w:val="1131"/>
    <w:uiPriority w:val="0"/>
    <w:qFormat/>
    <w:rPr>
      <w:rFonts w:ascii="Arial" w:hAnsi="Arial" w:eastAsia="黑体" w:cs="Times New Roman"/>
      <w:sz w:val="24"/>
      <w:szCs w:val="24"/>
      <w:lang w:eastAsia="en-US"/>
    </w:rPr>
  </w:style>
  <w:style w:type="paragraph" w:styleId="1133" w:customStyle="1">
    <w:name w:val="标题 91"/>
    <w:basedOn w:val="789"/>
    <w:next w:val="789"/>
    <w:link w:val="1134"/>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34" w:customStyle="1">
    <w:name w:val="标题 9 Char"/>
    <w:link w:val="1133"/>
    <w:uiPriority w:val="0"/>
    <w:qFormat/>
    <w:rPr>
      <w:rFonts w:ascii="Arial" w:hAnsi="Arial" w:eastAsia="黑体" w:cs="Times New Roman"/>
      <w:szCs w:val="21"/>
      <w:lang w:eastAsia="en-US"/>
    </w:rPr>
  </w:style>
  <w:style w:type="character" w:styleId="1135" w:customStyle="1">
    <w:name w:val="默认段落字体1"/>
    <w:uiPriority w:val="1"/>
    <w:unhideWhenUsed/>
    <w:qFormat/>
  </w:style>
  <w:style w:type="table" w:styleId="113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37" w:customStyle="1">
    <w:name w:val="列表 31"/>
    <w:basedOn w:val="789"/>
    <w:uiPriority w:val="0"/>
    <w:qFormat/>
    <w:pPr>
      <w:ind w:left="100" w:hanging="200"/>
    </w:pPr>
    <w:rPr>
      <w:rFonts w:ascii="Times New Roman" w:hAnsi="Times New Roman" w:eastAsia="宋体"/>
      <w:szCs w:val="21"/>
    </w:rPr>
  </w:style>
  <w:style w:type="paragraph" w:styleId="1138" w:customStyle="1">
    <w:name w:val="目录 711"/>
    <w:basedOn w:val="789"/>
    <w:next w:val="789"/>
    <w:uiPriority w:val="0"/>
    <w:semiHidden/>
    <w:qFormat/>
    <w:pPr>
      <w:ind w:left="1260"/>
      <w:jc w:val="left"/>
    </w:pPr>
    <w:rPr>
      <w:rFonts w:ascii="Times New Roman" w:hAnsi="Times New Roman" w:eastAsia="宋体"/>
      <w:szCs w:val="21"/>
    </w:rPr>
  </w:style>
  <w:style w:type="paragraph" w:styleId="1139" w:customStyle="1">
    <w:name w:val="文档结构图1"/>
    <w:basedOn w:val="789"/>
    <w:link w:val="1140"/>
    <w:uiPriority w:val="0"/>
    <w:semiHidden/>
    <w:qFormat/>
    <w:pPr>
      <w:shd w:val="clear" w:color="auto" w:fill="000080"/>
    </w:pPr>
    <w:rPr>
      <w:rFonts w:ascii="Times New Roman" w:hAnsi="Times New Roman" w:eastAsia="宋体"/>
      <w:sz w:val="20"/>
      <w:szCs w:val="21"/>
      <w:lang w:eastAsia="en-US"/>
    </w:rPr>
  </w:style>
  <w:style w:type="character" w:styleId="1140" w:customStyle="1">
    <w:name w:val="文档结构图 Char"/>
    <w:link w:val="1139"/>
    <w:uiPriority w:val="0"/>
    <w:semiHidden/>
    <w:qFormat/>
    <w:rPr>
      <w:rFonts w:ascii="Times New Roman" w:hAnsi="Times New Roman" w:eastAsia="宋体" w:cs="Times New Roman"/>
      <w:szCs w:val="21"/>
      <w:shd w:val="clear" w:color="auto" w:fill="000080"/>
      <w:lang w:eastAsia="en-US"/>
    </w:rPr>
  </w:style>
  <w:style w:type="paragraph" w:styleId="1141" w:customStyle="1">
    <w:name w:val="批注文字1"/>
    <w:basedOn w:val="789"/>
    <w:link w:val="1142"/>
    <w:uiPriority w:val="0"/>
    <w:semiHidden/>
    <w:qFormat/>
    <w:pPr>
      <w:jc w:val="left"/>
    </w:pPr>
    <w:rPr>
      <w:rFonts w:ascii="Times New Roman" w:hAnsi="Times New Roman" w:eastAsia="宋体"/>
      <w:sz w:val="20"/>
      <w:szCs w:val="21"/>
      <w:lang w:eastAsia="en-US"/>
    </w:rPr>
  </w:style>
  <w:style w:type="character" w:styleId="1142" w:customStyle="1">
    <w:name w:val="批注文字 Char"/>
    <w:link w:val="1141"/>
    <w:uiPriority w:val="0"/>
    <w:semiHidden/>
    <w:qFormat/>
    <w:rPr>
      <w:rFonts w:ascii="Times New Roman" w:hAnsi="Times New Roman" w:eastAsia="宋体" w:cs="Times New Roman"/>
      <w:szCs w:val="21"/>
      <w:lang w:eastAsia="en-US"/>
    </w:rPr>
  </w:style>
  <w:style w:type="paragraph" w:styleId="1143" w:customStyle="1">
    <w:name w:val="正文文本 31"/>
    <w:basedOn w:val="789"/>
    <w:link w:val="1144"/>
    <w:uiPriority w:val="0"/>
    <w:qFormat/>
    <w:rPr>
      <w:rFonts w:ascii="仿宋_GB2312" w:hAnsi="Arial" w:eastAsia="仿宋_GB2312"/>
      <w:sz w:val="32"/>
      <w:szCs w:val="32"/>
      <w:lang w:eastAsia="en-US"/>
    </w:rPr>
  </w:style>
  <w:style w:type="character" w:styleId="1144" w:customStyle="1">
    <w:name w:val="正文文本 3 Char"/>
    <w:link w:val="1143"/>
    <w:uiPriority w:val="0"/>
    <w:qFormat/>
    <w:rPr>
      <w:rFonts w:ascii="仿宋_GB2312" w:hAnsi="Arial" w:eastAsia="仿宋_GB2312" w:cs="Times New Roman"/>
      <w:sz w:val="32"/>
      <w:szCs w:val="32"/>
      <w:lang w:eastAsia="en-US"/>
    </w:rPr>
  </w:style>
  <w:style w:type="paragraph" w:styleId="1145" w:customStyle="1">
    <w:name w:val="正文文本1"/>
    <w:basedOn w:val="789"/>
    <w:next w:val="789"/>
    <w:link w:val="1146"/>
    <w:uiPriority w:val="0"/>
    <w:qFormat/>
    <w:rPr>
      <w:rFonts w:ascii="楷体_GB2312" w:hAnsi="Arial" w:eastAsia="楷体_GB2312"/>
      <w:sz w:val="28"/>
      <w:szCs w:val="28"/>
      <w:lang w:eastAsia="en-US"/>
    </w:rPr>
  </w:style>
  <w:style w:type="character" w:styleId="1146" w:customStyle="1">
    <w:name w:val="正文文本 Char"/>
    <w:link w:val="1145"/>
    <w:uiPriority w:val="0"/>
    <w:qFormat/>
    <w:rPr>
      <w:rFonts w:ascii="楷体_GB2312" w:hAnsi="Arial" w:eastAsia="楷体_GB2312" w:cs="Times New Roman"/>
      <w:sz w:val="28"/>
      <w:szCs w:val="28"/>
      <w:lang w:eastAsia="en-US"/>
    </w:rPr>
  </w:style>
  <w:style w:type="paragraph" w:styleId="1147" w:customStyle="1">
    <w:name w:val="正文文本缩进1"/>
    <w:basedOn w:val="789"/>
    <w:link w:val="1148"/>
    <w:uiPriority w:val="0"/>
    <w:qFormat/>
    <w:pPr>
      <w:ind w:firstLine="645"/>
    </w:pPr>
    <w:rPr>
      <w:rFonts w:ascii="楷体_GB2312" w:hAnsi="Times New Roman" w:eastAsia="楷体_GB2312"/>
      <w:sz w:val="32"/>
      <w:szCs w:val="32"/>
      <w:lang w:eastAsia="en-US"/>
    </w:rPr>
  </w:style>
  <w:style w:type="character" w:styleId="1148" w:customStyle="1">
    <w:name w:val="正文文本缩进 Char"/>
    <w:link w:val="1147"/>
    <w:uiPriority w:val="0"/>
    <w:qFormat/>
    <w:rPr>
      <w:rFonts w:ascii="楷体_GB2312" w:hAnsi="Times New Roman" w:eastAsia="楷体_GB2312" w:cs="Times New Roman"/>
      <w:sz w:val="32"/>
      <w:szCs w:val="32"/>
      <w:lang w:eastAsia="en-US"/>
    </w:rPr>
  </w:style>
  <w:style w:type="paragraph" w:styleId="1149" w:customStyle="1">
    <w:name w:val="列表 21"/>
    <w:basedOn w:val="789"/>
    <w:uiPriority w:val="0"/>
    <w:qFormat/>
    <w:pPr>
      <w:ind w:left="100" w:hanging="200"/>
    </w:pPr>
    <w:rPr>
      <w:rFonts w:ascii="Times New Roman" w:hAnsi="Times New Roman" w:eastAsia="宋体"/>
      <w:szCs w:val="21"/>
    </w:rPr>
  </w:style>
  <w:style w:type="paragraph" w:styleId="1150" w:customStyle="1">
    <w:name w:val="目录 511"/>
    <w:basedOn w:val="789"/>
    <w:next w:val="789"/>
    <w:uiPriority w:val="0"/>
    <w:semiHidden/>
    <w:qFormat/>
    <w:pPr>
      <w:ind w:left="840"/>
      <w:jc w:val="left"/>
    </w:pPr>
    <w:rPr>
      <w:rFonts w:ascii="Times New Roman" w:hAnsi="Times New Roman" w:eastAsia="宋体"/>
      <w:szCs w:val="21"/>
    </w:rPr>
  </w:style>
  <w:style w:type="paragraph" w:styleId="1151" w:customStyle="1">
    <w:name w:val="目录 311"/>
    <w:basedOn w:val="789"/>
    <w:next w:val="789"/>
    <w:uiPriority w:val="0"/>
    <w:semiHidden/>
    <w:qFormat/>
    <w:pPr>
      <w:ind w:left="420"/>
      <w:jc w:val="left"/>
    </w:pPr>
    <w:rPr>
      <w:rFonts w:ascii="Times New Roman" w:hAnsi="Times New Roman" w:eastAsia="宋体"/>
      <w:i/>
      <w:iCs/>
      <w:szCs w:val="24"/>
    </w:rPr>
  </w:style>
  <w:style w:type="paragraph" w:styleId="1152" w:customStyle="1">
    <w:name w:val="纯文本1"/>
    <w:basedOn w:val="789"/>
    <w:link w:val="1153"/>
    <w:uiPriority w:val="0"/>
    <w:qFormat/>
    <w:rPr>
      <w:rFonts w:ascii="宋体" w:hAnsi="Courier New" w:eastAsia="宋体"/>
      <w:sz w:val="20"/>
      <w:szCs w:val="21"/>
      <w:lang w:eastAsia="en-US"/>
    </w:rPr>
  </w:style>
  <w:style w:type="character" w:styleId="1153" w:customStyle="1">
    <w:name w:val="纯文本 Char"/>
    <w:link w:val="1152"/>
    <w:uiPriority w:val="0"/>
    <w:qFormat/>
    <w:rPr>
      <w:rFonts w:ascii="宋体" w:hAnsi="Courier New" w:eastAsia="宋体" w:cs="Times New Roman"/>
      <w:szCs w:val="21"/>
      <w:lang w:eastAsia="en-US"/>
    </w:rPr>
  </w:style>
  <w:style w:type="paragraph" w:styleId="1154" w:customStyle="1">
    <w:name w:val="目录 811"/>
    <w:basedOn w:val="789"/>
    <w:next w:val="789"/>
    <w:uiPriority w:val="0"/>
    <w:semiHidden/>
    <w:qFormat/>
    <w:pPr>
      <w:ind w:left="1470"/>
      <w:jc w:val="left"/>
    </w:pPr>
    <w:rPr>
      <w:rFonts w:ascii="Times New Roman" w:hAnsi="Times New Roman" w:eastAsia="宋体"/>
      <w:szCs w:val="21"/>
    </w:rPr>
  </w:style>
  <w:style w:type="paragraph" w:styleId="1155" w:customStyle="1">
    <w:name w:val="日期1"/>
    <w:basedOn w:val="789"/>
    <w:next w:val="789"/>
    <w:link w:val="1156"/>
    <w:uiPriority w:val="0"/>
    <w:qFormat/>
    <w:rPr>
      <w:rFonts w:ascii="Times New Roman" w:hAnsi="Times New Roman" w:eastAsia="宋体"/>
      <w:sz w:val="24"/>
      <w:szCs w:val="24"/>
      <w:lang w:eastAsia="en-US"/>
    </w:rPr>
  </w:style>
  <w:style w:type="character" w:styleId="1156" w:customStyle="1">
    <w:name w:val="日期 Char"/>
    <w:link w:val="1155"/>
    <w:uiPriority w:val="0"/>
    <w:qFormat/>
    <w:rPr>
      <w:rFonts w:ascii="Times New Roman" w:hAnsi="Times New Roman" w:eastAsia="宋体" w:cs="Times New Roman"/>
      <w:sz w:val="24"/>
      <w:szCs w:val="24"/>
      <w:lang w:eastAsia="en-US"/>
    </w:rPr>
  </w:style>
  <w:style w:type="paragraph" w:styleId="1157" w:customStyle="1">
    <w:name w:val="正文文本缩进 21"/>
    <w:basedOn w:val="789"/>
    <w:link w:val="1158"/>
    <w:uiPriority w:val="0"/>
    <w:qFormat/>
    <w:pPr>
      <w:ind w:left="630" w:firstLine="645"/>
    </w:pPr>
    <w:rPr>
      <w:rFonts w:ascii="Arial" w:hAnsi="Arial" w:eastAsia="仿宋_GB2312"/>
      <w:sz w:val="32"/>
      <w:szCs w:val="32"/>
      <w:lang w:eastAsia="en-US"/>
    </w:rPr>
  </w:style>
  <w:style w:type="character" w:styleId="1158" w:customStyle="1">
    <w:name w:val="正文文本缩进 2 Char"/>
    <w:link w:val="1157"/>
    <w:uiPriority w:val="0"/>
    <w:qFormat/>
    <w:rPr>
      <w:rFonts w:ascii="Arial" w:hAnsi="Arial" w:eastAsia="仿宋_GB2312" w:cs="Times New Roman"/>
      <w:sz w:val="32"/>
      <w:szCs w:val="32"/>
      <w:lang w:eastAsia="en-US"/>
    </w:rPr>
  </w:style>
  <w:style w:type="paragraph" w:styleId="1159" w:customStyle="1">
    <w:name w:val="批注框文本1"/>
    <w:basedOn w:val="789"/>
    <w:link w:val="1160"/>
    <w:uiPriority w:val="0"/>
    <w:semiHidden/>
    <w:qFormat/>
    <w:rPr>
      <w:rFonts w:ascii="Times New Roman" w:hAnsi="Times New Roman" w:eastAsia="宋体"/>
      <w:sz w:val="18"/>
      <w:szCs w:val="18"/>
      <w:lang w:eastAsia="en-US"/>
    </w:rPr>
  </w:style>
  <w:style w:type="character" w:styleId="1160" w:customStyle="1">
    <w:name w:val="批注框文本 Char"/>
    <w:link w:val="1159"/>
    <w:uiPriority w:val="0"/>
    <w:semiHidden/>
    <w:qFormat/>
    <w:rPr>
      <w:rFonts w:ascii="Times New Roman" w:hAnsi="Times New Roman" w:eastAsia="宋体" w:cs="Times New Roman"/>
      <w:sz w:val="18"/>
      <w:szCs w:val="18"/>
      <w:lang w:eastAsia="en-US"/>
    </w:rPr>
  </w:style>
  <w:style w:type="paragraph" w:styleId="1161" w:customStyle="1">
    <w:name w:val="页脚1"/>
    <w:basedOn w:val="789"/>
    <w:link w:val="116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62" w:customStyle="1">
    <w:name w:val="页脚 Char"/>
    <w:link w:val="1161"/>
    <w:uiPriority w:val="0"/>
    <w:qFormat/>
    <w:rPr>
      <w:rFonts w:ascii="Times New Roman" w:hAnsi="Times New Roman" w:eastAsia="宋体" w:cs="Times New Roman"/>
      <w:sz w:val="18"/>
      <w:szCs w:val="18"/>
      <w:lang w:eastAsia="en-US"/>
    </w:rPr>
  </w:style>
  <w:style w:type="paragraph" w:styleId="1163" w:customStyle="1">
    <w:name w:val="页眉1"/>
    <w:basedOn w:val="789"/>
    <w:link w:val="116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64" w:customStyle="1">
    <w:name w:val="页眉 Char"/>
    <w:link w:val="1163"/>
    <w:uiPriority w:val="99"/>
    <w:qFormat/>
    <w:rPr>
      <w:rFonts w:ascii="Times New Roman" w:hAnsi="Times New Roman" w:eastAsia="宋体" w:cs="Times New Roman"/>
      <w:sz w:val="18"/>
      <w:szCs w:val="18"/>
      <w:lang w:eastAsia="en-US"/>
    </w:rPr>
  </w:style>
  <w:style w:type="paragraph" w:styleId="1165" w:customStyle="1">
    <w:name w:val="目录 1111"/>
    <w:basedOn w:val="789"/>
    <w:next w:val="789"/>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66" w:customStyle="1">
    <w:name w:val="目录 411"/>
    <w:basedOn w:val="789"/>
    <w:next w:val="789"/>
    <w:uiPriority w:val="0"/>
    <w:semiHidden/>
    <w:qFormat/>
    <w:pPr>
      <w:ind w:left="630"/>
      <w:jc w:val="left"/>
    </w:pPr>
    <w:rPr>
      <w:rFonts w:ascii="Times New Roman" w:hAnsi="Times New Roman" w:eastAsia="宋体"/>
      <w:szCs w:val="21"/>
    </w:rPr>
  </w:style>
  <w:style w:type="paragraph" w:styleId="1167" w:customStyle="1">
    <w:name w:val="列表1"/>
    <w:basedOn w:val="789"/>
    <w:uiPriority w:val="0"/>
    <w:qFormat/>
    <w:pPr>
      <w:ind w:left="200" w:hanging="200"/>
    </w:pPr>
    <w:rPr>
      <w:rFonts w:ascii="Times New Roman" w:hAnsi="Times New Roman" w:eastAsia="宋体"/>
      <w:szCs w:val="21"/>
    </w:rPr>
  </w:style>
  <w:style w:type="paragraph" w:styleId="1168" w:customStyle="1">
    <w:name w:val="目录 611"/>
    <w:basedOn w:val="789"/>
    <w:next w:val="789"/>
    <w:uiPriority w:val="0"/>
    <w:semiHidden/>
    <w:qFormat/>
    <w:pPr>
      <w:ind w:left="1050"/>
      <w:jc w:val="left"/>
    </w:pPr>
    <w:rPr>
      <w:rFonts w:ascii="Times New Roman" w:hAnsi="Times New Roman" w:eastAsia="宋体"/>
      <w:szCs w:val="21"/>
    </w:rPr>
  </w:style>
  <w:style w:type="paragraph" w:styleId="1169" w:customStyle="1">
    <w:name w:val="正文文本缩进 31"/>
    <w:basedOn w:val="789"/>
    <w:link w:val="1170"/>
    <w:uiPriority w:val="0"/>
    <w:qFormat/>
    <w:pPr>
      <w:ind w:left="645" w:firstLine="645"/>
    </w:pPr>
    <w:rPr>
      <w:rFonts w:ascii="Arial" w:hAnsi="Arial" w:eastAsia="仿宋_GB2312"/>
      <w:color w:val="ffff00"/>
      <w:sz w:val="32"/>
      <w:szCs w:val="32"/>
      <w:lang w:eastAsia="en-US"/>
    </w:rPr>
  </w:style>
  <w:style w:type="character" w:styleId="1170" w:customStyle="1">
    <w:name w:val="正文文本缩进 3 Char"/>
    <w:link w:val="1169"/>
    <w:uiPriority w:val="0"/>
    <w:qFormat/>
    <w:rPr>
      <w:rFonts w:ascii="Arial" w:hAnsi="Arial" w:eastAsia="仿宋_GB2312" w:cs="Times New Roman"/>
      <w:color w:val="ffff00"/>
      <w:sz w:val="32"/>
      <w:szCs w:val="32"/>
      <w:lang w:eastAsia="en-US"/>
    </w:rPr>
  </w:style>
  <w:style w:type="paragraph" w:styleId="1171" w:customStyle="1">
    <w:name w:val="图表目录1"/>
    <w:basedOn w:val="789"/>
    <w:next w:val="789"/>
    <w:uiPriority w:val="0"/>
    <w:semiHidden/>
    <w:qFormat/>
    <w:pPr>
      <w:ind w:left="840" w:hanging="420"/>
    </w:pPr>
    <w:rPr>
      <w:rFonts w:ascii="Times New Roman" w:hAnsi="Times New Roman" w:eastAsia="宋体"/>
      <w:szCs w:val="21"/>
    </w:rPr>
  </w:style>
  <w:style w:type="paragraph" w:styleId="1172" w:customStyle="1">
    <w:name w:val="目录 211"/>
    <w:basedOn w:val="789"/>
    <w:next w:val="789"/>
    <w:uiPriority w:val="0"/>
    <w:semiHidden/>
    <w:qFormat/>
    <w:pPr>
      <w:ind w:left="210"/>
      <w:jc w:val="left"/>
    </w:pPr>
    <w:rPr>
      <w:rFonts w:ascii="Times New Roman" w:hAnsi="Times New Roman" w:eastAsia="宋体"/>
      <w:smallCaps/>
      <w:szCs w:val="24"/>
    </w:rPr>
  </w:style>
  <w:style w:type="paragraph" w:styleId="1173" w:customStyle="1">
    <w:name w:val="目录 911"/>
    <w:basedOn w:val="789"/>
    <w:next w:val="789"/>
    <w:uiPriority w:val="0"/>
    <w:semiHidden/>
    <w:qFormat/>
    <w:pPr>
      <w:ind w:left="1680"/>
      <w:jc w:val="left"/>
    </w:pPr>
    <w:rPr>
      <w:rFonts w:ascii="Times New Roman" w:hAnsi="Times New Roman" w:eastAsia="宋体"/>
      <w:szCs w:val="21"/>
    </w:rPr>
  </w:style>
  <w:style w:type="paragraph" w:styleId="1174" w:customStyle="1">
    <w:name w:val="正文文本 21"/>
    <w:basedOn w:val="789"/>
    <w:link w:val="1175"/>
    <w:uiPriority w:val="0"/>
    <w:qFormat/>
    <w:pPr>
      <w:jc w:val="center"/>
      <w:widowControl/>
    </w:pPr>
    <w:rPr>
      <w:rFonts w:ascii="楷体_GB2312" w:hAnsi="Times New Roman" w:eastAsia="楷体_GB2312"/>
      <w:sz w:val="28"/>
      <w:szCs w:val="28"/>
      <w:lang w:eastAsia="en-US"/>
    </w:rPr>
  </w:style>
  <w:style w:type="character" w:styleId="1175" w:customStyle="1">
    <w:name w:val="正文文本 2 Char"/>
    <w:link w:val="1174"/>
    <w:uiPriority w:val="0"/>
    <w:qFormat/>
    <w:rPr>
      <w:rFonts w:ascii="楷体_GB2312" w:hAnsi="Times New Roman" w:eastAsia="楷体_GB2312" w:cs="Times New Roman"/>
      <w:sz w:val="28"/>
      <w:szCs w:val="28"/>
      <w:lang w:eastAsia="en-US"/>
    </w:rPr>
  </w:style>
  <w:style w:type="paragraph" w:styleId="1176" w:customStyle="1">
    <w:name w:val="普通(网站)1"/>
    <w:basedOn w:val="789"/>
    <w:uiPriority w:val="99"/>
    <w:qFormat/>
    <w:pPr>
      <w:jc w:val="left"/>
      <w:spacing w:before="100" w:beforeAutospacing="1" w:after="100" w:afterAutospacing="1"/>
      <w:widowControl/>
    </w:pPr>
    <w:rPr>
      <w:rFonts w:ascii="宋体" w:hAnsi="宋体" w:eastAsia="宋体" w:cs="宋体"/>
      <w:sz w:val="24"/>
      <w:szCs w:val="24"/>
    </w:rPr>
  </w:style>
  <w:style w:type="paragraph" w:styleId="1177" w:customStyle="1">
    <w:name w:val="索引 11"/>
    <w:basedOn w:val="789"/>
    <w:next w:val="789"/>
    <w:uiPriority w:val="0"/>
    <w:semiHidden/>
    <w:qFormat/>
    <w:pPr>
      <w:spacing w:line="240" w:lineRule="atLeast"/>
    </w:pPr>
    <w:rPr>
      <w:rFonts w:ascii="Times New Roman" w:hAnsi="Times New Roman" w:eastAsia="宋体"/>
      <w:b/>
      <w:bCs/>
      <w:szCs w:val="21"/>
    </w:rPr>
  </w:style>
  <w:style w:type="paragraph" w:styleId="1178" w:customStyle="1">
    <w:name w:val="批注主题1"/>
    <w:basedOn w:val="1141"/>
    <w:next w:val="1141"/>
    <w:link w:val="1179"/>
    <w:uiPriority w:val="0"/>
    <w:semiHidden/>
    <w:qFormat/>
    <w:rPr>
      <w:b/>
      <w:bCs/>
    </w:rPr>
  </w:style>
  <w:style w:type="character" w:styleId="1179" w:customStyle="1">
    <w:name w:val="批注主题 Char"/>
    <w:link w:val="1178"/>
    <w:uiPriority w:val="0"/>
    <w:semiHidden/>
    <w:qFormat/>
    <w:rPr>
      <w:rFonts w:ascii="Times New Roman" w:hAnsi="Times New Roman" w:eastAsia="宋体" w:cs="Times New Roman"/>
      <w:b/>
      <w:bCs/>
      <w:szCs w:val="21"/>
      <w:lang w:eastAsia="en-US"/>
    </w:rPr>
  </w:style>
  <w:style w:type="paragraph" w:styleId="1180" w:customStyle="1">
    <w:name w:val="正文首行缩进1"/>
    <w:basedOn w:val="789"/>
    <w:link w:val="1181"/>
    <w:uiPriority w:val="0"/>
    <w:qFormat/>
    <w:pPr>
      <w:ind w:firstLine="200"/>
      <w:spacing w:line="360" w:lineRule="auto"/>
    </w:pPr>
    <w:rPr>
      <w:rFonts w:ascii="仿宋_GB2312" w:hAnsi="Times New Roman" w:eastAsia="仿宋_GB2312"/>
      <w:sz w:val="30"/>
      <w:szCs w:val="30"/>
      <w:lang w:eastAsia="en-US"/>
    </w:rPr>
  </w:style>
  <w:style w:type="character" w:styleId="1181" w:customStyle="1">
    <w:name w:val="正文首行缩进 Char"/>
    <w:link w:val="1180"/>
    <w:uiPriority w:val="0"/>
    <w:qFormat/>
    <w:rPr>
      <w:rFonts w:ascii="仿宋_GB2312" w:hAnsi="Times New Roman" w:eastAsia="仿宋_GB2312" w:cs="Times New Roman"/>
      <w:sz w:val="30"/>
      <w:szCs w:val="30"/>
      <w:lang w:eastAsia="en-US"/>
    </w:rPr>
  </w:style>
  <w:style w:type="paragraph" w:styleId="1182" w:customStyle="1">
    <w:name w:val="正文首行缩进 21"/>
    <w:basedOn w:val="1147"/>
    <w:link w:val="1183"/>
    <w:uiPriority w:val="0"/>
    <w:qFormat/>
    <w:pPr>
      <w:ind w:firstLine="420"/>
      <w:spacing w:line="360" w:lineRule="auto"/>
    </w:pPr>
    <w:rPr>
      <w:rFonts w:ascii="宋体" w:hAnsi="宋体" w:eastAsia="宋体"/>
      <w:szCs w:val="20"/>
    </w:rPr>
  </w:style>
  <w:style w:type="character" w:styleId="1183" w:customStyle="1">
    <w:name w:val="正文首行缩进 2 Char"/>
    <w:link w:val="1182"/>
    <w:uiPriority w:val="0"/>
    <w:qFormat/>
    <w:rPr>
      <w:rFonts w:ascii="宋体" w:hAnsi="宋体" w:eastAsia="宋体" w:cs="Times New Roman"/>
      <w:sz w:val="32"/>
      <w:lang w:eastAsia="en-US"/>
    </w:rPr>
  </w:style>
  <w:style w:type="character" w:styleId="1184" w:customStyle="1">
    <w:name w:val="要点1"/>
    <w:uiPriority w:val="0"/>
    <w:qFormat/>
    <w:rPr>
      <w:b/>
      <w:bCs/>
    </w:rPr>
  </w:style>
  <w:style w:type="character" w:styleId="1185" w:customStyle="1">
    <w:name w:val="页码1"/>
    <w:uiPriority w:val="0"/>
    <w:qFormat/>
  </w:style>
  <w:style w:type="character" w:styleId="1186" w:customStyle="1">
    <w:name w:val="已访问的超链接1"/>
    <w:uiPriority w:val="0"/>
    <w:qFormat/>
    <w:rPr>
      <w:color w:val="800080"/>
      <w:u w:val="single"/>
    </w:rPr>
  </w:style>
  <w:style w:type="character" w:styleId="1187" w:customStyle="1">
    <w:name w:val="HTML 打字机1"/>
    <w:uiPriority w:val="99"/>
    <w:qFormat/>
    <w:rPr>
      <w:rFonts w:ascii="宋体" w:hAnsi="宋体" w:eastAsia="宋体" w:cs="宋体"/>
      <w:sz w:val="24"/>
      <w:szCs w:val="24"/>
    </w:rPr>
  </w:style>
  <w:style w:type="character" w:styleId="1188" w:customStyle="1">
    <w:name w:val="超链接1"/>
    <w:uiPriority w:val="0"/>
    <w:qFormat/>
    <w:rPr>
      <w:color w:val="0000ff"/>
      <w:u w:val="single"/>
    </w:rPr>
  </w:style>
  <w:style w:type="character" w:styleId="1189" w:customStyle="1">
    <w:name w:val="二级目录 Char"/>
    <w:link w:val="1190"/>
    <w:uiPriority w:val="0"/>
    <w:qFormat/>
    <w:rPr>
      <w:b/>
      <w:sz w:val="30"/>
      <w:szCs w:val="28"/>
    </w:rPr>
  </w:style>
  <w:style w:type="paragraph" w:styleId="1190" w:customStyle="1">
    <w:name w:val="二级目录"/>
    <w:next w:val="789"/>
    <w:link w:val="1189"/>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91" w:customStyle="1">
    <w:name w:val="Body Text(ch)"/>
    <w:basedOn w:val="789"/>
    <w:next w:val="1145"/>
    <w:uiPriority w:val="0"/>
    <w:qFormat/>
    <w:pPr>
      <w:spacing w:after="120"/>
    </w:pPr>
    <w:rPr>
      <w:rFonts w:ascii="宋体" w:hAnsi="Arial" w:eastAsia="宋体"/>
      <w:bCs/>
      <w:iCs/>
      <w:szCs w:val="24"/>
    </w:rPr>
  </w:style>
  <w:style w:type="paragraph" w:styleId="1192" w:customStyle="1">
    <w:name w:val="Char"/>
    <w:basedOn w:val="789"/>
    <w:uiPriority w:val="0"/>
    <w:qFormat/>
    <w:pPr>
      <w:ind w:firstLine="200"/>
      <w:tabs>
        <w:tab w:val="left" w:pos="360" w:leader="none"/>
      </w:tabs>
    </w:pPr>
    <w:rPr>
      <w:rFonts w:ascii="Times New Roman" w:hAnsi="Times New Roman" w:eastAsia="宋体"/>
      <w:sz w:val="28"/>
      <w:szCs w:val="30"/>
    </w:rPr>
  </w:style>
  <w:style w:type="paragraph" w:styleId="1193" w:customStyle="1">
    <w:name w:val="普通正文"/>
    <w:basedOn w:val="789"/>
    <w:uiPriority w:val="0"/>
    <w:qFormat/>
    <w:pPr>
      <w:ind w:firstLine="480"/>
      <w:jc w:val="left"/>
      <w:spacing w:before="120" w:after="120" w:line="360" w:lineRule="auto"/>
    </w:pPr>
    <w:rPr>
      <w:rFonts w:ascii="Arial" w:hAnsi="Arial" w:eastAsia="宋体"/>
      <w:sz w:val="24"/>
      <w:szCs w:val="24"/>
    </w:rPr>
  </w:style>
  <w:style w:type="paragraph" w:styleId="1194" w:customStyle="1">
    <w:name w:val="table_lines"/>
    <w:basedOn w:val="789"/>
    <w:uiPriority w:val="0"/>
    <w:qFormat/>
    <w:pPr>
      <w:jc w:val="left"/>
      <w:widowControl/>
    </w:pPr>
    <w:rPr>
      <w:rFonts w:ascii="Times New Roman" w:hAnsi="Times New Roman" w:eastAsia="宋体"/>
      <w:sz w:val="20"/>
      <w:szCs w:val="20"/>
      <w:lang w:val="de-DE" w:eastAsia="de-DE"/>
    </w:rPr>
  </w:style>
  <w:style w:type="paragraph" w:styleId="119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6" w:customStyle="1">
    <w:name w:val="列出段落21"/>
    <w:basedOn w:val="789"/>
    <w:uiPriority w:val="99"/>
    <w:qFormat/>
    <w:pPr>
      <w:contextualSpacing/>
      <w:ind w:left="720"/>
      <w:jc w:val="left"/>
      <w:widowControl/>
    </w:pPr>
    <w:rPr>
      <w:rFonts w:eastAsia="宋体"/>
      <w:sz w:val="24"/>
      <w:szCs w:val="24"/>
      <w:lang w:eastAsia="en-US" w:bidi="en-US"/>
    </w:rPr>
  </w:style>
  <w:style w:type="paragraph" w:styleId="1197" w:customStyle="1">
    <w:name w:val="4"/>
    <w:basedOn w:val="789"/>
    <w:next w:val="1169"/>
    <w:uiPriority w:val="0"/>
    <w:qFormat/>
    <w:pPr>
      <w:ind w:firstLine="420"/>
      <w:spacing w:line="360" w:lineRule="auto"/>
    </w:pPr>
    <w:rPr>
      <w:rFonts w:ascii="Times New Roman" w:hAnsi="Times New Roman" w:eastAsia="宋体"/>
      <w:color w:val="ff0000"/>
      <w:sz w:val="24"/>
      <w:szCs w:val="24"/>
    </w:rPr>
  </w:style>
  <w:style w:type="paragraph" w:styleId="1198" w:customStyle="1">
    <w:name w:val="普通 (Web)"/>
    <w:basedOn w:val="789"/>
    <w:uiPriority w:val="0"/>
    <w:qFormat/>
    <w:pPr>
      <w:jc w:val="left"/>
      <w:spacing w:before="100" w:beforeAutospacing="1" w:after="100" w:afterAutospacing="1"/>
      <w:widowControl/>
    </w:pPr>
    <w:rPr>
      <w:rFonts w:ascii="宋体" w:hAnsi="宋体" w:eastAsia="宋体"/>
      <w:sz w:val="24"/>
      <w:szCs w:val="24"/>
    </w:rPr>
  </w:style>
  <w:style w:type="paragraph" w:styleId="1199" w:customStyle="1">
    <w:name w:val="Char Char Char Char Char Char Char Char Char Char"/>
    <w:basedOn w:val="789"/>
    <w:uiPriority w:val="0"/>
    <w:qFormat/>
    <w:pPr>
      <w:spacing w:line="360" w:lineRule="auto"/>
    </w:pPr>
    <w:rPr>
      <w:rFonts w:ascii="Times New Roman" w:hAnsi="Times New Roman" w:eastAsia="宋体"/>
      <w:sz w:val="24"/>
      <w:szCs w:val="20"/>
    </w:rPr>
  </w:style>
  <w:style w:type="paragraph" w:styleId="1200" w:customStyle="1">
    <w:name w:val="样式1"/>
    <w:basedOn w:val="789"/>
    <w:uiPriority w:val="0"/>
    <w:qFormat/>
    <w:pPr>
      <w:numPr>
        <w:ilvl w:val="0"/>
        <w:numId w:val="5"/>
      </w:numPr>
    </w:pPr>
    <w:rPr>
      <w:rFonts w:ascii="宋体" w:hAnsi="宋体" w:eastAsia="宋体"/>
      <w:szCs w:val="21"/>
    </w:rPr>
  </w:style>
  <w:style w:type="paragraph" w:styleId="1201"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2" w:customStyle="1">
    <w:name w:val="标题3"/>
    <w:basedOn w:val="789"/>
    <w:next w:val="789"/>
    <w:uiPriority w:val="0"/>
    <w:qFormat/>
    <w:pPr>
      <w:ind w:firstLine="624"/>
      <w:spacing w:line="590" w:lineRule="atLeast"/>
    </w:pPr>
    <w:rPr>
      <w:rFonts w:ascii="方正黑体_GBK" w:hAnsi="Times New Roman" w:eastAsia="方正黑体_GBK"/>
      <w:sz w:val="32"/>
      <w:szCs w:val="32"/>
    </w:rPr>
  </w:style>
  <w:style w:type="paragraph" w:styleId="1203" w:customStyle="1">
    <w:name w:val="Char Char Char Char Char Char Char Char"/>
    <w:basedOn w:val="789"/>
    <w:uiPriority w:val="0"/>
    <w:qFormat/>
    <w:pPr>
      <w:jc w:val="left"/>
      <w:spacing w:after="160" w:line="240" w:lineRule="exact"/>
      <w:widowControl/>
    </w:pPr>
    <w:rPr>
      <w:rFonts w:ascii="Verdana" w:hAnsi="Verdana" w:eastAsia="宋体"/>
      <w:sz w:val="20"/>
      <w:szCs w:val="20"/>
      <w:lang w:eastAsia="en-US"/>
    </w:rPr>
  </w:style>
  <w:style w:type="paragraph" w:styleId="1204" w:customStyle="1">
    <w:name w:val="table_1stline"/>
    <w:basedOn w:val="789"/>
    <w:uiPriority w:val="0"/>
    <w:qFormat/>
    <w:pPr>
      <w:jc w:val="left"/>
      <w:spacing w:before="120"/>
      <w:widowControl/>
    </w:pPr>
    <w:rPr>
      <w:rFonts w:ascii="Times New Roman" w:hAnsi="Times New Roman" w:eastAsia="宋体"/>
      <w:bCs/>
      <w:sz w:val="20"/>
      <w:szCs w:val="20"/>
      <w:lang w:val="de-DE" w:eastAsia="de-DE"/>
    </w:rPr>
  </w:style>
  <w:style w:type="paragraph" w:styleId="1205" w:customStyle="1">
    <w:name w:val="标题1"/>
    <w:basedOn w:val="789"/>
    <w:next w:val="78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6" w:customStyle="1">
    <w:name w:val="修订2"/>
    <w:uiPriority w:val="99"/>
    <w:semiHidden/>
    <w:qFormat/>
    <w:rPr>
      <w:rFonts w:ascii="Times New Roman" w:hAnsi="Times New Roman" w:eastAsia="宋体" w:cs="Times New Roman"/>
      <w:sz w:val="21"/>
      <w:szCs w:val="21"/>
      <w:lang w:val="en-US" w:eastAsia="zh-CN" w:bidi="ar-SA"/>
    </w:rPr>
  </w:style>
  <w:style w:type="paragraph" w:styleId="120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08" w:customStyle="1">
    <w:name w:val="目录 111"/>
    <w:basedOn w:val="789"/>
    <w:next w:val="789"/>
    <w:uiPriority w:val="39"/>
    <w:unhideWhenUsed/>
    <w:qFormat/>
    <w:pPr>
      <w:jc w:val="left"/>
      <w:spacing w:after="100" w:line="259" w:lineRule="auto"/>
      <w:widowControl/>
    </w:pPr>
    <w:rPr>
      <w:rFonts w:eastAsia="宋体"/>
      <w:sz w:val="22"/>
    </w:rPr>
  </w:style>
  <w:style w:type="table" w:styleId="1209" w:customStyle="1">
    <w:name w:val="网格型5"/>
    <w:basedOn w:val="800"/>
    <w:uiPriority w:val="0"/>
    <w:qFormat/>
    <w:pPr>
      <w:jc w:val="both"/>
      <w:widowControl w:val="off"/>
    </w:pPr>
    <w:tblPr>
      <w:tblCellMar>
        <w:left w:w="108" w:type="dxa"/>
        <w:top w:w="0" w:type="dxa"/>
        <w:right w:w="108" w:type="dxa"/>
        <w:bottom w:w="0" w:type="dxa"/>
      </w:tblCellMar>
    </w:tblPr>
  </w:style>
  <w:style w:type="paragraph" w:styleId="1210" w:customStyle="1">
    <w:name w:val="a0"/>
    <w:basedOn w:val="789"/>
    <w:uiPriority w:val="0"/>
    <w:qFormat/>
    <w:pPr>
      <w:jc w:val="left"/>
      <w:spacing w:before="100" w:beforeAutospacing="1" w:after="100" w:afterAutospacing="1"/>
      <w:widowControl/>
    </w:pPr>
    <w:rPr>
      <w:rFonts w:ascii="宋体" w:hAnsi="宋体" w:cs="宋体"/>
    </w:rPr>
  </w:style>
  <w:style w:type="character" w:styleId="1211" w:customStyle="1">
    <w:name w:val="NormalCharacter1"/>
    <w:uiPriority w:val="0"/>
    <w:qFormat/>
  </w:style>
  <w:style w:type="paragraph" w:styleId="1212" w:customStyle="1">
    <w:name w:val="_Style 1"/>
    <w:basedOn w:val="789"/>
    <w:uiPriority w:val="34"/>
    <w:qFormat/>
    <w:pPr>
      <w:ind w:firstLine="420"/>
    </w:pPr>
  </w:style>
  <w:style w:type="paragraph" w:styleId="1213" w:customStyle="1">
    <w:name w:val="UserStyle_0"/>
    <w:basedOn w:val="789"/>
    <w:uiPriority w:val="0"/>
    <w:qFormat/>
    <w:pPr>
      <w:ind w:left="420" w:firstLine="420"/>
      <w:spacing w:after="120"/>
      <w:widowControl/>
    </w:pPr>
    <w:rPr>
      <w:rFonts w:ascii="Times New Roman" w:hAnsi="Times New Roman"/>
      <w:szCs w:val="20"/>
    </w:rPr>
  </w:style>
  <w:style w:type="paragraph" w:styleId="1214" w:customStyle="1">
    <w:name w:val="UserStyle_87"/>
    <w:basedOn w:val="789"/>
    <w:uiPriority w:val="0"/>
    <w:qFormat/>
    <w:pPr>
      <w:ind w:firstLine="420"/>
      <w:widowControl/>
    </w:pPr>
  </w:style>
  <w:style w:type="character" w:styleId="1215" w:customStyle="1">
    <w:name w:val="UserStyle_88"/>
    <w:uiPriority w:val="0"/>
    <w:qFormat/>
  </w:style>
  <w:style w:type="paragraph" w:styleId="1216" w:customStyle="1">
    <w:name w:val="BodyText1I21"/>
    <w:basedOn w:val="789"/>
    <w:uiPriority w:val="0"/>
    <w:qFormat/>
    <w:pPr>
      <w:ind w:left="420" w:firstLine="420"/>
      <w:spacing w:after="120"/>
    </w:pPr>
    <w:rPr>
      <w:rFonts w:ascii="Times New Roman" w:hAnsi="Times New Roman"/>
      <w:szCs w:val="20"/>
    </w:rPr>
  </w:style>
  <w:style w:type="paragraph" w:styleId="1217" w:customStyle="1">
    <w:name w:val="Table Text"/>
    <w:basedOn w:val="789"/>
    <w:uiPriority w:val="0"/>
    <w:semiHidden/>
    <w:qFormat/>
    <w:rPr>
      <w:rFonts w:ascii="宋体" w:hAnsi="宋体" w:eastAsia="宋体" w:cs="宋体"/>
      <w:sz w:val="24"/>
      <w:szCs w:val="24"/>
      <w:lang w:eastAsia="en-US"/>
    </w:rPr>
  </w:style>
  <w:style w:type="paragraph" w:styleId="1218"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19" w:customStyle="1">
    <w:name w:val="Body text|2"/>
    <w:basedOn w:val="789"/>
    <w:uiPriority w:val="0"/>
    <w:qFormat/>
    <w:pPr>
      <w:ind w:firstLine="540"/>
      <w:spacing w:line="487" w:lineRule="exact"/>
    </w:pPr>
    <w:rPr>
      <w:rFonts w:ascii="宋体" w:hAnsi="宋体" w:cs="宋体"/>
      <w:lang w:val="zh-TW" w:eastAsia="zh-TW" w:bidi="zh-TW"/>
    </w:rPr>
  </w:style>
  <w:style w:type="paragraph" w:styleId="1220" w:customStyle="1">
    <w:name w:val="BodyText1I"/>
    <w:basedOn w:val="1221"/>
    <w:uiPriority w:val="0"/>
    <w:qFormat/>
    <w:pPr>
      <w:ind w:firstLine="420"/>
      <w:spacing w:after="120" w:line="440" w:lineRule="exact"/>
    </w:pPr>
    <w:rPr>
      <w:rFonts w:ascii="宋体"/>
      <w:sz w:val="24"/>
      <w:szCs w:val="28"/>
    </w:rPr>
  </w:style>
  <w:style w:type="paragraph" w:styleId="1221" w:customStyle="1">
    <w:name w:val="BodyText"/>
    <w:basedOn w:val="789"/>
    <w:uiPriority w:val="0"/>
    <w:qFormat/>
    <w:rPr>
      <w:sz w:val="20"/>
    </w:rPr>
  </w:style>
  <w:style w:type="paragraph" w:styleId="1222" w:customStyle="1">
    <w:name w:val="正文文本11"/>
    <w:basedOn w:val="789"/>
    <w:uiPriority w:val="0"/>
    <w:qFormat/>
    <w:rPr>
      <w:sz w:val="18"/>
      <w:szCs w:val="20"/>
    </w:rPr>
  </w:style>
  <w:style w:type="numbering" w:styleId="1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3eeeb2be-8656-4f52-bc94-4941ee998972</errorID>
      <errorWord>增强</errorWord>
      <group>L1_Grammar</group>
      <groupName>语法问题</groupName>
      <ability>L2_Grammar</ability>
      <abilityName>语法错误</abilityName>
      <candidateList>
        <item>提升</item>
      </candidateList>
      <explain>“增强～水平”搭配不当，建议修改为“提升～水平”。</explain>
      <paraID>77B26FA9</paraID>
      <start>20</start>
      <end>22</end>
      <status>unmodified</status>
      <modifiedWord/>
      <trackRevisions>false</trackRevisions>
    </reviewItem>
    <reviewItem>
      <errorID>de29c513-5f0a-4fa9-ba2e-24fcc9d1f42d</errorID>
      <errorWord>项目中</errorWord>
      <group>L1_Word</group>
      <groupName>字词问题</groupName>
      <ability>L2_Typo</ability>
      <abilityName>字词错误</abilityName>
      <candidateList>
        <item>项目</item>
      </candidateList>
      <explain>〈名〉事物分成的门类：服务～｜体育～｜建设～。</explain>
      <paraID>6106BD95</paraID>
      <start>2</start>
      <end>4</end>
      <status>modified</status>
      <modifiedWord>项目</modifiedWord>
      <trackRevisions>false</trackRevisions>
    </reviewItem>
    <reviewItem>
      <errorID>696d5af5-3836-47ba-809f-350338ad0929</errorID>
      <errorWord>详实</errorWord>
      <group>L1_Word</group>
      <groupName>字词问题</groupName>
      <ability>L2_Typo</ability>
      <abilityName>字词错误</abilityName>
      <candidateList>
        <item>翔实</item>
      </candidateList>
      <explain>存在发音相同字词的误用。</explain>
      <paraID>16430E2D</paraID>
      <start>19</start>
      <end>21</end>
      <status>unmodified</status>
      <modifiedWord/>
      <trackRevisions>false</trackRevisions>
    </reviewItem>
    <reviewItem>
      <errorID>581062d7-e0bc-4357-9b22-92c0b362cefb</errorID>
      <errorWord>》</errorWord>
      <group>L1_Word</group>
      <groupName>字词问题</groupName>
      <ability>L2_Typo</ability>
      <abilityName>字词错误</abilityName>
      <candidateList>
        <item>》等</item>
      </candidateList>
      <explain/>
      <paraID>78A26983</paraID>
      <start>32</start>
      <end>34</end>
      <status>modified</status>
      <modifiedWord>》等</modifiedWord>
      <trackRevisions>false</trackRevisions>
    </reviewItem>
    <reviewItem>
      <errorID>86d7e37b-d8e3-459e-b93d-846500be74e2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3DF4E560</paraID>
      <start>36</start>
      <end>40</end>
      <status>unmodified</status>
      <modifiedWord/>
      <trackRevisions>false</trackRevisions>
    </reviewItem>
    <reviewItem>
      <errorID>9cb6bb18-8596-4cf8-8afb-025643127cb1</errorID>
      <errorWord>须</errorWord>
      <group>L1_Word</group>
      <groupName>字词问题</groupName>
      <ability>L2_Typo</ability>
      <abilityName>字词错误</abilityName>
      <candidateList>
        <item>需</item>
      </candidateList>
      <explain>存在发音相同字词的误用。</explain>
      <paraID>5C99946C</paraID>
      <start>47</start>
      <end>48</end>
      <status>unmodified</status>
      <modifiedWord/>
      <trackRevisions>false</trackRevisions>
    </reviewItem>
    <reviewItem>
      <errorID>0ce4bd2a-f0c9-4179-9e5c-022a915e40c2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410E44C5</paraID>
      <start>29</start>
      <end>32</end>
      <status>unmodified</status>
      <modifiedWord/>
      <trackRevisions>false</trackRevisions>
    </reviewItem>
    <reviewItem>
      <errorID>45ff4417-090d-448c-ac4e-56639dbc88ce</errorID>
      <errorWord>现在是</errorWord>
      <group>L1_Word</group>
      <groupName>字词问题</groupName>
      <ability>L2_Typo</ability>
      <abilityName>字词错误</abilityName>
      <candidateList>
        <item>现在</item>
      </candidateList>
      <explain/>
      <paraID>57E54874</paraID>
      <start>17</start>
      <end>20</end>
      <status>unmodified</status>
      <modifiedWord/>
      <trackRevisions>false</trackRevisions>
    </reviewItem>
    <reviewItem>
      <errorID>a9d824e6-633a-497f-9171-fc4e573f0939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3109A0E5</paraID>
      <start>0</start>
      <end>2</end>
      <status>unmodified</status>
      <modifiedWord/>
      <trackRevisions>false</trackRevisions>
    </reviewItem>
    <reviewItem>
      <errorID>23f47ef0-a3a4-43ea-a4bc-d7cc23c80a87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6a1e54bc-34ca-48bd-95a2-e2f4fb098189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F7C5246</paraID>
      <start>9</start>
      <end>10</end>
      <status>unmodified</status>
      <modifiedWord/>
      <trackRevisions>false</trackRevisions>
    </reviewItem>
    <reviewItem>
      <errorID>9d266b6a-c2d7-442b-83c6-bb11738764a0</errorID>
      <errorWord>(</errorWord>
      <group>L1_Format</group>
      <groupName>格式问题</groupName>
      <ability>L2_HalfPunc</ability>
      <abilityName>全半角检查</abilityName>
      <candidateList>
        <item>（</item>
      </candidateList>
      <explain>文本全半角错误。</explain>
      <paraID>7B5BEA55</paraID>
      <start>10</start>
      <end>11</end>
      <status>modified</status>
      <modifiedWord>（</modifiedWord>
      <trackRevisions>false</trackRevisions>
    </reviewItem>
    <reviewItem>
      <errorID>6bd96472-1614-4275-82e5-496ce15dec85</errorID>
      <errorWord>)</errorWord>
      <group>L1_Format</group>
      <groupName>格式问题</groupName>
      <ability>L2_HalfPunc</ability>
      <abilityName>全半角检查</abilityName>
      <candidateList>
        <item>）</item>
      </candidateList>
      <explain>文本全半角错误。</explain>
      <paraID>7B5BEA55</paraID>
      <start>13</start>
      <end>14</end>
      <status>modified</status>
      <modifiedWord>）</modifiedWord>
      <trackRevisions>false</trackRevisions>
    </reviewItem>
    <reviewItem>
      <errorID>3ea3c88e-63fc-495b-9953-444c46271aee</errorID>
      <errorWord>(</errorWord>
      <group>L1_Format</group>
      <groupName>格式问题</groupName>
      <ability>L2_HalfPunc</ability>
      <abilityName>全半角检查</abilityName>
      <candidateList>
        <item>（</item>
      </candidateList>
      <explain>文本全半角错误。</explain>
      <paraID>7E24D8B0</paraID>
      <start>10</start>
      <end>11</end>
      <status>modified</status>
      <modifiedWord>（</modifiedWord>
      <trackRevisions>false</trackRevisions>
    </reviewItem>
    <reviewItem>
      <errorID>30ee0a73-bb28-4bb8-884e-df7c1335e4e8</errorID>
      <errorWord>)</errorWord>
      <group>L1_Format</group>
      <groupName>格式问题</groupName>
      <ability>L2_HalfPunc</ability>
      <abilityName>全半角检查</abilityName>
      <candidateList>
        <item>）</item>
      </candidateList>
      <explain>文本全半角错误。</explain>
      <paraID>7E24D8B0</paraID>
      <start>14</start>
      <end>15</end>
      <status>modified</status>
      <modifiedWord>）</modifiedWord>
      <trackRevisions>false</trackRevisions>
    </reviewItem>
    <reviewItem>
      <errorID>674c1490-1da1-44e0-9f79-393f20780d3d</errorID>
      <errorWord>(</errorWord>
      <group>L1_Format</group>
      <groupName>格式问题</groupName>
      <ability>L2_HalfPunc</ability>
      <abilityName>全半角检查</abilityName>
      <candidateList>
        <item>（</item>
      </candidateList>
      <explain>文本全半角错误。</explain>
      <paraID>421A00B7</paraID>
      <start>11</start>
      <end>12</end>
      <status>modified</status>
      <modifiedWord>（</modifiedWord>
      <trackRevisions>false</trackRevisions>
    </reviewItem>
    <reviewItem>
      <errorID>fe62c5c0-1222-4e1d-9667-cb6a7c7dd2a8</errorID>
      <errorWord>)</errorWord>
      <group>L1_Format</group>
      <groupName>格式问题</groupName>
      <ability>L2_HalfPunc</ability>
      <abilityName>全半角检查</abilityName>
      <candidateList>
        <item>）</item>
      </candidateList>
      <explain>文本全半角错误。</explain>
      <paraID>421A00B7</paraID>
      <start>15</start>
      <end>16</end>
      <status>modified</status>
      <modifiedWord>）</modifiedWord>
      <trackRevisions>false</trackRevisions>
    </reviewItem>
    <reviewItem>
      <errorID>5111d894-e903-42ea-babb-209549b7aa0e</errorID>
      <errorWord>(</errorWord>
      <group>L1_Format</group>
      <groupName>格式问题</groupName>
      <ability>L2_HalfPunc</ability>
      <abilityName>全半角检查</abilityName>
      <candidateList>
        <item>（</item>
      </candidateList>
      <explain>文本全半角错误。</explain>
      <paraID>17018A51</paraID>
      <start>8</start>
      <end>9</end>
      <status>modified</status>
      <modifiedWord>（</modifiedWord>
      <trackRevisions>false</trackRevisions>
    </reviewItem>
    <reviewItem>
      <errorID>56712bcf-1cc5-4a27-a48f-7c5b6a74cbea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1A847A4D</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67C78AB7</paraID>
      <start>32</start>
      <end>44</end>
      <status>unmodified</status>
      <modifiedWord/>
      <trackRevisions>false</trackRevisions>
    </reviewItem>
    <reviewItem>
      <errorID>4695f7cb-ce39-447d-8342-4f722a047ba8</errorID>
      <errorWord>的冷链运送</errorWord>
      <group>L1_Word</group>
      <groupName>字词问题</groupName>
      <ability>L2_Typo</ability>
      <abilityName>字词错误</abilityName>
      <candidateList>
        <item>的冷链运输</item>
      </candidateList>
      <explain/>
      <paraID>55C16034</paraID>
      <start>31</start>
      <end>36</end>
      <status>unmodified</status>
      <modifiedWord/>
      <trackRevisions>false</trackRevisions>
    </reviewItem>
    <reviewItem>
      <errorID>6b2f9a73-1815-4ee9-953b-1c25690ed37b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6521815B</paraID>
      <start>0</start>
      <end>2</end>
      <status>unmodified</status>
      <modifiedWord/>
      <trackRevisions>false</trackRevisions>
    </reviewItem>
    <reviewItem>
      <errorID>ed0c3cdb-faaa-4fdc-ac03-9e343e089621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4C47DE79</paraID>
      <start>97</start>
      <end>100</end>
      <status>unmodified</status>
      <modifiedWord/>
      <trackRevisions>false</trackRevisions>
    </reviewItem>
    <reviewItem>
      <errorID>b6da7204-9c9a-4c1c-8e09-709bbc58a894</errorID>
      <errorWord>疑义</errorWord>
      <group>L1_Word</group>
      <groupName>字词问题</groupName>
      <ability>L2_Typo</ability>
      <abilityName>字词错误</abilityName>
      <candidateList>
        <item>异义</item>
      </candidateList>
      <explain/>
      <paraID>2F054DF8</paraID>
      <start>163</start>
      <end>165</end>
      <status>unmodified</status>
      <modifiedWord/>
      <trackRevisions>false</trackRevisions>
    </reviewItem>
    <reviewItem>
      <errorID>d1652c71-ef26-4f96-a8b9-d6ab14bee66b</errorID>
      <errorWord>（</errorWord>
      <group>L1_Punc</group>
      <groupName>标点问题</groupName>
      <ability>L2_Punc</ability>
      <abilityName>标点符号检查</abilityName>
      <candidateList/>
      <explain>同一形式括号套用。</explain>
      <paraID> F49827B</paraID>
      <start>7</start>
      <end>8</end>
      <status>unmodified</status>
      <modifiedWord/>
      <trackRevisions>false</trackRevisions>
    </reviewItem>
    <reviewItem>
      <errorID>c80df94c-90ef-4a59-9f9e-eedebd654927</errorID>
      <errorWord>(</errorWord>
      <group>L1_Punc</group>
      <groupName>标点问题</groupName>
      <ability>L2_Punc</ability>
      <abilityName>标点符号检查</abilityName>
      <candidateList/>
      <explain>同一形式括号套用。</explain>
      <paraID> F49827B</paraID>
      <start>33</start>
      <end>34</end>
      <status>unmodified</status>
      <modifiedWord/>
      <trackRevisions>false</trackRevisions>
    </reviewItem>
    <reviewItem>
      <errorID>71c1f9cd-eb57-46d2-880f-e84390787d88</errorID>
      <errorWord>)</errorWord>
      <group>L1_Punc</group>
      <groupName>标点问题</groupName>
      <ability>L2_Punc</ability>
      <abilityName>标点符号检查</abilityName>
      <candidateList/>
      <explain>同一形式括号套用。</explain>
      <paraID> F49827B</paraID>
      <start>36</start>
      <end>37</end>
      <status>unmodified</status>
      <modifiedWord/>
      <trackRevisions>false</trackRevisions>
    </reviewItem>
    <reviewItem>
      <errorID>360bef74-bb04-4192-8360-93c4a4bd9189</errorID>
      <errorWord>(</errorWord>
      <group>L1_Punc</group>
      <groupName>标点问题</groupName>
      <ability>L2_Punc</ability>
      <abilityName>标点符号检查</abilityName>
      <candidateList/>
      <explain>同一形式括号套用。</explain>
      <paraID> F49827B</paraID>
      <start>40</start>
      <end>41</end>
      <status>unmodified</status>
      <modifiedWord/>
      <trackRevisions>false</trackRevisions>
    </reviewItem>
    <reviewItem>
      <errorID>e5b75053-a5b4-469c-af62-404c33febdfa</errorID>
      <errorWord>)</errorWord>
      <group>L1_Punc</group>
      <groupName>标点问题</groupName>
      <ability>L2_Punc</ability>
      <abilityName>标点符号检查</abilityName>
      <candidateList/>
      <explain>同一形式括号套用。</explain>
      <paraID> F49827B</paraID>
      <start>43</start>
      <end>44</end>
      <status>unmodified</status>
      <modifiedWord/>
      <trackRevisions>false</trackRevisions>
    </reviewItem>
    <reviewItem>
      <errorID>f699d007-d74a-49fc-a00b-e487798d77de</errorID>
      <errorWord>(</errorWord>
      <group>L1_Punc</group>
      <groupName>标点问题</groupName>
      <ability>L2_Punc</ability>
      <abilityName>标点符号检查</abilityName>
      <candidateList/>
      <explain>同一形式括号套用。</explain>
      <paraID> F49827B</paraID>
      <start>47</start>
      <end>48</end>
      <status>unmodified</status>
      <modifiedWord/>
      <trackRevisions>false</trackRevisions>
    </reviewItem>
    <reviewItem>
      <errorID>10bd8fe8-20ca-45a1-b74a-6ed224120245</errorID>
      <errorWord>)</errorWord>
      <group>L1_Punc</group>
      <groupName>标点问题</groupName>
      <ability>L2_Punc</ability>
      <abilityName>标点符号检查</abilityName>
      <candidateList/>
      <explain>同一形式括号套用。</explain>
      <paraID> F49827B</paraID>
      <start>50</start>
      <end>51</end>
      <status>unmodified</status>
      <modifiedWord/>
      <trackRevisions>false</trackRevisions>
    </reviewItem>
    <reviewItem>
      <errorID>64373558-36d8-4820-a48f-e83d085ecc88</errorID>
      <errorWord>(</errorWord>
      <group>L1_Punc</group>
      <groupName>标点问题</groupName>
      <ability>L2_Punc</ability>
      <abilityName>标点符号检查</abilityName>
      <candidateList/>
      <explain>同一形式括号套用。</explain>
      <paraID> F49827B</paraID>
      <start>55</start>
      <end>56</end>
      <status>unmodified</status>
      <modifiedWord/>
      <trackRevisions>false</trackRevisions>
    </reviewItem>
    <reviewItem>
      <errorID>166c4948-419d-47fc-b16d-3ebade253229</errorID>
      <errorWord>)</errorWord>
      <group>L1_Punc</group>
      <groupName>标点问题</groupName>
      <ability>L2_Punc</ability>
      <abilityName>标点符号检查</abilityName>
      <candidateList/>
      <explain>同一形式括号套用。</explain>
      <paraID> F49827B</paraID>
      <start>61</start>
      <end>62</end>
      <status>unmodified</status>
      <modifiedWord/>
      <trackRevisions>false</trackRevisions>
    </reviewItem>
    <reviewItem>
      <errorID>3132cc40-28db-4376-89a7-623ad6cfa81c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44724980</paraID>
      <start>0</start>
      <end>2</end>
      <status>unmodified</status>
      <modifiedWord/>
      <trackRevisions>false</trackRevisions>
    </reviewItem>
    <reviewItem>
      <errorID>95cf6e8b-01a3-466d-8188-3c4c7f9471c4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6C73E98</paraID>
      <start>0</start>
      <end>2</end>
      <status>unmodified</status>
      <modifiedWord/>
      <trackRevisions>false</trackRevisions>
    </reviewItem>
    <reviewItem>
      <errorID>23f44631-431d-49ac-abc0-777521b27cf3</errorID>
      <errorWord>方</errorWord>
      <group>L1_Word</group>
      <groupName>字词问题</groupName>
      <ability>L2_Typo</ability>
      <abilityName>字词错误</abilityName>
      <candidateList>
        <item>方加</item>
      </candidateList>
      <explain/>
      <paraID>3A6D6A10</paraID>
      <start>45</start>
      <end>46</end>
      <status>unmodified</status>
      <modifiedWord/>
      <trackRevisions>false</trackRevisions>
    </reviewItem>
    <reviewItem>
      <errorID>677c3f1c-6f74-49fe-b9ff-f08da03f339f</errorID>
      <errorWord>提供提供</errorWord>
      <group>L1_Word</group>
      <groupName>字词问题</groupName>
      <ability>L2_Typo</ability>
      <abilityName>字词错误</abilityName>
      <candidateList>
        <item>提供</item>
      </candidateList>
      <explain/>
      <paraID>40EF6C1D</paraID>
      <start>63</start>
      <end>65</end>
      <status>modified</status>
      <modifiedWord>提供</modifiedWord>
      <trackRevisions>false</trackRevisions>
    </reviewItem>
    <reviewItem>
      <errorID>d5ebbc06-7f55-4d91-ac84-f884cdcc6001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1D7A198C</paraID>
      <start>0</start>
      <end>2</end>
      <status>unmodified</status>
      <modifiedWord/>
      <trackRevisions>false</trackRevisions>
    </reviewItem>
    <reviewItem>
      <errorID>e0231e67-19ef-4c77-a995-93b5d2058345</errorID>
      <errorWord>详实</errorWord>
      <group>L1_Word</group>
      <groupName>字词问题</groupName>
      <ability>L2_Typo</ability>
      <abilityName>字词错误</abilityName>
      <candidateList>
        <item>翔实</item>
      </candidateList>
      <explain>存在发音相同字词的误用。</explain>
      <paraID>48B1C8D4</paraID>
      <start>6</start>
      <end>8</end>
      <status>unmodified</status>
      <modifiedWord/>
      <trackRevisions>false</trackRevisions>
    </reviewItem>
    <reviewItem>
      <errorID>96a4c49a-27c2-49ed-8cec-d12748962368</errorID>
      <errorWord>详实</errorWord>
      <group>L1_Word</group>
      <groupName>字词问题</groupName>
      <ability>L2_Typo</ability>
      <abilityName>字词错误</abilityName>
      <candidateList>
        <item>翔实</item>
      </candidateList>
      <explain>存在发音相同字词的误用。</explain>
      <paraID>39C76A52</paraID>
      <start>6</start>
      <end>8</end>
      <status>unmodified</status>
      <modifiedWord/>
      <trackRevisions>false</trackRevisions>
    </reviewItem>
    <reviewItem>
      <errorID>d018db44-d07b-4859-a277-c07864cfb77d</errorID>
      <errorWord>详实</errorWord>
      <group>L1_Word</group>
      <groupName>字词问题</groupName>
      <ability>L2_Typo</ability>
      <abilityName>字词错误</abilityName>
      <candidateList>
        <item>翔实</item>
      </candidateList>
      <explain>存在发音相同字词的误用。</explain>
      <paraID>11AEF954</paraID>
      <start>8</start>
      <end>10</end>
      <status>unmodified</status>
      <modifiedWord/>
      <trackRevisions>false</trackRevisions>
    </reviewItem>
    <reviewItem>
      <errorID>8b5da0b9-952f-400e-9b9f-439f089134c7</errorID>
      <errorWord>详实</errorWord>
      <group>L1_Word</group>
      <groupName>字词问题</groupName>
      <ability>L2_Typo</ability>
      <abilityName>字词错误</abilityName>
      <candidateList>
        <item>翔实</item>
      </candidateList>
      <explain>存在发音相同字词的误用。</explain>
      <paraID>3F3946CF</paraID>
      <start>6</start>
      <end>8</end>
      <status>unmodified</status>
      <modifiedWord/>
      <trackRevisions>false</trackRevisions>
    </reviewItem>
    <reviewItem>
      <errorID>1dd00717-1307-4c32-aba5-0a971f5d2dee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4028892</paraID>
      <start>11</start>
      <end>14</end>
      <status>unmodified</status>
      <modifiedWord/>
      <trackRevisions>false</trackRevisions>
    </reviewItem>
    <reviewItem>
      <errorID>19e26261-d288-493b-9cb5-c296bbe46e9c</errorID>
      <errorWord>卫计委</errorWord>
      <group>L1_Knowledge</group>
      <groupName>知识性问题</groupName>
      <ability>L2_Knowledge</ability>
      <abilityName>其他知识</abilityName>
      <candidateList>
        <item>卫健委</item>
      </candidateList>
      <explain/>
      <paraID> 4028892</paraID>
      <start>15</start>
      <end>18</end>
      <status>unmodified</status>
      <modifiedWord/>
      <trackRevisions>false</trackRevisions>
    </reviewItem>
    <reviewItem>
      <errorID>ffdf7706-65ad-4389-a600-64dc873d5fcf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3CAA3AD5</paraID>
      <start>9</start>
      <end>10</end>
      <status>unmodified</status>
      <modifiedWord/>
      <trackRevisions>false</trackRevisions>
    </reviewItem>
    <reviewItem>
      <errorID>c33af869-0b83-4283-b98e-7bf5e23058b5</errorID>
      <errorWord>(</errorWord>
      <group>L1_Format</group>
      <groupName>格式问题</groupName>
      <ability>L2_HalfPunc</ability>
      <abilityName>全半角检查</abilityName>
      <candidateList>
        <item>（</item>
      </candidateList>
      <explain>文本全半角错误。</explain>
      <paraID>1168F8F0</paraID>
      <start>10</start>
      <end>11</end>
      <status>modified</status>
      <modifiedWord>（</modifiedWord>
      <trackRevisions>false</trackRevisions>
    </reviewItem>
    <reviewItem>
      <errorID>6e6abfa1-af7c-4e5d-b0c1-1a564ceba401</errorID>
      <errorWord>)</errorWord>
      <group>L1_Format</group>
      <groupName>格式问题</groupName>
      <ability>L2_HalfPunc</ability>
      <abilityName>全半角检查</abilityName>
      <candidateList>
        <item>）</item>
      </candidateList>
      <explain>文本全半角错误。</explain>
      <paraID>1168F8F0</paraID>
      <start>13</start>
      <end>14</end>
      <status>modified</status>
      <modifiedWord>）</modifiedWord>
      <trackRevisions>false</trackRevisions>
    </reviewItem>
    <reviewItem>
      <errorID>f8e1a369-c794-455d-9047-a787dbe3a803</errorID>
      <errorWord>(</errorWord>
      <group>L1_Format</group>
      <groupName>格式问题</groupName>
      <ability>L2_HalfPunc</ability>
      <abilityName>全半角检查</abilityName>
      <candidateList>
        <item>（</item>
      </candidateList>
      <explain>文本全半角错误。</explain>
      <paraID>7303EB3A</paraID>
      <start>10</start>
      <end>11</end>
      <status>modified</status>
      <modifiedWord>（</modifiedWord>
      <trackRevisions>false</trackRevisions>
    </reviewItem>
    <reviewItem>
      <errorID>7efe26a8-bc5f-41d5-89fd-1fbf912ee71d</errorID>
      <errorWord>)</errorWord>
      <group>L1_Format</group>
      <groupName>格式问题</groupName>
      <ability>L2_HalfPunc</ability>
      <abilityName>全半角检查</abilityName>
      <candidateList>
        <item>）</item>
      </candidateList>
      <explain>文本全半角错误。</explain>
      <paraID>7303EB3A</paraID>
      <start>14</start>
      <end>15</end>
      <status>modified</status>
      <modifiedWord>）</modifiedWord>
      <trackRevisions>false</trackRevisions>
    </reviewItem>
    <reviewItem>
      <errorID>f26bc389-1bac-4570-9787-705009c2c24f</errorID>
      <errorWord>(</errorWord>
      <group>L1_Format</group>
      <groupName>格式问题</groupName>
      <ability>L2_HalfPunc</ability>
      <abilityName>全半角检查</abilityName>
      <candidateList>
        <item>（</item>
      </candidateList>
      <explain>文本全半角错误。</explain>
      <paraID>171A948F</paraID>
      <start>11</start>
      <end>12</end>
      <status>modified</status>
      <modifiedWord>（</modifiedWord>
      <trackRevisions>false</trackRevisions>
    </reviewItem>
    <reviewItem>
      <errorID>71a53445-c830-4338-accc-d14169914e17</errorID>
      <errorWord>)</errorWord>
      <group>L1_Format</group>
      <groupName>格式问题</groupName>
      <ability>L2_HalfPunc</ability>
      <abilityName>全半角检查</abilityName>
      <candidateList>
        <item>）</item>
      </candidateList>
      <explain>文本全半角错误。</explain>
      <paraID>171A948F</paraID>
      <start>15</start>
      <end>16</end>
      <status>modified</status>
      <modifiedWord>）</modifiedWord>
      <trackRevisions>false</trackRevisions>
    </reviewItem>
    <reviewItem>
      <errorID>c6f331cc-b6cf-46cd-a664-4960ebe02e67</errorID>
      <errorWord>(</errorWord>
      <group>L1_Format</group>
      <groupName>格式问题</groupName>
      <ability>L2_HalfPunc</ability>
      <abilityName>全半角检查</abilityName>
      <candidateList>
        <item>（</item>
      </candidateList>
      <explain>文本全半角错误。</explain>
      <paraID> 19ABE6B</paraID>
      <start>8</start>
      <end>9</end>
      <status>modified</status>
      <modifiedWord>（</modifiedWord>
      <trackRevisions>false</trackRevisions>
    </reviewItem>
    <reviewItem>
      <errorID>ef244f02-33d7-4601-bc6c-f15a12cdbbe8</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60AE609-2F11-4B7A-BC20-4C0421DA86A8}"/>
</file>

<file path=customXml/itemProps2.xml><?xml version="1.0" encoding="utf-8"?>
<ds:datastoreItem xmlns:ds="http://schemas.openxmlformats.org/officeDocument/2006/customXml" ds:itemID="{6222E0C2-D41F-421B-B992-906AB28FC3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方钟明</cp:lastModifiedBy>
  <cp:revision>148</cp:revision>
  <dcterms:created xsi:type="dcterms:W3CDTF">2025-02-06T06:18:00Z</dcterms:created>
  <dcterms:modified xsi:type="dcterms:W3CDTF">2026-08-05T02:52:29Z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eyJoZGlkIjoiNmY3NmM5Y2I4MWU4YmNiZmNjZThmODYyYjk4MTMwYWMiLCJ1c2VySWQiOiIyNTk2MjU0NTAifQ==</vt:lpwstr>
  </property>
  <property fmtid="{D5CDD505-2E9C-101B-9397-08002B2CF9AE}" pid="3" name="KSOProductBuildVer">
    <vt:lpwstr>2052-12.1.0.26895</vt:lpwstr>
  </property>
  <property fmtid="{D5CDD505-2E9C-101B-9397-08002B2CF9AE}" pid="4" name="ICV">
    <vt:lpwstr>EF373BE0AE8E480C9D77B5852C8DD412_13</vt:lpwstr>
  </property>
</Properties>
</file>